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sz w:val="52"/>
          <w:szCs w:val="52"/>
        </w:rPr>
      </w:pPr>
    </w:p>
    <w:p>
      <w:pPr>
        <w:jc w:val="center"/>
        <w:rPr>
          <w:rFonts w:hint="eastAsia" w:ascii="宋体" w:hAnsi="宋体" w:eastAsia="宋体"/>
          <w:b/>
          <w:bCs/>
          <w:sz w:val="48"/>
          <w:szCs w:val="48"/>
          <w:lang w:eastAsia="zh-CN"/>
        </w:rPr>
      </w:pPr>
      <w:r>
        <w:rPr>
          <w:rFonts w:hint="eastAsia" w:ascii="宋体" w:hAnsi="宋体"/>
          <w:b/>
          <w:bCs/>
          <w:sz w:val="48"/>
          <w:szCs w:val="48"/>
          <w:lang w:eastAsia="zh-CN"/>
        </w:rPr>
        <w:t>液化石油气政府应急储备服务</w:t>
      </w:r>
    </w:p>
    <w:p>
      <w:pPr>
        <w:jc w:val="center"/>
        <w:rPr>
          <w:rFonts w:hint="eastAsia" w:ascii="宋体" w:hAnsi="宋体" w:cs="方正仿宋_GBK"/>
          <w:b/>
          <w:bCs/>
          <w:sz w:val="60"/>
          <w:szCs w:val="60"/>
        </w:rPr>
      </w:pPr>
      <w:r>
        <w:rPr>
          <w:rFonts w:hint="eastAsia" w:ascii="宋体" w:hAnsi="宋体" w:cs="方正仿宋_GBK"/>
          <w:b/>
          <w:bCs/>
          <w:sz w:val="60"/>
          <w:szCs w:val="60"/>
        </w:rPr>
        <w:t xml:space="preserve"> </w:t>
      </w:r>
    </w:p>
    <w:p>
      <w:pPr>
        <w:jc w:val="center"/>
        <w:rPr>
          <w:rFonts w:hint="eastAsia" w:ascii="宋体" w:hAnsi="宋体" w:cs="方正仿宋_GBK"/>
          <w:b/>
          <w:bCs/>
          <w:sz w:val="60"/>
          <w:szCs w:val="60"/>
        </w:rPr>
      </w:pPr>
    </w:p>
    <w:p>
      <w:pPr>
        <w:jc w:val="center"/>
        <w:rPr>
          <w:rFonts w:hint="eastAsia" w:ascii="宋体" w:hAnsi="宋体" w:cs="方正仿宋_GBK"/>
          <w:b/>
          <w:bCs/>
          <w:sz w:val="60"/>
          <w:szCs w:val="60"/>
        </w:rPr>
      </w:pPr>
    </w:p>
    <w:p>
      <w:pPr>
        <w:jc w:val="center"/>
        <w:rPr>
          <w:rFonts w:hint="eastAsia" w:ascii="宋体" w:hAnsi="宋体" w:cs="方正仿宋_GBK"/>
          <w:b/>
          <w:bCs/>
          <w:sz w:val="60"/>
          <w:szCs w:val="60"/>
        </w:rPr>
      </w:pPr>
    </w:p>
    <w:p>
      <w:pPr>
        <w:jc w:val="center"/>
        <w:rPr>
          <w:rFonts w:ascii="宋体" w:hAnsi="宋体"/>
          <w:b/>
          <w:bCs/>
          <w:sz w:val="72"/>
          <w:szCs w:val="72"/>
        </w:rPr>
      </w:pPr>
      <w:r>
        <w:rPr>
          <w:rFonts w:hint="eastAsia" w:ascii="宋体" w:hAnsi="宋体" w:cs="方正仿宋_GBK"/>
          <w:b/>
          <w:bCs/>
          <w:sz w:val="72"/>
          <w:szCs w:val="72"/>
        </w:rPr>
        <w:t>单一来源采购文件</w:t>
      </w:r>
    </w:p>
    <w:p>
      <w:pPr>
        <w:jc w:val="center"/>
        <w:rPr>
          <w:b/>
          <w:bCs/>
          <w:sz w:val="60"/>
          <w:szCs w:val="60"/>
        </w:rPr>
      </w:pPr>
    </w:p>
    <w:p>
      <w:pPr>
        <w:spacing w:line="360" w:lineRule="auto"/>
        <w:jc w:val="center"/>
        <w:rPr>
          <w:sz w:val="60"/>
          <w:szCs w:val="60"/>
        </w:rPr>
      </w:pPr>
    </w:p>
    <w:p>
      <w:pPr>
        <w:spacing w:line="360" w:lineRule="auto"/>
        <w:jc w:val="center"/>
        <w:rPr>
          <w:sz w:val="60"/>
          <w:szCs w:val="60"/>
        </w:rPr>
      </w:pPr>
    </w:p>
    <w:p>
      <w:pPr>
        <w:spacing w:line="360" w:lineRule="auto"/>
        <w:jc w:val="center"/>
        <w:rPr>
          <w:sz w:val="60"/>
          <w:szCs w:val="60"/>
        </w:rPr>
      </w:pPr>
    </w:p>
    <w:p>
      <w:pPr>
        <w:tabs>
          <w:tab w:val="left" w:pos="3240"/>
          <w:tab w:val="left" w:pos="3420"/>
        </w:tabs>
        <w:spacing w:line="360" w:lineRule="auto"/>
        <w:ind w:left="2621" w:leftChars="444" w:hanging="1689" w:hangingChars="528"/>
        <w:jc w:val="left"/>
        <w:rPr>
          <w:rFonts w:hint="eastAsia" w:eastAsia="宋体"/>
          <w:bCs/>
          <w:sz w:val="32"/>
          <w:szCs w:val="32"/>
          <w:lang w:eastAsia="zh-CN"/>
        </w:rPr>
      </w:pPr>
      <w:r>
        <w:rPr>
          <w:bCs/>
          <w:sz w:val="32"/>
          <w:szCs w:val="32"/>
        </w:rPr>
        <w:t>项目名称：</w:t>
      </w:r>
      <w:r>
        <w:rPr>
          <w:rFonts w:hint="eastAsia"/>
          <w:bCs/>
          <w:sz w:val="32"/>
          <w:szCs w:val="32"/>
          <w:lang w:eastAsia="zh-CN"/>
        </w:rPr>
        <w:t>液化石油气政府应急储备服务</w:t>
      </w:r>
    </w:p>
    <w:p>
      <w:pPr>
        <w:tabs>
          <w:tab w:val="left" w:pos="3240"/>
          <w:tab w:val="left" w:pos="3420"/>
        </w:tabs>
        <w:spacing w:line="360" w:lineRule="auto"/>
        <w:ind w:left="2621" w:leftChars="444" w:hanging="1689" w:hangingChars="528"/>
        <w:jc w:val="left"/>
        <w:rPr>
          <w:rFonts w:hint="eastAsia"/>
          <w:bCs/>
          <w:sz w:val="32"/>
          <w:szCs w:val="32"/>
        </w:rPr>
      </w:pPr>
      <w:r>
        <w:rPr>
          <w:bCs/>
          <w:sz w:val="32"/>
          <w:szCs w:val="32"/>
        </w:rPr>
        <w:t>项目编号：</w:t>
      </w:r>
      <w:r>
        <w:rPr>
          <w:rFonts w:hint="eastAsia"/>
          <w:bCs/>
          <w:sz w:val="32"/>
          <w:szCs w:val="32"/>
        </w:rPr>
        <w:t>11000025210200136843-XM001</w:t>
      </w:r>
    </w:p>
    <w:p>
      <w:pPr>
        <w:tabs>
          <w:tab w:val="left" w:pos="3240"/>
          <w:tab w:val="left" w:pos="3420"/>
        </w:tabs>
        <w:spacing w:line="360" w:lineRule="auto"/>
        <w:ind w:left="2621" w:leftChars="444" w:hanging="1689" w:hangingChars="528"/>
        <w:jc w:val="left"/>
        <w:rPr>
          <w:rFonts w:hint="eastAsia" w:eastAsia="宋体"/>
          <w:bCs/>
          <w:sz w:val="32"/>
          <w:szCs w:val="32"/>
          <w:lang w:eastAsia="zh-CN"/>
        </w:rPr>
      </w:pPr>
      <w:r>
        <w:rPr>
          <w:bCs/>
          <w:sz w:val="32"/>
          <w:szCs w:val="32"/>
        </w:rPr>
        <w:t>采 购 人：</w:t>
      </w:r>
      <w:r>
        <w:rPr>
          <w:rFonts w:hint="eastAsia"/>
          <w:bCs/>
          <w:sz w:val="32"/>
          <w:szCs w:val="32"/>
          <w:lang w:eastAsia="zh-CN"/>
        </w:rPr>
        <w:t>北京市城市管理委员会</w:t>
      </w:r>
    </w:p>
    <w:p>
      <w:pPr>
        <w:tabs>
          <w:tab w:val="left" w:pos="3240"/>
          <w:tab w:val="left" w:pos="3420"/>
        </w:tabs>
        <w:spacing w:line="360" w:lineRule="auto"/>
        <w:ind w:left="2621" w:leftChars="444" w:hanging="1689" w:hangingChars="528"/>
        <w:jc w:val="left"/>
        <w:rPr>
          <w:rFonts w:hint="eastAsia" w:eastAsia="宋体"/>
          <w:bCs/>
          <w:sz w:val="32"/>
          <w:szCs w:val="32"/>
          <w:lang w:eastAsia="zh-CN"/>
        </w:rPr>
      </w:pPr>
      <w:r>
        <w:rPr>
          <w:rFonts w:hint="eastAsia"/>
          <w:bCs/>
          <w:sz w:val="32"/>
          <w:szCs w:val="32"/>
        </w:rPr>
        <w:t>采购</w:t>
      </w:r>
      <w:r>
        <w:rPr>
          <w:bCs/>
          <w:sz w:val="32"/>
          <w:szCs w:val="32"/>
        </w:rPr>
        <w:t>代理机构：</w:t>
      </w:r>
      <w:r>
        <w:rPr>
          <w:rFonts w:hint="eastAsia"/>
          <w:bCs/>
          <w:sz w:val="32"/>
          <w:szCs w:val="32"/>
          <w:lang w:eastAsia="zh-CN"/>
        </w:rPr>
        <w:t>北京市京发招标有限公司</w:t>
      </w:r>
    </w:p>
    <w:p>
      <w:pPr>
        <w:spacing w:line="360" w:lineRule="auto"/>
        <w:ind w:firstLine="5622" w:firstLineChars="1000"/>
        <w:rPr>
          <w:b/>
          <w:sz w:val="56"/>
          <w:szCs w:val="22"/>
        </w:rPr>
        <w:sectPr>
          <w:headerReference r:id="rId4" w:type="first"/>
          <w:footerReference r:id="rId6" w:type="first"/>
          <w:headerReference r:id="rId3" w:type="default"/>
          <w:footerReference r:id="rId5" w:type="even"/>
          <w:type w:val="nextColumn"/>
          <w:pgSz w:w="11907" w:h="16840"/>
          <w:pgMar w:top="1911" w:right="1474" w:bottom="1882" w:left="1587" w:header="851" w:footer="851" w:gutter="0"/>
          <w:pgNumType w:start="1"/>
          <w:cols w:space="720" w:num="1"/>
          <w:titlePg/>
          <w:docGrid w:linePitch="462" w:charSpace="0"/>
        </w:sectPr>
      </w:pPr>
    </w:p>
    <w:p>
      <w:pPr>
        <w:spacing w:line="360" w:lineRule="auto"/>
        <w:jc w:val="center"/>
        <w:outlineLvl w:val="0"/>
        <w:rPr>
          <w:b/>
          <w:sz w:val="36"/>
          <w:szCs w:val="36"/>
        </w:rPr>
      </w:pPr>
      <w:bookmarkStart w:id="0" w:name="_Toc99301278"/>
      <w:r>
        <w:rPr>
          <w:b/>
          <w:sz w:val="36"/>
          <w:szCs w:val="36"/>
        </w:rPr>
        <w:t>目      录</w:t>
      </w:r>
      <w:bookmarkEnd w:id="0"/>
    </w:p>
    <w:p/>
    <w:p/>
    <w:p/>
    <w:p>
      <w:pPr>
        <w:pStyle w:val="30"/>
        <w:spacing w:line="360" w:lineRule="auto"/>
        <w:rPr>
          <w:rFonts w:ascii="Times New Roman"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pPr>
        <w:pStyle w:val="30"/>
        <w:spacing w:line="480" w:lineRule="auto"/>
        <w:rPr>
          <w:rFonts w:ascii="Times New Roman" w:hAnsi="Times New Roman"/>
          <w:b w:val="0"/>
          <w:sz w:val="21"/>
          <w:szCs w:val="22"/>
        </w:rPr>
      </w:pPr>
      <w:r>
        <w:fldChar w:fldCharType="begin"/>
      </w:r>
      <w:r>
        <w:instrText xml:space="preserve"> HYPERLINK \l "_Toc99301279" </w:instrText>
      </w:r>
      <w:r>
        <w:fldChar w:fldCharType="separate"/>
      </w:r>
      <w:r>
        <w:rPr>
          <w:rStyle w:val="51"/>
          <w:rFonts w:ascii="Times New Roman" w:hAnsi="Times New Roman"/>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_Toc99301279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30"/>
        <w:spacing w:line="480" w:lineRule="auto"/>
        <w:rPr>
          <w:rFonts w:ascii="Times New Roman" w:hAnsi="Times New Roman"/>
          <w:b w:val="0"/>
          <w:sz w:val="21"/>
          <w:szCs w:val="22"/>
        </w:rPr>
      </w:pPr>
      <w:r>
        <w:fldChar w:fldCharType="begin"/>
      </w:r>
      <w:r>
        <w:instrText xml:space="preserve"> HYPERLINK \l "_Toc99301280" </w:instrText>
      </w:r>
      <w:r>
        <w:fldChar w:fldCharType="separate"/>
      </w:r>
      <w:r>
        <w:rPr>
          <w:rStyle w:val="51"/>
          <w:rFonts w:ascii="Times New Roman" w:hAnsi="Times New Roman"/>
        </w:rPr>
        <w:t>第二章   供应</w:t>
      </w:r>
      <w:bookmarkStart w:id="1" w:name="_Hlt186209680"/>
      <w:bookmarkStart w:id="2" w:name="_Hlt186209679"/>
      <w:r>
        <w:rPr>
          <w:rStyle w:val="51"/>
          <w:rFonts w:ascii="Times New Roman" w:hAnsi="Times New Roman"/>
        </w:rPr>
        <w:t>商</w:t>
      </w:r>
      <w:bookmarkEnd w:id="1"/>
      <w:bookmarkEnd w:id="2"/>
      <w:r>
        <w:rPr>
          <w:rStyle w:val="51"/>
          <w:rFonts w:ascii="Times New Roman" w:hAnsi="Times New Roman"/>
        </w:rPr>
        <w:t>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_Toc99301280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pPr>
        <w:pStyle w:val="30"/>
        <w:spacing w:line="480" w:lineRule="auto"/>
        <w:rPr>
          <w:rFonts w:ascii="Times New Roman" w:hAnsi="Times New Roman"/>
          <w:b w:val="0"/>
          <w:sz w:val="21"/>
          <w:szCs w:val="22"/>
        </w:rPr>
      </w:pPr>
      <w:r>
        <w:fldChar w:fldCharType="begin"/>
      </w:r>
      <w:r>
        <w:instrText xml:space="preserve"> HYPERLINK \l "_Toc99301281" </w:instrText>
      </w:r>
      <w:r>
        <w:fldChar w:fldCharType="separate"/>
      </w:r>
      <w:r>
        <w:rPr>
          <w:rStyle w:val="51"/>
          <w:rFonts w:ascii="Times New Roman" w:hAnsi="Times New Roman"/>
        </w:rPr>
        <w:t>第三章   协商程序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_Toc99301281 \h </w:instrText>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rPr>
        <w:fldChar w:fldCharType="end"/>
      </w:r>
    </w:p>
    <w:p>
      <w:pPr>
        <w:pStyle w:val="30"/>
        <w:spacing w:line="480" w:lineRule="auto"/>
        <w:rPr>
          <w:rFonts w:ascii="Times New Roman" w:hAnsi="Times New Roman"/>
          <w:b w:val="0"/>
          <w:sz w:val="21"/>
          <w:szCs w:val="22"/>
        </w:rPr>
      </w:pPr>
      <w:r>
        <w:fldChar w:fldCharType="begin"/>
      </w:r>
      <w:r>
        <w:instrText xml:space="preserve"> HYPERLINK \l "_Toc99301282" </w:instrText>
      </w:r>
      <w:r>
        <w:fldChar w:fldCharType="separate"/>
      </w:r>
      <w:r>
        <w:rPr>
          <w:rStyle w:val="51"/>
          <w:rFonts w:ascii="Times New Roman" w:hAnsi="Times New Roman"/>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_Toc99301282 \h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rPr>
        <w:fldChar w:fldCharType="end"/>
      </w:r>
    </w:p>
    <w:p>
      <w:pPr>
        <w:pStyle w:val="30"/>
        <w:spacing w:line="480" w:lineRule="auto"/>
        <w:rPr>
          <w:rFonts w:ascii="Times New Roman" w:hAnsi="Times New Roman"/>
          <w:b w:val="0"/>
          <w:sz w:val="21"/>
          <w:szCs w:val="22"/>
        </w:rPr>
      </w:pPr>
      <w:r>
        <w:fldChar w:fldCharType="begin"/>
      </w:r>
      <w:r>
        <w:instrText xml:space="preserve"> HYPERLINK \l "_Toc99301283" </w:instrText>
      </w:r>
      <w:r>
        <w:fldChar w:fldCharType="separate"/>
      </w:r>
      <w:r>
        <w:rPr>
          <w:rStyle w:val="51"/>
          <w:rFonts w:ascii="Times New Roman" w:hAnsi="Times New Roman"/>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pPr>
        <w:pStyle w:val="30"/>
        <w:spacing w:line="480" w:lineRule="auto"/>
        <w:rPr>
          <w:rFonts w:ascii="Times New Roman" w:hAnsi="Times New Roman"/>
          <w:b w:val="0"/>
          <w:sz w:val="21"/>
          <w:szCs w:val="22"/>
        </w:rPr>
      </w:pPr>
      <w:r>
        <w:fldChar w:fldCharType="begin"/>
      </w:r>
      <w:r>
        <w:instrText xml:space="preserve"> HYPERLINK \l "_Toc99301284" </w:instrText>
      </w:r>
      <w:r>
        <w:fldChar w:fldCharType="separate"/>
      </w:r>
      <w:r>
        <w:rPr>
          <w:rStyle w:val="51"/>
          <w:rFonts w:ascii="Times New Roman" w:hAnsi="Times New Roman"/>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_Toc99301284 \h </w:instrText>
      </w:r>
      <w:r>
        <w:rPr>
          <w:rFonts w:ascii="Times New Roman" w:hAnsi="Times New Roman"/>
        </w:rPr>
        <w:fldChar w:fldCharType="separate"/>
      </w:r>
      <w:r>
        <w:rPr>
          <w:rFonts w:ascii="Times New Roman" w:hAnsi="Times New Roman"/>
        </w:rPr>
        <w:t>32</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b w:val="0"/>
        </w:rPr>
      </w:pPr>
      <w:r>
        <w:rPr>
          <w:rFonts w:ascii="Times New Roman" w:hAnsi="Times New Roman"/>
          <w:b w:val="0"/>
        </w:rPr>
        <w:fldChar w:fldCharType="end"/>
      </w:r>
    </w:p>
    <w:p>
      <w:pPr>
        <w:widowControl/>
        <w:jc w:val="left"/>
        <w:rPr>
          <w:b/>
          <w:sz w:val="36"/>
          <w:szCs w:val="36"/>
        </w:rPr>
      </w:pPr>
      <w:r>
        <w:rPr>
          <w:b/>
          <w:sz w:val="36"/>
          <w:szCs w:val="36"/>
        </w:rPr>
        <w:br w:type="page"/>
      </w:r>
    </w:p>
    <w:p>
      <w:pPr>
        <w:spacing w:line="360" w:lineRule="auto"/>
        <w:jc w:val="center"/>
        <w:outlineLvl w:val="0"/>
        <w:rPr>
          <w:b/>
          <w:sz w:val="36"/>
          <w:szCs w:val="36"/>
        </w:rPr>
      </w:pPr>
      <w:bookmarkStart w:id="3" w:name="_Toc99301279"/>
      <w:r>
        <w:rPr>
          <w:b/>
          <w:sz w:val="36"/>
          <w:szCs w:val="36"/>
        </w:rPr>
        <w:t>第一章   采购邀请</w:t>
      </w:r>
      <w:bookmarkEnd w:id="3"/>
    </w:p>
    <w:p>
      <w:pPr>
        <w:spacing w:line="360" w:lineRule="auto"/>
        <w:ind w:firstLine="640" w:firstLineChars="200"/>
        <w:rPr>
          <w:sz w:val="32"/>
          <w:szCs w:val="32"/>
        </w:rPr>
      </w:pPr>
    </w:p>
    <w:p>
      <w:pPr>
        <w:pStyle w:val="3"/>
        <w:spacing w:before="0" w:line="360" w:lineRule="auto"/>
        <w:jc w:val="left"/>
        <w:rPr>
          <w:rFonts w:ascii="Times New Roman" w:hAnsi="Times New Roman" w:eastAsia="宋体"/>
          <w:sz w:val="24"/>
          <w:szCs w:val="24"/>
        </w:rPr>
      </w:pPr>
      <w:bookmarkStart w:id="4" w:name="_Toc28359079"/>
      <w:bookmarkStart w:id="5" w:name="_Toc28359002"/>
      <w:bookmarkStart w:id="6" w:name="_Toc35393790"/>
      <w:bookmarkStart w:id="7" w:name="_Toc35393621"/>
      <w:bookmarkStart w:id="8" w:name="_Hlk24379207"/>
      <w:r>
        <w:rPr>
          <w:rFonts w:ascii="Times New Roman" w:hAnsi="Times New Roman" w:eastAsia="宋体"/>
          <w:sz w:val="24"/>
          <w:szCs w:val="24"/>
        </w:rPr>
        <w:t>一、项目基本情况</w:t>
      </w:r>
      <w:bookmarkEnd w:id="4"/>
      <w:bookmarkEnd w:id="5"/>
      <w:bookmarkEnd w:id="6"/>
      <w:bookmarkEnd w:id="7"/>
    </w:p>
    <w:p>
      <w:pPr>
        <w:spacing w:line="360" w:lineRule="auto"/>
        <w:ind w:firstLine="480" w:firstLineChars="200"/>
        <w:rPr>
          <w:rFonts w:hint="eastAsia"/>
          <w:sz w:val="24"/>
        </w:rPr>
      </w:pPr>
      <w:r>
        <w:rPr>
          <w:sz w:val="24"/>
        </w:rPr>
        <w:t>1.项目编号：</w:t>
      </w:r>
      <w:r>
        <w:rPr>
          <w:rFonts w:hint="eastAsia"/>
          <w:sz w:val="24"/>
        </w:rPr>
        <w:t>11000025210200136843-XM001</w:t>
      </w:r>
    </w:p>
    <w:p>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液化石油气政府应急储备服务</w:t>
      </w:r>
    </w:p>
    <w:bookmarkEnd w:id="8"/>
    <w:p>
      <w:pPr>
        <w:spacing w:line="360" w:lineRule="auto"/>
        <w:ind w:firstLine="480" w:firstLineChars="200"/>
        <w:rPr>
          <w:sz w:val="24"/>
        </w:rPr>
      </w:pPr>
      <w:r>
        <w:rPr>
          <w:sz w:val="24"/>
        </w:rPr>
        <w:t>3.项目预算金额：</w:t>
      </w:r>
      <w:r>
        <w:rPr>
          <w:rFonts w:hint="eastAsia"/>
          <w:sz w:val="24"/>
          <w:u w:val="single"/>
          <w:lang w:eastAsia="zh-CN"/>
        </w:rPr>
        <w:t>4154.275</w:t>
      </w:r>
      <w:r>
        <w:rPr>
          <w:sz w:val="24"/>
        </w:rPr>
        <w:t>万元、项目最高限价（如有）：</w:t>
      </w:r>
      <w:r>
        <w:rPr>
          <w:rFonts w:hint="eastAsia"/>
          <w:sz w:val="24"/>
          <w:u w:val="single"/>
          <w:lang w:eastAsia="zh-CN"/>
        </w:rPr>
        <w:t>4154.275</w:t>
      </w:r>
      <w:r>
        <w:rPr>
          <w:sz w:val="24"/>
        </w:rPr>
        <w:t>万元</w:t>
      </w:r>
    </w:p>
    <w:p>
      <w:pPr>
        <w:spacing w:line="360" w:lineRule="auto"/>
        <w:ind w:firstLine="480" w:firstLineChars="200"/>
        <w:rPr>
          <w:sz w:val="24"/>
        </w:rPr>
      </w:pPr>
      <w:r>
        <w:rPr>
          <w:sz w:val="24"/>
        </w:rPr>
        <w:t>4.采购需求：</w:t>
      </w:r>
    </w:p>
    <w:tbl>
      <w:tblPr>
        <w:tblStyle w:val="43"/>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809"/>
        <w:gridCol w:w="4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pct"/>
            <w:noWrap w:val="0"/>
            <w:vAlign w:val="center"/>
          </w:tcPr>
          <w:p>
            <w:pPr>
              <w:jc w:val="center"/>
              <w:rPr>
                <w:bCs/>
                <w:sz w:val="24"/>
              </w:rPr>
            </w:pPr>
            <w:r>
              <w:rPr>
                <w:bCs/>
                <w:sz w:val="24"/>
              </w:rPr>
              <w:t>标的名称</w:t>
            </w:r>
          </w:p>
        </w:tc>
        <w:tc>
          <w:tcPr>
            <w:tcW w:w="926" w:type="pct"/>
            <w:noWrap w:val="0"/>
            <w:vAlign w:val="center"/>
          </w:tcPr>
          <w:p>
            <w:pPr>
              <w:jc w:val="center"/>
              <w:rPr>
                <w:bCs/>
                <w:sz w:val="24"/>
              </w:rPr>
            </w:pPr>
            <w:r>
              <w:rPr>
                <w:bCs/>
                <w:sz w:val="24"/>
              </w:rPr>
              <w:t>采购包预算金额（万元）</w:t>
            </w:r>
          </w:p>
        </w:tc>
        <w:tc>
          <w:tcPr>
            <w:tcW w:w="440" w:type="pct"/>
            <w:noWrap w:val="0"/>
            <w:vAlign w:val="center"/>
          </w:tcPr>
          <w:p>
            <w:pPr>
              <w:jc w:val="center"/>
              <w:rPr>
                <w:bCs/>
                <w:sz w:val="24"/>
              </w:rPr>
            </w:pPr>
            <w:r>
              <w:rPr>
                <w:bCs/>
                <w:sz w:val="24"/>
              </w:rPr>
              <w:t>数量</w:t>
            </w:r>
          </w:p>
        </w:tc>
        <w:tc>
          <w:tcPr>
            <w:tcW w:w="2706" w:type="pct"/>
            <w:noWrap w:val="0"/>
            <w:vAlign w:val="center"/>
          </w:tcPr>
          <w:p>
            <w:pPr>
              <w:jc w:val="center"/>
              <w:rPr>
                <w:sz w:val="24"/>
              </w:rPr>
            </w:pPr>
            <w:r>
              <w:rPr>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pct"/>
            <w:noWrap w:val="0"/>
            <w:vAlign w:val="center"/>
          </w:tcPr>
          <w:p>
            <w:pPr>
              <w:jc w:val="center"/>
              <w:rPr>
                <w:rFonts w:hint="eastAsia" w:eastAsia="宋体"/>
                <w:bCs/>
                <w:sz w:val="24"/>
                <w:lang w:eastAsia="zh-CN"/>
              </w:rPr>
            </w:pPr>
            <w:r>
              <w:rPr>
                <w:rFonts w:hint="eastAsia"/>
                <w:bCs/>
                <w:sz w:val="24"/>
                <w:lang w:eastAsia="zh-CN"/>
              </w:rPr>
              <w:t>液化石油气政府应急储备服务</w:t>
            </w:r>
          </w:p>
        </w:tc>
        <w:tc>
          <w:tcPr>
            <w:tcW w:w="926" w:type="pct"/>
            <w:noWrap w:val="0"/>
            <w:vAlign w:val="center"/>
          </w:tcPr>
          <w:p>
            <w:pPr>
              <w:jc w:val="center"/>
              <w:rPr>
                <w:rFonts w:hint="eastAsia" w:eastAsia="宋体"/>
                <w:bCs/>
                <w:sz w:val="24"/>
                <w:lang w:eastAsia="zh-CN"/>
              </w:rPr>
            </w:pPr>
            <w:r>
              <w:rPr>
                <w:rFonts w:hint="eastAsia"/>
                <w:bCs/>
                <w:sz w:val="24"/>
                <w:lang w:eastAsia="zh-CN"/>
              </w:rPr>
              <w:t>4154.275</w:t>
            </w:r>
          </w:p>
        </w:tc>
        <w:tc>
          <w:tcPr>
            <w:tcW w:w="440" w:type="pct"/>
            <w:noWrap w:val="0"/>
            <w:vAlign w:val="center"/>
          </w:tcPr>
          <w:p>
            <w:pPr>
              <w:jc w:val="center"/>
              <w:rPr>
                <w:bCs/>
                <w:sz w:val="24"/>
              </w:rPr>
            </w:pPr>
            <w:r>
              <w:rPr>
                <w:rFonts w:hint="eastAsia"/>
                <w:bCs/>
                <w:sz w:val="24"/>
              </w:rPr>
              <w:t>1</w:t>
            </w:r>
          </w:p>
        </w:tc>
        <w:tc>
          <w:tcPr>
            <w:tcW w:w="2706" w:type="pct"/>
            <w:noWrap w:val="0"/>
            <w:vAlign w:val="center"/>
          </w:tcPr>
          <w:p>
            <w:pPr>
              <w:ind w:firstLine="480" w:firstLineChars="200"/>
              <w:jc w:val="left"/>
              <w:rPr>
                <w:bCs/>
                <w:sz w:val="24"/>
                <w:highlight w:val="yellow"/>
              </w:rPr>
            </w:pPr>
            <w:r>
              <w:rPr>
                <w:rFonts w:hint="eastAsia" w:ascii="Times New Roman" w:hAnsi="Times New Roman" w:eastAsia="宋体" w:cs="Times New Roman"/>
                <w:bCs/>
                <w:sz w:val="24"/>
                <w:lang w:eastAsia="zh-CN"/>
              </w:rPr>
              <w:t>在北京市实物储存5000吨液化石油气作为政府应急储备，当我市发生自然灾害、公共安全事件等突发事件时，保障本市城乡居民基本炊事用气以及医院、养老院、幼儿园、中小学校等重点用户应急用气。</w:t>
            </w:r>
          </w:p>
        </w:tc>
      </w:tr>
    </w:tbl>
    <w:p>
      <w:pPr>
        <w:spacing w:line="360" w:lineRule="auto"/>
        <w:ind w:firstLine="480" w:firstLineChars="200"/>
        <w:rPr>
          <w:sz w:val="24"/>
          <w:u w:val="single"/>
        </w:rPr>
      </w:pPr>
      <w:r>
        <w:rPr>
          <w:sz w:val="24"/>
        </w:rPr>
        <w:t>5.合同履行期限：</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月1日至202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w:t>
      </w:r>
      <w:r>
        <w:rPr>
          <w:rFonts w:hint="eastAsia"/>
          <w:sz w:val="24"/>
        </w:rPr>
        <w:t>。</w:t>
      </w:r>
    </w:p>
    <w:p>
      <w:pPr>
        <w:spacing w:line="360" w:lineRule="auto"/>
        <w:ind w:firstLine="480" w:firstLineChars="200"/>
        <w:rPr>
          <w:sz w:val="24"/>
        </w:rPr>
      </w:pPr>
      <w:r>
        <w:rPr>
          <w:sz w:val="24"/>
        </w:rPr>
        <w:t xml:space="preserve">6.本项目是否接受联合体：□是  </w:t>
      </w:r>
      <w:r>
        <w:rPr>
          <w:b/>
          <w:color w:val="000000"/>
          <w:sz w:val="24"/>
        </w:rPr>
        <w:t>■</w:t>
      </w:r>
      <w:r>
        <w:rPr>
          <w:sz w:val="24"/>
        </w:rPr>
        <w:t>否。</w:t>
      </w:r>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9" w:name="_Toc28359080"/>
      <w:bookmarkStart w:id="10" w:name="_Toc35393622"/>
      <w:bookmarkStart w:id="11" w:name="_Toc28359003"/>
      <w:bookmarkStart w:id="12" w:name="_Toc35393791"/>
      <w:r>
        <w:rPr>
          <w:rFonts w:ascii="Times New Roman" w:hAnsi="Times New Roman" w:eastAsia="宋体"/>
          <w:sz w:val="24"/>
          <w:szCs w:val="24"/>
        </w:rPr>
        <w:t>二、申请人的资格要求（须同时满足）</w:t>
      </w:r>
      <w:bookmarkEnd w:id="9"/>
      <w:bookmarkEnd w:id="10"/>
      <w:bookmarkEnd w:id="11"/>
      <w:bookmarkEnd w:id="12"/>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13" w:name="_Toc28359081"/>
      <w:bookmarkStart w:id="14" w:name="_Toc28359004"/>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82" w:firstLineChars="200"/>
        <w:rPr>
          <w:sz w:val="24"/>
        </w:rPr>
      </w:pPr>
      <w:r>
        <w:rPr>
          <w:rFonts w:ascii="宋体" w:hAnsi="宋体" w:eastAsia="宋体"/>
          <w:b/>
          <w:color w:val="000000"/>
          <w:sz w:val="24"/>
        </w:rPr>
        <w:t>■</w:t>
      </w:r>
      <w:r>
        <w:rPr>
          <w:sz w:val="24"/>
        </w:rPr>
        <w:t>本项目不专门面向中小企业预留采购份额。</w:t>
      </w:r>
    </w:p>
    <w:p>
      <w:pPr>
        <w:spacing w:line="360" w:lineRule="auto"/>
        <w:ind w:firstLine="480" w:firstLineChars="200"/>
        <w:rPr>
          <w:sz w:val="24"/>
        </w:rPr>
      </w:pPr>
      <w:r>
        <w:rPr>
          <w:rFonts w:hint="eastAsia"/>
          <w:sz w:val="24"/>
        </w:rPr>
        <w:t>□</w:t>
      </w:r>
      <w:r>
        <w:rPr>
          <w:sz w:val="24"/>
        </w:rPr>
        <w:t xml:space="preserve">本项目专门面向  </w:t>
      </w:r>
      <w:r>
        <w:rPr>
          <w:rFonts w:hint="eastAsia"/>
          <w:sz w:val="24"/>
        </w:rPr>
        <w:t>□</w:t>
      </w:r>
      <w:r>
        <w:rPr>
          <w:sz w:val="24"/>
        </w:rPr>
        <w:t xml:space="preserve">中小 </w:t>
      </w:r>
      <w:r>
        <w:rPr>
          <w:rFonts w:hint="eastAsia"/>
          <w:sz w:val="24"/>
          <w:lang w:eastAsia="zh-CN"/>
        </w:rPr>
        <w:t>□</w:t>
      </w:r>
      <w:r>
        <w:rPr>
          <w:sz w:val="24"/>
        </w:rPr>
        <w:t>小微企业  采购。即：提供的货物全部由符合政策要求的中小/小微企业制造、服务全部由符合政策要求的中小/小微企业承接。</w:t>
      </w:r>
    </w:p>
    <w:p>
      <w:pPr>
        <w:spacing w:line="360" w:lineRule="auto"/>
        <w:ind w:firstLine="480" w:firstLineChars="20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w:t>
      </w:r>
      <w:r>
        <w:rPr>
          <w:sz w:val="24"/>
        </w:rPr>
        <w:t>。</w:t>
      </w:r>
    </w:p>
    <w:p>
      <w:pPr>
        <w:spacing w:line="360" w:lineRule="auto"/>
        <w:ind w:firstLine="480" w:firstLineChars="200"/>
        <w:rPr>
          <w:sz w:val="24"/>
        </w:rPr>
      </w:pPr>
      <w:r>
        <w:rPr>
          <w:sz w:val="24"/>
        </w:rPr>
        <w:t>2.2 其它落实政府采购政策的资格要求（如有）：</w:t>
      </w:r>
      <w:r>
        <w:rPr>
          <w:sz w:val="24"/>
          <w:u w:val="single"/>
        </w:rPr>
        <w:t>无</w:t>
      </w:r>
      <w:r>
        <w:rPr>
          <w:sz w:val="24"/>
        </w:rPr>
        <w:t>。</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i/>
          <w:sz w:val="24"/>
          <w:highlight w:val="none"/>
        </w:rPr>
      </w:pPr>
      <w:r>
        <w:rPr>
          <w:sz w:val="24"/>
          <w:highlight w:val="none"/>
        </w:rPr>
        <w:t>3.1本项目是否接受分支机构参与：</w:t>
      </w:r>
      <w:r>
        <w:rPr>
          <w:rFonts w:hint="eastAsia"/>
          <w:sz w:val="24"/>
          <w:highlight w:val="none"/>
          <w:lang w:eastAsia="zh-CN"/>
        </w:rPr>
        <w:t>□</w:t>
      </w:r>
      <w:r>
        <w:rPr>
          <w:sz w:val="24"/>
          <w:highlight w:val="none"/>
        </w:rPr>
        <w:t xml:space="preserve">是   </w:t>
      </w:r>
      <w:r>
        <w:rPr>
          <w:rFonts w:hint="eastAsia"/>
          <w:sz w:val="24"/>
          <w:highlight w:val="none"/>
          <w:lang w:eastAsia="zh-CN"/>
        </w:rPr>
        <w:t>☑</w:t>
      </w:r>
      <w:r>
        <w:rPr>
          <w:sz w:val="24"/>
          <w:highlight w:val="none"/>
        </w:rPr>
        <w:t>否；</w:t>
      </w:r>
      <w:r>
        <w:rPr>
          <w:i/>
          <w:sz w:val="24"/>
          <w:highlight w:val="none"/>
        </w:rPr>
        <w:t xml:space="preserve"> </w:t>
      </w:r>
    </w:p>
    <w:p>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3.2本项目是否属于政府购买服务：</w:t>
      </w:r>
    </w:p>
    <w:p>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rPr>
        <w:t>□</w:t>
      </w:r>
      <w:r>
        <w:rPr>
          <w:sz w:val="24"/>
          <w:highlight w:val="none"/>
        </w:rPr>
        <w:t>否</w:t>
      </w:r>
    </w:p>
    <w:p>
      <w:pPr>
        <w:tabs>
          <w:tab w:val="left" w:pos="900"/>
          <w:tab w:val="left" w:pos="1134"/>
          <w:tab w:val="left" w:pos="1589"/>
          <w:tab w:val="left" w:pos="5521"/>
        </w:tabs>
        <w:snapToGrid w:val="0"/>
        <w:spacing w:line="360" w:lineRule="auto"/>
        <w:ind w:left="991" w:leftChars="472" w:firstLine="2"/>
        <w:rPr>
          <w:sz w:val="24"/>
        </w:rPr>
      </w:pPr>
      <w:r>
        <w:rPr>
          <w:rFonts w:ascii="宋体" w:hAnsi="宋体" w:eastAsia="宋体"/>
          <w:b/>
          <w:color w:val="000000"/>
          <w:sz w:val="24"/>
          <w:highlight w:val="none"/>
        </w:rPr>
        <w:t>■</w:t>
      </w:r>
      <w:r>
        <w:rPr>
          <w:sz w:val="24"/>
          <w:highlight w:val="none"/>
        </w:rPr>
        <w:t>是，公益一类事业单位、使用事业编制且由财政拨款保障的群团组织，不得</w:t>
      </w:r>
      <w:r>
        <w:rPr>
          <w:sz w:val="24"/>
        </w:rPr>
        <w:t>作为承接主体；</w:t>
      </w:r>
    </w:p>
    <w:p>
      <w:pPr>
        <w:tabs>
          <w:tab w:val="left" w:pos="900"/>
          <w:tab w:val="left" w:pos="1134"/>
          <w:tab w:val="left" w:pos="1589"/>
          <w:tab w:val="left" w:pos="5521"/>
        </w:tabs>
        <w:snapToGrid w:val="0"/>
        <w:spacing w:line="360" w:lineRule="auto"/>
        <w:ind w:firstLine="480" w:firstLineChars="200"/>
        <w:rPr>
          <w:sz w:val="24"/>
        </w:rPr>
      </w:pPr>
      <w:r>
        <w:rPr>
          <w:sz w:val="24"/>
        </w:rPr>
        <w:t>3.3 其他特定资格要求：</w:t>
      </w:r>
      <w:r>
        <w:rPr>
          <w:sz w:val="24"/>
          <w:u w:val="single"/>
        </w:rPr>
        <w:t>（1）具有燃气行政监督管理部门核发的合法有效的燃气经营许可证；（2）具有合法有效的气瓶充装许可证；（3）具有危险品道路运输经营许可证（或与具有相应资质的第三方危险货物道路运输企业签订的委托合同及危险品道路运输经营许可证）</w:t>
      </w:r>
      <w:r>
        <w:rPr>
          <w:sz w:val="24"/>
        </w:rPr>
        <w:t>。</w:t>
      </w:r>
    </w:p>
    <w:p>
      <w:pPr>
        <w:spacing w:line="360" w:lineRule="auto"/>
        <w:ind w:firstLine="480" w:firstLineChars="200"/>
        <w:rPr>
          <w:i/>
          <w:iCs/>
          <w:sz w:val="24"/>
          <w:u w:val="single"/>
        </w:rPr>
      </w:pPr>
    </w:p>
    <w:bookmarkEnd w:id="13"/>
    <w:bookmarkEnd w:id="14"/>
    <w:p>
      <w:pPr>
        <w:pStyle w:val="3"/>
        <w:widowControl/>
        <w:spacing w:before="0" w:line="360" w:lineRule="auto"/>
        <w:jc w:val="left"/>
        <w:rPr>
          <w:rFonts w:ascii="Times New Roman" w:hAnsi="Times New Roman" w:eastAsia="宋体"/>
          <w:sz w:val="24"/>
          <w:szCs w:val="24"/>
        </w:rPr>
      </w:pPr>
      <w:bookmarkStart w:id="15" w:name="_Toc35393623"/>
      <w:bookmarkStart w:id="16" w:name="_Toc35393792"/>
      <w:r>
        <w:rPr>
          <w:rFonts w:ascii="Times New Roman" w:hAnsi="Times New Roman" w:eastAsia="宋体"/>
          <w:sz w:val="24"/>
          <w:szCs w:val="24"/>
        </w:rPr>
        <w:t>三、获取采购文件</w:t>
      </w:r>
      <w:bookmarkEnd w:id="15"/>
      <w:bookmarkEnd w:id="16"/>
    </w:p>
    <w:p>
      <w:pPr>
        <w:adjustRightInd w:val="0"/>
        <w:snapToGrid w:val="0"/>
        <w:spacing w:line="360" w:lineRule="auto"/>
        <w:ind w:firstLine="480" w:firstLineChars="200"/>
        <w:rPr>
          <w:sz w:val="24"/>
          <w:lang w:bidi="ar"/>
        </w:rPr>
      </w:pPr>
      <w:r>
        <w:rPr>
          <w:sz w:val="24"/>
          <w:lang w:bidi="ar"/>
        </w:rPr>
        <w:t>1.获取时间：</w:t>
      </w:r>
      <w:r>
        <w:rPr>
          <w:rFonts w:hint="eastAsia"/>
          <w:sz w:val="24"/>
          <w:u w:val="single"/>
          <w:lang w:bidi="ar"/>
        </w:rPr>
        <w:t>2025</w:t>
      </w:r>
      <w:r>
        <w:rPr>
          <w:sz w:val="24"/>
          <w:lang w:bidi="ar"/>
        </w:rPr>
        <w:t>年</w:t>
      </w:r>
      <w:r>
        <w:rPr>
          <w:rFonts w:hint="eastAsia"/>
          <w:sz w:val="24"/>
          <w:u w:val="single"/>
          <w:lang w:val="en-US" w:eastAsia="zh-CN" w:bidi="ar"/>
        </w:rPr>
        <w:t>6</w:t>
      </w:r>
      <w:r>
        <w:rPr>
          <w:sz w:val="24"/>
          <w:lang w:bidi="ar"/>
        </w:rPr>
        <w:t>月</w:t>
      </w:r>
      <w:r>
        <w:rPr>
          <w:rFonts w:hint="eastAsia"/>
          <w:sz w:val="24"/>
          <w:u w:val="single"/>
          <w:lang w:bidi="ar"/>
        </w:rPr>
        <w:t xml:space="preserve"> </w:t>
      </w:r>
      <w:r>
        <w:rPr>
          <w:rFonts w:hint="eastAsia"/>
          <w:sz w:val="24"/>
          <w:u w:val="single"/>
          <w:lang w:val="en-US" w:eastAsia="zh-CN" w:bidi="ar"/>
        </w:rPr>
        <w:t>9</w:t>
      </w:r>
      <w:r>
        <w:rPr>
          <w:rFonts w:hint="eastAsia"/>
          <w:sz w:val="24"/>
          <w:u w:val="single"/>
          <w:lang w:bidi="ar"/>
        </w:rPr>
        <w:t xml:space="preserve"> </w:t>
      </w:r>
      <w:r>
        <w:rPr>
          <w:sz w:val="24"/>
          <w:lang w:bidi="ar"/>
        </w:rPr>
        <w:t>日，上午</w:t>
      </w:r>
      <w:r>
        <w:rPr>
          <w:rFonts w:hint="eastAsia"/>
          <w:sz w:val="24"/>
          <w:u w:val="single"/>
          <w:lang w:bidi="ar"/>
        </w:rPr>
        <w:t>9：00</w:t>
      </w:r>
      <w:r>
        <w:rPr>
          <w:sz w:val="24"/>
          <w:lang w:bidi="ar"/>
        </w:rPr>
        <w:t>至</w:t>
      </w:r>
      <w:r>
        <w:rPr>
          <w:rFonts w:hint="eastAsia"/>
          <w:sz w:val="24"/>
          <w:u w:val="single"/>
          <w:lang w:bidi="ar"/>
        </w:rPr>
        <w:t>11：30</w:t>
      </w:r>
      <w:r>
        <w:rPr>
          <w:sz w:val="24"/>
          <w:lang w:bidi="ar"/>
        </w:rPr>
        <w:t>，下午</w:t>
      </w:r>
      <w:r>
        <w:rPr>
          <w:rFonts w:hint="eastAsia"/>
          <w:sz w:val="24"/>
          <w:u w:val="single"/>
          <w:lang w:bidi="ar"/>
        </w:rPr>
        <w:t>13：00</w:t>
      </w:r>
      <w:r>
        <w:rPr>
          <w:sz w:val="24"/>
          <w:lang w:bidi="ar"/>
        </w:rPr>
        <w:t>至</w:t>
      </w:r>
      <w:r>
        <w:rPr>
          <w:rFonts w:hint="eastAsia"/>
          <w:sz w:val="24"/>
          <w:u w:val="single"/>
          <w:lang w:bidi="ar"/>
        </w:rPr>
        <w:t>17：00</w:t>
      </w:r>
      <w:r>
        <w:rPr>
          <w:sz w:val="24"/>
          <w:lang w:bidi="ar"/>
        </w:rPr>
        <w:t>（北京时间，法定节假日除外）。</w:t>
      </w:r>
    </w:p>
    <w:p>
      <w:pPr>
        <w:adjustRightInd w:val="0"/>
        <w:snapToGrid w:val="0"/>
        <w:spacing w:line="360" w:lineRule="auto"/>
        <w:ind w:firstLine="480" w:firstLineChars="200"/>
        <w:rPr>
          <w:rFonts w:ascii="宋体" w:hAnsi="宋体" w:eastAsia="宋体"/>
          <w:sz w:val="24"/>
        </w:rPr>
      </w:pPr>
      <w:r>
        <w:rPr>
          <w:rFonts w:ascii="宋体" w:hAnsi="宋体" w:eastAsia="宋体"/>
          <w:sz w:val="24"/>
          <w:lang w:bidi="ar"/>
        </w:rPr>
        <w:t>2.获取地点：</w:t>
      </w:r>
      <w:r>
        <w:rPr>
          <w:rFonts w:hint="eastAsia" w:ascii="宋体" w:hAnsi="宋体" w:eastAsia="宋体"/>
          <w:color w:val="000000"/>
          <w:sz w:val="24"/>
          <w:u w:val="single"/>
        </w:rPr>
        <w:t>北京市政府采购电子交易平台。</w:t>
      </w:r>
    </w:p>
    <w:p>
      <w:pPr>
        <w:widowControl/>
        <w:adjustRightInd w:val="0"/>
        <w:snapToGrid w:val="0"/>
        <w:spacing w:line="360" w:lineRule="auto"/>
        <w:ind w:firstLine="480" w:firstLineChars="200"/>
        <w:jc w:val="left"/>
        <w:rPr>
          <w:rFonts w:ascii="宋体" w:hAnsi="宋体" w:eastAsia="宋体"/>
          <w:color w:val="000000"/>
          <w:sz w:val="24"/>
        </w:rPr>
      </w:pPr>
      <w:r>
        <w:rPr>
          <w:rFonts w:ascii="宋体" w:hAnsi="宋体" w:eastAsia="宋体"/>
          <w:sz w:val="24"/>
          <w:lang w:bidi="ar"/>
        </w:rPr>
        <w:t>3.获取方式：</w:t>
      </w:r>
      <w:r>
        <w:rPr>
          <w:rFonts w:hint="eastAsia" w:ascii="宋体" w:hAnsi="宋体" w:eastAsia="宋体"/>
          <w:color w:val="000000"/>
          <w:sz w:val="24"/>
        </w:rPr>
        <w:t>供应商使用</w:t>
      </w:r>
      <w:r>
        <w:rPr>
          <w:rFonts w:ascii="宋体" w:hAnsi="宋体" w:eastAsia="宋体"/>
          <w:color w:val="000000"/>
          <w:sz w:val="24"/>
        </w:rPr>
        <w:t xml:space="preserve">CA </w:t>
      </w:r>
      <w:r>
        <w:rPr>
          <w:rFonts w:hint="eastAsia" w:ascii="宋体" w:hAnsi="宋体" w:eastAsia="宋体"/>
          <w:color w:val="000000"/>
          <w:sz w:val="24"/>
        </w:rPr>
        <w:t>数字证书或电子营业执照登录北京市政府采购电子交</w:t>
      </w:r>
    </w:p>
    <w:p>
      <w:pPr>
        <w:widowControl/>
        <w:adjustRightInd w:val="0"/>
        <w:snapToGrid w:val="0"/>
        <w:spacing w:line="360" w:lineRule="auto"/>
        <w:jc w:val="left"/>
        <w:rPr>
          <w:rFonts w:ascii="宋体" w:hAnsi="宋体" w:eastAsia="宋体"/>
          <w:color w:val="000000"/>
          <w:sz w:val="24"/>
        </w:rPr>
      </w:pPr>
      <w:r>
        <w:rPr>
          <w:rFonts w:hint="eastAsia" w:ascii="宋体" w:hAnsi="宋体" w:eastAsia="宋体"/>
          <w:color w:val="000000"/>
          <w:sz w:val="24"/>
        </w:rPr>
        <w:t>易平台（</w:t>
      </w:r>
      <w:r>
        <w:rPr>
          <w:rFonts w:ascii="宋体" w:hAnsi="宋体" w:eastAsia="宋体"/>
          <w:color w:val="000000"/>
          <w:sz w:val="24"/>
        </w:rPr>
        <w:t>http://zbcg-bjzc.zhongcy.com/bjczj-portal-site/index.html#/home</w:t>
      </w:r>
      <w:r>
        <w:rPr>
          <w:rFonts w:hint="eastAsia" w:ascii="宋体" w:hAnsi="宋体" w:eastAsia="宋体"/>
          <w:color w:val="000000"/>
          <w:sz w:val="24"/>
        </w:rPr>
        <w:t>）获取电子版采购文件。</w:t>
      </w:r>
    </w:p>
    <w:p>
      <w:pPr>
        <w:widowControl/>
        <w:adjustRightInd w:val="0"/>
        <w:snapToGrid w:val="0"/>
        <w:spacing w:line="360" w:lineRule="auto"/>
        <w:ind w:firstLine="480" w:firstLineChars="200"/>
        <w:jc w:val="left"/>
        <w:rPr>
          <w:sz w:val="24"/>
          <w:highlight w:val="yellow"/>
          <w:lang w:bidi="ar"/>
        </w:rPr>
      </w:pPr>
      <w:r>
        <w:rPr>
          <w:rFonts w:ascii="宋体" w:hAnsi="宋体" w:eastAsia="宋体"/>
          <w:sz w:val="24"/>
          <w:lang w:bidi="ar"/>
        </w:rPr>
        <w:t>4.采购文件售价：</w:t>
      </w:r>
      <w:r>
        <w:rPr>
          <w:rFonts w:hint="eastAsia" w:ascii="宋体" w:hAnsi="宋体" w:eastAsia="宋体"/>
          <w:sz w:val="24"/>
          <w:lang w:bidi="ar"/>
        </w:rPr>
        <w:t>0</w:t>
      </w:r>
      <w:r>
        <w:rPr>
          <w:rFonts w:ascii="宋体" w:hAnsi="宋体" w:eastAsia="宋体"/>
          <w:sz w:val="24"/>
          <w:lang w:bidi="ar"/>
        </w:rPr>
        <w:t>元。</w:t>
      </w:r>
    </w:p>
    <w:p>
      <w:pPr>
        <w:tabs>
          <w:tab w:val="left" w:pos="900"/>
          <w:tab w:val="left" w:pos="1980"/>
        </w:tabs>
        <w:snapToGrid w:val="0"/>
        <w:spacing w:line="360" w:lineRule="auto"/>
        <w:ind w:left="840"/>
        <w:rPr>
          <w:sz w:val="24"/>
        </w:rPr>
      </w:pPr>
    </w:p>
    <w:p>
      <w:pPr>
        <w:pStyle w:val="3"/>
        <w:widowControl/>
        <w:spacing w:before="0" w:line="360" w:lineRule="auto"/>
        <w:jc w:val="left"/>
        <w:rPr>
          <w:rFonts w:ascii="Times New Roman" w:hAnsi="Times New Roman" w:eastAsia="宋体"/>
          <w:sz w:val="24"/>
          <w:szCs w:val="24"/>
        </w:rPr>
      </w:pPr>
      <w:bookmarkStart w:id="17" w:name="_Toc35393793"/>
      <w:bookmarkStart w:id="18" w:name="_Toc35393624"/>
      <w:bookmarkStart w:id="19" w:name="_Toc28359082"/>
      <w:bookmarkStart w:id="20" w:name="_Toc28359005"/>
      <w:r>
        <w:rPr>
          <w:rFonts w:ascii="Times New Roman" w:hAnsi="Times New Roman" w:eastAsia="宋体"/>
          <w:sz w:val="24"/>
          <w:szCs w:val="24"/>
        </w:rPr>
        <w:t>四、</w:t>
      </w:r>
      <w:bookmarkEnd w:id="17"/>
      <w:bookmarkEnd w:id="18"/>
      <w:bookmarkEnd w:id="19"/>
      <w:bookmarkEnd w:id="20"/>
      <w:r>
        <w:rPr>
          <w:rFonts w:ascii="Times New Roman" w:hAnsi="Times New Roman" w:eastAsia="宋体"/>
          <w:sz w:val="24"/>
          <w:szCs w:val="24"/>
        </w:rPr>
        <w:t>响应文件提交</w:t>
      </w:r>
    </w:p>
    <w:p>
      <w:pPr>
        <w:spacing w:line="360" w:lineRule="auto"/>
        <w:ind w:firstLine="480" w:firstLineChars="200"/>
        <w:rPr>
          <w:bCs/>
          <w:sz w:val="24"/>
          <w:u w:val="single"/>
        </w:rPr>
      </w:pPr>
      <w:r>
        <w:rPr>
          <w:sz w:val="24"/>
          <w:lang w:bidi="ar"/>
        </w:rPr>
        <w:t>截止时间：</w:t>
      </w:r>
      <w:r>
        <w:rPr>
          <w:rFonts w:hint="eastAsia"/>
          <w:sz w:val="24"/>
          <w:u w:val="single"/>
          <w:lang w:bidi="ar"/>
        </w:rPr>
        <w:t>2025</w:t>
      </w:r>
      <w:r>
        <w:rPr>
          <w:sz w:val="24"/>
          <w:lang w:bidi="ar"/>
        </w:rPr>
        <w:t>年</w:t>
      </w:r>
      <w:r>
        <w:rPr>
          <w:rFonts w:hint="eastAsia"/>
          <w:sz w:val="24"/>
          <w:u w:val="single"/>
          <w:lang w:val="en-US" w:eastAsia="zh-CN" w:bidi="ar"/>
        </w:rPr>
        <w:t>6</w:t>
      </w:r>
      <w:r>
        <w:rPr>
          <w:sz w:val="24"/>
          <w:lang w:bidi="ar"/>
        </w:rPr>
        <w:t>月</w:t>
      </w:r>
      <w:r>
        <w:rPr>
          <w:rFonts w:hint="eastAsia"/>
          <w:sz w:val="24"/>
          <w:u w:val="single"/>
          <w:lang w:bidi="ar"/>
        </w:rPr>
        <w:t xml:space="preserve"> </w:t>
      </w:r>
      <w:r>
        <w:rPr>
          <w:rFonts w:hint="eastAsia"/>
          <w:sz w:val="24"/>
          <w:u w:val="single"/>
          <w:lang w:val="en-US" w:eastAsia="zh-CN" w:bidi="ar"/>
        </w:rPr>
        <w:t>12</w:t>
      </w:r>
      <w:r>
        <w:rPr>
          <w:rFonts w:hint="eastAsia"/>
          <w:sz w:val="24"/>
          <w:u w:val="single"/>
          <w:lang w:bidi="ar"/>
        </w:rPr>
        <w:t xml:space="preserve"> </w:t>
      </w:r>
      <w:r>
        <w:rPr>
          <w:sz w:val="24"/>
          <w:lang w:bidi="ar"/>
        </w:rPr>
        <w:t>日</w:t>
      </w:r>
      <w:r>
        <w:rPr>
          <w:rFonts w:hint="eastAsia"/>
          <w:sz w:val="24"/>
          <w:u w:val="single"/>
          <w:lang w:bidi="ar"/>
        </w:rPr>
        <w:t xml:space="preserve"> </w:t>
      </w:r>
      <w:r>
        <w:rPr>
          <w:rFonts w:hint="eastAsia"/>
          <w:sz w:val="24"/>
          <w:u w:val="single"/>
          <w:lang w:val="en-US" w:eastAsia="zh-CN" w:bidi="ar"/>
        </w:rPr>
        <w:t>09</w:t>
      </w:r>
      <w:r>
        <w:rPr>
          <w:rFonts w:hint="eastAsia"/>
          <w:sz w:val="24"/>
          <w:u w:val="single"/>
          <w:lang w:bidi="ar"/>
        </w:rPr>
        <w:t xml:space="preserve"> </w:t>
      </w:r>
      <w:r>
        <w:rPr>
          <w:sz w:val="24"/>
          <w:lang w:bidi="ar"/>
        </w:rPr>
        <w:t>点</w:t>
      </w:r>
      <w:r>
        <w:rPr>
          <w:rFonts w:hint="eastAsia"/>
          <w:sz w:val="24"/>
          <w:u w:val="single"/>
          <w:lang w:val="en-US" w:eastAsia="zh-CN" w:bidi="ar"/>
        </w:rPr>
        <w:t>3</w:t>
      </w:r>
      <w:r>
        <w:rPr>
          <w:rFonts w:hint="eastAsia"/>
          <w:sz w:val="24"/>
          <w:u w:val="single"/>
          <w:lang w:bidi="ar"/>
        </w:rPr>
        <w:t>0</w:t>
      </w:r>
      <w:r>
        <w:rPr>
          <w:sz w:val="24"/>
          <w:lang w:bidi="ar"/>
        </w:rPr>
        <w:t>分</w:t>
      </w:r>
      <w:r>
        <w:rPr>
          <w:bCs/>
          <w:sz w:val="24"/>
          <w:lang w:bidi="ar"/>
        </w:rPr>
        <w:t>（北京时间）</w:t>
      </w:r>
      <w:r>
        <w:rPr>
          <w:iCs/>
          <w:sz w:val="24"/>
          <w:lang w:bidi="ar"/>
        </w:rPr>
        <w:t>。</w:t>
      </w:r>
    </w:p>
    <w:p>
      <w:pPr>
        <w:spacing w:line="360" w:lineRule="auto"/>
        <w:ind w:firstLine="480" w:firstLineChars="200"/>
        <w:rPr>
          <w:sz w:val="24"/>
          <w:lang w:val="zh-TW" w:bidi="ar"/>
        </w:rPr>
      </w:pPr>
      <w:r>
        <w:rPr>
          <w:sz w:val="24"/>
          <w:lang w:bidi="ar"/>
        </w:rPr>
        <w:t>地点：</w:t>
      </w:r>
      <w:r>
        <w:rPr>
          <w:rFonts w:hint="eastAsia" w:ascii="宋体" w:hAnsi="宋体" w:cs="宋体"/>
          <w:sz w:val="24"/>
          <w:lang w:eastAsia="zh-CN"/>
        </w:rPr>
        <w:t>北京市东城区崇文门外大街90号</w:t>
      </w:r>
      <w:r>
        <w:rPr>
          <w:rFonts w:hint="eastAsia" w:ascii="宋体" w:hAnsi="宋体" w:cs="宋体"/>
          <w:sz w:val="24"/>
          <w:lang w:val="en-US" w:eastAsia="zh-CN"/>
        </w:rPr>
        <w:t>315</w:t>
      </w:r>
      <w:r>
        <w:rPr>
          <w:rFonts w:hint="eastAsia" w:ascii="宋体" w:hAnsi="宋体" w:cs="宋体"/>
          <w:sz w:val="24"/>
          <w:lang w:eastAsia="zh-CN"/>
        </w:rPr>
        <w:t>会议室</w:t>
      </w:r>
      <w:r>
        <w:rPr>
          <w:sz w:val="24"/>
        </w:rPr>
        <w:t>。</w:t>
      </w:r>
    </w:p>
    <w:p>
      <w:pPr>
        <w:spacing w:line="360" w:lineRule="auto"/>
        <w:ind w:firstLine="480" w:firstLineChars="200"/>
        <w:rPr>
          <w:sz w:val="24"/>
          <w:lang w:val="zh-TW" w:bidi="ar"/>
        </w:rPr>
      </w:pPr>
    </w:p>
    <w:p>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五、其他补充事宜</w:t>
      </w:r>
      <w:bookmarkEnd w:id="21"/>
      <w:bookmarkEnd w:id="22"/>
    </w:p>
    <w:p>
      <w:pPr>
        <w:spacing w:line="360" w:lineRule="auto"/>
        <w:ind w:firstLine="480" w:firstLineChars="200"/>
        <w:jc w:val="left"/>
        <w:rPr>
          <w:rFonts w:ascii="宋体" w:hAnsi="宋体" w:eastAsia="宋体"/>
          <w:sz w:val="24"/>
        </w:rPr>
      </w:pPr>
      <w:r>
        <w:rPr>
          <w:rFonts w:ascii="宋体" w:hAnsi="宋体" w:eastAsia="宋体"/>
          <w:sz w:val="24"/>
        </w:rPr>
        <w:t>1.本项目需要落实的政府采购政策：</w:t>
      </w:r>
    </w:p>
    <w:p>
      <w:pPr>
        <w:spacing w:line="360" w:lineRule="auto"/>
        <w:ind w:firstLine="480" w:firstLineChars="200"/>
        <w:jc w:val="left"/>
        <w:rPr>
          <w:rFonts w:ascii="宋体" w:hAnsi="宋体" w:eastAsia="宋体"/>
          <w:sz w:val="24"/>
        </w:rPr>
      </w:pPr>
      <w:r>
        <w:rPr>
          <w:rFonts w:hint="eastAsia" w:ascii="宋体" w:hAnsi="宋体" w:eastAsia="宋体"/>
          <w:sz w:val="24"/>
        </w:rPr>
        <w:t>（1）执行</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eastAsia="宋体"/>
          <w:sz w:val="24"/>
        </w:rPr>
        <w:t>关于印发节能产品政府采购品目清单的通知（财库〔2019〕19号）</w:t>
      </w:r>
      <w:r>
        <w:rPr>
          <w:rFonts w:hint="eastAsia" w:ascii="宋体" w:hAnsi="宋体" w:eastAsia="宋体"/>
          <w:sz w:val="24"/>
        </w:rPr>
        <w:fldChar w:fldCharType="end"/>
      </w:r>
      <w:r>
        <w:rPr>
          <w:rFonts w:hint="eastAsia" w:ascii="宋体" w:hAnsi="宋体" w:eastAsia="宋体"/>
          <w:sz w:val="24"/>
        </w:rPr>
        <w:t>；</w:t>
      </w:r>
    </w:p>
    <w:p>
      <w:pPr>
        <w:spacing w:line="360" w:lineRule="auto"/>
        <w:ind w:firstLine="480" w:firstLineChars="200"/>
        <w:jc w:val="left"/>
        <w:rPr>
          <w:rFonts w:ascii="宋体" w:hAnsi="宋体" w:eastAsia="宋体"/>
          <w:sz w:val="24"/>
        </w:rPr>
      </w:pPr>
      <w:r>
        <w:rPr>
          <w:rFonts w:hint="eastAsia" w:ascii="宋体" w:hAnsi="宋体" w:eastAsia="宋体"/>
          <w:sz w:val="24"/>
        </w:rPr>
        <w:t>（2）执行关于印发环境标志产品政府采购品目清单的通知（财库〔2019〕18号）；</w:t>
      </w:r>
    </w:p>
    <w:p>
      <w:pPr>
        <w:spacing w:line="360" w:lineRule="auto"/>
        <w:ind w:firstLine="480" w:firstLineChars="200"/>
        <w:jc w:val="left"/>
        <w:rPr>
          <w:rFonts w:ascii="宋体" w:hAnsi="宋体" w:eastAsia="宋体"/>
          <w:sz w:val="24"/>
        </w:rPr>
      </w:pPr>
      <w:r>
        <w:rPr>
          <w:rFonts w:hint="eastAsia" w:ascii="宋体" w:hAnsi="宋体" w:eastAsia="宋体"/>
          <w:sz w:val="24"/>
        </w:rPr>
        <w:t>（3）执行关于印发《政府采购促进中小企业发展管理办法》（财库[2020]46号；</w:t>
      </w:r>
    </w:p>
    <w:p>
      <w:pPr>
        <w:spacing w:line="360" w:lineRule="auto"/>
        <w:ind w:firstLine="480" w:firstLineChars="200"/>
        <w:jc w:val="left"/>
        <w:rPr>
          <w:rFonts w:ascii="宋体" w:hAnsi="宋体" w:eastAsia="宋体"/>
          <w:sz w:val="24"/>
        </w:rPr>
      </w:pPr>
      <w:r>
        <w:rPr>
          <w:rFonts w:hint="eastAsia" w:ascii="宋体" w:hAnsi="宋体" w:eastAsia="宋体"/>
          <w:sz w:val="24"/>
        </w:rPr>
        <w:t>（4）执行《财政部、司法部关于政府采购支持监狱企业发展有关问题的通知》（财库[2014]68号）；</w:t>
      </w:r>
    </w:p>
    <w:p>
      <w:pPr>
        <w:spacing w:line="360" w:lineRule="auto"/>
        <w:ind w:firstLine="480" w:firstLineChars="200"/>
        <w:jc w:val="left"/>
        <w:rPr>
          <w:rFonts w:ascii="宋体" w:hAnsi="宋体" w:eastAsia="宋体"/>
          <w:sz w:val="24"/>
        </w:rPr>
      </w:pPr>
      <w:r>
        <w:rPr>
          <w:rFonts w:hint="eastAsia" w:ascii="宋体" w:hAnsi="宋体" w:eastAsia="宋体"/>
          <w:sz w:val="24"/>
        </w:rPr>
        <w:t>（5）执行《关于促进残疾人就业政府采购政策的通知》（财库〔2017〕141号）；</w:t>
      </w:r>
    </w:p>
    <w:p>
      <w:pPr>
        <w:spacing w:line="360" w:lineRule="auto"/>
        <w:ind w:firstLine="480" w:firstLineChars="200"/>
        <w:jc w:val="left"/>
        <w:rPr>
          <w:rFonts w:ascii="宋体" w:hAnsi="宋体" w:eastAsia="宋体"/>
          <w:sz w:val="24"/>
        </w:rPr>
      </w:pPr>
      <w:r>
        <w:rPr>
          <w:rFonts w:hint="eastAsia" w:ascii="宋体" w:hAnsi="宋体" w:eastAsia="宋体"/>
          <w:sz w:val="24"/>
        </w:rPr>
        <w:t>（6）执行《财政部关于在政府采购活动中查询及使用信用记录有关问题的通知》（财库[2016]125号）；</w:t>
      </w:r>
    </w:p>
    <w:p>
      <w:pPr>
        <w:spacing w:line="360" w:lineRule="auto"/>
        <w:ind w:firstLine="480" w:firstLineChars="200"/>
        <w:jc w:val="left"/>
        <w:rPr>
          <w:rFonts w:ascii="宋体" w:hAnsi="宋体" w:eastAsia="宋体"/>
          <w:sz w:val="24"/>
        </w:rPr>
      </w:pPr>
      <w:r>
        <w:rPr>
          <w:rFonts w:hint="eastAsia" w:ascii="宋体" w:hAnsi="宋体" w:eastAsia="宋体"/>
          <w:sz w:val="24"/>
        </w:rPr>
        <w:t>（7）</w:t>
      </w:r>
      <w:r>
        <w:rPr>
          <w:rFonts w:ascii="宋体" w:hAnsi="宋体" w:eastAsia="宋体"/>
          <w:sz w:val="24"/>
        </w:rPr>
        <w:t>关于进一步加大政府采购支持中小企业力度的通知</w:t>
      </w:r>
      <w:r>
        <w:rPr>
          <w:rFonts w:hint="eastAsia" w:ascii="宋体" w:hAnsi="宋体" w:eastAsia="宋体"/>
          <w:sz w:val="24"/>
        </w:rPr>
        <w:t>（财库〔2022〕19号）。</w:t>
      </w:r>
    </w:p>
    <w:p>
      <w:pPr>
        <w:spacing w:line="360" w:lineRule="auto"/>
        <w:ind w:firstLine="480" w:firstLineChars="200"/>
        <w:rPr>
          <w:rFonts w:hint="eastAsia" w:ascii="宋体" w:hAnsi="宋体" w:eastAsia="宋体" w:cs="宋体"/>
          <w:sz w:val="24"/>
        </w:rPr>
      </w:pPr>
      <w:r>
        <w:rPr>
          <w:rFonts w:hint="eastAsia" w:ascii="宋体" w:hAnsi="宋体" w:eastAsia="宋体"/>
          <w:sz w:val="24"/>
          <w:lang w:bidi="ar"/>
        </w:rPr>
        <w:t>2.</w:t>
      </w:r>
      <w:r>
        <w:rPr>
          <w:rFonts w:hint="eastAsia" w:ascii="宋体" w:hAnsi="宋体" w:eastAsia="宋体" w:cs="宋体"/>
          <w:sz w:val="24"/>
        </w:rPr>
        <w:t xml:space="preserve"> 本项目采用“线上线下相结合”采购方式，请供应商认真学习北京市政府采购电子交易平台发布的相关操作手册（供应商可在交易平台下载相关手册），办理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CA 数字证书服务热线 010-58511086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电子营业执照服务热线 400-699-7000</w:t>
      </w:r>
    </w:p>
    <w:p>
      <w:pPr>
        <w:spacing w:line="360" w:lineRule="auto"/>
        <w:ind w:firstLine="480" w:firstLineChars="200"/>
        <w:rPr>
          <w:rFonts w:ascii="宋体" w:hAnsi="宋体" w:eastAsia="宋体"/>
          <w:sz w:val="24"/>
          <w:lang w:bidi="ar"/>
        </w:rPr>
      </w:pPr>
      <w:r>
        <w:rPr>
          <w:rFonts w:hint="eastAsia" w:ascii="宋体" w:hAnsi="宋体" w:eastAsia="宋体" w:cs="宋体"/>
          <w:sz w:val="24"/>
        </w:rPr>
        <w:t>技术支持服务热线010-86483801</w:t>
      </w:r>
      <w:bookmarkStart w:id="791" w:name="_GoBack"/>
      <w:bookmarkEnd w:id="791"/>
    </w:p>
    <w:p>
      <w:pPr>
        <w:spacing w:line="360" w:lineRule="auto"/>
        <w:ind w:firstLine="480" w:firstLineChars="200"/>
        <w:rPr>
          <w:rFonts w:ascii="宋体" w:hAnsi="宋体" w:eastAsia="宋体"/>
          <w:sz w:val="24"/>
          <w:lang w:bidi="ar"/>
        </w:rPr>
      </w:pPr>
      <w:r>
        <w:rPr>
          <w:rFonts w:hint="eastAsia" w:ascii="宋体" w:hAnsi="宋体" w:eastAsia="宋体"/>
          <w:sz w:val="24"/>
          <w:lang w:bidi="ar"/>
        </w:rPr>
        <w:t>2.1办理CA数字证书或电子营业执照</w:t>
      </w:r>
    </w:p>
    <w:p>
      <w:pPr>
        <w:spacing w:line="360" w:lineRule="auto"/>
        <w:ind w:firstLine="480" w:firstLineChars="200"/>
        <w:rPr>
          <w:rFonts w:ascii="宋体" w:hAnsi="宋体" w:eastAsia="宋体"/>
          <w:sz w:val="24"/>
          <w:lang w:bidi="ar"/>
        </w:rPr>
      </w:pPr>
      <w:r>
        <w:rPr>
          <w:rFonts w:ascii="宋体" w:hAnsi="宋体" w:eastAsia="宋体"/>
          <w:sz w:val="24"/>
          <w:lang w:bidi="ar"/>
        </w:rPr>
        <w:t>供应商登录北京市政府采购电子交易平台查阅 “用户指南”—“操作指南”—“市场主体CA办理操作流程指引”</w:t>
      </w:r>
      <w:r>
        <w:rPr>
          <w:rFonts w:hint="eastAsia" w:ascii="宋体" w:hAnsi="宋体" w:eastAsia="宋体"/>
          <w:sz w:val="24"/>
          <w:lang w:bidi="ar"/>
        </w:rPr>
        <w:t>/“电子营业执照使用指南”</w:t>
      </w:r>
      <w:r>
        <w:rPr>
          <w:rFonts w:ascii="宋体" w:hAnsi="宋体" w:eastAsia="宋体"/>
          <w:sz w:val="24"/>
          <w:lang w:bidi="ar"/>
        </w:rPr>
        <w:t>，按照程序要求办理。</w:t>
      </w:r>
    </w:p>
    <w:p>
      <w:pPr>
        <w:spacing w:line="360" w:lineRule="auto"/>
        <w:ind w:firstLine="480" w:firstLineChars="200"/>
        <w:rPr>
          <w:rFonts w:ascii="宋体" w:hAnsi="宋体" w:eastAsia="宋体"/>
          <w:sz w:val="24"/>
          <w:lang w:bidi="ar"/>
        </w:rPr>
      </w:pPr>
      <w:r>
        <w:rPr>
          <w:rFonts w:hint="eastAsia" w:ascii="宋体" w:hAnsi="宋体" w:eastAsia="宋体"/>
          <w:sz w:val="24"/>
          <w:lang w:bidi="ar"/>
        </w:rPr>
        <w:t>2.2</w:t>
      </w:r>
      <w:r>
        <w:rPr>
          <w:rFonts w:ascii="宋体" w:hAnsi="宋体" w:eastAsia="宋体"/>
          <w:sz w:val="24"/>
          <w:lang w:bidi="ar"/>
        </w:rPr>
        <w:t>注册</w:t>
      </w:r>
    </w:p>
    <w:p>
      <w:pPr>
        <w:spacing w:line="360" w:lineRule="auto"/>
        <w:ind w:firstLine="480" w:firstLineChars="200"/>
        <w:rPr>
          <w:rFonts w:ascii="宋体" w:hAnsi="宋体" w:eastAsia="宋体"/>
          <w:sz w:val="24"/>
          <w:lang w:bidi="ar"/>
        </w:rPr>
      </w:pPr>
      <w:r>
        <w:rPr>
          <w:rFonts w:ascii="宋体" w:hAnsi="宋体" w:eastAsia="宋体"/>
          <w:sz w:val="24"/>
          <w:lang w:bidi="ar"/>
        </w:rPr>
        <w:t>供应商登录北京市政府采购电子交易平台“用户指南”—“操作指南”—“市场主体注册入库操作流程指引”进行自助注册绑定。</w:t>
      </w:r>
    </w:p>
    <w:p>
      <w:pPr>
        <w:spacing w:line="360" w:lineRule="auto"/>
        <w:ind w:firstLine="480" w:firstLineChars="200"/>
        <w:rPr>
          <w:rFonts w:ascii="宋体" w:hAnsi="宋体" w:eastAsia="宋体"/>
          <w:sz w:val="24"/>
          <w:lang w:bidi="ar"/>
        </w:rPr>
      </w:pPr>
      <w:r>
        <w:rPr>
          <w:rFonts w:hint="eastAsia" w:ascii="宋体" w:hAnsi="宋体" w:eastAsia="宋体"/>
          <w:sz w:val="24"/>
          <w:lang w:bidi="ar"/>
        </w:rPr>
        <w:t>2.3驱动、客户端下载</w:t>
      </w:r>
    </w:p>
    <w:p>
      <w:pPr>
        <w:spacing w:line="360" w:lineRule="auto"/>
        <w:ind w:firstLine="480" w:firstLineChars="200"/>
        <w:rPr>
          <w:rFonts w:ascii="宋体" w:hAnsi="宋体" w:eastAsia="宋体"/>
          <w:sz w:val="24"/>
          <w:lang w:bidi="ar"/>
        </w:rPr>
      </w:pPr>
      <w:r>
        <w:rPr>
          <w:rFonts w:ascii="宋体" w:hAnsi="宋体" w:eastAsia="宋体"/>
          <w:sz w:val="24"/>
          <w:lang w:bidi="ar"/>
        </w:rPr>
        <w:t>供应商登录北京市政府采购电子交易平台“用户指南”—“工具下载”—“招标采购系统文件驱动安装包”下载相关驱动。</w:t>
      </w:r>
    </w:p>
    <w:p>
      <w:pPr>
        <w:spacing w:line="360" w:lineRule="auto"/>
        <w:ind w:firstLine="480" w:firstLineChars="200"/>
        <w:rPr>
          <w:rFonts w:ascii="宋体" w:hAnsi="宋体" w:eastAsia="宋体"/>
          <w:sz w:val="24"/>
          <w:lang w:bidi="ar"/>
        </w:rPr>
      </w:pPr>
      <w:r>
        <w:rPr>
          <w:rFonts w:ascii="宋体" w:hAnsi="宋体" w:eastAsia="宋体"/>
          <w:sz w:val="24"/>
          <w:lang w:bidi="ar"/>
        </w:rPr>
        <w:t>供应商登录北京市政府采购电子交易平台“用户指南”—“工具下载”—“响应文件编制工具”下载相关客户端。</w:t>
      </w:r>
    </w:p>
    <w:p>
      <w:pPr>
        <w:spacing w:line="360" w:lineRule="auto"/>
        <w:ind w:firstLine="480" w:firstLineChars="200"/>
        <w:rPr>
          <w:rFonts w:ascii="宋体" w:hAnsi="宋体" w:eastAsia="宋体"/>
          <w:sz w:val="24"/>
          <w:lang w:bidi="ar"/>
        </w:rPr>
      </w:pPr>
      <w:r>
        <w:rPr>
          <w:rFonts w:hint="eastAsia" w:ascii="宋体" w:hAnsi="宋体" w:eastAsia="宋体"/>
          <w:sz w:val="24"/>
          <w:lang w:bidi="ar"/>
        </w:rPr>
        <w:t>2</w:t>
      </w:r>
      <w:r>
        <w:rPr>
          <w:rFonts w:ascii="宋体" w:hAnsi="宋体" w:eastAsia="宋体"/>
          <w:sz w:val="24"/>
          <w:lang w:bidi="ar"/>
        </w:rPr>
        <w:t>.4获取电子单一来源采购文件</w:t>
      </w:r>
    </w:p>
    <w:p>
      <w:pPr>
        <w:spacing w:line="360" w:lineRule="auto"/>
        <w:ind w:firstLine="480" w:firstLineChars="200"/>
        <w:rPr>
          <w:rFonts w:ascii="宋体" w:hAnsi="宋体" w:eastAsia="宋体"/>
          <w:sz w:val="24"/>
          <w:lang w:bidi="ar"/>
        </w:rPr>
      </w:pPr>
      <w:r>
        <w:rPr>
          <w:rFonts w:ascii="宋体" w:hAnsi="宋体" w:eastAsia="宋体"/>
          <w:sz w:val="24"/>
          <w:lang w:bidi="ar"/>
        </w:rPr>
        <w:t>供应商持CA数字证书或电子营业执照登录北京市政府采购电子交易平台获取电子单一来源采购文件。</w:t>
      </w:r>
    </w:p>
    <w:p>
      <w:pPr>
        <w:spacing w:line="360" w:lineRule="auto"/>
        <w:ind w:firstLine="480" w:firstLineChars="200"/>
        <w:jc w:val="left"/>
        <w:rPr>
          <w:sz w:val="24"/>
        </w:rPr>
      </w:pPr>
      <w:r>
        <w:rPr>
          <w:rFonts w:hint="eastAsia" w:ascii="宋体" w:hAnsi="宋体" w:eastAsia="宋体"/>
          <w:sz w:val="24"/>
          <w:lang w:bidi="ar"/>
        </w:rPr>
        <w:t>供应商如计划参与多个采购包的投标，应在登录北京市政府采购电子交易平台后，在【我的项目】栏目依次选择对应采购包，进入项目工作台招标/采购文件环节分别按采购包下载单一来源采购文件电子版。</w:t>
      </w:r>
      <w:r>
        <w:rPr>
          <w:rFonts w:ascii="宋体" w:hAnsi="宋体" w:eastAsia="宋体"/>
          <w:sz w:val="24"/>
          <w:lang w:bidi="ar"/>
        </w:rPr>
        <w:t>未在规定期限内按上述操作获取文件</w:t>
      </w:r>
      <w:r>
        <w:rPr>
          <w:rFonts w:hint="eastAsia" w:ascii="宋体" w:hAnsi="宋体" w:eastAsia="宋体"/>
          <w:sz w:val="24"/>
          <w:lang w:bidi="ar"/>
        </w:rPr>
        <w:t xml:space="preserve"> </w:t>
      </w:r>
      <w:r>
        <w:rPr>
          <w:rFonts w:ascii="宋体" w:hAnsi="宋体" w:eastAsia="宋体"/>
          <w:sz w:val="24"/>
          <w:lang w:bidi="ar"/>
        </w:rPr>
        <w:t>的采购包</w:t>
      </w:r>
      <w:r>
        <w:rPr>
          <w:rFonts w:hint="eastAsia" w:ascii="宋体" w:hAnsi="宋体" w:eastAsia="宋体"/>
          <w:sz w:val="24"/>
          <w:lang w:bidi="ar"/>
        </w:rPr>
        <w:t>，</w:t>
      </w:r>
      <w:r>
        <w:rPr>
          <w:rFonts w:ascii="宋体" w:hAnsi="宋体" w:eastAsia="宋体"/>
          <w:b/>
          <w:sz w:val="24"/>
          <w:lang w:bidi="ar"/>
        </w:rPr>
        <w:t>投标无效</w:t>
      </w:r>
      <w:r>
        <w:rPr>
          <w:rFonts w:ascii="宋体" w:hAnsi="宋体" w:eastAsia="宋体"/>
          <w:sz w:val="24"/>
          <w:lang w:bidi="ar"/>
        </w:rPr>
        <w:t>。</w:t>
      </w:r>
    </w:p>
    <w:p>
      <w:pPr>
        <w:spacing w:line="360" w:lineRule="auto"/>
        <w:ind w:firstLine="480" w:firstLineChars="200"/>
        <w:rPr>
          <w:sz w:val="24"/>
          <w:lang w:bidi="ar"/>
        </w:rPr>
      </w:pPr>
    </w:p>
    <w:p>
      <w:pPr>
        <w:pStyle w:val="3"/>
        <w:spacing w:before="0" w:line="360" w:lineRule="auto"/>
        <w:jc w:val="left"/>
        <w:rPr>
          <w:rFonts w:ascii="Times New Roman" w:hAnsi="Times New Roman" w:eastAsia="宋体"/>
          <w:sz w:val="24"/>
          <w:szCs w:val="24"/>
        </w:rPr>
      </w:pPr>
      <w:bookmarkStart w:id="23" w:name="_Toc28359008"/>
      <w:bookmarkStart w:id="24" w:name="_Toc28359085"/>
      <w:bookmarkStart w:id="25" w:name="_Toc35393796"/>
      <w:bookmarkStart w:id="26" w:name="_Toc35393627"/>
      <w:r>
        <w:rPr>
          <w:rFonts w:hint="eastAsia" w:ascii="Times New Roman" w:hAnsi="Times New Roman" w:eastAsia="宋体"/>
          <w:sz w:val="24"/>
          <w:szCs w:val="24"/>
        </w:rPr>
        <w:t>六</w:t>
      </w:r>
      <w:r>
        <w:rPr>
          <w:rFonts w:ascii="Times New Roman" w:hAnsi="Times New Roman" w:eastAsia="宋体"/>
          <w:sz w:val="24"/>
          <w:szCs w:val="24"/>
        </w:rPr>
        <w:t>、对本次采购提出询问，请按以下方式联系。</w:t>
      </w:r>
      <w:bookmarkEnd w:id="23"/>
      <w:bookmarkEnd w:id="24"/>
      <w:bookmarkEnd w:id="25"/>
      <w:bookmarkEnd w:id="26"/>
    </w:p>
    <w:p>
      <w:pPr>
        <w:widowControl/>
        <w:spacing w:line="360" w:lineRule="auto"/>
        <w:jc w:val="left"/>
        <w:rPr>
          <w:b/>
          <w:sz w:val="24"/>
        </w:rPr>
      </w:pPr>
      <w:r>
        <w:rPr>
          <w:sz w:val="24"/>
        </w:rPr>
        <w:t>　　　</w:t>
      </w:r>
      <w:r>
        <w:rPr>
          <w:b/>
          <w:sz w:val="24"/>
        </w:rPr>
        <w:t>1.采购人信息</w:t>
      </w:r>
    </w:p>
    <w:p>
      <w:pPr>
        <w:spacing w:line="360" w:lineRule="auto"/>
        <w:ind w:left="1079" w:leftChars="371" w:hanging="300" w:hangingChars="125"/>
        <w:jc w:val="left"/>
        <w:rPr>
          <w:rFonts w:hint="eastAsia" w:eastAsia="宋体"/>
          <w:sz w:val="24"/>
          <w:lang w:eastAsia="zh-CN"/>
        </w:rPr>
      </w:pPr>
      <w:bookmarkStart w:id="27" w:name="_Toc28359009"/>
      <w:bookmarkStart w:id="28" w:name="_Toc28359086"/>
      <w:r>
        <w:rPr>
          <w:sz w:val="24"/>
        </w:rPr>
        <w:t>名    称：</w:t>
      </w:r>
      <w:r>
        <w:rPr>
          <w:rFonts w:hint="eastAsia"/>
          <w:sz w:val="24"/>
          <w:u w:val="single"/>
          <w:lang w:eastAsia="zh-CN"/>
        </w:rPr>
        <w:t>北京市城市管理委员会</w:t>
      </w:r>
    </w:p>
    <w:p>
      <w:pPr>
        <w:spacing w:line="360" w:lineRule="auto"/>
        <w:ind w:left="1079" w:leftChars="371" w:hanging="300" w:hangingChars="125"/>
        <w:jc w:val="left"/>
        <w:rPr>
          <w:rFonts w:hint="eastAsia" w:eastAsia="宋体"/>
          <w:sz w:val="24"/>
          <w:lang w:eastAsia="zh-CN"/>
        </w:rPr>
      </w:pPr>
      <w:r>
        <w:rPr>
          <w:sz w:val="24"/>
        </w:rPr>
        <w:t>地    址：</w:t>
      </w:r>
      <w:r>
        <w:rPr>
          <w:rFonts w:hint="eastAsia"/>
          <w:color w:val="000000"/>
          <w:sz w:val="24"/>
          <w:u w:val="single"/>
        </w:rPr>
        <w:t>北京市西城区</w:t>
      </w:r>
      <w:r>
        <w:rPr>
          <w:rFonts w:hint="eastAsia"/>
          <w:color w:val="000000"/>
          <w:sz w:val="24"/>
          <w:u w:val="single"/>
          <w:lang w:eastAsia="zh-CN"/>
        </w:rPr>
        <w:t>三里河北街甲</w:t>
      </w:r>
      <w:r>
        <w:rPr>
          <w:rFonts w:hint="eastAsia"/>
          <w:color w:val="000000"/>
          <w:sz w:val="24"/>
          <w:u w:val="single"/>
          <w:lang w:val="en-US" w:eastAsia="zh-CN"/>
        </w:rPr>
        <w:t>3号</w:t>
      </w:r>
    </w:p>
    <w:p>
      <w:pPr>
        <w:spacing w:line="360" w:lineRule="auto"/>
        <w:ind w:left="1079" w:leftChars="371" w:hanging="300" w:hangingChars="125"/>
        <w:jc w:val="left"/>
        <w:rPr>
          <w:sz w:val="24"/>
          <w:u w:val="single"/>
        </w:rPr>
      </w:pPr>
      <w:r>
        <w:rPr>
          <w:sz w:val="24"/>
        </w:rPr>
        <w:t>联系方式：</w:t>
      </w:r>
      <w:r>
        <w:rPr>
          <w:rFonts w:hint="eastAsia"/>
          <w:sz w:val="24"/>
          <w:u w:val="single"/>
          <w:lang w:val="en-US" w:eastAsia="zh-CN"/>
        </w:rPr>
        <w:t>马</w:t>
      </w:r>
      <w:r>
        <w:rPr>
          <w:rFonts w:hint="eastAsia"/>
          <w:sz w:val="24"/>
          <w:u w:val="single"/>
        </w:rPr>
        <w:t>老师</w:t>
      </w:r>
      <w:r>
        <w:rPr>
          <w:sz w:val="24"/>
          <w:u w:val="single"/>
        </w:rPr>
        <w:t>，</w:t>
      </w:r>
      <w:r>
        <w:rPr>
          <w:rFonts w:hint="eastAsia"/>
          <w:sz w:val="24"/>
          <w:u w:val="single"/>
          <w:lang w:val="en-US" w:eastAsia="zh-CN"/>
        </w:rPr>
        <w:t>68513264</w:t>
      </w:r>
    </w:p>
    <w:p>
      <w:pPr>
        <w:spacing w:line="360" w:lineRule="auto"/>
        <w:ind w:left="1080" w:leftChars="371" w:hanging="301" w:hangingChars="125"/>
        <w:jc w:val="left"/>
        <w:rPr>
          <w:b/>
          <w:sz w:val="24"/>
        </w:rPr>
      </w:pPr>
      <w:r>
        <w:rPr>
          <w:b/>
          <w:sz w:val="24"/>
        </w:rPr>
        <w:t>2.采购代理机构信息</w:t>
      </w:r>
      <w:bookmarkEnd w:id="27"/>
      <w:bookmarkEnd w:id="28"/>
    </w:p>
    <w:p>
      <w:pPr>
        <w:spacing w:line="360" w:lineRule="auto"/>
        <w:ind w:left="1079" w:leftChars="371" w:hanging="300" w:hangingChars="125"/>
        <w:jc w:val="left"/>
        <w:rPr>
          <w:rFonts w:hint="eastAsia" w:eastAsia="宋体"/>
          <w:sz w:val="24"/>
          <w:lang w:eastAsia="zh-CN"/>
        </w:rPr>
      </w:pPr>
      <w:bookmarkStart w:id="29" w:name="_Toc28359010"/>
      <w:bookmarkStart w:id="30" w:name="_Toc28359087"/>
      <w:r>
        <w:rPr>
          <w:sz w:val="24"/>
        </w:rPr>
        <w:t>名    称：</w:t>
      </w:r>
      <w:r>
        <w:rPr>
          <w:rFonts w:hint="eastAsia"/>
          <w:color w:val="000000"/>
          <w:sz w:val="24"/>
          <w:u w:val="single"/>
          <w:lang w:eastAsia="zh-CN"/>
        </w:rPr>
        <w:t>北京市京发招标有限公司</w:t>
      </w:r>
    </w:p>
    <w:p>
      <w:pPr>
        <w:spacing w:line="360" w:lineRule="auto"/>
        <w:ind w:left="1079" w:leftChars="371" w:hanging="300" w:hangingChars="125"/>
        <w:jc w:val="left"/>
        <w:rPr>
          <w:rFonts w:hint="eastAsia" w:eastAsia="宋体"/>
          <w:sz w:val="24"/>
          <w:lang w:eastAsia="zh-CN"/>
        </w:rPr>
      </w:pPr>
      <w:r>
        <w:rPr>
          <w:sz w:val="24"/>
        </w:rPr>
        <w:t>地    址：</w:t>
      </w:r>
      <w:r>
        <w:rPr>
          <w:rFonts w:hint="eastAsia"/>
          <w:color w:val="000000"/>
          <w:sz w:val="24"/>
          <w:u w:val="single"/>
          <w:lang w:eastAsia="zh-CN"/>
        </w:rPr>
        <w:t>北京市东城区崇文门外大街90号</w:t>
      </w:r>
    </w:p>
    <w:p>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sz w:val="24"/>
          <w:u w:val="single"/>
          <w:lang w:val="en-US" w:eastAsia="zh-CN"/>
        </w:rPr>
        <w:t>67169727</w:t>
      </w:r>
    </w:p>
    <w:p>
      <w:pPr>
        <w:spacing w:line="360" w:lineRule="auto"/>
        <w:ind w:firstLine="723" w:firstLineChars="300"/>
        <w:rPr>
          <w:b/>
          <w:sz w:val="24"/>
          <w:u w:val="single"/>
        </w:rPr>
      </w:pPr>
      <w:r>
        <w:rPr>
          <w:b/>
          <w:sz w:val="24"/>
        </w:rPr>
        <w:t>3.项目联系方式</w:t>
      </w:r>
      <w:bookmarkEnd w:id="29"/>
      <w:bookmarkEnd w:id="30"/>
    </w:p>
    <w:p>
      <w:pPr>
        <w:pStyle w:val="23"/>
        <w:spacing w:line="360" w:lineRule="auto"/>
        <w:ind w:firstLine="720" w:firstLineChars="300"/>
        <w:rPr>
          <w:rFonts w:hint="default" w:ascii="Times New Roman" w:hAnsi="Times New Roman" w:eastAsia="宋体"/>
          <w:sz w:val="24"/>
          <w:szCs w:val="24"/>
          <w:lang w:val="en-US" w:eastAsia="zh-CN"/>
        </w:rPr>
      </w:pPr>
      <w:r>
        <w:rPr>
          <w:rFonts w:hint="default" w:ascii="Times New Roman" w:hAnsi="Times New Roman"/>
          <w:sz w:val="24"/>
          <w:szCs w:val="24"/>
        </w:rPr>
        <w:t>项目联系人：</w:t>
      </w:r>
      <w:r>
        <w:rPr>
          <w:rFonts w:hint="eastAsia"/>
          <w:sz w:val="24"/>
          <w:u w:val="single"/>
          <w:lang w:val="en-US" w:eastAsia="zh-CN"/>
        </w:rPr>
        <w:t>张超、李丁、马若莎、杨栋、王康康、姚凤阳</w:t>
      </w:r>
    </w:p>
    <w:p>
      <w:pPr>
        <w:pStyle w:val="23"/>
        <w:spacing w:line="360" w:lineRule="auto"/>
        <w:ind w:firstLine="720" w:firstLineChars="300"/>
        <w:rPr>
          <w:rFonts w:ascii="Times New Roman" w:hAnsi="Times New Roman"/>
          <w:sz w:val="24"/>
          <w:szCs w:val="24"/>
          <w:u w:val="single"/>
        </w:rPr>
      </w:pPr>
      <w:r>
        <w:rPr>
          <w:rFonts w:hint="default" w:ascii="Times New Roman" w:hAnsi="Times New Roman"/>
          <w:sz w:val="24"/>
        </w:rPr>
        <w:t>电      话：</w:t>
      </w:r>
      <w:r>
        <w:rPr>
          <w:rFonts w:hint="default" w:ascii="Times New Roman" w:hAnsi="Times New Roman"/>
          <w:sz w:val="24"/>
          <w:u w:val="single"/>
          <w:lang w:val="en-US" w:eastAsia="zh-CN"/>
        </w:rPr>
        <w:t>67169727</w:t>
      </w:r>
    </w:p>
    <w:p>
      <w:pPr>
        <w:spacing w:line="360" w:lineRule="auto"/>
        <w:ind w:firstLine="5880" w:firstLineChars="2450"/>
        <w:jc w:val="right"/>
        <w:rPr>
          <w:sz w:val="24"/>
        </w:rPr>
      </w:pPr>
    </w:p>
    <w:p>
      <w:pPr>
        <w:spacing w:line="360" w:lineRule="auto"/>
        <w:jc w:val="center"/>
        <w:outlineLvl w:val="0"/>
        <w:rPr>
          <w:b/>
          <w:sz w:val="32"/>
          <w:szCs w:val="32"/>
        </w:rPr>
      </w:pPr>
      <w:r>
        <w:rPr>
          <w:sz w:val="24"/>
        </w:rPr>
        <w:br w:type="page"/>
      </w:r>
      <w:bookmarkStart w:id="31" w:name="_Toc127151777"/>
      <w:bookmarkStart w:id="32" w:name="_Toc195842950"/>
      <w:bookmarkStart w:id="33" w:name="_Toc353825548"/>
      <w:bookmarkStart w:id="34" w:name="_Toc305158854"/>
      <w:bookmarkStart w:id="35" w:name="_Toc127161488"/>
      <w:bookmarkStart w:id="36" w:name="_Toc99301280"/>
      <w:bookmarkStart w:id="37" w:name="_Toc150774783"/>
      <w:bookmarkStart w:id="38" w:name="_Toc226965856"/>
      <w:bookmarkStart w:id="39" w:name="_Toc264969275"/>
      <w:bookmarkStart w:id="40" w:name="_Toc265228423"/>
      <w:bookmarkStart w:id="41" w:name="_Toc512937850"/>
      <w:bookmarkStart w:id="42" w:name="_Toc305158928"/>
      <w:bookmarkStart w:id="43" w:name="_Toc353873938"/>
      <w:r>
        <w:rPr>
          <w:b/>
          <w:sz w:val="36"/>
          <w:szCs w:val="36"/>
        </w:rPr>
        <w:t>第二章   供应商须知</w:t>
      </w:r>
      <w:bookmarkEnd w:id="31"/>
      <w:bookmarkEnd w:id="32"/>
      <w:bookmarkEnd w:id="33"/>
      <w:bookmarkEnd w:id="34"/>
      <w:bookmarkEnd w:id="35"/>
      <w:bookmarkEnd w:id="36"/>
      <w:bookmarkEnd w:id="37"/>
      <w:bookmarkEnd w:id="38"/>
      <w:bookmarkEnd w:id="39"/>
      <w:bookmarkEnd w:id="40"/>
      <w:bookmarkEnd w:id="41"/>
      <w:bookmarkEnd w:id="42"/>
      <w:bookmarkEnd w:id="43"/>
    </w:p>
    <w:p>
      <w:pPr>
        <w:pStyle w:val="3"/>
        <w:tabs>
          <w:tab w:val="center" w:pos="4592"/>
          <w:tab w:val="left" w:pos="7860"/>
        </w:tabs>
        <w:spacing w:before="0" w:line="360" w:lineRule="auto"/>
        <w:rPr>
          <w:rFonts w:ascii="Times New Roman" w:hAnsi="Times New Roman" w:eastAsia="宋体"/>
          <w:sz w:val="28"/>
        </w:rPr>
      </w:pPr>
      <w:bookmarkStart w:id="44" w:name="_Toc127151720"/>
      <w:bookmarkStart w:id="45" w:name="_Toc151193833"/>
      <w:bookmarkStart w:id="46" w:name="_Toc151193617"/>
      <w:bookmarkStart w:id="47" w:name="_Toc150480757"/>
      <w:bookmarkStart w:id="48" w:name="_Toc226309763"/>
      <w:bookmarkStart w:id="49" w:name="_Toc151193907"/>
      <w:bookmarkStart w:id="50" w:name="_Toc164229360"/>
      <w:bookmarkStart w:id="51" w:name="_Toc226337215"/>
      <w:bookmarkStart w:id="52" w:name="_Toc195842884"/>
      <w:bookmarkStart w:id="53" w:name="_Toc127151519"/>
      <w:bookmarkStart w:id="54" w:name="_Toc151190146"/>
      <w:bookmarkStart w:id="55" w:name="_Toc151193689"/>
      <w:bookmarkStart w:id="56" w:name="_Toc150509270"/>
      <w:bookmarkStart w:id="57" w:name="_Toc164229214"/>
      <w:bookmarkStart w:id="58" w:name="_Toc164608633"/>
      <w:bookmarkStart w:id="59" w:name="_Toc150774619"/>
      <w:bookmarkStart w:id="60" w:name="_Toc520356144"/>
      <w:bookmarkStart w:id="61" w:name="_Toc226965792"/>
      <w:bookmarkStart w:id="62" w:name="_Toc150774724"/>
      <w:bookmarkStart w:id="63" w:name="_Toc142311021"/>
      <w:bookmarkStart w:id="64" w:name="_Toc226965709"/>
      <w:bookmarkStart w:id="65" w:name="_Toc127161433"/>
      <w:bookmarkStart w:id="66" w:name="_Toc164608788"/>
      <w:bookmarkStart w:id="67" w:name="_Toc164351613"/>
      <w:bookmarkStart w:id="68" w:name="_Toc151193761"/>
      <w:bookmarkStart w:id="69" w:name="_Toc149720812"/>
      <w:r>
        <w:rPr>
          <w:rFonts w:ascii="Times New Roman" w:hAnsi="Times New Roman" w:eastAsia="宋体"/>
          <w:sz w:val="28"/>
        </w:rPr>
        <w:t>供应商须知资料表</w:t>
      </w:r>
    </w:p>
    <w:p>
      <w:pPr>
        <w:jc w:val="center"/>
        <w:rPr>
          <w:b/>
          <w:sz w:val="28"/>
          <w:szCs w:val="28"/>
        </w:rPr>
      </w:pPr>
    </w:p>
    <w:p>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的选项意为适用于本项目，标记“□”的选项意为不适用于本项目。</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988" w:type="dxa"/>
            <w:noWrap w:val="0"/>
            <w:vAlign w:val="center"/>
          </w:tcPr>
          <w:p>
            <w:pPr>
              <w:spacing w:line="360" w:lineRule="auto"/>
              <w:jc w:val="center"/>
              <w:rPr>
                <w:b/>
                <w:bCs/>
                <w:sz w:val="24"/>
              </w:rPr>
            </w:pPr>
            <w:r>
              <w:rPr>
                <w:b/>
                <w:sz w:val="24"/>
              </w:rPr>
              <w:t>条款号</w:t>
            </w:r>
          </w:p>
        </w:tc>
        <w:tc>
          <w:tcPr>
            <w:tcW w:w="1701" w:type="dxa"/>
            <w:noWrap w:val="0"/>
            <w:vAlign w:val="center"/>
          </w:tcPr>
          <w:p>
            <w:pPr>
              <w:spacing w:line="360" w:lineRule="auto"/>
              <w:jc w:val="center"/>
              <w:rPr>
                <w:b/>
                <w:bCs/>
                <w:sz w:val="24"/>
              </w:rPr>
            </w:pPr>
            <w:r>
              <w:rPr>
                <w:b/>
                <w:bCs/>
                <w:sz w:val="24"/>
              </w:rPr>
              <w:t>条目</w:t>
            </w:r>
          </w:p>
        </w:tc>
        <w:tc>
          <w:tcPr>
            <w:tcW w:w="7253" w:type="dxa"/>
            <w:noWrap w:val="0"/>
            <w:vAlign w:val="center"/>
          </w:tcPr>
          <w:p>
            <w:pPr>
              <w:spacing w:line="360" w:lineRule="auto"/>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2.2</w:t>
            </w:r>
          </w:p>
        </w:tc>
        <w:tc>
          <w:tcPr>
            <w:tcW w:w="1701" w:type="dxa"/>
            <w:noWrap w:val="0"/>
            <w:vAlign w:val="center"/>
          </w:tcPr>
          <w:p>
            <w:pPr>
              <w:spacing w:line="360" w:lineRule="auto"/>
              <w:jc w:val="center"/>
              <w:rPr>
                <w:sz w:val="24"/>
              </w:rPr>
            </w:pPr>
            <w:r>
              <w:rPr>
                <w:sz w:val="24"/>
              </w:rPr>
              <w:t>科研仪器设备</w:t>
            </w:r>
          </w:p>
        </w:tc>
        <w:tc>
          <w:tcPr>
            <w:tcW w:w="7253" w:type="dxa"/>
            <w:noWrap w:val="0"/>
            <w:vAlign w:val="center"/>
          </w:tcPr>
          <w:p>
            <w:pPr>
              <w:spacing w:line="360" w:lineRule="auto"/>
              <w:jc w:val="left"/>
              <w:rPr>
                <w:sz w:val="24"/>
              </w:rPr>
            </w:pPr>
            <w:r>
              <w:rPr>
                <w:sz w:val="24"/>
              </w:rPr>
              <w:t>是否属于科研仪器设备采购项目：</w:t>
            </w:r>
          </w:p>
          <w:p>
            <w:pPr>
              <w:spacing w:line="360" w:lineRule="auto"/>
              <w:jc w:val="left"/>
              <w:rPr>
                <w:sz w:val="24"/>
              </w:rPr>
            </w:pPr>
            <w:r>
              <w:rPr>
                <w:sz w:val="24"/>
              </w:rPr>
              <w:t>□是</w:t>
            </w:r>
          </w:p>
          <w:p>
            <w:pPr>
              <w:spacing w:line="360" w:lineRule="auto"/>
              <w:jc w:val="left"/>
              <w:rPr>
                <w:sz w:val="24"/>
              </w:rPr>
            </w:pPr>
            <w:r>
              <w:rPr>
                <w:b/>
                <w:color w:val="000000"/>
                <w:sz w:val="24"/>
              </w:rPr>
              <w:t>■</w:t>
            </w: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988" w:type="dxa"/>
            <w:noWrap w:val="0"/>
            <w:vAlign w:val="center"/>
          </w:tcPr>
          <w:p>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3.2.5</w:t>
            </w:r>
          </w:p>
        </w:tc>
        <w:tc>
          <w:tcPr>
            <w:tcW w:w="1701" w:type="dxa"/>
            <w:noWrap w:val="0"/>
            <w:vAlign w:val="center"/>
          </w:tcPr>
          <w:p>
            <w:pPr>
              <w:spacing w:line="360" w:lineRule="auto"/>
              <w:jc w:val="center"/>
              <w:rPr>
                <w:sz w:val="24"/>
              </w:rPr>
            </w:pPr>
            <w:r>
              <w:rPr>
                <w:sz w:val="24"/>
              </w:rPr>
              <w:t>标的所属行业</w:t>
            </w:r>
          </w:p>
        </w:tc>
        <w:tc>
          <w:tcPr>
            <w:tcW w:w="7253" w:type="dxa"/>
            <w:noWrap w:val="0"/>
            <w:vAlign w:val="center"/>
          </w:tcPr>
          <w:p>
            <w:pPr>
              <w:spacing w:line="360" w:lineRule="auto"/>
              <w:jc w:val="left"/>
              <w:rPr>
                <w:sz w:val="24"/>
              </w:rPr>
            </w:pPr>
            <w:r>
              <w:rPr>
                <w:sz w:val="24"/>
              </w:rPr>
              <w:t>本项目采购标的对应的中小企业划分标准所属行业：</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Cs/>
                      <w:sz w:val="24"/>
                    </w:rPr>
                  </w:pPr>
                  <w:r>
                    <w:rPr>
                      <w:bCs/>
                      <w:sz w:val="24"/>
                    </w:rPr>
                    <w:t>标的名称</w:t>
                  </w:r>
                </w:p>
              </w:tc>
              <w:tc>
                <w:tcPr>
                  <w:tcW w:w="250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bCs/>
                      <w:sz w:val="24"/>
                      <w:lang w:eastAsia="zh-CN"/>
                    </w:rPr>
                  </w:pPr>
                  <w:r>
                    <w:rPr>
                      <w:rFonts w:hint="eastAsia"/>
                      <w:bCs/>
                      <w:sz w:val="24"/>
                      <w:lang w:eastAsia="zh-CN"/>
                    </w:rPr>
                    <w:t>液化石油气政府应急储备服务</w:t>
                  </w:r>
                </w:p>
              </w:tc>
              <w:tc>
                <w:tcPr>
                  <w:tcW w:w="250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kern w:val="0"/>
                      <w:sz w:val="24"/>
                    </w:rPr>
                  </w:pPr>
                  <w:r>
                    <w:rPr>
                      <w:rFonts w:hint="eastAsia"/>
                      <w:kern w:val="0"/>
                      <w:sz w:val="24"/>
                      <w:lang w:val="en-US" w:eastAsia="zh-CN"/>
                    </w:rPr>
                    <w:t>工</w:t>
                  </w:r>
                  <w:r>
                    <w:rPr>
                      <w:rFonts w:hint="eastAsia"/>
                      <w:kern w:val="0"/>
                      <w:sz w:val="24"/>
                    </w:rPr>
                    <w:t>业</w:t>
                  </w:r>
                </w:p>
              </w:tc>
            </w:tr>
          </w:tbl>
          <w:p>
            <w:pPr>
              <w:spacing w:line="360" w:lineRule="auto"/>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noWrap w:val="0"/>
            <w:vAlign w:val="center"/>
          </w:tcPr>
          <w:p>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6.3</w:t>
            </w:r>
          </w:p>
        </w:tc>
        <w:tc>
          <w:tcPr>
            <w:tcW w:w="1701" w:type="dxa"/>
            <w:noWrap w:val="0"/>
            <w:vAlign w:val="center"/>
          </w:tcPr>
          <w:p>
            <w:pPr>
              <w:spacing w:line="360" w:lineRule="auto"/>
              <w:rPr>
                <w:sz w:val="24"/>
              </w:rPr>
            </w:pPr>
            <w:r>
              <w:rPr>
                <w:sz w:val="24"/>
              </w:rPr>
              <w:t>对单一来源采购文件的澄清或修改</w:t>
            </w:r>
          </w:p>
        </w:tc>
        <w:tc>
          <w:tcPr>
            <w:tcW w:w="7253" w:type="dxa"/>
            <w:noWrap w:val="0"/>
            <w:vAlign w:val="center"/>
          </w:tcPr>
          <w:p>
            <w:pPr>
              <w:spacing w:line="360" w:lineRule="auto"/>
              <w:jc w:val="left"/>
              <w:rPr>
                <w:sz w:val="24"/>
              </w:rPr>
            </w:pPr>
            <w:r>
              <w:rPr>
                <w:sz w:val="24"/>
              </w:rPr>
              <w:t>提交响应文件截止之日</w:t>
            </w:r>
            <w:r>
              <w:rPr>
                <w:rFonts w:hint="eastAsia"/>
                <w:sz w:val="24"/>
                <w:u w:val="single"/>
              </w:rPr>
              <w:t>3</w:t>
            </w:r>
            <w:r>
              <w:rPr>
                <w:sz w:val="24"/>
              </w:rPr>
              <w:t>个工作日前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noWrap w:val="0"/>
            <w:vAlign w:val="center"/>
          </w:tcPr>
          <w:p>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9.2</w:t>
            </w:r>
          </w:p>
        </w:tc>
        <w:tc>
          <w:tcPr>
            <w:tcW w:w="1701" w:type="dxa"/>
            <w:noWrap w:val="0"/>
            <w:vAlign w:val="center"/>
          </w:tcPr>
          <w:p>
            <w:pPr>
              <w:spacing w:line="360" w:lineRule="auto"/>
              <w:ind w:firstLine="480" w:firstLineChars="200"/>
              <w:rPr>
                <w:sz w:val="24"/>
              </w:rPr>
            </w:pPr>
            <w:r>
              <w:rPr>
                <w:sz w:val="24"/>
              </w:rPr>
              <w:t>报价</w:t>
            </w:r>
          </w:p>
        </w:tc>
        <w:tc>
          <w:tcPr>
            <w:tcW w:w="7253" w:type="dxa"/>
            <w:noWrap w:val="0"/>
            <w:vAlign w:val="center"/>
          </w:tcPr>
          <w:p>
            <w:pPr>
              <w:spacing w:line="360" w:lineRule="auto"/>
              <w:jc w:val="left"/>
              <w:rPr>
                <w:sz w:val="24"/>
              </w:rPr>
            </w:pPr>
            <w:r>
              <w:rPr>
                <w:sz w:val="24"/>
              </w:rPr>
              <w:t>报价的特殊规定：</w:t>
            </w:r>
          </w:p>
          <w:p>
            <w:pPr>
              <w:spacing w:line="360" w:lineRule="auto"/>
              <w:jc w:val="left"/>
              <w:rPr>
                <w:sz w:val="24"/>
              </w:rPr>
            </w:pPr>
            <w:r>
              <w:rPr>
                <w:b/>
                <w:color w:val="000000"/>
                <w:sz w:val="24"/>
              </w:rPr>
              <w:t>■</w:t>
            </w:r>
            <w:r>
              <w:rPr>
                <w:sz w:val="24"/>
              </w:rPr>
              <w:t>无</w:t>
            </w:r>
          </w:p>
          <w:p>
            <w:pPr>
              <w:spacing w:line="360" w:lineRule="auto"/>
              <w:jc w:val="left"/>
              <w:rPr>
                <w:sz w:val="24"/>
              </w:rPr>
            </w:pPr>
            <w:r>
              <w:rPr>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10.1</w:t>
            </w:r>
          </w:p>
        </w:tc>
        <w:tc>
          <w:tcPr>
            <w:tcW w:w="1701" w:type="dxa"/>
            <w:noWrap w:val="0"/>
            <w:vAlign w:val="center"/>
          </w:tcPr>
          <w:p>
            <w:pPr>
              <w:spacing w:line="360" w:lineRule="auto"/>
              <w:jc w:val="center"/>
              <w:rPr>
                <w:sz w:val="24"/>
              </w:rPr>
            </w:pPr>
            <w:r>
              <w:rPr>
                <w:sz w:val="24"/>
              </w:rPr>
              <w:t>保证金</w:t>
            </w:r>
          </w:p>
        </w:tc>
        <w:tc>
          <w:tcPr>
            <w:tcW w:w="7253" w:type="dxa"/>
            <w:noWrap w:val="0"/>
            <w:vAlign w:val="center"/>
          </w:tcPr>
          <w:p>
            <w:pPr>
              <w:pStyle w:val="23"/>
              <w:adjustRightInd w:val="0"/>
              <w:snapToGrid w:val="0"/>
              <w:spacing w:line="360" w:lineRule="auto"/>
              <w:rPr>
                <w:rFonts w:hint="default" w:ascii="Times New Roman" w:hAnsi="Times New Roman"/>
                <w:sz w:val="24"/>
                <w:szCs w:val="24"/>
              </w:rPr>
            </w:pPr>
            <w:r>
              <w:rPr>
                <w:rFonts w:hint="default" w:ascii="Times New Roman" w:hAnsi="Times New Roman"/>
                <w:sz w:val="24"/>
                <w:szCs w:val="24"/>
              </w:rPr>
              <w:t>保证金金额：</w:t>
            </w:r>
            <w:r>
              <w:rPr>
                <w:rFonts w:hint="eastAsia" w:ascii="Times New Roman" w:hAnsi="Times New Roman"/>
                <w:sz w:val="24"/>
                <w:szCs w:val="24"/>
                <w:lang w:eastAsia="zh-CN"/>
              </w:rPr>
              <w:t>无</w:t>
            </w:r>
            <w:r>
              <w:rPr>
                <w:rFonts w:hint="default" w:ascii="Times New Roman" w:hAnsi="Times New Roman"/>
                <w:sz w:val="24"/>
                <w:szCs w:val="24"/>
              </w:rPr>
              <w:t>。</w:t>
            </w:r>
          </w:p>
          <w:p>
            <w:pPr>
              <w:spacing w:line="360" w:lineRule="auto"/>
              <w:rPr>
                <w:rFonts w:hint="eastAsia"/>
                <w:sz w:val="24"/>
              </w:rPr>
            </w:pPr>
            <w:r>
              <w:rPr>
                <w:sz w:val="24"/>
              </w:rPr>
              <w:t>保证金收受人信息：</w:t>
            </w:r>
          </w:p>
          <w:p>
            <w:pPr>
              <w:spacing w:line="360" w:lineRule="auto"/>
              <w:rPr>
                <w:rFonts w:ascii="宋体" w:hAnsi="宋体"/>
                <w:bCs/>
                <w:sz w:val="24"/>
                <w:u w:val="single"/>
              </w:rPr>
            </w:pPr>
            <w:r>
              <w:rPr>
                <w:rFonts w:hint="eastAsia" w:ascii="宋体" w:hAnsi="宋体"/>
                <w:bCs/>
                <w:sz w:val="24"/>
              </w:rPr>
              <w:t>开户名（全称）：</w:t>
            </w:r>
            <w:r>
              <w:rPr>
                <w:rFonts w:hint="eastAsia" w:ascii="宋体" w:hAnsi="宋体"/>
                <w:bCs/>
                <w:sz w:val="24"/>
                <w:u w:val="single"/>
                <w:lang w:eastAsia="zh-CN"/>
              </w:rPr>
              <w:t>北京市京发招标有限公司</w:t>
            </w:r>
            <w:r>
              <w:rPr>
                <w:rFonts w:hint="eastAsia" w:ascii="宋体" w:hAnsi="宋体"/>
                <w:bCs/>
                <w:sz w:val="24"/>
                <w:u w:val="single"/>
              </w:rPr>
              <w:t>；</w:t>
            </w:r>
          </w:p>
          <w:p>
            <w:pPr>
              <w:spacing w:line="360" w:lineRule="auto"/>
              <w:rPr>
                <w:rFonts w:ascii="宋体" w:hAnsi="宋体"/>
                <w:bCs/>
                <w:sz w:val="24"/>
                <w:u w:val="single"/>
              </w:rPr>
            </w:pPr>
            <w:r>
              <w:rPr>
                <w:rFonts w:hint="eastAsia" w:ascii="宋体" w:hAnsi="宋体"/>
                <w:bCs/>
                <w:sz w:val="24"/>
              </w:rPr>
              <w:t>开户银行：</w:t>
            </w:r>
            <w:r>
              <w:rPr>
                <w:rFonts w:hint="eastAsia" w:ascii="宋体" w:hAnsi="宋体" w:cs="宋体"/>
                <w:bCs/>
                <w:sz w:val="24"/>
                <w:highlight w:val="none"/>
                <w:u w:val="single"/>
              </w:rPr>
              <w:t>招商银行北京分行崇文门支行</w:t>
            </w:r>
            <w:r>
              <w:rPr>
                <w:rFonts w:hint="eastAsia" w:ascii="宋体" w:hAnsi="宋体"/>
                <w:bCs/>
                <w:sz w:val="24"/>
                <w:u w:val="single"/>
              </w:rPr>
              <w:t>；</w:t>
            </w:r>
          </w:p>
          <w:p>
            <w:pPr>
              <w:spacing w:line="360" w:lineRule="auto"/>
              <w:rPr>
                <w:rFonts w:ascii="宋体" w:hAnsi="宋体"/>
                <w:bCs/>
                <w:sz w:val="24"/>
                <w:u w:val="single"/>
              </w:rPr>
            </w:pPr>
            <w:r>
              <w:rPr>
                <w:rFonts w:hint="eastAsia" w:ascii="宋体" w:hAnsi="宋体"/>
                <w:bCs/>
                <w:sz w:val="24"/>
              </w:rPr>
              <w:t>账    号：</w:t>
            </w:r>
            <w:r>
              <w:rPr>
                <w:rFonts w:hint="eastAsia" w:ascii="宋体" w:hAnsi="宋体" w:cs="宋体"/>
                <w:bCs/>
                <w:sz w:val="24"/>
                <w:highlight w:val="none"/>
                <w:u w:val="single"/>
              </w:rPr>
              <w:t>1109 1881 6710 6010 0000 00007</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10.7.5</w:t>
            </w:r>
          </w:p>
        </w:tc>
        <w:tc>
          <w:tcPr>
            <w:tcW w:w="1701" w:type="dxa"/>
            <w:noWrap w:val="0"/>
            <w:vAlign w:val="center"/>
          </w:tcPr>
          <w:p>
            <w:pPr>
              <w:spacing w:line="360" w:lineRule="auto"/>
              <w:jc w:val="center"/>
              <w:rPr>
                <w:sz w:val="24"/>
              </w:rPr>
            </w:pPr>
            <w:r>
              <w:rPr>
                <w:sz w:val="24"/>
              </w:rPr>
              <w:t>保证金</w:t>
            </w:r>
          </w:p>
        </w:tc>
        <w:tc>
          <w:tcPr>
            <w:tcW w:w="7253" w:type="dxa"/>
            <w:noWrap w:val="0"/>
            <w:vAlign w:val="center"/>
          </w:tcPr>
          <w:p>
            <w:pPr>
              <w:spacing w:line="360" w:lineRule="auto"/>
              <w:jc w:val="left"/>
              <w:rPr>
                <w:sz w:val="24"/>
              </w:rPr>
            </w:pPr>
            <w:r>
              <w:rPr>
                <w:sz w:val="24"/>
              </w:rPr>
              <w:t>保证金不予退还的其他情形：</w:t>
            </w:r>
          </w:p>
          <w:p>
            <w:pPr>
              <w:spacing w:line="360" w:lineRule="auto"/>
              <w:jc w:val="left"/>
              <w:rPr>
                <w:sz w:val="24"/>
              </w:rPr>
            </w:pPr>
            <w:r>
              <w:rPr>
                <w:b/>
                <w:color w:val="000000"/>
                <w:sz w:val="24"/>
              </w:rPr>
              <w:t>■</w:t>
            </w:r>
            <w:r>
              <w:rPr>
                <w:sz w:val="24"/>
              </w:rPr>
              <w:t>无</w:t>
            </w:r>
          </w:p>
          <w:p>
            <w:pPr>
              <w:spacing w:line="360" w:lineRule="auto"/>
              <w:rPr>
                <w:rFonts w:ascii="宋体" w:hAnsi="宋体" w:cs="宋体"/>
                <w:bCs/>
                <w:sz w:val="24"/>
                <w:u w:val="single"/>
              </w:rPr>
            </w:pPr>
            <w:r>
              <w:rPr>
                <w:sz w:val="24"/>
              </w:rPr>
              <w:t>□有，具体情形：</w:t>
            </w:r>
            <w:r>
              <w:rPr>
                <w:rFonts w:hint="eastAsia" w:ascii="宋体" w:hAnsi="宋体" w:cs="宋体"/>
                <w:sz w:val="24"/>
              </w:rPr>
              <w:t>1）</w:t>
            </w:r>
            <w:r>
              <w:rPr>
                <w:rFonts w:hint="eastAsia" w:ascii="宋体" w:hAnsi="宋体" w:cs="宋体"/>
                <w:bCs/>
                <w:sz w:val="24"/>
                <w:u w:val="single"/>
              </w:rPr>
              <w:t>成交供应商未能在规定期限内提交履约担保或未按本须知第22条规定签订合同的；</w:t>
            </w:r>
          </w:p>
          <w:p>
            <w:pPr>
              <w:pStyle w:val="23"/>
              <w:adjustRightInd w:val="0"/>
              <w:snapToGrid w:val="0"/>
              <w:spacing w:line="360" w:lineRule="auto"/>
              <w:rPr>
                <w:rFonts w:hint="default" w:ascii="Times New Roman" w:hAnsi="Times New Roman"/>
                <w:sz w:val="24"/>
                <w:szCs w:val="24"/>
              </w:rPr>
            </w:pPr>
            <w:r>
              <w:rPr>
                <w:rFonts w:hAnsi="宋体" w:cs="宋体"/>
                <w:sz w:val="24"/>
                <w:szCs w:val="24"/>
                <w:u w:val="single"/>
              </w:rPr>
              <w:t>2）成交供应商不按规定交纳成交服务费（适用于采购文件规定成交人交纳成交服务费情形）</w:t>
            </w:r>
            <w:r>
              <w:rPr>
                <w:rFonts w:hint="default" w:ascii="Times New Roman" w:hAnsi="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11.1</w:t>
            </w:r>
          </w:p>
        </w:tc>
        <w:tc>
          <w:tcPr>
            <w:tcW w:w="1701" w:type="dxa"/>
            <w:noWrap w:val="0"/>
            <w:vAlign w:val="center"/>
          </w:tcPr>
          <w:p>
            <w:pPr>
              <w:spacing w:line="360" w:lineRule="auto"/>
              <w:jc w:val="center"/>
              <w:rPr>
                <w:sz w:val="24"/>
              </w:rPr>
            </w:pPr>
            <w:r>
              <w:rPr>
                <w:sz w:val="24"/>
              </w:rPr>
              <w:t>响应有效期</w:t>
            </w:r>
          </w:p>
        </w:tc>
        <w:tc>
          <w:tcPr>
            <w:tcW w:w="7253" w:type="dxa"/>
            <w:noWrap w:val="0"/>
            <w:vAlign w:val="center"/>
          </w:tcPr>
          <w:p>
            <w:pPr>
              <w:spacing w:line="360" w:lineRule="auto"/>
              <w:jc w:val="left"/>
              <w:rPr>
                <w:sz w:val="24"/>
              </w:rPr>
            </w:pPr>
            <w:r>
              <w:rPr>
                <w:sz w:val="24"/>
              </w:rPr>
              <w:t>自提交响应文件的截止之日起算</w:t>
            </w:r>
            <w:r>
              <w:rPr>
                <w:rFonts w:hint="eastAsia"/>
                <w:sz w:val="24"/>
                <w:u w:val="single"/>
              </w:rPr>
              <w:t>90</w:t>
            </w:r>
            <w:r>
              <w:rPr>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3"/>
              <w:adjustRightInd w:val="0"/>
              <w:snapToGrid w:val="0"/>
              <w:spacing w:line="360" w:lineRule="auto"/>
              <w:jc w:val="center"/>
              <w:rPr>
                <w:rFonts w:hint="default" w:ascii="Times New Roman" w:hAnsi="Times New Roman"/>
                <w:sz w:val="24"/>
                <w:szCs w:val="24"/>
              </w:rPr>
            </w:pPr>
            <w:r>
              <w:rPr>
                <w:rFonts w:ascii="Times New Roman" w:hAnsi="Times New Roman"/>
                <w:sz w:val="24"/>
                <w:szCs w:val="24"/>
              </w:rPr>
              <w:t>12.1</w:t>
            </w:r>
          </w:p>
        </w:tc>
        <w:tc>
          <w:tcPr>
            <w:tcW w:w="1701" w:type="dxa"/>
            <w:noWrap w:val="0"/>
            <w:vAlign w:val="center"/>
          </w:tcPr>
          <w:p>
            <w:pPr>
              <w:spacing w:line="360" w:lineRule="auto"/>
              <w:jc w:val="center"/>
              <w:rPr>
                <w:sz w:val="24"/>
              </w:rPr>
            </w:pPr>
            <w:r>
              <w:rPr>
                <w:rFonts w:hint="eastAsia"/>
                <w:sz w:val="24"/>
              </w:rPr>
              <w:t>代理服务费</w:t>
            </w:r>
          </w:p>
        </w:tc>
        <w:tc>
          <w:tcPr>
            <w:tcW w:w="7253" w:type="dxa"/>
            <w:noWrap w:val="0"/>
            <w:vAlign w:val="center"/>
          </w:tcPr>
          <w:p>
            <w:pPr>
              <w:spacing w:line="276" w:lineRule="auto"/>
              <w:jc w:val="left"/>
              <w:rPr>
                <w:rFonts w:ascii="宋体" w:hAnsi="宋体" w:cs="宋体"/>
                <w:color w:val="000000"/>
                <w:sz w:val="24"/>
              </w:rPr>
            </w:pPr>
            <w:r>
              <w:rPr>
                <w:rFonts w:hint="eastAsia" w:ascii="宋体" w:hAnsi="宋体" w:cs="宋体"/>
                <w:color w:val="000000"/>
                <w:sz w:val="24"/>
              </w:rPr>
              <w:t>收费对象：</w:t>
            </w:r>
          </w:p>
          <w:p>
            <w:pPr>
              <w:spacing w:line="276" w:lineRule="auto"/>
              <w:jc w:val="left"/>
              <w:rPr>
                <w:rFonts w:ascii="宋体" w:hAnsi="宋体" w:cs="宋体"/>
                <w:color w:val="000000"/>
                <w:sz w:val="24"/>
              </w:rPr>
            </w:pPr>
            <w:r>
              <w:rPr>
                <w:rFonts w:hint="eastAsia" w:ascii="宋体" w:hAnsi="宋体" w:cs="宋体"/>
                <w:color w:val="000000"/>
              </w:rPr>
              <w:t>□</w:t>
            </w:r>
            <w:r>
              <w:rPr>
                <w:rFonts w:hint="eastAsia" w:ascii="宋体" w:hAnsi="宋体" w:cs="宋体"/>
                <w:color w:val="000000"/>
                <w:sz w:val="24"/>
              </w:rPr>
              <w:t>采购人</w:t>
            </w:r>
          </w:p>
          <w:p>
            <w:pPr>
              <w:spacing w:line="276" w:lineRule="auto"/>
              <w:jc w:val="left"/>
              <w:rPr>
                <w:rFonts w:ascii="宋体" w:hAnsi="宋体" w:cs="宋体"/>
                <w:color w:val="000000"/>
                <w:sz w:val="24"/>
              </w:rPr>
            </w:pPr>
            <w:r>
              <w:rPr>
                <w:rFonts w:hint="eastAsia" w:ascii="宋体" w:hAnsi="宋体" w:cs="宋体"/>
                <w:b/>
                <w:color w:val="000000"/>
                <w:sz w:val="24"/>
              </w:rPr>
              <w:t>■</w:t>
            </w:r>
            <w:r>
              <w:rPr>
                <w:rFonts w:hint="eastAsia" w:ascii="宋体" w:hAnsi="宋体" w:cs="宋体"/>
                <w:color w:val="000000"/>
                <w:sz w:val="24"/>
              </w:rPr>
              <w:t>成交供应商</w:t>
            </w:r>
          </w:p>
          <w:p>
            <w:pPr>
              <w:spacing w:line="276" w:lineRule="auto"/>
              <w:jc w:val="left"/>
              <w:rPr>
                <w:rFonts w:ascii="宋体" w:hAnsi="宋体" w:cs="宋体"/>
                <w:color w:val="000000"/>
                <w:sz w:val="24"/>
                <w:u w:val="single"/>
              </w:rPr>
            </w:pPr>
            <w:r>
              <w:rPr>
                <w:rFonts w:hint="eastAsia" w:ascii="宋体" w:hAnsi="宋体" w:cs="宋体"/>
                <w:color w:val="000000"/>
                <w:sz w:val="24"/>
              </w:rPr>
              <w:t>收费标准：</w:t>
            </w:r>
            <w:r>
              <w:rPr>
                <w:rFonts w:hint="eastAsia" w:ascii="宋体" w:hAnsi="宋体" w:cs="宋体"/>
                <w:color w:val="000000"/>
                <w:sz w:val="24"/>
                <w:u w:val="single"/>
              </w:rPr>
              <w:t>参照国家发展计划委员会颁发的《招标代理服务收费管理暂行办法》（计价格[2002]1980号）和《国家发展改革委办公厅关于采购代理服务收费有关问题的通知》（发改办价格[2003]857号）执行，</w:t>
            </w:r>
            <w:r>
              <w:rPr>
                <w:rFonts w:hint="eastAsia" w:ascii="宋体" w:hAnsi="宋体"/>
                <w:color w:val="000000"/>
                <w:sz w:val="24"/>
                <w:u w:val="single"/>
              </w:rPr>
              <w:t>以最终成交金额为基数计算为准</w:t>
            </w:r>
            <w:r>
              <w:rPr>
                <w:rFonts w:hint="eastAsia" w:ascii="宋体" w:hAnsi="宋体" w:cs="宋体"/>
                <w:color w:val="000000"/>
                <w:sz w:val="24"/>
              </w:rPr>
              <w:t>；</w:t>
            </w:r>
          </w:p>
          <w:p>
            <w:pPr>
              <w:spacing w:line="360" w:lineRule="auto"/>
              <w:jc w:val="left"/>
              <w:rPr>
                <w:sz w:val="24"/>
              </w:rPr>
            </w:pPr>
            <w:r>
              <w:rPr>
                <w:rFonts w:hint="eastAsia" w:ascii="宋体" w:hAnsi="宋体" w:cs="宋体"/>
                <w:color w:val="000000"/>
                <w:sz w:val="24"/>
              </w:rPr>
              <w:t>缴纳时间：</w:t>
            </w:r>
            <w:r>
              <w:rPr>
                <w:rFonts w:hint="eastAsia" w:ascii="宋体" w:hAnsi="宋体" w:cs="宋体"/>
                <w:color w:val="000000"/>
                <w:sz w:val="24"/>
                <w:u w:val="single"/>
              </w:rPr>
              <w:t>/</w:t>
            </w:r>
            <w:r>
              <w:rPr>
                <w:rFonts w:hint="eastAsia" w:ascii="宋体" w:hAnsi="宋体" w:cs="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8" w:type="dxa"/>
            <w:noWrap w:val="0"/>
            <w:vAlign w:val="center"/>
          </w:tcPr>
          <w:p>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16.1</w:t>
            </w:r>
          </w:p>
        </w:tc>
        <w:tc>
          <w:tcPr>
            <w:tcW w:w="1701" w:type="dxa"/>
            <w:noWrap w:val="0"/>
            <w:vAlign w:val="center"/>
          </w:tcPr>
          <w:p>
            <w:pPr>
              <w:spacing w:line="360" w:lineRule="auto"/>
              <w:jc w:val="center"/>
              <w:rPr>
                <w:sz w:val="24"/>
              </w:rPr>
            </w:pPr>
            <w:r>
              <w:rPr>
                <w:sz w:val="24"/>
              </w:rPr>
              <w:t>递交地点</w:t>
            </w:r>
          </w:p>
        </w:tc>
        <w:tc>
          <w:tcPr>
            <w:tcW w:w="7253" w:type="dxa"/>
            <w:noWrap w:val="0"/>
            <w:vAlign w:val="center"/>
          </w:tcPr>
          <w:p>
            <w:pPr>
              <w:spacing w:line="360" w:lineRule="auto"/>
              <w:jc w:val="left"/>
              <w:rPr>
                <w:sz w:val="24"/>
              </w:rPr>
            </w:pPr>
            <w:r>
              <w:rPr>
                <w:sz w:val="24"/>
              </w:rPr>
              <w:t>地点：</w:t>
            </w:r>
            <w:r>
              <w:rPr>
                <w:rFonts w:hint="eastAsia" w:ascii="宋体" w:hAnsi="宋体" w:cs="宋体"/>
                <w:sz w:val="24"/>
                <w:lang w:eastAsia="zh-CN"/>
              </w:rPr>
              <w:t>北京市东城区崇文门外大街90号XX会议室</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22.5</w:t>
            </w:r>
          </w:p>
        </w:tc>
        <w:tc>
          <w:tcPr>
            <w:tcW w:w="1701" w:type="dxa"/>
            <w:noWrap w:val="0"/>
            <w:vAlign w:val="center"/>
          </w:tcPr>
          <w:p>
            <w:pPr>
              <w:spacing w:line="360" w:lineRule="auto"/>
              <w:jc w:val="center"/>
              <w:rPr>
                <w:sz w:val="24"/>
              </w:rPr>
            </w:pPr>
            <w:r>
              <w:rPr>
                <w:sz w:val="24"/>
              </w:rPr>
              <w:t>分包</w:t>
            </w:r>
          </w:p>
        </w:tc>
        <w:tc>
          <w:tcPr>
            <w:tcW w:w="7253" w:type="dxa"/>
            <w:noWrap w:val="0"/>
            <w:vAlign w:val="center"/>
          </w:tcPr>
          <w:p>
            <w:pPr>
              <w:spacing w:line="360" w:lineRule="auto"/>
              <w:jc w:val="left"/>
              <w:rPr>
                <w:sz w:val="24"/>
              </w:rPr>
            </w:pPr>
            <w:r>
              <w:rPr>
                <w:sz w:val="24"/>
              </w:rPr>
              <w:t xml:space="preserve">本项目是否允许分包： </w:t>
            </w:r>
          </w:p>
          <w:p>
            <w:pPr>
              <w:spacing w:line="360" w:lineRule="auto"/>
              <w:jc w:val="left"/>
              <w:rPr>
                <w:sz w:val="24"/>
              </w:rPr>
            </w:pPr>
            <w:r>
              <w:rPr>
                <w:b/>
                <w:color w:val="000000"/>
                <w:sz w:val="24"/>
              </w:rPr>
              <w:t>■</w:t>
            </w:r>
            <w:r>
              <w:rPr>
                <w:sz w:val="24"/>
              </w:rPr>
              <w:t>不允许</w:t>
            </w:r>
          </w:p>
          <w:p>
            <w:pPr>
              <w:spacing w:line="360" w:lineRule="auto"/>
              <w:jc w:val="left"/>
              <w:rPr>
                <w:sz w:val="24"/>
              </w:rPr>
            </w:pPr>
            <w:r>
              <w:rPr>
                <w:sz w:val="24"/>
              </w:rPr>
              <w:t>□允许，具体要求：</w:t>
            </w:r>
          </w:p>
          <w:p>
            <w:pPr>
              <w:spacing w:line="360" w:lineRule="auto"/>
              <w:jc w:val="left"/>
              <w:rPr>
                <w:sz w:val="24"/>
              </w:rPr>
            </w:pPr>
            <w:r>
              <w:rPr>
                <w:sz w:val="24"/>
              </w:rPr>
              <w:t>（1）可以分包履行的具体内容：</w:t>
            </w:r>
            <w:r>
              <w:rPr>
                <w:rFonts w:hint="eastAsia"/>
                <w:sz w:val="24"/>
                <w:u w:val="single"/>
              </w:rPr>
              <w:t>/</w:t>
            </w:r>
            <w:r>
              <w:rPr>
                <w:sz w:val="24"/>
              </w:rPr>
              <w:t>；</w:t>
            </w:r>
          </w:p>
          <w:p>
            <w:pPr>
              <w:spacing w:line="360" w:lineRule="auto"/>
              <w:jc w:val="left"/>
              <w:rPr>
                <w:sz w:val="24"/>
              </w:rPr>
            </w:pPr>
            <w:r>
              <w:rPr>
                <w:sz w:val="24"/>
              </w:rPr>
              <w:t>（2）允许分包的金额或者比例：</w:t>
            </w:r>
            <w:r>
              <w:rPr>
                <w:rFonts w:hint="eastAsia"/>
                <w:sz w:val="24"/>
                <w:u w:val="single"/>
              </w:rPr>
              <w:t>/</w:t>
            </w:r>
            <w:r>
              <w:rPr>
                <w:sz w:val="24"/>
              </w:rPr>
              <w:t>；</w:t>
            </w:r>
          </w:p>
          <w:p>
            <w:pPr>
              <w:spacing w:line="360" w:lineRule="auto"/>
              <w:jc w:val="left"/>
              <w:rPr>
                <w:sz w:val="24"/>
                <w:u w:val="single"/>
              </w:rPr>
            </w:pPr>
            <w:r>
              <w:rPr>
                <w:sz w:val="24"/>
              </w:rPr>
              <w:t>（3）其他要求：</w:t>
            </w:r>
            <w:r>
              <w:rPr>
                <w:rFonts w:hint="eastAsia"/>
                <w:sz w:val="24"/>
                <w:u w:val="single"/>
              </w:rPr>
              <w:t>/</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23.1.1</w:t>
            </w:r>
          </w:p>
        </w:tc>
        <w:tc>
          <w:tcPr>
            <w:tcW w:w="1701" w:type="dxa"/>
            <w:noWrap w:val="0"/>
            <w:vAlign w:val="center"/>
          </w:tcPr>
          <w:p>
            <w:pPr>
              <w:spacing w:line="360" w:lineRule="auto"/>
              <w:jc w:val="center"/>
              <w:rPr>
                <w:sz w:val="24"/>
              </w:rPr>
            </w:pPr>
            <w:r>
              <w:rPr>
                <w:sz w:val="24"/>
              </w:rPr>
              <w:t>询问</w:t>
            </w:r>
          </w:p>
        </w:tc>
        <w:tc>
          <w:tcPr>
            <w:tcW w:w="7253" w:type="dxa"/>
            <w:noWrap w:val="0"/>
            <w:vAlign w:val="center"/>
          </w:tcPr>
          <w:p>
            <w:pPr>
              <w:spacing w:line="360" w:lineRule="auto"/>
              <w:jc w:val="left"/>
              <w:rPr>
                <w:sz w:val="24"/>
              </w:rPr>
            </w:pPr>
            <w:r>
              <w:rPr>
                <w:sz w:val="24"/>
              </w:rPr>
              <w:t>询问送达形式：</w:t>
            </w:r>
            <w:r>
              <w:rPr>
                <w:rFonts w:hint="eastAsia" w:ascii="宋体" w:hAnsi="宋体" w:cs="宋体"/>
                <w:color w:val="000000"/>
                <w:sz w:val="24"/>
                <w:u w:val="single"/>
              </w:rPr>
              <w:t>以书面或邮件（扫描原件）的形式，电子邮箱：</w:t>
            </w:r>
            <w:r>
              <w:fldChar w:fldCharType="begin"/>
            </w:r>
            <w:r>
              <w:instrText xml:space="preserve"> HYPERLINK "mailto:maruosha@126.com" </w:instrText>
            </w:r>
            <w:r>
              <w:fldChar w:fldCharType="separate"/>
            </w:r>
            <w:r>
              <w:rPr>
                <w:rStyle w:val="51"/>
                <w:rFonts w:hint="eastAsia" w:ascii="宋体" w:hAnsi="宋体" w:cs="宋体"/>
                <w:color w:val="000000"/>
                <w:sz w:val="24"/>
                <w:lang w:val="en-US" w:eastAsia="zh-CN"/>
              </w:rPr>
              <w:t>710280222</w:t>
            </w:r>
            <w:r>
              <w:rPr>
                <w:rStyle w:val="51"/>
                <w:rFonts w:hint="eastAsia" w:ascii="宋体" w:hAnsi="宋体" w:cs="宋体"/>
                <w:color w:val="000000"/>
                <w:sz w:val="24"/>
              </w:rPr>
              <w:t>@qq.com</w:t>
            </w:r>
            <w:r>
              <w:rPr>
                <w:rStyle w:val="51"/>
                <w:rFonts w:ascii="宋体" w:hAnsi="宋体" w:cs="宋体"/>
                <w:color w:val="000000"/>
                <w:sz w:val="24"/>
              </w:rPr>
              <w:fldChar w:fldCharType="end"/>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23.3</w:t>
            </w:r>
          </w:p>
        </w:tc>
        <w:tc>
          <w:tcPr>
            <w:tcW w:w="1701" w:type="dxa"/>
            <w:noWrap w:val="0"/>
            <w:vAlign w:val="center"/>
          </w:tcPr>
          <w:p>
            <w:pPr>
              <w:spacing w:line="360" w:lineRule="auto"/>
              <w:jc w:val="center"/>
              <w:rPr>
                <w:sz w:val="24"/>
              </w:rPr>
            </w:pPr>
            <w:r>
              <w:rPr>
                <w:sz w:val="24"/>
              </w:rPr>
              <w:t>联系方式</w:t>
            </w:r>
          </w:p>
        </w:tc>
        <w:tc>
          <w:tcPr>
            <w:tcW w:w="7253" w:type="dxa"/>
            <w:noWrap w:val="0"/>
            <w:vAlign w:val="center"/>
          </w:tcPr>
          <w:p>
            <w:pPr>
              <w:spacing w:line="360" w:lineRule="auto"/>
              <w:jc w:val="left"/>
              <w:rPr>
                <w:sz w:val="24"/>
              </w:rPr>
            </w:pPr>
            <w:r>
              <w:rPr>
                <w:sz w:val="24"/>
              </w:rPr>
              <w:t>接收询问和质疑的联系方式</w:t>
            </w:r>
          </w:p>
          <w:p>
            <w:pPr>
              <w:spacing w:line="360" w:lineRule="auto"/>
              <w:jc w:val="left"/>
              <w:rPr>
                <w:sz w:val="24"/>
              </w:rPr>
            </w:pPr>
            <w:r>
              <w:rPr>
                <w:sz w:val="24"/>
              </w:rPr>
              <w:t>联系部门：</w:t>
            </w:r>
            <w:r>
              <w:rPr>
                <w:rFonts w:hint="eastAsia"/>
                <w:color w:val="000000"/>
                <w:sz w:val="24"/>
                <w:u w:val="single"/>
                <w:lang w:eastAsia="zh-CN"/>
              </w:rPr>
              <w:t>北京市京发招标有限公司</w:t>
            </w:r>
            <w:r>
              <w:rPr>
                <w:sz w:val="24"/>
              </w:rPr>
              <w:t>；</w:t>
            </w:r>
          </w:p>
          <w:p>
            <w:pPr>
              <w:spacing w:line="360" w:lineRule="auto"/>
              <w:jc w:val="left"/>
              <w:rPr>
                <w:sz w:val="24"/>
              </w:rPr>
            </w:pPr>
            <w:r>
              <w:rPr>
                <w:sz w:val="24"/>
              </w:rPr>
              <w:t>联系电话：</w:t>
            </w:r>
            <w:r>
              <w:rPr>
                <w:rFonts w:hint="eastAsia"/>
                <w:sz w:val="24"/>
                <w:u w:val="single"/>
                <w:lang w:val="en-US" w:eastAsia="zh-CN"/>
              </w:rPr>
              <w:t>67169727</w:t>
            </w:r>
            <w:r>
              <w:rPr>
                <w:sz w:val="24"/>
              </w:rPr>
              <w:t>；</w:t>
            </w:r>
          </w:p>
          <w:p>
            <w:pPr>
              <w:spacing w:line="360" w:lineRule="auto"/>
              <w:jc w:val="left"/>
              <w:rPr>
                <w:sz w:val="24"/>
              </w:rPr>
            </w:pPr>
            <w:r>
              <w:rPr>
                <w:sz w:val="24"/>
              </w:rPr>
              <w:t>通讯地址：</w:t>
            </w:r>
            <w:r>
              <w:rPr>
                <w:rFonts w:hint="eastAsia"/>
                <w:color w:val="000000"/>
                <w:sz w:val="24"/>
                <w:u w:val="single"/>
                <w:lang w:eastAsia="zh-CN"/>
              </w:rPr>
              <w:t>北京市东城区崇文门外大街90号</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pPr>
              <w:pStyle w:val="23"/>
              <w:adjustRightInd w:val="0"/>
              <w:snapToGrid w:val="0"/>
              <w:jc w:val="center"/>
              <w:rPr>
                <w:rFonts w:hint="default" w:ascii="Times New Roman" w:hAnsi="Times New Roman"/>
                <w:sz w:val="24"/>
                <w:szCs w:val="24"/>
              </w:rPr>
            </w:pPr>
            <w:r>
              <w:rPr>
                <w:rFonts w:hint="default" w:ascii="宋体" w:hAnsi="宋体" w:eastAsia="宋体"/>
                <w:sz w:val="24"/>
                <w:szCs w:val="24"/>
              </w:rPr>
              <w:t>24.1</w:t>
            </w:r>
          </w:p>
        </w:tc>
        <w:tc>
          <w:tcPr>
            <w:tcW w:w="1701" w:type="dxa"/>
            <w:noWrap w:val="0"/>
            <w:vAlign w:val="center"/>
          </w:tcPr>
          <w:p>
            <w:pPr>
              <w:jc w:val="center"/>
              <w:rPr>
                <w:sz w:val="24"/>
              </w:rPr>
            </w:pPr>
            <w:r>
              <w:rPr>
                <w:rFonts w:ascii="宋体" w:hAnsi="宋体" w:eastAsia="宋体"/>
                <w:sz w:val="24"/>
              </w:rPr>
              <w:t>代理费</w:t>
            </w:r>
          </w:p>
        </w:tc>
        <w:tc>
          <w:tcPr>
            <w:tcW w:w="7253" w:type="dxa"/>
            <w:noWrap w:val="0"/>
            <w:vAlign w:val="center"/>
          </w:tcPr>
          <w:p>
            <w:pPr>
              <w:jc w:val="left"/>
              <w:rPr>
                <w:rFonts w:ascii="宋体" w:hAnsi="宋体" w:eastAsia="宋体"/>
                <w:sz w:val="24"/>
              </w:rPr>
            </w:pPr>
            <w:r>
              <w:rPr>
                <w:rFonts w:ascii="宋体" w:hAnsi="宋体" w:eastAsia="宋体"/>
                <w:sz w:val="24"/>
              </w:rPr>
              <w:t>收费对象：</w:t>
            </w:r>
          </w:p>
          <w:p>
            <w:pPr>
              <w:jc w:val="left"/>
              <w:rPr>
                <w:rFonts w:ascii="宋体" w:hAnsi="宋体" w:eastAsia="宋体"/>
                <w:sz w:val="24"/>
              </w:rPr>
            </w:pPr>
            <w:r>
              <w:rPr>
                <w:rFonts w:ascii="宋体" w:hAnsi="宋体" w:eastAsia="宋体"/>
                <w:sz w:val="24"/>
              </w:rPr>
              <w:t>□采购人</w:t>
            </w:r>
          </w:p>
          <w:p>
            <w:pPr>
              <w:jc w:val="left"/>
              <w:rPr>
                <w:rFonts w:ascii="宋体" w:hAnsi="宋体" w:eastAsia="宋体"/>
                <w:sz w:val="24"/>
              </w:rPr>
            </w:pPr>
            <w:r>
              <w:rPr>
                <w:rFonts w:ascii="宋体" w:hAnsi="宋体" w:eastAsia="宋体"/>
                <w:b/>
                <w:color w:val="000000"/>
                <w:sz w:val="24"/>
              </w:rPr>
              <w:t>■</w:t>
            </w:r>
            <w:r>
              <w:rPr>
                <w:rFonts w:ascii="宋体" w:hAnsi="宋体" w:eastAsia="宋体"/>
                <w:sz w:val="24"/>
              </w:rPr>
              <w:t>成交供应商</w:t>
            </w:r>
          </w:p>
          <w:p>
            <w:pPr>
              <w:jc w:val="left"/>
              <w:rPr>
                <w:rFonts w:ascii="宋体" w:hAnsi="宋体" w:eastAsia="宋体"/>
                <w:sz w:val="24"/>
                <w:u w:val="single"/>
              </w:rPr>
            </w:pPr>
            <w:r>
              <w:rPr>
                <w:rFonts w:ascii="宋体" w:hAnsi="宋体" w:eastAsia="宋体"/>
                <w:sz w:val="24"/>
              </w:rPr>
              <w:t>收费标准：</w:t>
            </w:r>
            <w:r>
              <w:rPr>
                <w:rFonts w:hint="eastAsia" w:ascii="宋体" w:hAnsi="宋体" w:eastAsia="宋体" w:cs="宋体"/>
                <w:color w:val="000000"/>
                <w:sz w:val="24"/>
                <w:u w:val="single"/>
              </w:rPr>
              <w:t>参照国家发展计划委员会颁发的《招标代理服务收费管理暂行办法》（计价格[2002]1980号）和《国家发展改革委办公厅关于采购代理服务收费有关问题的通知》（发改办价格[2003]857号）执行。以最终成交金额向成交人收取代理费。</w:t>
            </w:r>
          </w:p>
          <w:p>
            <w:pPr>
              <w:jc w:val="left"/>
              <w:rPr>
                <w:sz w:val="24"/>
              </w:rPr>
            </w:pPr>
            <w:r>
              <w:rPr>
                <w:rFonts w:ascii="宋体" w:hAnsi="宋体" w:eastAsia="宋体"/>
                <w:sz w:val="24"/>
              </w:rPr>
              <w:t>缴纳时间：</w:t>
            </w:r>
            <w:r>
              <w:rPr>
                <w:rFonts w:hint="eastAsia" w:ascii="宋体" w:hAnsi="宋体" w:eastAsia="宋体"/>
                <w:color w:val="000000"/>
                <w:sz w:val="24"/>
                <w:u w:val="single"/>
              </w:rPr>
              <w:t>成交供应商在成交通知书发出之日起5个工作日内向采购代理机构缴付成交服务费</w:t>
            </w:r>
            <w:r>
              <w:rPr>
                <w:rFonts w:ascii="宋体" w:hAnsi="宋体" w:eastAsia="宋体"/>
                <w:sz w:val="24"/>
              </w:rPr>
              <w:t xml:space="preserve">。          </w:t>
            </w:r>
          </w:p>
        </w:tc>
      </w:tr>
    </w:tbl>
    <w:p>
      <w:pPr>
        <w:tabs>
          <w:tab w:val="left" w:pos="5580"/>
        </w:tabs>
        <w:adjustRightInd w:val="0"/>
        <w:spacing w:line="360" w:lineRule="auto"/>
        <w:jc w:val="distribute"/>
        <w:rPr>
          <w:sz w:val="24"/>
        </w:rPr>
        <w:sectPr>
          <w:headerReference r:id="rId7" w:type="default"/>
          <w:footerReference r:id="rId8"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b/>
          <w:sz w:val="28"/>
          <w:szCs w:val="28"/>
        </w:rPr>
      </w:pPr>
      <w:bookmarkStart w:id="70" w:name="_Toc226965790"/>
      <w:bookmarkStart w:id="71" w:name="_Toc353873662"/>
      <w:bookmarkStart w:id="72" w:name="_Toc127151517"/>
      <w:bookmarkStart w:id="73" w:name="_Toc353825542"/>
      <w:bookmarkStart w:id="74" w:name="_Toc150774722"/>
      <w:bookmarkStart w:id="75" w:name="_Toc264969207"/>
      <w:bookmarkStart w:id="76" w:name="_Toc265228355"/>
      <w:bookmarkStart w:id="77" w:name="_Toc195842882"/>
      <w:bookmarkStart w:id="78" w:name="_Toc142311019"/>
      <w:bookmarkStart w:id="79" w:name="_Toc150480755"/>
      <w:bookmarkStart w:id="80" w:name="_Toc226337213"/>
      <w:bookmarkStart w:id="81" w:name="_Toc305158859"/>
      <w:bookmarkStart w:id="82" w:name="_Toc353873932"/>
      <w:bookmarkStart w:id="83" w:name="_Toc305158785"/>
      <w:r>
        <w:rPr>
          <w:b/>
          <w:sz w:val="28"/>
          <w:szCs w:val="28"/>
        </w:rPr>
        <w:t>供应商须知</w:t>
      </w:r>
      <w:bookmarkEnd w:id="70"/>
      <w:bookmarkEnd w:id="71"/>
      <w:bookmarkEnd w:id="72"/>
      <w:bookmarkEnd w:id="73"/>
      <w:bookmarkEnd w:id="74"/>
      <w:bookmarkEnd w:id="75"/>
      <w:bookmarkEnd w:id="76"/>
      <w:bookmarkEnd w:id="77"/>
      <w:bookmarkEnd w:id="78"/>
      <w:bookmarkEnd w:id="79"/>
      <w:bookmarkEnd w:id="80"/>
      <w:bookmarkEnd w:id="81"/>
      <w:bookmarkEnd w:id="82"/>
      <w:bookmarkEnd w:id="83"/>
    </w:p>
    <w:p>
      <w:pPr>
        <w:pStyle w:val="3"/>
        <w:tabs>
          <w:tab w:val="center" w:pos="4592"/>
          <w:tab w:val="left" w:pos="7860"/>
        </w:tabs>
        <w:spacing w:before="0" w:line="360" w:lineRule="auto"/>
        <w:jc w:val="left"/>
        <w:rPr>
          <w:rFonts w:ascii="Times New Roman" w:hAnsi="Times New Roman" w:eastAsia="宋体"/>
          <w:sz w:val="28"/>
        </w:rPr>
      </w:pPr>
      <w:bookmarkStart w:id="84" w:name="_Toc127151518"/>
      <w:bookmarkStart w:id="85" w:name="_Toc520356143"/>
      <w:r>
        <w:rPr>
          <w:rFonts w:ascii="Times New Roman" w:hAnsi="Times New Roman" w:eastAsia="宋体"/>
          <w:sz w:val="28"/>
        </w:rPr>
        <w:tab/>
      </w:r>
      <w:bookmarkStart w:id="86" w:name="_Toc226965708"/>
      <w:bookmarkStart w:id="87" w:name="_Toc226337214"/>
      <w:bookmarkStart w:id="88" w:name="_Toc151193616"/>
      <w:bookmarkStart w:id="89" w:name="_Toc226965791"/>
      <w:bookmarkStart w:id="90" w:name="_Toc151193760"/>
      <w:bookmarkStart w:id="91" w:name="_Toc151193832"/>
      <w:bookmarkStart w:id="92" w:name="_Toc150509269"/>
      <w:bookmarkStart w:id="93" w:name="_Toc151190145"/>
      <w:bookmarkStart w:id="94" w:name="_Toc264969208"/>
      <w:bookmarkStart w:id="95" w:name="_Toc305158860"/>
      <w:bookmarkStart w:id="96" w:name="_Toc195842883"/>
      <w:bookmarkStart w:id="97" w:name="_Toc150774618"/>
      <w:bookmarkStart w:id="98" w:name="_Toc150480756"/>
      <w:bookmarkStart w:id="99" w:name="_Toc151193906"/>
      <w:bookmarkStart w:id="100" w:name="_Toc151193688"/>
      <w:bookmarkStart w:id="101" w:name="_Toc142311020"/>
      <w:bookmarkStart w:id="102" w:name="_Toc305158786"/>
      <w:bookmarkStart w:id="103" w:name="_Toc226309762"/>
      <w:bookmarkStart w:id="104" w:name="_Toc265228356"/>
      <w:bookmarkStart w:id="105" w:name="_Toc150774723"/>
      <w:r>
        <w:rPr>
          <w:rFonts w:ascii="Times New Roman" w:hAnsi="Times New Roman" w:eastAsia="宋体"/>
          <w:sz w:val="28"/>
        </w:rPr>
        <w:t>一   说  明</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Pr>
          <w:rFonts w:ascii="Times New Roman" w:hAnsi="Times New Roman" w:eastAsia="宋体"/>
          <w:sz w:val="28"/>
        </w:rPr>
        <w:tab/>
      </w:r>
    </w:p>
    <w:p>
      <w:pPr>
        <w:numPr>
          <w:ilvl w:val="0"/>
          <w:numId w:val="8"/>
        </w:numPr>
        <w:tabs>
          <w:tab w:val="left" w:pos="360"/>
          <w:tab w:val="clear" w:pos="900"/>
        </w:tabs>
        <w:snapToGrid w:val="0"/>
        <w:spacing w:line="360" w:lineRule="auto"/>
        <w:ind w:left="357" w:hanging="357"/>
        <w:outlineLvl w:val="1"/>
        <w:rPr>
          <w:sz w:val="24"/>
        </w:rPr>
      </w:pPr>
      <w:bookmarkStart w:id="106" w:name="_Toc305158861"/>
      <w:bookmarkStart w:id="107" w:name="_Toc264969209"/>
      <w:bookmarkStart w:id="108" w:name="_Toc265228357"/>
      <w:bookmarkStart w:id="109" w:name="_Toc305158787"/>
      <w:r>
        <w:rPr>
          <w:sz w:val="24"/>
        </w:rPr>
        <w:t>采购人、采购代理机构、供应商（申请人）</w:t>
      </w:r>
      <w:bookmarkEnd w:id="106"/>
      <w:bookmarkEnd w:id="107"/>
      <w:bookmarkEnd w:id="108"/>
      <w:bookmarkEnd w:id="109"/>
      <w:r>
        <w:rPr>
          <w:sz w:val="24"/>
        </w:rPr>
        <w:t>、联合体</w:t>
      </w:r>
    </w:p>
    <w:p>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sz w:val="24"/>
        </w:rPr>
      </w:pPr>
      <w:bookmarkStart w:id="110" w:name="_Toc226965710"/>
      <w:bookmarkStart w:id="111" w:name="_Toc127151721"/>
      <w:bookmarkStart w:id="112" w:name="_Toc151193690"/>
      <w:bookmarkStart w:id="113" w:name="_Toc150774725"/>
      <w:bookmarkStart w:id="114" w:name="_Toc151193762"/>
      <w:bookmarkStart w:id="115" w:name="_Toc150480758"/>
      <w:bookmarkStart w:id="116" w:name="_Toc164351614"/>
      <w:bookmarkStart w:id="117" w:name="_Toc151193908"/>
      <w:bookmarkStart w:id="118" w:name="_Toc151193618"/>
      <w:bookmarkStart w:id="119" w:name="_Toc149720813"/>
      <w:bookmarkStart w:id="120" w:name="_Toc195842885"/>
      <w:bookmarkStart w:id="121" w:name="_Toc305158862"/>
      <w:bookmarkStart w:id="122" w:name="_Toc127151520"/>
      <w:bookmarkStart w:id="123" w:name="_Toc226309764"/>
      <w:bookmarkStart w:id="124" w:name="_Toc226337216"/>
      <w:bookmarkStart w:id="125" w:name="_Toc164229215"/>
      <w:bookmarkStart w:id="126" w:name="_Toc164608634"/>
      <w:bookmarkStart w:id="127" w:name="_Toc151193834"/>
      <w:bookmarkStart w:id="128" w:name="_Toc142311022"/>
      <w:bookmarkStart w:id="129" w:name="_Toc151190147"/>
      <w:bookmarkStart w:id="130" w:name="_Toc150509271"/>
      <w:bookmarkStart w:id="131" w:name="_Toc226965793"/>
      <w:bookmarkStart w:id="132" w:name="_Toc164229361"/>
      <w:bookmarkStart w:id="133" w:name="_Toc127161434"/>
      <w:bookmarkStart w:id="134" w:name="_Toc305158788"/>
      <w:bookmarkStart w:id="135" w:name="_Toc164608789"/>
      <w:bookmarkStart w:id="136" w:name="_Toc264969210"/>
      <w:bookmarkStart w:id="137" w:name="_Toc265228358"/>
      <w:bookmarkStart w:id="138" w:name="_Toc150774620"/>
      <w:r>
        <w:rPr>
          <w:sz w:val="24"/>
        </w:rPr>
        <w:t>资金来源</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sz w:val="24"/>
        </w:rPr>
        <w:t>、科研仪器设备采购</w:t>
      </w:r>
    </w:p>
    <w:p>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pPr>
        <w:numPr>
          <w:ilvl w:val="0"/>
          <w:numId w:val="8"/>
        </w:numPr>
        <w:tabs>
          <w:tab w:val="left" w:pos="360"/>
          <w:tab w:val="clear" w:pos="900"/>
        </w:tabs>
        <w:snapToGrid w:val="0"/>
        <w:spacing w:line="360" w:lineRule="auto"/>
        <w:ind w:left="357" w:hanging="357"/>
        <w:outlineLvl w:val="1"/>
        <w:rPr>
          <w:sz w:val="24"/>
        </w:rPr>
      </w:pPr>
      <w:bookmarkStart w:id="139" w:name="_Toc226337218"/>
      <w:bookmarkStart w:id="140" w:name="_Toc151193836"/>
      <w:bookmarkStart w:id="141" w:name="_Toc142311024"/>
      <w:bookmarkStart w:id="142" w:name="_Toc151193910"/>
      <w:bookmarkStart w:id="143" w:name="_Toc264969212"/>
      <w:bookmarkStart w:id="144" w:name="_Toc520356146"/>
      <w:bookmarkStart w:id="145" w:name="_Toc195842887"/>
      <w:bookmarkStart w:id="146" w:name="_Toc127151522"/>
      <w:bookmarkStart w:id="147" w:name="_Toc150774622"/>
      <w:bookmarkStart w:id="148" w:name="_Toc150509273"/>
      <w:bookmarkStart w:id="149" w:name="_Toc305158864"/>
      <w:bookmarkStart w:id="150" w:name="_Toc151193764"/>
      <w:bookmarkStart w:id="151" w:name="_Toc150774727"/>
      <w:bookmarkStart w:id="152" w:name="_Toc305158790"/>
      <w:bookmarkStart w:id="153" w:name="_Toc151190149"/>
      <w:bookmarkStart w:id="154" w:name="_Toc151193692"/>
      <w:bookmarkStart w:id="155" w:name="_Toc265228360"/>
      <w:bookmarkStart w:id="156" w:name="_Toc226965712"/>
      <w:bookmarkStart w:id="157" w:name="_Toc151193620"/>
      <w:bookmarkStart w:id="158" w:name="_Toc226309766"/>
      <w:bookmarkStart w:id="159" w:name="_Toc226965795"/>
      <w:bookmarkStart w:id="160" w:name="_Toc150480760"/>
      <w:r>
        <w:rPr>
          <w:sz w:val="24"/>
        </w:rPr>
        <w:t>政府采购政策（包括但不限于下列具体政策要求）</w:t>
      </w:r>
    </w:p>
    <w:p>
      <w:pPr>
        <w:numPr>
          <w:ilvl w:val="1"/>
          <w:numId w:val="8"/>
        </w:numPr>
        <w:tabs>
          <w:tab w:val="left" w:pos="1080"/>
          <w:tab w:val="left" w:pos="2014"/>
        </w:tabs>
        <w:snapToGrid w:val="0"/>
        <w:spacing w:line="360" w:lineRule="auto"/>
        <w:ind w:left="1080" w:hanging="720"/>
        <w:rPr>
          <w:sz w:val="24"/>
        </w:rPr>
      </w:pPr>
      <w:r>
        <w:rPr>
          <w:sz w:val="24"/>
        </w:rPr>
        <w:t>采购本国货物、工程和服务</w:t>
      </w:r>
    </w:p>
    <w:p>
      <w:pPr>
        <w:numPr>
          <w:ilvl w:val="2"/>
          <w:numId w:val="8"/>
        </w:numPr>
        <w:tabs>
          <w:tab w:val="left" w:pos="2014"/>
        </w:tabs>
        <w:snapToGrid w:val="0"/>
        <w:spacing w:line="360" w:lineRule="auto"/>
        <w:rPr>
          <w:rFonts w:hint="eastAsia"/>
          <w:sz w:val="24"/>
        </w:rPr>
      </w:pPr>
      <w:r>
        <w:rPr>
          <w:rFonts w:hint="eastAsia"/>
          <w:sz w:val="24"/>
        </w:rPr>
        <w:t>政府采购应当采购本国货物、工程和服务。但有《中华人民共和国政府采购法》第十条规定情形的除外。</w:t>
      </w:r>
    </w:p>
    <w:p>
      <w:pPr>
        <w:numPr>
          <w:ilvl w:val="2"/>
          <w:numId w:val="8"/>
        </w:numPr>
        <w:tabs>
          <w:tab w:val="left" w:pos="2014"/>
        </w:tabs>
        <w:snapToGrid w:val="0"/>
        <w:spacing w:line="360" w:lineRule="auto"/>
        <w:rPr>
          <w:rFonts w:hint="eastAsia"/>
          <w:sz w:val="24"/>
        </w:rPr>
      </w:pPr>
      <w:r>
        <w:rPr>
          <w:rFonts w:hint="eastAsia"/>
          <w:sz w:val="24"/>
        </w:rPr>
        <w:t>本项目如接受非本国货物、工程、服务参与投标，则具体要求见第四章《采购需求》。</w:t>
      </w:r>
    </w:p>
    <w:p>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8"/>
        </w:numPr>
        <w:snapToGrid w:val="0"/>
        <w:spacing w:line="360" w:lineRule="auto"/>
        <w:rPr>
          <w:sz w:val="24"/>
        </w:rPr>
      </w:pPr>
      <w:r>
        <w:rPr>
          <w:sz w:val="24"/>
        </w:rPr>
        <w:t>中小企业定义：</w:t>
      </w:r>
    </w:p>
    <w:p>
      <w:pPr>
        <w:numPr>
          <w:ilvl w:val="3"/>
          <w:numId w:val="9"/>
        </w:numPr>
        <w:tabs>
          <w:tab w:val="left" w:pos="1589"/>
          <w:tab w:val="left" w:pos="1980"/>
          <w:tab w:val="left" w:pos="2035"/>
          <w:tab w:val="left" w:pos="2885"/>
          <w:tab w:val="left" w:pos="2977"/>
          <w:tab w:val="clear" w:pos="900"/>
        </w:tabs>
        <w:snapToGrid w:val="0"/>
        <w:spacing w:line="360" w:lineRule="auto"/>
        <w:ind w:left="2885"/>
        <w:rPr>
          <w:color w:val="000000"/>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color w:val="000000"/>
          <w:sz w:val="24"/>
        </w:rPr>
        <w:t>。</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w:t>
      </w:r>
      <w:r>
        <w:rPr>
          <w:rFonts w:hint="eastAsia"/>
          <w:color w:val="000000"/>
          <w:sz w:val="24"/>
        </w:rPr>
        <w:t>合同法</w:t>
      </w:r>
      <w:r>
        <w:rPr>
          <w:color w:val="000000"/>
          <w:sz w:val="24"/>
        </w:rPr>
        <w:t>》订立劳动合同的从业人员。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sz w:val="24"/>
        </w:rPr>
      </w:pPr>
      <w:r>
        <w:rPr>
          <w:sz w:val="24"/>
        </w:rPr>
        <w:t>在政府采购活动中，监狱企业视同小型、微型企业，享受预留份额、评审中价格扣除等政策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sz w:val="24"/>
        </w:rPr>
      </w:pPr>
      <w:r>
        <w:rPr>
          <w:sz w:val="24"/>
        </w:rPr>
        <w:t>在政府采购活动中，残疾人福利性单位视同小型、微型企业，享受预留份额、评审中价格扣除等政策采购促进中小企业发展的政府采购政策。残疾人福利单位定义：享受政府采购支持政策的残疾人福利性单位应当同时满足以下条件：</w:t>
      </w:r>
    </w:p>
    <w:p>
      <w:pPr>
        <w:numPr>
          <w:ilvl w:val="3"/>
          <w:numId w:val="10"/>
        </w:numPr>
        <w:tabs>
          <w:tab w:val="left" w:pos="1980"/>
          <w:tab w:val="left" w:pos="203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安置的残疾人占本单位在职职工人数的比例不低于25%（含25%），并且安置的残疾人人数不少于10人（含10人）；</w:t>
      </w:r>
    </w:p>
    <w:p>
      <w:pPr>
        <w:numPr>
          <w:ilvl w:val="3"/>
          <w:numId w:val="10"/>
        </w:numPr>
        <w:tabs>
          <w:tab w:val="left" w:pos="1980"/>
          <w:tab w:val="left" w:pos="2035"/>
          <w:tab w:val="left" w:pos="2977"/>
        </w:tabs>
        <w:snapToGrid w:val="0"/>
        <w:spacing w:line="360" w:lineRule="auto"/>
        <w:ind w:left="2885"/>
        <w:rPr>
          <w:color w:val="000000"/>
          <w:sz w:val="24"/>
        </w:rPr>
      </w:pPr>
      <w:r>
        <w:rPr>
          <w:sz w:val="24"/>
        </w:rPr>
        <w:t>依法与安置的每位残疾人签订了一年以上（含一年）的劳动合同或服务协议；</w:t>
      </w:r>
    </w:p>
    <w:p>
      <w:pPr>
        <w:numPr>
          <w:ilvl w:val="3"/>
          <w:numId w:val="10"/>
        </w:numPr>
        <w:tabs>
          <w:tab w:val="left" w:pos="1980"/>
          <w:tab w:val="left" w:pos="203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pPr>
        <w:numPr>
          <w:ilvl w:val="3"/>
          <w:numId w:val="10"/>
        </w:numPr>
        <w:tabs>
          <w:tab w:val="left" w:pos="1980"/>
          <w:tab w:val="left" w:pos="203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pPr>
        <w:numPr>
          <w:ilvl w:val="3"/>
          <w:numId w:val="10"/>
        </w:numPr>
        <w:tabs>
          <w:tab w:val="left" w:pos="1980"/>
          <w:tab w:val="left" w:pos="203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pPr>
        <w:numPr>
          <w:ilvl w:val="3"/>
          <w:numId w:val="10"/>
        </w:numPr>
        <w:tabs>
          <w:tab w:val="left" w:pos="1980"/>
          <w:tab w:val="left" w:pos="2035"/>
          <w:tab w:val="left" w:pos="2977"/>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sz w:val="24"/>
        </w:rPr>
      </w:pPr>
      <w:r>
        <w:rPr>
          <w:sz w:val="24"/>
        </w:rPr>
        <w:t>本项目是否专门面向中小企业预留采购份额见第一章《采购邀请》。</w:t>
      </w:r>
    </w:p>
    <w:p>
      <w:pPr>
        <w:numPr>
          <w:ilvl w:val="2"/>
          <w:numId w:val="8"/>
        </w:numPr>
        <w:snapToGrid w:val="0"/>
        <w:spacing w:line="360" w:lineRule="auto"/>
        <w:rPr>
          <w:sz w:val="24"/>
        </w:rPr>
      </w:pPr>
      <w:r>
        <w:rPr>
          <w:sz w:val="24"/>
        </w:rPr>
        <w:t>采购标的对应的中小企业划分标准所属行业见《供应商须知资料表》。</w:t>
      </w:r>
    </w:p>
    <w:p>
      <w:pPr>
        <w:numPr>
          <w:ilvl w:val="2"/>
          <w:numId w:val="8"/>
        </w:numPr>
        <w:snapToGrid w:val="0"/>
        <w:spacing w:line="360" w:lineRule="auto"/>
        <w:rPr>
          <w:sz w:val="24"/>
        </w:rPr>
      </w:pPr>
      <w:r>
        <w:rPr>
          <w:sz w:val="24"/>
        </w:rPr>
        <w:t>小微企业价格评审优惠的政策调整：不适用。</w:t>
      </w:r>
    </w:p>
    <w:p>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pPr>
        <w:numPr>
          <w:ilvl w:val="2"/>
          <w:numId w:val="8"/>
        </w:numPr>
        <w:snapToGrid w:val="0"/>
        <w:spacing w:line="360" w:lineRule="auto"/>
        <w:rPr>
          <w:sz w:val="24"/>
        </w:rPr>
      </w:pPr>
      <w:r>
        <w:rPr>
          <w:sz w:val="24"/>
        </w:rPr>
        <w:t>非政府强制采购的节能产品或环境标志产品，依据品目清单和认证证书实施政府优先采购。如涉及，供应商优先提供此类产品。</w:t>
      </w:r>
    </w:p>
    <w:p>
      <w:pPr>
        <w:numPr>
          <w:ilvl w:val="1"/>
          <w:numId w:val="8"/>
        </w:numPr>
        <w:tabs>
          <w:tab w:val="left" w:pos="1080"/>
          <w:tab w:val="left" w:pos="2014"/>
        </w:tabs>
        <w:snapToGrid w:val="0"/>
        <w:spacing w:line="360" w:lineRule="auto"/>
        <w:ind w:left="1080" w:hanging="720"/>
        <w:rPr>
          <w:sz w:val="24"/>
        </w:rPr>
      </w:pPr>
      <w:r>
        <w:rPr>
          <w:sz w:val="24"/>
        </w:rPr>
        <w:t>正版软件</w:t>
      </w:r>
    </w:p>
    <w:p>
      <w:pPr>
        <w:numPr>
          <w:ilvl w:val="2"/>
          <w:numId w:val="8"/>
        </w:numPr>
        <w:snapToGrid w:val="0"/>
        <w:spacing w:line="360" w:lineRule="auto"/>
        <w:rPr>
          <w:sz w:val="24"/>
        </w:rPr>
      </w:pPr>
      <w:r>
        <w:rPr>
          <w:sz w:val="24"/>
        </w:rPr>
        <w:t>依据《财政部 国家发展改革委 信息产业部关于印发无线局域网产品政府采购实施意见的通知》（财库〔</w:t>
      </w:r>
      <w:r>
        <w:rPr>
          <w:rFonts w:hint="eastAsia"/>
          <w:sz w:val="24"/>
        </w:rPr>
        <w:t>2005</w:t>
      </w:r>
      <w:r>
        <w:rPr>
          <w:sz w:val="24"/>
        </w:rPr>
        <w:t>〕366号），采购无线局域网产品和含有无线局域网功能的计算机、通信设备、打印机、复印机、投影仪等产品的，优先采购符合国家无线局域网安全标准（GB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hint="eastAsia"/>
          <w:sz w:val="24"/>
        </w:rPr>
        <w:t>2006</w:t>
      </w:r>
      <w:r>
        <w:rPr>
          <w:sz w:val="24"/>
        </w:rPr>
        <w:t>〕1号）、《国务院办公厅关于进一步做好政府机关使用正版软件工作的通知》（国办发〔2010〕47号）、《财政部关于进一步做好政府机关使用正版软件工作的通知》（财预〔2010〕536号）。</w:t>
      </w:r>
    </w:p>
    <w:p>
      <w:pPr>
        <w:numPr>
          <w:ilvl w:val="1"/>
          <w:numId w:val="8"/>
        </w:numPr>
        <w:tabs>
          <w:tab w:val="left" w:pos="1080"/>
          <w:tab w:val="left" w:pos="2014"/>
        </w:tabs>
        <w:snapToGrid w:val="0"/>
        <w:spacing w:line="360" w:lineRule="auto"/>
        <w:ind w:left="1080" w:hanging="720"/>
        <w:rPr>
          <w:sz w:val="24"/>
        </w:rPr>
      </w:pPr>
      <w:r>
        <w:rPr>
          <w:sz w:val="24"/>
        </w:rPr>
        <w:t>信息安全产品</w:t>
      </w:r>
    </w:p>
    <w:p>
      <w:pPr>
        <w:numPr>
          <w:ilvl w:val="2"/>
          <w:numId w:val="8"/>
        </w:numPr>
        <w:tabs>
          <w:tab w:val="left" w:pos="2014"/>
        </w:tabs>
        <w:snapToGrid w:val="0"/>
        <w:spacing w:line="360" w:lineRule="auto"/>
        <w:rPr>
          <w:sz w:val="24"/>
        </w:rPr>
      </w:pPr>
      <w:r>
        <w:rPr>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pPr>
        <w:numPr>
          <w:ilvl w:val="2"/>
          <w:numId w:val="8"/>
        </w:numPr>
        <w:snapToGrid w:val="0"/>
        <w:spacing w:line="360" w:lineRule="auto"/>
        <w:rPr>
          <w:rFonts w:hint="eastAsia"/>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；属于推荐性标准的，如涉及，供应商优先提供此类产品。</w:t>
      </w:r>
    </w:p>
    <w:p>
      <w:pPr>
        <w:numPr>
          <w:ilvl w:val="1"/>
          <w:numId w:val="8"/>
        </w:numPr>
        <w:tabs>
          <w:tab w:val="left" w:pos="1080"/>
          <w:tab w:val="left" w:pos="2014"/>
        </w:tabs>
        <w:snapToGrid w:val="0"/>
        <w:spacing w:line="360" w:lineRule="auto"/>
        <w:ind w:left="1080" w:hanging="720"/>
        <w:rPr>
          <w:rFonts w:hint="eastAsia"/>
          <w:sz w:val="24"/>
        </w:rPr>
      </w:pPr>
      <w:r>
        <w:rPr>
          <w:sz w:val="24"/>
        </w:rPr>
        <w:t>采购需求标准</w:t>
      </w:r>
    </w:p>
    <w:p>
      <w:pPr>
        <w:numPr>
          <w:ilvl w:val="2"/>
          <w:numId w:val="8"/>
        </w:numPr>
        <w:snapToGrid w:val="0"/>
        <w:spacing w:line="360" w:lineRule="auto"/>
        <w:rPr>
          <w:rFonts w:hint="eastAsia"/>
          <w:sz w:val="24"/>
        </w:rPr>
      </w:pPr>
      <w:r>
        <w:rPr>
          <w:sz w:val="24"/>
        </w:rPr>
        <w:t>商品包装、快递包装政府采购需求标准（试行）</w:t>
      </w:r>
    </w:p>
    <w:p>
      <w:pPr>
        <w:tabs>
          <w:tab w:val="left" w:pos="1980"/>
        </w:tabs>
        <w:snapToGrid w:val="0"/>
        <w:spacing w:line="360" w:lineRule="auto"/>
        <w:ind w:left="1980"/>
        <w:rPr>
          <w:rFonts w:hint="eastAsia"/>
          <w:sz w:val="24"/>
        </w:rPr>
      </w:pPr>
      <w:r>
        <w:rPr>
          <w:rFonts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详见第四章《采购需求》。</w:t>
      </w:r>
    </w:p>
    <w:p>
      <w:pPr>
        <w:numPr>
          <w:ilvl w:val="2"/>
          <w:numId w:val="8"/>
        </w:numPr>
        <w:snapToGrid w:val="0"/>
        <w:spacing w:line="360" w:lineRule="auto"/>
        <w:rPr>
          <w:rFonts w:hint="eastAsia"/>
          <w:sz w:val="24"/>
        </w:rPr>
      </w:pPr>
      <w:r>
        <w:rPr>
          <w:sz w:val="24"/>
        </w:rPr>
        <w:t>绿色数据中心政府采购需求标准（试行）</w:t>
      </w:r>
    </w:p>
    <w:p>
      <w:pPr>
        <w:tabs>
          <w:tab w:val="left" w:pos="1980"/>
        </w:tabs>
        <w:snapToGrid w:val="0"/>
        <w:spacing w:line="360" w:lineRule="auto"/>
        <w:ind w:left="1980"/>
        <w:rPr>
          <w:sz w:val="24"/>
        </w:rPr>
      </w:pPr>
      <w:r>
        <w:rPr>
          <w:rFonts w:hint="eastAsia"/>
          <w:sz w:val="24"/>
        </w:rPr>
        <w:t>为加快数据中心绿色转型，根据财政部 生态环境部 工业和信息化部关于印发《绿色数据中心政府采购需求标准（试行）》的通知（财库[2023]7号），本项目如涉及绿色数据中心，则具体要求见第四章《采购需求》。</w:t>
      </w:r>
    </w:p>
    <w:p>
      <w:pPr>
        <w:numPr>
          <w:ilvl w:val="0"/>
          <w:numId w:val="8"/>
        </w:numPr>
        <w:tabs>
          <w:tab w:val="left" w:pos="360"/>
        </w:tabs>
        <w:snapToGrid w:val="0"/>
        <w:spacing w:line="360" w:lineRule="auto"/>
        <w:ind w:left="357" w:hanging="357"/>
        <w:outlineLvl w:val="1"/>
        <w:rPr>
          <w:sz w:val="24"/>
        </w:rPr>
      </w:pPr>
      <w:r>
        <w:rPr>
          <w:sz w:val="24"/>
        </w:rPr>
        <w:t>参与协商的费用</w:t>
      </w:r>
    </w:p>
    <w:p>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供应商应自行承担所有与准备和参加单一来源采购协商有关的费用，无论协商的结果如何，采购人或采购代理机构在任何情况下均无承担这些费用的义务和责任。</w:t>
      </w:r>
    </w:p>
    <w:p>
      <w:pPr>
        <w:tabs>
          <w:tab w:val="left" w:pos="1080"/>
        </w:tabs>
        <w:snapToGrid w:val="0"/>
        <w:spacing w:line="360" w:lineRule="auto"/>
        <w:ind w:left="1080"/>
        <w:rPr>
          <w:sz w:val="28"/>
        </w:rPr>
      </w:pPr>
      <w:bookmarkStart w:id="161" w:name="_1.8_计量单位"/>
      <w:bookmarkEnd w:id="161"/>
    </w:p>
    <w:p>
      <w:pPr>
        <w:pStyle w:val="3"/>
        <w:spacing w:before="0" w:line="360" w:lineRule="auto"/>
        <w:rPr>
          <w:rFonts w:ascii="Times New Roman" w:hAnsi="Times New Roman" w:eastAsia="宋体"/>
          <w:sz w:val="28"/>
        </w:rPr>
      </w:pPr>
      <w:r>
        <w:rPr>
          <w:rFonts w:ascii="Times New Roman" w:hAnsi="Times New Roman" w:eastAsia="宋体"/>
          <w:sz w:val="28"/>
        </w:rPr>
        <w:t xml:space="preserve">二   </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Pr>
          <w:rFonts w:ascii="Times New Roman" w:hAnsi="Times New Roman" w:eastAsia="宋体"/>
          <w:sz w:val="28"/>
        </w:rPr>
        <w:t>单一来源采购文件</w:t>
      </w:r>
    </w:p>
    <w:p>
      <w:pPr>
        <w:numPr>
          <w:ilvl w:val="0"/>
          <w:numId w:val="8"/>
        </w:numPr>
        <w:tabs>
          <w:tab w:val="left" w:pos="360"/>
        </w:tabs>
        <w:snapToGrid w:val="0"/>
        <w:spacing w:line="360" w:lineRule="auto"/>
        <w:ind w:left="357" w:hanging="357"/>
        <w:outlineLvl w:val="1"/>
        <w:rPr>
          <w:sz w:val="24"/>
        </w:rPr>
      </w:pPr>
      <w:bookmarkStart w:id="162" w:name="_Toc151193765"/>
      <w:bookmarkStart w:id="163" w:name="_Toc151193911"/>
      <w:bookmarkStart w:id="164" w:name="_Toc150480761"/>
      <w:bookmarkStart w:id="165" w:name="_Toc150509274"/>
      <w:bookmarkStart w:id="166" w:name="_Toc305158791"/>
      <w:bookmarkStart w:id="167" w:name="_Toc264969213"/>
      <w:bookmarkStart w:id="168" w:name="_Toc150774623"/>
      <w:bookmarkStart w:id="169" w:name="_Toc305158865"/>
      <w:bookmarkStart w:id="170" w:name="_Toc151193621"/>
      <w:bookmarkStart w:id="171" w:name="_Toc164608637"/>
      <w:bookmarkStart w:id="172" w:name="_Toc164351617"/>
      <w:bookmarkStart w:id="173" w:name="_Toc142311025"/>
      <w:bookmarkStart w:id="174" w:name="_Toc127161437"/>
      <w:bookmarkStart w:id="175" w:name="_Toc164229218"/>
      <w:bookmarkStart w:id="176" w:name="_Toc151193693"/>
      <w:bookmarkStart w:id="177" w:name="_Toc164608792"/>
      <w:bookmarkStart w:id="178" w:name="_Toc127151523"/>
      <w:bookmarkStart w:id="179" w:name="_Toc149720816"/>
      <w:bookmarkStart w:id="180" w:name="_Toc164229364"/>
      <w:bookmarkStart w:id="181" w:name="_Toc226965713"/>
      <w:bookmarkStart w:id="182" w:name="_Toc127151724"/>
      <w:bookmarkStart w:id="183" w:name="_Toc226337219"/>
      <w:bookmarkStart w:id="184" w:name="_Toc150774728"/>
      <w:bookmarkStart w:id="185" w:name="_Toc226309767"/>
      <w:bookmarkStart w:id="186" w:name="_Toc151190150"/>
      <w:bookmarkStart w:id="187" w:name="_Toc151193837"/>
      <w:bookmarkStart w:id="188" w:name="_Toc265228361"/>
      <w:bookmarkStart w:id="189" w:name="_Toc520356147"/>
      <w:bookmarkStart w:id="190" w:name="_Toc195842888"/>
      <w:bookmarkStart w:id="191" w:name="_Toc226965796"/>
      <w:r>
        <w:rPr>
          <w:sz w:val="24"/>
        </w:rPr>
        <w:t>单一来源采购文件构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sz w:val="24"/>
        </w:rPr>
        <w:t>成</w:t>
      </w:r>
    </w:p>
    <w:p>
      <w:pPr>
        <w:numPr>
          <w:ilvl w:val="1"/>
          <w:numId w:val="8"/>
        </w:numPr>
        <w:tabs>
          <w:tab w:val="left" w:pos="1080"/>
          <w:tab w:val="left" w:pos="2014"/>
        </w:tabs>
        <w:snapToGrid w:val="0"/>
        <w:spacing w:line="360" w:lineRule="auto"/>
        <w:ind w:left="1080" w:hanging="720"/>
        <w:rPr>
          <w:sz w:val="24"/>
        </w:rPr>
      </w:pPr>
      <w:r>
        <w:rPr>
          <w:sz w:val="24"/>
        </w:rPr>
        <w:t>单一来源采购文件包括以下部分：</w:t>
      </w:r>
    </w:p>
    <w:p>
      <w:pPr>
        <w:numPr>
          <w:ilvl w:val="0"/>
          <w:numId w:val="11"/>
        </w:numPr>
        <w:tabs>
          <w:tab w:val="left" w:pos="1980"/>
          <w:tab w:val="left" w:pos="2520"/>
        </w:tabs>
        <w:snapToGrid w:val="0"/>
        <w:spacing w:line="360" w:lineRule="auto"/>
        <w:ind w:left="1440" w:firstLine="5"/>
        <w:rPr>
          <w:sz w:val="24"/>
        </w:rPr>
      </w:pPr>
      <w:r>
        <w:rPr>
          <w:sz w:val="24"/>
        </w:rPr>
        <w:t>采购邀请</w:t>
      </w:r>
    </w:p>
    <w:p>
      <w:pPr>
        <w:numPr>
          <w:ilvl w:val="0"/>
          <w:numId w:val="11"/>
        </w:numPr>
        <w:tabs>
          <w:tab w:val="left" w:pos="1980"/>
          <w:tab w:val="left" w:pos="2520"/>
        </w:tabs>
        <w:snapToGrid w:val="0"/>
        <w:spacing w:line="360" w:lineRule="auto"/>
        <w:ind w:left="1440" w:firstLine="5"/>
        <w:rPr>
          <w:sz w:val="24"/>
        </w:rPr>
      </w:pPr>
      <w:r>
        <w:rPr>
          <w:sz w:val="24"/>
        </w:rPr>
        <w:t>供应商须知</w:t>
      </w:r>
    </w:p>
    <w:p>
      <w:pPr>
        <w:numPr>
          <w:ilvl w:val="0"/>
          <w:numId w:val="11"/>
        </w:numPr>
        <w:tabs>
          <w:tab w:val="left" w:pos="1980"/>
          <w:tab w:val="left" w:pos="2520"/>
        </w:tabs>
        <w:snapToGrid w:val="0"/>
        <w:spacing w:line="360" w:lineRule="auto"/>
        <w:ind w:left="1440" w:firstLine="5"/>
        <w:rPr>
          <w:sz w:val="24"/>
        </w:rPr>
      </w:pPr>
      <w:r>
        <w:rPr>
          <w:sz w:val="24"/>
        </w:rPr>
        <w:t xml:space="preserve">协商程序 </w:t>
      </w:r>
    </w:p>
    <w:p>
      <w:pPr>
        <w:numPr>
          <w:ilvl w:val="0"/>
          <w:numId w:val="11"/>
        </w:numPr>
        <w:tabs>
          <w:tab w:val="left" w:pos="1980"/>
          <w:tab w:val="left" w:pos="2520"/>
        </w:tabs>
        <w:snapToGrid w:val="0"/>
        <w:spacing w:line="360" w:lineRule="auto"/>
        <w:ind w:left="1440" w:firstLine="5"/>
        <w:rPr>
          <w:sz w:val="24"/>
        </w:rPr>
      </w:pPr>
      <w:r>
        <w:rPr>
          <w:sz w:val="24"/>
        </w:rPr>
        <w:t>采购需求</w:t>
      </w:r>
    </w:p>
    <w:p>
      <w:pPr>
        <w:numPr>
          <w:ilvl w:val="0"/>
          <w:numId w:val="11"/>
        </w:numPr>
        <w:tabs>
          <w:tab w:val="left" w:pos="1980"/>
          <w:tab w:val="left" w:pos="2520"/>
        </w:tabs>
        <w:snapToGrid w:val="0"/>
        <w:spacing w:line="360" w:lineRule="auto"/>
        <w:ind w:left="1440" w:firstLine="5"/>
        <w:rPr>
          <w:sz w:val="24"/>
        </w:rPr>
      </w:pPr>
      <w:r>
        <w:rPr>
          <w:sz w:val="24"/>
        </w:rPr>
        <w:t>合同草案条款</w:t>
      </w:r>
    </w:p>
    <w:p>
      <w:pPr>
        <w:numPr>
          <w:ilvl w:val="0"/>
          <w:numId w:val="11"/>
        </w:numPr>
        <w:tabs>
          <w:tab w:val="left" w:pos="1980"/>
          <w:tab w:val="left" w:pos="2520"/>
        </w:tabs>
        <w:snapToGrid w:val="0"/>
        <w:spacing w:line="360" w:lineRule="auto"/>
        <w:ind w:left="1440" w:firstLine="5"/>
        <w:rPr>
          <w:sz w:val="24"/>
        </w:rPr>
      </w:pPr>
      <w:r>
        <w:rPr>
          <w:sz w:val="24"/>
        </w:rPr>
        <w:t>响应文件格式</w:t>
      </w:r>
    </w:p>
    <w:p>
      <w:pPr>
        <w:numPr>
          <w:ilvl w:val="1"/>
          <w:numId w:val="8"/>
        </w:numPr>
        <w:tabs>
          <w:tab w:val="left" w:pos="1080"/>
          <w:tab w:val="left" w:pos="2014"/>
        </w:tabs>
        <w:snapToGrid w:val="0"/>
        <w:spacing w:line="360" w:lineRule="auto"/>
        <w:ind w:left="1080" w:hanging="720"/>
        <w:rPr>
          <w:sz w:val="24"/>
        </w:rPr>
      </w:pPr>
      <w:r>
        <w:rPr>
          <w:sz w:val="24"/>
        </w:rPr>
        <w:t>供应商应认真阅读单一来源采购文件的全部内容。供应商应按照单一来源采购文件要求提交响应文件并保证所提供的全部资料的真实性，并对单一来源采购文件做出实质性响应，否则</w:t>
      </w:r>
      <w:r>
        <w:rPr>
          <w:b/>
          <w:sz w:val="24"/>
        </w:rPr>
        <w:t>响应无效</w:t>
      </w:r>
      <w:r>
        <w:rPr>
          <w:sz w:val="24"/>
        </w:rPr>
        <w:t>。</w:t>
      </w:r>
    </w:p>
    <w:p>
      <w:pPr>
        <w:numPr>
          <w:ilvl w:val="0"/>
          <w:numId w:val="8"/>
        </w:numPr>
        <w:tabs>
          <w:tab w:val="left" w:pos="1080"/>
          <w:tab w:val="left" w:pos="2014"/>
        </w:tabs>
        <w:snapToGrid w:val="0"/>
        <w:spacing w:line="360" w:lineRule="auto"/>
        <w:ind w:left="357" w:hanging="357"/>
        <w:outlineLvl w:val="1"/>
        <w:rPr>
          <w:sz w:val="24"/>
        </w:rPr>
      </w:pPr>
      <w:r>
        <w:rPr>
          <w:sz w:val="24"/>
        </w:rPr>
        <w:t>对单一来源采购文件的澄清或修改</w:t>
      </w:r>
    </w:p>
    <w:p>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采购人或采购代理机构对已发出的单一来源采购文件进行必要澄清或者修改的，将以书面形式通知获取单一来源采购文件的潜在供应商。</w:t>
      </w:r>
    </w:p>
    <w:p>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上述书面通知，按照获取单一来源采购文件的潜在供应商提供的联系方式发出，因提供的信息有误导致通知延迟或无法通知的，采购人或采购代理机构不承担责任。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提交响应文件截止之日。</w:t>
      </w:r>
    </w:p>
    <w:p>
      <w:pPr>
        <w:tabs>
          <w:tab w:val="left" w:pos="1080"/>
          <w:tab w:val="left" w:pos="1561"/>
        </w:tabs>
        <w:snapToGrid w:val="0"/>
        <w:spacing w:line="360" w:lineRule="auto"/>
        <w:ind w:left="1080"/>
        <w:rPr>
          <w:sz w:val="28"/>
        </w:rPr>
      </w:pPr>
      <w:bookmarkStart w:id="192" w:name="_Toc516367020"/>
      <w:bookmarkStart w:id="193" w:name="_Toc151193624"/>
      <w:bookmarkStart w:id="194" w:name="_Toc520356150"/>
      <w:bookmarkStart w:id="195" w:name="_Toc305158794"/>
      <w:bookmarkStart w:id="196" w:name="_Toc142311028"/>
      <w:bookmarkStart w:id="197" w:name="_Toc151193840"/>
      <w:bookmarkStart w:id="198" w:name="_Toc226309770"/>
      <w:bookmarkStart w:id="199" w:name="_Toc264969216"/>
      <w:bookmarkStart w:id="200" w:name="_Toc226965799"/>
      <w:bookmarkStart w:id="201" w:name="_Toc150774731"/>
      <w:bookmarkStart w:id="202" w:name="_Toc305158868"/>
      <w:bookmarkStart w:id="203" w:name="_Toc151193768"/>
      <w:bookmarkStart w:id="204" w:name="_Toc150480764"/>
      <w:bookmarkStart w:id="205" w:name="_Toc127151526"/>
      <w:bookmarkStart w:id="206" w:name="_Toc150509277"/>
      <w:bookmarkStart w:id="207" w:name="_Toc226337222"/>
      <w:bookmarkStart w:id="208" w:name="_Toc151193696"/>
      <w:bookmarkStart w:id="209" w:name="_Toc265228364"/>
      <w:bookmarkStart w:id="210" w:name="_Toc226965716"/>
      <w:bookmarkStart w:id="211" w:name="_Toc195842891"/>
      <w:bookmarkStart w:id="212" w:name="_Toc151190153"/>
      <w:bookmarkStart w:id="213" w:name="_Toc151193914"/>
      <w:bookmarkStart w:id="214" w:name="_Toc150774626"/>
    </w:p>
    <w:p>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92"/>
      <w:r>
        <w:rPr>
          <w:rFonts w:ascii="Times New Roman" w:hAnsi="Times New Roman" w:eastAsia="宋体"/>
          <w:sz w:val="28"/>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numPr>
          <w:ilvl w:val="0"/>
          <w:numId w:val="8"/>
        </w:numPr>
        <w:tabs>
          <w:tab w:val="left" w:pos="360"/>
        </w:tabs>
        <w:snapToGrid w:val="0"/>
        <w:spacing w:line="360" w:lineRule="auto"/>
        <w:ind w:left="357" w:hanging="357"/>
        <w:outlineLvl w:val="1"/>
        <w:rPr>
          <w:sz w:val="24"/>
        </w:rPr>
      </w:pPr>
      <w:bookmarkStart w:id="215" w:name="_Toc164351621"/>
      <w:bookmarkStart w:id="216" w:name="_Toc195842892"/>
      <w:bookmarkStart w:id="217" w:name="_Toc164608796"/>
      <w:bookmarkStart w:id="218" w:name="_Toc516367021"/>
      <w:bookmarkStart w:id="219" w:name="_Toc264969217"/>
      <w:bookmarkStart w:id="220" w:name="_Toc150774732"/>
      <w:bookmarkStart w:id="221" w:name="_Toc151193769"/>
      <w:bookmarkStart w:id="222" w:name="_Toc151193841"/>
      <w:bookmarkStart w:id="223" w:name="_Toc226965800"/>
      <w:bookmarkStart w:id="224" w:name="_Toc127161441"/>
      <w:bookmarkStart w:id="225" w:name="_Toc226309771"/>
      <w:bookmarkStart w:id="226" w:name="_Toc164229368"/>
      <w:bookmarkStart w:id="227" w:name="_Toc142311029"/>
      <w:bookmarkStart w:id="228" w:name="_Toc150480765"/>
      <w:bookmarkStart w:id="229" w:name="_Toc305158795"/>
      <w:bookmarkStart w:id="230" w:name="_Toc151193697"/>
      <w:bookmarkStart w:id="231" w:name="_Toc151190154"/>
      <w:bookmarkStart w:id="232" w:name="_Toc151193915"/>
      <w:bookmarkStart w:id="233" w:name="_Toc226965717"/>
      <w:bookmarkStart w:id="234" w:name="_Toc151193625"/>
      <w:bookmarkStart w:id="235" w:name="_Toc127151527"/>
      <w:bookmarkStart w:id="236" w:name="_Toc265228365"/>
      <w:bookmarkStart w:id="237" w:name="_Toc520356151"/>
      <w:bookmarkStart w:id="238" w:name="_Toc127151728"/>
      <w:bookmarkStart w:id="239" w:name="_Toc149720820"/>
      <w:bookmarkStart w:id="240" w:name="_Toc150509278"/>
      <w:bookmarkStart w:id="241" w:name="_Toc164608641"/>
      <w:bookmarkStart w:id="242" w:name="_Toc226337223"/>
      <w:bookmarkStart w:id="243" w:name="_Toc150774627"/>
      <w:bookmarkStart w:id="244" w:name="_Toc164229222"/>
      <w:bookmarkStart w:id="245" w:name="_Toc305158869"/>
      <w:r>
        <w:rPr>
          <w:sz w:val="24"/>
        </w:rPr>
        <w:t>响应范围、响应文件中计量单位的使用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sz w:val="24"/>
        </w:rPr>
        <w:t>及响应语言</w:t>
      </w:r>
    </w:p>
    <w:p>
      <w:pPr>
        <w:numPr>
          <w:ilvl w:val="1"/>
          <w:numId w:val="8"/>
        </w:numPr>
        <w:tabs>
          <w:tab w:val="left" w:pos="1080"/>
          <w:tab w:val="left" w:pos="2014"/>
        </w:tabs>
        <w:snapToGrid w:val="0"/>
        <w:spacing w:line="360" w:lineRule="auto"/>
        <w:ind w:left="1080" w:hanging="720"/>
        <w:rPr>
          <w:sz w:val="24"/>
        </w:rPr>
      </w:pPr>
      <w:r>
        <w:rPr>
          <w:sz w:val="24"/>
        </w:rPr>
        <w:t>本项目如划分采购包，供应商应当对采购人所邀请的采购包对应第四章《采购需求》所列的全部内容进行响应，不得将一个采购包中的内容拆开响应。</w:t>
      </w:r>
    </w:p>
    <w:p>
      <w:pPr>
        <w:numPr>
          <w:ilvl w:val="1"/>
          <w:numId w:val="8"/>
        </w:numPr>
        <w:tabs>
          <w:tab w:val="left" w:pos="1080"/>
          <w:tab w:val="left" w:pos="2014"/>
        </w:tabs>
        <w:snapToGrid w:val="0"/>
        <w:spacing w:line="360" w:lineRule="auto"/>
        <w:ind w:left="1080" w:hanging="720"/>
        <w:rPr>
          <w:sz w:val="24"/>
        </w:rPr>
      </w:pPr>
      <w:r>
        <w:rPr>
          <w:sz w:val="24"/>
        </w:rPr>
        <w:t>除单一来源采购文件有特殊要求外，本项目所使用的计量单位，应采用中华人民共和国法定计量单位。</w:t>
      </w:r>
    </w:p>
    <w:p>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8"/>
        </w:numPr>
        <w:tabs>
          <w:tab w:val="left" w:pos="360"/>
        </w:tabs>
        <w:snapToGrid w:val="0"/>
        <w:spacing w:line="360" w:lineRule="auto"/>
        <w:ind w:left="357" w:hanging="357"/>
        <w:outlineLvl w:val="1"/>
        <w:rPr>
          <w:sz w:val="24"/>
        </w:rPr>
      </w:pPr>
      <w:bookmarkStart w:id="246" w:name="_Toc516367022"/>
      <w:bookmarkStart w:id="247" w:name="_Ref467306195"/>
      <w:bookmarkStart w:id="248" w:name="_Ref467306676"/>
      <w:bookmarkStart w:id="249" w:name="_Toc151193626"/>
      <w:bookmarkStart w:id="250" w:name="_Toc127151729"/>
      <w:bookmarkStart w:id="251" w:name="_Toc151193770"/>
      <w:bookmarkStart w:id="252" w:name="_Toc226965801"/>
      <w:bookmarkStart w:id="253" w:name="_Toc127151528"/>
      <w:bookmarkStart w:id="254" w:name="_Toc164351622"/>
      <w:bookmarkStart w:id="255" w:name="_Toc265228366"/>
      <w:bookmarkStart w:id="256" w:name="_Toc305158870"/>
      <w:bookmarkStart w:id="257" w:name="_Toc151190155"/>
      <w:bookmarkStart w:id="258" w:name="_Toc164608797"/>
      <w:bookmarkStart w:id="259" w:name="_Toc150480766"/>
      <w:bookmarkStart w:id="260" w:name="_Toc264969218"/>
      <w:bookmarkStart w:id="261" w:name="_Toc305158796"/>
      <w:bookmarkStart w:id="262" w:name="_Toc520356152"/>
      <w:bookmarkStart w:id="263" w:name="_Toc127161442"/>
      <w:bookmarkStart w:id="264" w:name="_Toc149720821"/>
      <w:bookmarkStart w:id="265" w:name="_Toc142311030"/>
      <w:bookmarkStart w:id="266" w:name="_Toc226965718"/>
      <w:bookmarkStart w:id="267" w:name="_Toc150774628"/>
      <w:bookmarkStart w:id="268" w:name="_Toc164229369"/>
      <w:bookmarkStart w:id="269" w:name="_Toc164229223"/>
      <w:bookmarkStart w:id="270" w:name="_Toc151193916"/>
      <w:bookmarkStart w:id="271" w:name="_Toc150509279"/>
      <w:bookmarkStart w:id="272" w:name="_Toc151193842"/>
      <w:bookmarkStart w:id="273" w:name="_Toc151193698"/>
      <w:bookmarkStart w:id="274" w:name="_Toc150774733"/>
      <w:bookmarkStart w:id="275" w:name="_Toc164608642"/>
      <w:bookmarkStart w:id="276" w:name="_Toc226337224"/>
      <w:bookmarkStart w:id="277" w:name="_Toc195842893"/>
      <w:bookmarkStart w:id="278" w:name="_Toc226309772"/>
      <w:r>
        <w:rPr>
          <w:sz w:val="24"/>
        </w:rPr>
        <w:t>响应文件</w:t>
      </w:r>
      <w:bookmarkEnd w:id="246"/>
      <w:bookmarkEnd w:id="247"/>
      <w:bookmarkEnd w:id="248"/>
      <w:r>
        <w:rPr>
          <w:sz w:val="24"/>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pPr>
        <w:numPr>
          <w:ilvl w:val="1"/>
          <w:numId w:val="8"/>
        </w:numPr>
        <w:tabs>
          <w:tab w:val="left" w:pos="1080"/>
          <w:tab w:val="left" w:pos="2014"/>
        </w:tabs>
        <w:snapToGrid w:val="0"/>
        <w:spacing w:line="360" w:lineRule="auto"/>
        <w:ind w:left="1077" w:hanging="720"/>
        <w:rPr>
          <w:sz w:val="24"/>
        </w:rPr>
      </w:pPr>
      <w:bookmarkStart w:id="279" w:name="_Ref467052588"/>
      <w:r>
        <w:rPr>
          <w:sz w:val="24"/>
        </w:rPr>
        <w:t>供应商应当按照单一来源采购文件的要求编制响应文件。响应文件的部分格式要求，见第六章《响应文件格式》。</w:t>
      </w:r>
      <w:r>
        <w:rPr>
          <w:rFonts w:hint="eastAsia"/>
          <w:color w:val="000000"/>
          <w:sz w:val="24"/>
        </w:rPr>
        <w:t>将其统一装订（胶装）为一册</w:t>
      </w:r>
      <w:r>
        <w:rPr>
          <w:rFonts w:hint="eastAsia"/>
          <w:b/>
          <w:color w:val="000000"/>
          <w:sz w:val="24"/>
        </w:rPr>
        <w:t>（正副本均不得采用活页夹装订）</w:t>
      </w:r>
      <w:r>
        <w:rPr>
          <w:rFonts w:hint="eastAsia"/>
          <w:color w:val="000000"/>
          <w:sz w:val="24"/>
        </w:rPr>
        <w:t>，封面注明项目名称、项目编号、供应商名称等内容，全部响应文件的规格尺寸为A4纸型。</w:t>
      </w:r>
    </w:p>
    <w:p>
      <w:pPr>
        <w:numPr>
          <w:ilvl w:val="1"/>
          <w:numId w:val="8"/>
        </w:numPr>
        <w:tabs>
          <w:tab w:val="left" w:pos="1080"/>
          <w:tab w:val="left" w:pos="2014"/>
        </w:tabs>
        <w:snapToGrid w:val="0"/>
        <w:spacing w:line="360" w:lineRule="auto"/>
        <w:ind w:left="1077" w:hanging="720"/>
        <w:rPr>
          <w:sz w:val="24"/>
        </w:rPr>
      </w:pPr>
      <w:r>
        <w:rPr>
          <w:kern w:val="0"/>
          <w:sz w:val="24"/>
        </w:rPr>
        <w:t>对于单一来源采购文件中标记了“实质性格式”文件的，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。未标记“实质性格式”的文件和单一来源采购文件未提供格式的内容，可由供应商自行编写。</w:t>
      </w:r>
    </w:p>
    <w:p>
      <w:pPr>
        <w:numPr>
          <w:ilvl w:val="1"/>
          <w:numId w:val="8"/>
        </w:numPr>
        <w:tabs>
          <w:tab w:val="left" w:pos="1080"/>
          <w:tab w:val="left" w:pos="2014"/>
        </w:tabs>
        <w:snapToGrid w:val="0"/>
        <w:spacing w:line="360" w:lineRule="auto"/>
        <w:ind w:left="1077" w:hanging="720"/>
        <w:rPr>
          <w:sz w:val="24"/>
        </w:rPr>
      </w:pPr>
      <w:r>
        <w:rPr>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8"/>
        </w:numPr>
        <w:tabs>
          <w:tab w:val="left" w:pos="1080"/>
          <w:tab w:val="left" w:pos="2014"/>
        </w:tabs>
        <w:snapToGrid w:val="0"/>
        <w:spacing w:line="360" w:lineRule="auto"/>
        <w:ind w:left="1077" w:hanging="720"/>
        <w:rPr>
          <w:sz w:val="24"/>
        </w:rPr>
      </w:pPr>
      <w:r>
        <w:rPr>
          <w:sz w:val="24"/>
        </w:rPr>
        <w:t>供应商根据采购项目的特点及要求，提供采购标的成本、同类项目合同价格以及相关专利、专有技术等情况说明，以及单一来源采购文件中要求供应商响应的其他技术文件等。</w:t>
      </w:r>
    </w:p>
    <w:p>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79"/>
    </w:p>
    <w:p>
      <w:pPr>
        <w:numPr>
          <w:ilvl w:val="0"/>
          <w:numId w:val="8"/>
        </w:numPr>
        <w:tabs>
          <w:tab w:val="left" w:pos="360"/>
        </w:tabs>
        <w:snapToGrid w:val="0"/>
        <w:spacing w:line="360" w:lineRule="auto"/>
        <w:ind w:left="357" w:hanging="357"/>
        <w:outlineLvl w:val="1"/>
        <w:rPr>
          <w:sz w:val="24"/>
        </w:rPr>
      </w:pPr>
      <w:bookmarkStart w:id="280" w:name="_Toc149720823"/>
      <w:bookmarkStart w:id="281" w:name="_Toc142311032"/>
      <w:bookmarkStart w:id="282" w:name="_Toc164229371"/>
      <w:bookmarkStart w:id="283" w:name="_Toc151193628"/>
      <w:bookmarkStart w:id="284" w:name="_Toc127151530"/>
      <w:bookmarkStart w:id="285" w:name="_Toc164608644"/>
      <w:bookmarkStart w:id="286" w:name="_Toc150509281"/>
      <w:bookmarkStart w:id="287" w:name="_Toc127161444"/>
      <w:bookmarkStart w:id="288" w:name="_Toc150774735"/>
      <w:bookmarkStart w:id="289" w:name="_Toc127151731"/>
      <w:bookmarkStart w:id="290" w:name="_Toc164351624"/>
      <w:bookmarkStart w:id="291" w:name="_Toc164229225"/>
      <w:bookmarkStart w:id="292" w:name="_Toc150480768"/>
      <w:bookmarkStart w:id="293" w:name="_Toc151190157"/>
      <w:bookmarkStart w:id="294" w:name="_Toc150774630"/>
      <w:bookmarkStart w:id="295" w:name="_Toc151193700"/>
      <w:bookmarkStart w:id="296" w:name="_Toc151193772"/>
      <w:bookmarkStart w:id="297" w:name="_Toc520356155"/>
      <w:bookmarkStart w:id="298" w:name="_Toc195842895"/>
      <w:bookmarkStart w:id="299" w:name="_Toc151193844"/>
      <w:bookmarkStart w:id="300" w:name="_Toc151193918"/>
      <w:bookmarkStart w:id="301" w:name="_Toc164608799"/>
      <w:r>
        <w:rPr>
          <w:sz w:val="24"/>
        </w:rPr>
        <w:t>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numPr>
          <w:ilvl w:val="1"/>
          <w:numId w:val="8"/>
        </w:numPr>
        <w:tabs>
          <w:tab w:val="left" w:pos="1080"/>
          <w:tab w:val="left" w:pos="2014"/>
        </w:tabs>
        <w:snapToGrid w:val="0"/>
        <w:spacing w:line="360" w:lineRule="auto"/>
        <w:ind w:left="1077" w:hanging="720"/>
        <w:rPr>
          <w:sz w:val="24"/>
        </w:rPr>
      </w:pPr>
      <w:r>
        <w:rPr>
          <w:sz w:val="24"/>
        </w:rPr>
        <w:t>所有响应均以人民币报价。</w:t>
      </w:r>
    </w:p>
    <w:p>
      <w:pPr>
        <w:numPr>
          <w:ilvl w:val="1"/>
          <w:numId w:val="8"/>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pPr>
        <w:numPr>
          <w:ilvl w:val="2"/>
          <w:numId w:val="8"/>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sz w:val="24"/>
        </w:rPr>
      </w:pPr>
      <w:r>
        <w:rPr>
          <w:sz w:val="24"/>
        </w:rPr>
        <w:t xml:space="preserve">按照单一来源采购文件要求完成本项目的全部相关工程或服务费用。 </w:t>
      </w:r>
    </w:p>
    <w:p>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0"/>
          <w:numId w:val="8"/>
        </w:numPr>
        <w:tabs>
          <w:tab w:val="left" w:pos="360"/>
        </w:tabs>
        <w:snapToGrid w:val="0"/>
        <w:spacing w:line="360" w:lineRule="auto"/>
        <w:ind w:left="357" w:hanging="357"/>
        <w:outlineLvl w:val="1"/>
        <w:rPr>
          <w:sz w:val="24"/>
        </w:rPr>
      </w:pPr>
      <w:bookmarkStart w:id="302" w:name="_Toc226965804"/>
      <w:bookmarkStart w:id="303" w:name="_Toc164608800"/>
      <w:bookmarkStart w:id="304" w:name="_Toc150774631"/>
      <w:bookmarkStart w:id="305" w:name="_Toc127151531"/>
      <w:bookmarkStart w:id="306" w:name="_Toc150480769"/>
      <w:bookmarkStart w:id="307" w:name="_Toc127151732"/>
      <w:bookmarkStart w:id="308" w:name="_Toc151193701"/>
      <w:bookmarkStart w:id="309" w:name="_Ref467306513"/>
      <w:bookmarkStart w:id="310" w:name="_Toc305158873"/>
      <w:bookmarkStart w:id="311" w:name="_Toc151193773"/>
      <w:bookmarkStart w:id="312" w:name="_Toc164351625"/>
      <w:bookmarkStart w:id="313" w:name="_Toc226309775"/>
      <w:bookmarkStart w:id="314" w:name="_Toc151190158"/>
      <w:bookmarkStart w:id="315" w:name="_Toc151193629"/>
      <w:bookmarkStart w:id="316" w:name="_Toc150509282"/>
      <w:bookmarkStart w:id="317" w:name="_Toc305158799"/>
      <w:bookmarkStart w:id="318" w:name="_Toc264969221"/>
      <w:bookmarkStart w:id="319" w:name="_Toc164229226"/>
      <w:bookmarkStart w:id="320" w:name="_Toc265228369"/>
      <w:bookmarkStart w:id="321" w:name="_Toc164608645"/>
      <w:bookmarkStart w:id="322" w:name="_Toc151193845"/>
      <w:bookmarkStart w:id="323" w:name="_Toc226337227"/>
      <w:bookmarkStart w:id="324" w:name="_Toc195842896"/>
      <w:bookmarkStart w:id="325" w:name="_Toc151193919"/>
      <w:bookmarkStart w:id="326" w:name="_Toc164229372"/>
      <w:bookmarkStart w:id="327" w:name="_Toc149720824"/>
      <w:bookmarkStart w:id="328" w:name="_Toc226965721"/>
      <w:bookmarkStart w:id="329" w:name="_Toc520356156"/>
      <w:bookmarkStart w:id="330" w:name="_Toc150774736"/>
      <w:bookmarkStart w:id="331" w:name="_Toc142311033"/>
      <w:bookmarkStart w:id="332" w:name="_Toc127161445"/>
      <w:r>
        <w:rPr>
          <w:sz w:val="24"/>
        </w:rPr>
        <w:t>保证金</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pPr>
        <w:numPr>
          <w:ilvl w:val="1"/>
          <w:numId w:val="8"/>
        </w:numPr>
        <w:tabs>
          <w:tab w:val="left" w:pos="1080"/>
          <w:tab w:val="left" w:pos="2014"/>
        </w:tabs>
        <w:snapToGrid w:val="0"/>
        <w:spacing w:line="360" w:lineRule="auto"/>
        <w:ind w:left="1077" w:hanging="720"/>
        <w:rPr>
          <w:sz w:val="24"/>
        </w:rPr>
      </w:pPr>
      <w:bookmarkStart w:id="333" w:name="_Ref467306302"/>
      <w:r>
        <w:rPr>
          <w:sz w:val="24"/>
        </w:rPr>
        <w:t>供应商应按《供应商须知资料表》中规定的金额及要求交纳保证金</w:t>
      </w:r>
      <w:bookmarkEnd w:id="333"/>
      <w:r>
        <w:rPr>
          <w:sz w:val="24"/>
        </w:rPr>
        <w:t>，并作为其响应文件的一部分。</w:t>
      </w:r>
    </w:p>
    <w:p>
      <w:pPr>
        <w:numPr>
          <w:ilvl w:val="1"/>
          <w:numId w:val="8"/>
        </w:numPr>
        <w:tabs>
          <w:tab w:val="left" w:pos="1080"/>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sz w:val="24"/>
        </w:rPr>
      </w:pPr>
      <w:r>
        <w:rPr>
          <w:sz w:val="24"/>
        </w:rPr>
        <w:t>保证金到账（保函提交）截止时间同响应文件提交截止时间。以支票、汇票、本票、网上银行支付等形式提交保证金的，应在提交响应文件截止时间前到账；以金融机构、担保机构出具的保函等形式提交保证金的，应在响应文件提交截止时间前将原件提交至采购代理机构；由于到账时间晚于响应文件提交截止时间的，或者票据错误、印鉴不清等原因导致不能到账的，其</w:t>
      </w:r>
      <w:r>
        <w:rPr>
          <w:b/>
          <w:bCs/>
          <w:sz w:val="24"/>
        </w:rPr>
        <w:t>响应无效。</w:t>
      </w:r>
    </w:p>
    <w:p>
      <w:pPr>
        <w:numPr>
          <w:ilvl w:val="1"/>
          <w:numId w:val="8"/>
        </w:numPr>
        <w:tabs>
          <w:tab w:val="left" w:pos="1080"/>
          <w:tab w:val="left" w:pos="2014"/>
        </w:tabs>
        <w:snapToGrid w:val="0"/>
        <w:spacing w:line="360" w:lineRule="auto"/>
        <w:ind w:left="1077" w:hanging="720"/>
        <w:rPr>
          <w:sz w:val="24"/>
        </w:rPr>
      </w:pPr>
      <w:r>
        <w:rPr>
          <w:sz w:val="24"/>
        </w:rPr>
        <w:t>保证金（保函）有效期同响应有效期。</w:t>
      </w:r>
    </w:p>
    <w:p>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供应商为联合体的，可以由联合体中的一方或者多方共同提交保证金，其交纳的保证金对联合体各方均具有约束力。</w:t>
      </w:r>
    </w:p>
    <w:p>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8"/>
        </w:numPr>
        <w:snapToGrid w:val="0"/>
        <w:spacing w:line="360" w:lineRule="auto"/>
        <w:rPr>
          <w:sz w:val="24"/>
        </w:rPr>
      </w:pPr>
      <w:r>
        <w:rPr>
          <w:sz w:val="24"/>
        </w:rPr>
        <w:t>成交供应商的保证金，自采购合同签订之日起5个工作日内退还成交供应商；</w:t>
      </w:r>
    </w:p>
    <w:p>
      <w:pPr>
        <w:numPr>
          <w:ilvl w:val="2"/>
          <w:numId w:val="8"/>
        </w:numPr>
        <w:snapToGrid w:val="0"/>
        <w:spacing w:line="360" w:lineRule="auto"/>
        <w:rPr>
          <w:sz w:val="24"/>
        </w:rPr>
      </w:pPr>
      <w:r>
        <w:rPr>
          <w:sz w:val="24"/>
        </w:rPr>
        <w:t>终止采购项目已经收取保证金的，自终止采购活动后5个工作日内退还已收取的保证金。</w:t>
      </w:r>
    </w:p>
    <w:p>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有下列情形之一的，采购人或采购代理机构不予退还保证金：</w:t>
      </w:r>
    </w:p>
    <w:p>
      <w:pPr>
        <w:numPr>
          <w:ilvl w:val="2"/>
          <w:numId w:val="8"/>
        </w:numPr>
        <w:snapToGrid w:val="0"/>
        <w:spacing w:line="360" w:lineRule="auto"/>
        <w:rPr>
          <w:sz w:val="24"/>
        </w:rPr>
      </w:pPr>
      <w:r>
        <w:rPr>
          <w:sz w:val="24"/>
        </w:rPr>
        <w:t>供应商在</w:t>
      </w:r>
      <w:bookmarkStart w:id="334" w:name="_Hlk97383828"/>
      <w:r>
        <w:rPr>
          <w:sz w:val="24"/>
        </w:rPr>
        <w:t>提交响应文件截止时间</w:t>
      </w:r>
      <w:bookmarkEnd w:id="334"/>
      <w:r>
        <w:rPr>
          <w:sz w:val="24"/>
        </w:rPr>
        <w:t xml:space="preserve">后撤回响应文件的； </w:t>
      </w:r>
    </w:p>
    <w:p>
      <w:pPr>
        <w:numPr>
          <w:ilvl w:val="2"/>
          <w:numId w:val="8"/>
        </w:numPr>
        <w:snapToGrid w:val="0"/>
        <w:spacing w:line="360" w:lineRule="auto"/>
        <w:rPr>
          <w:sz w:val="24"/>
        </w:rPr>
      </w:pPr>
      <w:r>
        <w:rPr>
          <w:sz w:val="24"/>
        </w:rPr>
        <w:t xml:space="preserve">供应商在响应文件中提供虚假材料的； </w:t>
      </w:r>
    </w:p>
    <w:p>
      <w:pPr>
        <w:numPr>
          <w:ilvl w:val="2"/>
          <w:numId w:val="8"/>
        </w:numPr>
        <w:snapToGrid w:val="0"/>
        <w:spacing w:line="360" w:lineRule="auto"/>
        <w:rPr>
          <w:sz w:val="24"/>
        </w:rPr>
      </w:pPr>
      <w:r>
        <w:rPr>
          <w:sz w:val="24"/>
        </w:rPr>
        <w:t xml:space="preserve">除因不可抗力或单一来源采购文件认可的情形以外，成交供应商不与采购人签订合同的； </w:t>
      </w:r>
    </w:p>
    <w:p>
      <w:pPr>
        <w:numPr>
          <w:ilvl w:val="2"/>
          <w:numId w:val="8"/>
        </w:numPr>
        <w:snapToGrid w:val="0"/>
        <w:spacing w:line="360" w:lineRule="auto"/>
        <w:rPr>
          <w:sz w:val="24"/>
        </w:rPr>
      </w:pPr>
      <w:r>
        <w:rPr>
          <w:sz w:val="24"/>
        </w:rPr>
        <w:t>供应商与采购人、其他供应商或者采购代理机构恶意串通的；</w:t>
      </w:r>
    </w:p>
    <w:p>
      <w:pPr>
        <w:numPr>
          <w:ilvl w:val="2"/>
          <w:numId w:val="8"/>
        </w:numPr>
        <w:tabs>
          <w:tab w:val="left" w:pos="900"/>
          <w:tab w:val="left" w:pos="1080"/>
          <w:tab w:val="left" w:pos="2014"/>
        </w:tabs>
        <w:snapToGrid w:val="0"/>
        <w:spacing w:line="360" w:lineRule="auto"/>
        <w:rPr>
          <w:sz w:val="24"/>
        </w:rPr>
      </w:pPr>
      <w:r>
        <w:rPr>
          <w:sz w:val="24"/>
        </w:rPr>
        <w:t>《供应商须知资料表》中规定的其他情形。</w:t>
      </w:r>
    </w:p>
    <w:p>
      <w:pPr>
        <w:numPr>
          <w:ilvl w:val="0"/>
          <w:numId w:val="8"/>
        </w:numPr>
        <w:tabs>
          <w:tab w:val="left" w:pos="360"/>
        </w:tabs>
        <w:snapToGrid w:val="0"/>
        <w:spacing w:line="360" w:lineRule="auto"/>
        <w:ind w:left="357" w:hanging="357"/>
        <w:outlineLvl w:val="1"/>
        <w:rPr>
          <w:sz w:val="24"/>
        </w:rPr>
      </w:pPr>
      <w:bookmarkStart w:id="335" w:name="_Toc151193702"/>
      <w:bookmarkStart w:id="336" w:name="_Toc151193846"/>
      <w:bookmarkStart w:id="337" w:name="_Toc142311034"/>
      <w:bookmarkStart w:id="338" w:name="_Toc164608646"/>
      <w:bookmarkStart w:id="339" w:name="_Toc264969222"/>
      <w:bookmarkStart w:id="340" w:name="_Toc127161446"/>
      <w:bookmarkStart w:id="341" w:name="_Toc127151532"/>
      <w:bookmarkStart w:id="342" w:name="_Toc151193920"/>
      <w:bookmarkStart w:id="343" w:name="_Toc164351626"/>
      <w:bookmarkStart w:id="344" w:name="_Toc164229373"/>
      <w:bookmarkStart w:id="345" w:name="_Toc150774632"/>
      <w:bookmarkStart w:id="346" w:name="_Toc151193774"/>
      <w:bookmarkStart w:id="347" w:name="_Toc305158874"/>
      <w:bookmarkStart w:id="348" w:name="_Toc195842897"/>
      <w:bookmarkStart w:id="349" w:name="_Toc164229227"/>
      <w:bookmarkStart w:id="350" w:name="_Toc127151733"/>
      <w:bookmarkStart w:id="351" w:name="_Toc226337228"/>
      <w:bookmarkStart w:id="352" w:name="_Toc305158800"/>
      <w:bookmarkStart w:id="353" w:name="_Toc226965805"/>
      <w:bookmarkStart w:id="354" w:name="_Toc150774737"/>
      <w:bookmarkStart w:id="355" w:name="_Toc150509283"/>
      <w:bookmarkStart w:id="356" w:name="_Toc226965722"/>
      <w:bookmarkStart w:id="357" w:name="_Toc226309776"/>
      <w:bookmarkStart w:id="358" w:name="_Toc151193630"/>
      <w:bookmarkStart w:id="359" w:name="_Toc520356157"/>
      <w:bookmarkStart w:id="360" w:name="_Toc265228370"/>
      <w:bookmarkStart w:id="361" w:name="_Toc150480770"/>
      <w:bookmarkStart w:id="362" w:name="_Toc149720825"/>
      <w:bookmarkStart w:id="363" w:name="_Toc151190159"/>
      <w:bookmarkStart w:id="364" w:name="_Toc164608801"/>
      <w:r>
        <w:rPr>
          <w:sz w:val="24"/>
        </w:rPr>
        <w:t>响应有效期</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pPr>
        <w:numPr>
          <w:ilvl w:val="1"/>
          <w:numId w:val="8"/>
        </w:numPr>
        <w:tabs>
          <w:tab w:val="left" w:pos="1080"/>
          <w:tab w:val="left" w:pos="2014"/>
        </w:tabs>
        <w:snapToGrid w:val="0"/>
        <w:spacing w:line="360" w:lineRule="auto"/>
        <w:ind w:left="1077" w:hanging="720"/>
        <w:rPr>
          <w:sz w:val="24"/>
        </w:rPr>
      </w:pPr>
      <w:r>
        <w:rPr>
          <w:sz w:val="24"/>
        </w:rPr>
        <w:t>响应文件应在本单一来源采购文件《供应商须知资料表》中规定的响应有效期内保持有效，响应有效期少于单一来源采购文件规定期限的，其</w:t>
      </w:r>
      <w:r>
        <w:rPr>
          <w:b/>
          <w:sz w:val="24"/>
        </w:rPr>
        <w:t>响应无效</w:t>
      </w:r>
      <w:r>
        <w:rPr>
          <w:sz w:val="24"/>
        </w:rPr>
        <w:t>。</w:t>
      </w:r>
    </w:p>
    <w:p>
      <w:pPr>
        <w:numPr>
          <w:ilvl w:val="0"/>
          <w:numId w:val="8"/>
        </w:numPr>
        <w:tabs>
          <w:tab w:val="left" w:pos="360"/>
        </w:tabs>
        <w:snapToGrid w:val="0"/>
        <w:spacing w:line="360" w:lineRule="auto"/>
        <w:ind w:left="357" w:hanging="357"/>
        <w:outlineLvl w:val="1"/>
        <w:rPr>
          <w:sz w:val="24"/>
        </w:rPr>
      </w:pPr>
      <w:bookmarkStart w:id="365" w:name="_Toc305158801"/>
      <w:bookmarkStart w:id="366" w:name="_Toc265228371"/>
      <w:bookmarkStart w:id="367" w:name="_Toc127161447"/>
      <w:bookmarkStart w:id="368" w:name="_Toc150774633"/>
      <w:bookmarkStart w:id="369" w:name="_Toc164351627"/>
      <w:bookmarkStart w:id="370" w:name="_Toc150480771"/>
      <w:bookmarkStart w:id="371" w:name="_Toc226965806"/>
      <w:bookmarkStart w:id="372" w:name="_Toc226309777"/>
      <w:bookmarkStart w:id="373" w:name="_Toc151193703"/>
      <w:bookmarkStart w:id="374" w:name="_Toc151193775"/>
      <w:bookmarkStart w:id="375" w:name="_Toc151193631"/>
      <w:bookmarkStart w:id="376" w:name="_Toc226337229"/>
      <w:bookmarkStart w:id="377" w:name="_Toc164608647"/>
      <w:bookmarkStart w:id="378" w:name="_Toc195842898"/>
      <w:bookmarkStart w:id="379" w:name="_Toc305158875"/>
      <w:bookmarkStart w:id="380" w:name="_Toc150509284"/>
      <w:bookmarkStart w:id="381" w:name="_Toc149720826"/>
      <w:bookmarkStart w:id="382" w:name="_Toc226965723"/>
      <w:bookmarkStart w:id="383" w:name="_Toc151190160"/>
      <w:bookmarkStart w:id="384" w:name="_Toc151193921"/>
      <w:bookmarkStart w:id="385" w:name="_Toc142311035"/>
      <w:bookmarkStart w:id="386" w:name="_Toc151193847"/>
      <w:bookmarkStart w:id="387" w:name="_Toc127151533"/>
      <w:bookmarkStart w:id="388" w:name="_Toc127151734"/>
      <w:bookmarkStart w:id="389" w:name="_Toc264969223"/>
      <w:bookmarkStart w:id="390" w:name="_Toc164608802"/>
      <w:bookmarkStart w:id="391" w:name="_Toc164229228"/>
      <w:bookmarkStart w:id="392" w:name="_Toc520356158"/>
      <w:bookmarkStart w:id="393" w:name="_Toc164229374"/>
      <w:bookmarkStart w:id="394" w:name="_Toc150774738"/>
      <w:r>
        <w:rPr>
          <w:sz w:val="24"/>
        </w:rPr>
        <w:t>响应文件的签署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sz w:val="24"/>
        </w:rPr>
        <w:t>、盖章</w:t>
      </w:r>
    </w:p>
    <w:p>
      <w:pPr>
        <w:numPr>
          <w:ilvl w:val="1"/>
          <w:numId w:val="8"/>
        </w:numPr>
        <w:tabs>
          <w:tab w:val="left" w:pos="1080"/>
          <w:tab w:val="left" w:pos="2014"/>
        </w:tabs>
        <w:snapToGrid w:val="0"/>
        <w:spacing w:line="360" w:lineRule="auto"/>
        <w:ind w:left="1077" w:hanging="720"/>
        <w:rPr>
          <w:b/>
          <w:sz w:val="24"/>
        </w:rPr>
      </w:pPr>
      <w:bookmarkStart w:id="395" w:name="_Toc226965724"/>
      <w:bookmarkStart w:id="396" w:name="_Toc142311036"/>
      <w:bookmarkStart w:id="397" w:name="_Toc150774634"/>
      <w:bookmarkStart w:id="398" w:name="_Toc305158802"/>
      <w:bookmarkStart w:id="399" w:name="_Toc264969224"/>
      <w:bookmarkStart w:id="400" w:name="_Toc151193922"/>
      <w:bookmarkStart w:id="401" w:name="_Toc151190161"/>
      <w:bookmarkStart w:id="402" w:name="_Toc195842899"/>
      <w:bookmarkStart w:id="403" w:name="_Toc151193776"/>
      <w:bookmarkStart w:id="404" w:name="_Toc151193632"/>
      <w:bookmarkStart w:id="405" w:name="_Toc150480772"/>
      <w:bookmarkStart w:id="406" w:name="_Toc305158876"/>
      <w:bookmarkStart w:id="407" w:name="_Toc150509285"/>
      <w:bookmarkStart w:id="408" w:name="_Toc150774739"/>
      <w:bookmarkStart w:id="409" w:name="_Toc226309778"/>
      <w:bookmarkStart w:id="410" w:name="_Toc265228372"/>
      <w:bookmarkStart w:id="411" w:name="_Toc127151534"/>
      <w:bookmarkStart w:id="412" w:name="_Toc520356159"/>
      <w:bookmarkStart w:id="413" w:name="_Toc226337230"/>
      <w:bookmarkStart w:id="414" w:name="_Toc151193704"/>
      <w:bookmarkStart w:id="415" w:name="_Toc151193848"/>
      <w:bookmarkStart w:id="416" w:name="_Toc226965807"/>
      <w:r>
        <w:rPr>
          <w:rFonts w:hint="eastAsia"/>
          <w:b/>
          <w:sz w:val="24"/>
        </w:rPr>
        <w:t>本文件规定的盖章、签字处应盖章、签字，以联合体形式响应的，如单一来源采购文件格式无特殊要求的，加盖联合体牵头单位章即可。若其他组织或自然人响应，盖公章/单位章处应由其他组织负责人或自然人签字即可，法定代表人签字或盖章处也应由其他组织负责人或自然人签字或盖章</w:t>
      </w:r>
      <w:r>
        <w:rPr>
          <w:b/>
          <w:sz w:val="24"/>
        </w:rPr>
        <w:t>。</w:t>
      </w:r>
    </w:p>
    <w:p>
      <w:pPr>
        <w:numPr>
          <w:ilvl w:val="1"/>
          <w:numId w:val="8"/>
        </w:numPr>
        <w:tabs>
          <w:tab w:val="left" w:pos="1080"/>
          <w:tab w:val="left" w:pos="2014"/>
        </w:tabs>
        <w:snapToGrid w:val="0"/>
        <w:spacing w:line="360" w:lineRule="auto"/>
        <w:ind w:left="1077" w:hanging="720"/>
        <w:rPr>
          <w:rFonts w:hint="eastAsia"/>
          <w:b/>
          <w:color w:val="000000"/>
          <w:sz w:val="24"/>
        </w:rPr>
      </w:pPr>
      <w:r>
        <w:rPr>
          <w:b/>
          <w:sz w:val="24"/>
        </w:rPr>
        <w:t>单一来源采购文件要求盖章的内容</w:t>
      </w:r>
      <w:r>
        <w:rPr>
          <w:b/>
          <w:color w:val="000000"/>
          <w:sz w:val="24"/>
        </w:rPr>
        <w:t>，需要加盖供应商公章。</w:t>
      </w:r>
    </w:p>
    <w:p>
      <w:pPr>
        <w:numPr>
          <w:ilvl w:val="1"/>
          <w:numId w:val="8"/>
        </w:numPr>
        <w:tabs>
          <w:tab w:val="left" w:pos="1080"/>
          <w:tab w:val="left" w:pos="2014"/>
        </w:tabs>
        <w:snapToGrid w:val="0"/>
        <w:spacing w:line="360" w:lineRule="auto"/>
        <w:ind w:left="1077" w:hanging="720"/>
        <w:rPr>
          <w:rFonts w:hint="eastAsia"/>
          <w:b/>
          <w:sz w:val="24"/>
        </w:rPr>
      </w:pPr>
      <w:r>
        <w:rPr>
          <w:rFonts w:hint="eastAsia"/>
          <w:b/>
          <w:sz w:val="24"/>
        </w:rPr>
        <w:t>响应文件必须由法人代表或授权代表签字或盖章(印刷体、复印件无效)。</w:t>
      </w:r>
    </w:p>
    <w:p>
      <w:pPr>
        <w:numPr>
          <w:ilvl w:val="1"/>
          <w:numId w:val="8"/>
        </w:numPr>
        <w:tabs>
          <w:tab w:val="left" w:pos="1080"/>
          <w:tab w:val="left" w:pos="2014"/>
        </w:tabs>
        <w:snapToGrid w:val="0"/>
        <w:spacing w:line="360" w:lineRule="auto"/>
        <w:ind w:left="1077" w:hanging="720"/>
        <w:rPr>
          <w:rFonts w:hint="eastAsia"/>
          <w:sz w:val="24"/>
        </w:rPr>
      </w:pPr>
      <w:r>
        <w:rPr>
          <w:rFonts w:hint="eastAsia"/>
          <w:sz w:val="24"/>
        </w:rPr>
        <w:t>响应文件</w:t>
      </w:r>
      <w:r>
        <w:rPr>
          <w:rFonts w:hint="eastAsia"/>
          <w:b/>
          <w:sz w:val="24"/>
        </w:rPr>
        <w:t>一式叁份，其中正本壹份，副本贰份及电子版壹份（盖章扫描件PDF版）。</w:t>
      </w:r>
      <w:r>
        <w:rPr>
          <w:rFonts w:hint="eastAsia"/>
          <w:sz w:val="24"/>
        </w:rPr>
        <w:t>如果正本与副本不符，以正本为准。</w:t>
      </w:r>
    </w:p>
    <w:p>
      <w:pPr>
        <w:numPr>
          <w:ilvl w:val="1"/>
          <w:numId w:val="8"/>
        </w:numPr>
        <w:tabs>
          <w:tab w:val="left" w:pos="1080"/>
          <w:tab w:val="left" w:pos="2014"/>
        </w:tabs>
        <w:snapToGrid w:val="0"/>
        <w:spacing w:line="360" w:lineRule="auto"/>
        <w:ind w:left="1077" w:hanging="720"/>
        <w:rPr>
          <w:rFonts w:hint="eastAsia"/>
          <w:b/>
          <w:sz w:val="24"/>
        </w:rPr>
      </w:pPr>
      <w:r>
        <w:rPr>
          <w:rFonts w:hint="eastAsia"/>
          <w:b/>
          <w:sz w:val="24"/>
        </w:rPr>
        <w:t>响应文件的正本必须用不</w:t>
      </w:r>
      <w:r>
        <w:rPr>
          <w:rFonts w:hint="eastAsia"/>
          <w:b/>
          <w:sz w:val="24"/>
          <w:lang w:val="en-US" w:eastAsia="zh-CN"/>
        </w:rPr>
        <w:t>褪</w:t>
      </w:r>
      <w:r>
        <w:rPr>
          <w:rFonts w:hint="eastAsia"/>
          <w:b/>
          <w:sz w:val="24"/>
        </w:rPr>
        <w:t>色的墨水填写或打印，在封面注明“正本”字样。副本可以用正本的复印件，在封面注明“副本”字样。</w:t>
      </w:r>
    </w:p>
    <w:p>
      <w:pPr>
        <w:numPr>
          <w:ilvl w:val="1"/>
          <w:numId w:val="8"/>
        </w:numPr>
        <w:tabs>
          <w:tab w:val="left" w:pos="1080"/>
          <w:tab w:val="left" w:pos="2014"/>
        </w:tabs>
        <w:snapToGrid w:val="0"/>
        <w:spacing w:line="360" w:lineRule="auto"/>
        <w:ind w:left="1077" w:hanging="720"/>
        <w:rPr>
          <w:rFonts w:hint="eastAsia"/>
          <w:sz w:val="24"/>
        </w:rPr>
      </w:pPr>
      <w:r>
        <w:rPr>
          <w:rFonts w:hint="eastAsia"/>
          <w:sz w:val="24"/>
        </w:rPr>
        <w:t>响应文件不得涂改和增删，如有修改错漏处，必须由同一签署人签字或盖章。</w:t>
      </w:r>
    </w:p>
    <w:p>
      <w:pPr>
        <w:numPr>
          <w:ilvl w:val="1"/>
          <w:numId w:val="8"/>
        </w:numPr>
        <w:tabs>
          <w:tab w:val="left" w:pos="1080"/>
          <w:tab w:val="left" w:pos="2014"/>
        </w:tabs>
        <w:snapToGrid w:val="0"/>
        <w:spacing w:line="360" w:lineRule="auto"/>
        <w:ind w:left="1077" w:hanging="720"/>
        <w:rPr>
          <w:sz w:val="24"/>
        </w:rPr>
      </w:pPr>
      <w:r>
        <w:rPr>
          <w:rFonts w:hint="eastAsia"/>
          <w:sz w:val="24"/>
        </w:rPr>
        <w:t>响应文件因字迹潦草或表达不清所引起的后果由供应商负责。</w:t>
      </w:r>
    </w:p>
    <w:p>
      <w:pPr>
        <w:tabs>
          <w:tab w:val="left" w:pos="900"/>
          <w:tab w:val="left" w:pos="1080"/>
        </w:tabs>
        <w:snapToGrid w:val="0"/>
        <w:spacing w:line="360" w:lineRule="auto"/>
        <w:ind w:left="357"/>
      </w:pPr>
    </w:p>
    <w:p>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pPr>
        <w:numPr>
          <w:ilvl w:val="0"/>
          <w:numId w:val="8"/>
        </w:numPr>
        <w:tabs>
          <w:tab w:val="left" w:pos="360"/>
        </w:tabs>
        <w:snapToGrid w:val="0"/>
        <w:spacing w:line="360" w:lineRule="auto"/>
        <w:ind w:left="357" w:hanging="357"/>
        <w:outlineLvl w:val="1"/>
        <w:rPr>
          <w:rFonts w:ascii="Times New Roman" w:hAnsi="Times New Roman" w:eastAsia="宋体" w:cs="Times New Roman"/>
          <w:sz w:val="24"/>
        </w:rPr>
      </w:pPr>
      <w:bookmarkStart w:id="417" w:name="_Toc151193633"/>
      <w:bookmarkStart w:id="418" w:name="_Toc226337231"/>
      <w:bookmarkStart w:id="419" w:name="_Toc265228373"/>
      <w:bookmarkStart w:id="420" w:name="_Toc164351629"/>
      <w:bookmarkStart w:id="421" w:name="_Toc127151736"/>
      <w:bookmarkStart w:id="422" w:name="_Toc195842900"/>
      <w:bookmarkStart w:id="423" w:name="_Toc520356160"/>
      <w:bookmarkStart w:id="424" w:name="_Toc151193705"/>
      <w:bookmarkStart w:id="425" w:name="_Toc150509286"/>
      <w:bookmarkStart w:id="426" w:name="_Toc164229230"/>
      <w:bookmarkStart w:id="427" w:name="_Toc151193777"/>
      <w:bookmarkStart w:id="428" w:name="_Toc150774740"/>
      <w:bookmarkStart w:id="429" w:name="_Toc164608804"/>
      <w:bookmarkStart w:id="430" w:name="_Toc226965808"/>
      <w:bookmarkStart w:id="431" w:name="_Toc264969225"/>
      <w:bookmarkStart w:id="432" w:name="_Toc127161449"/>
      <w:bookmarkStart w:id="433" w:name="_Toc305158877"/>
      <w:bookmarkStart w:id="434" w:name="_Toc151193923"/>
      <w:bookmarkStart w:id="435" w:name="_Toc127151535"/>
      <w:bookmarkStart w:id="436" w:name="_Toc142311037"/>
      <w:bookmarkStart w:id="437" w:name="_Toc150774635"/>
      <w:bookmarkStart w:id="438" w:name="_Toc305158803"/>
      <w:bookmarkStart w:id="439" w:name="_Toc226309779"/>
      <w:bookmarkStart w:id="440" w:name="_Toc164229376"/>
      <w:bookmarkStart w:id="441" w:name="_Toc226965725"/>
      <w:bookmarkStart w:id="442" w:name="_Toc149720828"/>
      <w:bookmarkStart w:id="443" w:name="_Toc164608649"/>
      <w:bookmarkStart w:id="444" w:name="_Toc151193849"/>
      <w:bookmarkStart w:id="445" w:name="_Toc150480773"/>
      <w:bookmarkStart w:id="446" w:name="_Toc151190162"/>
      <w:r>
        <w:rPr>
          <w:rFonts w:ascii="Times New Roman" w:hAnsi="Times New Roman" w:eastAsia="宋体" w:cs="Times New Roman"/>
          <w:sz w:val="24"/>
        </w:rPr>
        <w:t>响应文件的</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rFonts w:ascii="Times New Roman" w:hAnsi="Times New Roman" w:eastAsia="宋体" w:cs="Times New Roman"/>
          <w:sz w:val="24"/>
        </w:rPr>
        <w:t>提交</w:t>
      </w:r>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响应文件密封袋内装响应文件正副本共一式叁份及电子版壹份。密封袋上、</w:t>
      </w:r>
    </w:p>
    <w:p>
      <w:pPr>
        <w:numPr>
          <w:ilvl w:val="0"/>
          <w:numId w:val="0"/>
        </w:numPr>
        <w:tabs>
          <w:tab w:val="left" w:pos="1080"/>
          <w:tab w:val="left" w:pos="2014"/>
        </w:tabs>
        <w:snapToGrid w:val="0"/>
        <w:spacing w:line="360" w:lineRule="auto"/>
        <w:ind w:left="1075" w:leftChars="512" w:firstLine="0" w:firstLineChars="0"/>
        <w:rPr>
          <w:rFonts w:hint="eastAsia" w:ascii="Times New Roman" w:hAnsi="Times New Roman" w:eastAsia="宋体" w:cs="Times New Roman"/>
          <w:sz w:val="24"/>
        </w:rPr>
      </w:pPr>
      <w:r>
        <w:rPr>
          <w:rFonts w:hint="eastAsia" w:ascii="Times New Roman" w:hAnsi="Times New Roman" w:eastAsia="宋体" w:cs="Times New Roman"/>
          <w:sz w:val="24"/>
        </w:rPr>
        <w:t>下封口处均应有密封条和法人代表或授权代表签字或盖章以及供应商公章。封皮上写明项目编号、项目名称、供应商名称，正副本及电子版可分套密封也可一起密封。</w:t>
      </w:r>
    </w:p>
    <w:p>
      <w:pPr>
        <w:numPr>
          <w:ilvl w:val="0"/>
          <w:numId w:val="8"/>
        </w:numPr>
        <w:tabs>
          <w:tab w:val="left" w:pos="360"/>
        </w:tabs>
        <w:snapToGrid w:val="0"/>
        <w:spacing w:line="360" w:lineRule="auto"/>
        <w:ind w:left="357" w:hanging="357"/>
        <w:outlineLvl w:val="1"/>
        <w:rPr>
          <w:rFonts w:ascii="Times New Roman" w:hAnsi="Times New Roman" w:eastAsia="宋体" w:cs="Times New Roman"/>
          <w:sz w:val="24"/>
        </w:rPr>
      </w:pPr>
      <w:r>
        <w:rPr>
          <w:rFonts w:ascii="Times New Roman" w:hAnsi="Times New Roman" w:eastAsia="宋体" w:cs="Times New Roman"/>
          <w:sz w:val="24"/>
        </w:rPr>
        <w:t>提交响应文件截止时间</w:t>
      </w:r>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供应商应在单一来源采购文件要求的提交响应文件截止时间前，将响应文件提交至指定的提交地点。</w:t>
      </w:r>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在规定的响应文件递交截止时间以后送达的响应文件，采购代理机构拒绝接收。</w:t>
      </w:r>
    </w:p>
    <w:p>
      <w:pPr>
        <w:numPr>
          <w:ilvl w:val="0"/>
          <w:numId w:val="8"/>
        </w:numPr>
        <w:tabs>
          <w:tab w:val="left" w:pos="360"/>
        </w:tabs>
        <w:snapToGrid w:val="0"/>
        <w:spacing w:line="360" w:lineRule="auto"/>
        <w:ind w:left="357" w:hanging="357"/>
        <w:outlineLvl w:val="1"/>
        <w:rPr>
          <w:rFonts w:ascii="Times New Roman" w:hAnsi="Times New Roman" w:eastAsia="宋体" w:cs="Times New Roman"/>
          <w:sz w:val="24"/>
        </w:rPr>
      </w:pPr>
      <w:bookmarkStart w:id="447" w:name="_Toc151190164"/>
      <w:bookmarkStart w:id="448" w:name="_Toc226965810"/>
      <w:bookmarkStart w:id="449" w:name="_Toc151193635"/>
      <w:bookmarkStart w:id="450" w:name="_Toc305158805"/>
      <w:bookmarkStart w:id="451" w:name="_Toc127151537"/>
      <w:bookmarkStart w:id="452" w:name="_Toc164608806"/>
      <w:bookmarkStart w:id="453" w:name="_Toc151193779"/>
      <w:bookmarkStart w:id="454" w:name="_Toc264969227"/>
      <w:bookmarkStart w:id="455" w:name="_Toc226965727"/>
      <w:bookmarkStart w:id="456" w:name="_Toc195842902"/>
      <w:bookmarkStart w:id="457" w:name="_Toc150774742"/>
      <w:bookmarkStart w:id="458" w:name="_Toc151193707"/>
      <w:bookmarkStart w:id="459" w:name="_Toc150774637"/>
      <w:bookmarkStart w:id="460" w:name="_Toc151193851"/>
      <w:bookmarkStart w:id="461" w:name="_Toc151193925"/>
      <w:bookmarkStart w:id="462" w:name="_Toc142311039"/>
      <w:bookmarkStart w:id="463" w:name="_Toc305158879"/>
      <w:bookmarkStart w:id="464" w:name="_Toc164229232"/>
      <w:bookmarkStart w:id="465" w:name="_Toc127151738"/>
      <w:bookmarkStart w:id="466" w:name="_Toc164608651"/>
      <w:bookmarkStart w:id="467" w:name="_Toc265228375"/>
      <w:bookmarkStart w:id="468" w:name="_Toc150509288"/>
      <w:bookmarkStart w:id="469" w:name="_Toc150480775"/>
      <w:bookmarkStart w:id="470" w:name="_Toc226309781"/>
      <w:bookmarkStart w:id="471" w:name="_Toc127161451"/>
      <w:bookmarkStart w:id="472" w:name="_Toc149720830"/>
      <w:bookmarkStart w:id="473" w:name="_Toc520356162"/>
      <w:bookmarkStart w:id="474" w:name="_Toc164351631"/>
      <w:bookmarkStart w:id="475" w:name="_Toc226337233"/>
      <w:bookmarkStart w:id="476" w:name="_Toc164229378"/>
      <w:r>
        <w:rPr>
          <w:rFonts w:ascii="Times New Roman" w:hAnsi="Times New Roman" w:eastAsia="宋体" w:cs="Times New Roman"/>
          <w:sz w:val="24"/>
        </w:rPr>
        <w:t>响应文件的修改与撤回</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响应文件提交截止时间前，供应商可以对所提交的响应文件进行补充、修改或者撤回并书面通知采购人、采购代理机构。</w:t>
      </w:r>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供应商对响应文件的补充、修改的内容应当按照单一来源采购文件要求签署、盖章，作为响应文件的组成部分。补充、修改的内容与响应文件不一致的，以补充、修改的内容为准。</w:t>
      </w:r>
    </w:p>
    <w:p>
      <w:pPr>
        <w:spacing w:line="360" w:lineRule="auto"/>
        <w:rPr>
          <w:sz w:val="24"/>
        </w:rPr>
      </w:pPr>
    </w:p>
    <w:p>
      <w:pPr>
        <w:pStyle w:val="3"/>
        <w:spacing w:before="0" w:line="360" w:lineRule="auto"/>
        <w:rPr>
          <w:rFonts w:ascii="Times New Roman" w:hAnsi="Times New Roman" w:eastAsia="宋体"/>
          <w:sz w:val="28"/>
        </w:rPr>
      </w:pPr>
      <w:bookmarkStart w:id="477" w:name="_Toc265228376"/>
      <w:bookmarkStart w:id="478" w:name="_Toc264969228"/>
      <w:bookmarkStart w:id="479" w:name="_Toc151193780"/>
      <w:bookmarkStart w:id="480" w:name="_Toc520356163"/>
      <w:bookmarkStart w:id="481" w:name="_Toc195842903"/>
      <w:bookmarkStart w:id="482" w:name="_Toc151193926"/>
      <w:bookmarkStart w:id="483" w:name="_Toc150774743"/>
      <w:bookmarkStart w:id="484" w:name="_Toc226965811"/>
      <w:bookmarkStart w:id="485" w:name="_Toc150774638"/>
      <w:bookmarkStart w:id="486" w:name="_Toc151193852"/>
      <w:bookmarkStart w:id="487" w:name="_Toc151193636"/>
      <w:bookmarkStart w:id="488" w:name="_Toc226309782"/>
      <w:bookmarkStart w:id="489" w:name="_Toc305158806"/>
      <w:bookmarkStart w:id="490" w:name="_Toc142311040"/>
      <w:bookmarkStart w:id="491" w:name="_Toc151190165"/>
      <w:bookmarkStart w:id="492" w:name="_Toc127151538"/>
      <w:bookmarkStart w:id="493" w:name="_Toc226337234"/>
      <w:bookmarkStart w:id="494" w:name="_Toc305158880"/>
      <w:bookmarkStart w:id="495" w:name="_Toc150480776"/>
      <w:bookmarkStart w:id="496" w:name="_Toc226965728"/>
      <w:bookmarkStart w:id="497" w:name="_Toc151193708"/>
      <w:bookmarkStart w:id="498" w:name="_Toc150509289"/>
      <w:r>
        <w:rPr>
          <w:rFonts w:ascii="Times New Roman" w:hAnsi="Times New Roman" w:eastAsia="宋体"/>
          <w:sz w:val="28"/>
        </w:rPr>
        <w:t xml:space="preserve">五   </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Pr>
          <w:rFonts w:ascii="Times New Roman" w:hAnsi="Times New Roman" w:eastAsia="宋体"/>
          <w:sz w:val="28"/>
        </w:rPr>
        <w:t>协商</w:t>
      </w:r>
    </w:p>
    <w:p>
      <w:pPr>
        <w:numPr>
          <w:ilvl w:val="0"/>
          <w:numId w:val="8"/>
        </w:numPr>
        <w:tabs>
          <w:tab w:val="left" w:pos="360"/>
        </w:tabs>
        <w:snapToGrid w:val="0"/>
        <w:spacing w:line="360" w:lineRule="auto"/>
        <w:ind w:left="357" w:hanging="357"/>
        <w:outlineLvl w:val="1"/>
        <w:rPr>
          <w:rFonts w:ascii="Times New Roman" w:hAnsi="Times New Roman" w:eastAsia="宋体" w:cs="Times New Roman"/>
          <w:sz w:val="24"/>
        </w:rPr>
      </w:pPr>
      <w:r>
        <w:rPr>
          <w:rFonts w:ascii="Times New Roman" w:hAnsi="Times New Roman" w:eastAsia="宋体" w:cs="Times New Roman"/>
          <w:sz w:val="24"/>
        </w:rPr>
        <w:t>响应文件的开启</w:t>
      </w:r>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采购人或采购代理机构将按单一来源采购文件的规定，在提交响应文件截止时间的同一时间和《供应商须知资料表》约定的地点组织单一来源协商会议。会议邀请供应商代表参加。</w:t>
      </w:r>
    </w:p>
    <w:p>
      <w:pPr>
        <w:numPr>
          <w:ilvl w:val="0"/>
          <w:numId w:val="8"/>
        </w:numPr>
        <w:tabs>
          <w:tab w:val="left" w:pos="360"/>
        </w:tabs>
        <w:snapToGrid w:val="0"/>
        <w:spacing w:line="360" w:lineRule="auto"/>
        <w:ind w:left="357" w:hanging="357"/>
        <w:outlineLvl w:val="1"/>
        <w:rPr>
          <w:rFonts w:ascii="Times New Roman" w:hAnsi="Times New Roman" w:eastAsia="宋体" w:cs="Times New Roman"/>
          <w:sz w:val="24"/>
        </w:rPr>
      </w:pPr>
      <w:r>
        <w:rPr>
          <w:rFonts w:ascii="Times New Roman" w:hAnsi="Times New Roman" w:eastAsia="宋体" w:cs="Times New Roman"/>
          <w:sz w:val="24"/>
        </w:rPr>
        <w:t>单一来源采购人员</w:t>
      </w:r>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bookmarkStart w:id="499" w:name="_Toc520356166"/>
      <w:r>
        <w:rPr>
          <w:rFonts w:hint="eastAsia" w:ascii="Times New Roman" w:hAnsi="Times New Roman" w:eastAsia="宋体" w:cs="Times New Roman"/>
          <w:sz w:val="24"/>
        </w:rPr>
        <w:t>采购人、采购代理机构组织具有相关经验的专业人员与供应商商定合理的成交价格并保证采购项目质量。</w:t>
      </w:r>
    </w:p>
    <w:bookmarkEnd w:id="499"/>
    <w:p>
      <w:pPr>
        <w:numPr>
          <w:ilvl w:val="0"/>
          <w:numId w:val="8"/>
        </w:numPr>
        <w:tabs>
          <w:tab w:val="left" w:pos="360"/>
        </w:tabs>
        <w:snapToGrid w:val="0"/>
        <w:spacing w:line="360" w:lineRule="auto"/>
        <w:ind w:left="357" w:hanging="357"/>
        <w:outlineLvl w:val="1"/>
        <w:rPr>
          <w:rFonts w:ascii="Times New Roman" w:hAnsi="Times New Roman" w:eastAsia="宋体" w:cs="Times New Roman"/>
          <w:sz w:val="24"/>
        </w:rPr>
      </w:pPr>
      <w:bookmarkStart w:id="500" w:name="_Toc520356169"/>
      <w:r>
        <w:rPr>
          <w:rFonts w:ascii="Times New Roman" w:hAnsi="Times New Roman" w:eastAsia="宋体" w:cs="Times New Roman"/>
          <w:sz w:val="24"/>
        </w:rPr>
        <w:t xml:space="preserve">协商程序 </w:t>
      </w:r>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见第三章《协商程序》。</w:t>
      </w:r>
    </w:p>
    <w:p>
      <w:pPr>
        <w:tabs>
          <w:tab w:val="left" w:pos="360"/>
          <w:tab w:val="left" w:pos="1080"/>
        </w:tabs>
        <w:snapToGrid w:val="0"/>
        <w:spacing w:line="360" w:lineRule="auto"/>
        <w:ind w:left="1080"/>
        <w:rPr>
          <w:sz w:val="24"/>
        </w:rPr>
      </w:pPr>
    </w:p>
    <w:p>
      <w:pPr>
        <w:pStyle w:val="3"/>
        <w:spacing w:before="0" w:line="360" w:lineRule="auto"/>
        <w:rPr>
          <w:rFonts w:ascii="Times New Roman" w:hAnsi="Times New Roman" w:eastAsia="宋体"/>
          <w:sz w:val="28"/>
        </w:rPr>
      </w:pPr>
      <w:bookmarkStart w:id="501" w:name="_Toc265228383"/>
      <w:bookmarkStart w:id="502" w:name="_Toc151193859"/>
      <w:bookmarkStart w:id="503" w:name="_Toc226965735"/>
      <w:bookmarkStart w:id="504" w:name="_Toc150774750"/>
      <w:bookmarkStart w:id="505" w:name="_Toc151193715"/>
      <w:bookmarkStart w:id="506" w:name="_Toc151193787"/>
      <w:bookmarkStart w:id="507" w:name="_Toc142311047"/>
      <w:bookmarkStart w:id="508" w:name="_Toc150509296"/>
      <w:bookmarkStart w:id="509" w:name="_Toc226965818"/>
      <w:bookmarkStart w:id="510" w:name="_Toc195842910"/>
      <w:bookmarkStart w:id="511" w:name="_Toc151193643"/>
      <w:bookmarkStart w:id="512" w:name="_Toc226309789"/>
      <w:bookmarkStart w:id="513" w:name="_Toc151193933"/>
      <w:bookmarkStart w:id="514" w:name="_Toc151190172"/>
      <w:bookmarkStart w:id="515" w:name="_Toc305158813"/>
      <w:bookmarkStart w:id="516" w:name="_Toc264969235"/>
      <w:bookmarkStart w:id="517" w:name="_Toc150774645"/>
      <w:bookmarkStart w:id="518" w:name="_Toc127151545"/>
      <w:bookmarkStart w:id="519" w:name="_Toc226337241"/>
      <w:bookmarkStart w:id="520" w:name="_Toc305158887"/>
      <w:bookmarkStart w:id="521" w:name="_Toc150480783"/>
      <w:r>
        <w:rPr>
          <w:rFonts w:ascii="Times New Roman" w:hAnsi="Times New Roman" w:eastAsia="宋体"/>
          <w:sz w:val="28"/>
        </w:rPr>
        <w:t xml:space="preserve">六   </w:t>
      </w:r>
      <w:bookmarkEnd w:id="500"/>
      <w:r>
        <w:rPr>
          <w:rFonts w:ascii="Times New Roman" w:hAnsi="Times New Roman" w:eastAsia="宋体"/>
          <w:sz w:val="28"/>
        </w:rPr>
        <w:t>确定</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Pr>
          <w:rFonts w:ascii="Times New Roman" w:hAnsi="Times New Roman" w:eastAsia="宋体"/>
          <w:sz w:val="28"/>
        </w:rPr>
        <w:t>成交供应商</w:t>
      </w:r>
    </w:p>
    <w:p>
      <w:pPr>
        <w:tabs>
          <w:tab w:val="left" w:pos="900"/>
          <w:tab w:val="left" w:pos="1080"/>
          <w:tab w:val="left" w:pos="1589"/>
        </w:tabs>
        <w:snapToGrid w:val="0"/>
        <w:spacing w:line="360" w:lineRule="auto"/>
        <w:ind w:left="900"/>
        <w:rPr>
          <w:sz w:val="24"/>
        </w:rPr>
      </w:pPr>
      <w:bookmarkStart w:id="522" w:name="_Toc142311049"/>
      <w:bookmarkStart w:id="523" w:name="_Toc149720840"/>
      <w:bookmarkStart w:id="524" w:name="_Toc164229242"/>
      <w:bookmarkStart w:id="525" w:name="_Toc164608661"/>
      <w:bookmarkStart w:id="526" w:name="_Toc226309791"/>
      <w:bookmarkStart w:id="527" w:name="_Toc150774647"/>
      <w:bookmarkStart w:id="528" w:name="_Toc127151547"/>
      <w:bookmarkStart w:id="529" w:name="_Toc164351641"/>
      <w:bookmarkStart w:id="530" w:name="_Toc151193789"/>
      <w:bookmarkStart w:id="531" w:name="_Toc127151748"/>
      <w:bookmarkStart w:id="532" w:name="_Toc226337243"/>
      <w:bookmarkStart w:id="533" w:name="_Toc226965820"/>
      <w:bookmarkStart w:id="534" w:name="_Toc305158815"/>
      <w:bookmarkStart w:id="535" w:name="_Toc150509298"/>
      <w:bookmarkStart w:id="536" w:name="_Toc127161461"/>
      <w:bookmarkStart w:id="537" w:name="_Toc195842912"/>
      <w:bookmarkStart w:id="538" w:name="_Toc305158889"/>
      <w:bookmarkStart w:id="539" w:name="_Toc265228385"/>
      <w:bookmarkStart w:id="540" w:name="_Toc151193717"/>
      <w:bookmarkStart w:id="541" w:name="_Toc151190174"/>
      <w:bookmarkStart w:id="542" w:name="_Toc150774752"/>
      <w:bookmarkStart w:id="543" w:name="_Toc151193935"/>
      <w:bookmarkStart w:id="544" w:name="_Toc151193861"/>
      <w:bookmarkStart w:id="545" w:name="_Toc150480785"/>
      <w:bookmarkStart w:id="546" w:name="_Toc151193645"/>
      <w:bookmarkStart w:id="547" w:name="_Toc226965737"/>
      <w:bookmarkStart w:id="548" w:name="_Toc264969237"/>
      <w:bookmarkStart w:id="549" w:name="_Toc164608816"/>
      <w:bookmarkStart w:id="550" w:name="_Toc164229388"/>
    </w:p>
    <w:p>
      <w:pPr>
        <w:numPr>
          <w:ilvl w:val="0"/>
          <w:numId w:val="8"/>
        </w:numPr>
        <w:tabs>
          <w:tab w:val="left" w:pos="360"/>
        </w:tabs>
        <w:snapToGrid w:val="0"/>
        <w:spacing w:line="360" w:lineRule="auto"/>
        <w:ind w:left="357" w:hanging="357"/>
        <w:outlineLvl w:val="1"/>
        <w:rPr>
          <w:rFonts w:ascii="Times New Roman" w:hAnsi="Times New Roman" w:eastAsia="宋体" w:cs="Times New Roman"/>
          <w:sz w:val="24"/>
        </w:rPr>
      </w:pPr>
      <w:r>
        <w:rPr>
          <w:rFonts w:ascii="Times New Roman" w:hAnsi="Times New Roman" w:eastAsia="宋体" w:cs="Times New Roman"/>
          <w:sz w:val="24"/>
        </w:rPr>
        <w:t>确定</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Pr>
          <w:rFonts w:ascii="Times New Roman" w:hAnsi="Times New Roman" w:eastAsia="宋体" w:cs="Times New Roman"/>
          <w:sz w:val="24"/>
        </w:rPr>
        <w:t>成交供应商</w:t>
      </w:r>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采购人在收到单一来源采购人员编写的协商情况记录后，确定成交供应商。</w:t>
      </w:r>
    </w:p>
    <w:p>
      <w:pPr>
        <w:numPr>
          <w:ilvl w:val="0"/>
          <w:numId w:val="8"/>
        </w:numPr>
        <w:tabs>
          <w:tab w:val="left" w:pos="360"/>
        </w:tabs>
        <w:snapToGrid w:val="0"/>
        <w:spacing w:line="360" w:lineRule="auto"/>
        <w:ind w:left="357" w:hanging="357"/>
        <w:outlineLvl w:val="1"/>
        <w:rPr>
          <w:rFonts w:ascii="Times New Roman" w:hAnsi="Times New Roman" w:eastAsia="宋体" w:cs="Times New Roman"/>
          <w:sz w:val="24"/>
        </w:rPr>
      </w:pPr>
      <w:bookmarkStart w:id="551" w:name="_Toc305158817"/>
      <w:bookmarkStart w:id="552" w:name="_Toc305158891"/>
      <w:bookmarkStart w:id="553" w:name="_Toc150774754"/>
      <w:bookmarkStart w:id="554" w:name="_Toc195842914"/>
      <w:bookmarkStart w:id="555" w:name="_Toc164608663"/>
      <w:bookmarkStart w:id="556" w:name="_Toc142311051"/>
      <w:bookmarkStart w:id="557" w:name="_Toc164608818"/>
      <w:bookmarkStart w:id="558" w:name="_Toc151190176"/>
      <w:bookmarkStart w:id="559" w:name="_Toc151193791"/>
      <w:bookmarkStart w:id="560" w:name="_Toc127161463"/>
      <w:bookmarkStart w:id="561" w:name="_Toc149720842"/>
      <w:bookmarkStart w:id="562" w:name="_Toc164229390"/>
      <w:bookmarkStart w:id="563" w:name="_Toc226965822"/>
      <w:bookmarkStart w:id="564" w:name="_Toc150774649"/>
      <w:bookmarkStart w:id="565" w:name="_Toc151193647"/>
      <w:bookmarkStart w:id="566" w:name="_Toc164229244"/>
      <w:bookmarkStart w:id="567" w:name="_Toc164351643"/>
      <w:bookmarkStart w:id="568" w:name="_Toc151193719"/>
      <w:bookmarkStart w:id="569" w:name="_Toc150509300"/>
      <w:bookmarkStart w:id="570" w:name="_Toc265228387"/>
      <w:bookmarkStart w:id="571" w:name="_Toc226965739"/>
      <w:bookmarkStart w:id="572" w:name="_Toc127151750"/>
      <w:bookmarkStart w:id="573" w:name="_Toc127151549"/>
      <w:bookmarkStart w:id="574" w:name="_Toc226309793"/>
      <w:bookmarkStart w:id="575" w:name="_Toc151193937"/>
      <w:bookmarkStart w:id="576" w:name="_Toc226337245"/>
      <w:bookmarkStart w:id="577" w:name="_Toc151193863"/>
      <w:bookmarkStart w:id="578" w:name="_Toc150480787"/>
      <w:bookmarkStart w:id="579" w:name="_Toc264969239"/>
      <w:bookmarkStart w:id="580" w:name="_Ref467306425"/>
      <w:bookmarkStart w:id="581" w:name="_Ref467307090"/>
      <w:bookmarkStart w:id="582" w:name="_Toc520356176"/>
      <w:r>
        <w:rPr>
          <w:rFonts w:ascii="Times New Roman" w:hAnsi="Times New Roman" w:eastAsia="宋体" w:cs="Times New Roman"/>
          <w:sz w:val="24"/>
        </w:rPr>
        <w:t>成交公告与成交通知书</w:t>
      </w:r>
      <w:bookmarkEnd w:id="551"/>
      <w:bookmarkEnd w:id="552"/>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采购人或采购代理机构自成交供应商确定后2个工作日内，在北京市政府采购网公告成交结果，同时向成交供应商发出成交通知书，成交公告期限为1个工作日。</w:t>
      </w:r>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成交通知书对采购人和成交供应商具有同等法律效力。成交通知书发出后，采购人改变成交结果的，或者成交供应商放弃成交项目的，应当依法承担法律责任。</w:t>
      </w:r>
    </w:p>
    <w:p>
      <w:pPr>
        <w:numPr>
          <w:ilvl w:val="0"/>
          <w:numId w:val="8"/>
        </w:numPr>
        <w:tabs>
          <w:tab w:val="left" w:pos="360"/>
        </w:tabs>
        <w:snapToGrid w:val="0"/>
        <w:spacing w:line="360" w:lineRule="auto"/>
        <w:ind w:left="357" w:hanging="357"/>
        <w:outlineLvl w:val="1"/>
        <w:rPr>
          <w:rFonts w:ascii="Times New Roman" w:hAnsi="Times New Roman" w:eastAsia="宋体" w:cs="Times New Roman"/>
          <w:sz w:val="24"/>
        </w:rPr>
      </w:pPr>
      <w:r>
        <w:rPr>
          <w:rFonts w:ascii="Times New Roman" w:hAnsi="Times New Roman" w:eastAsia="宋体" w:cs="Times New Roman"/>
          <w:sz w:val="24"/>
        </w:rPr>
        <w:t>终止</w:t>
      </w:r>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出现下列情形之一的，采购人或采购代理机构将终止采购活动，发布项目终止公告并说明原因，重新开展采购活动：</w:t>
      </w:r>
    </w:p>
    <w:p>
      <w:pPr>
        <w:numPr>
          <w:ilvl w:val="2"/>
          <w:numId w:val="8"/>
        </w:numPr>
        <w:snapToGrid w:val="0"/>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因情况变化，不再符合规定的单一来源采购方式适用情形的；</w:t>
      </w:r>
    </w:p>
    <w:p>
      <w:pPr>
        <w:numPr>
          <w:ilvl w:val="2"/>
          <w:numId w:val="8"/>
        </w:numPr>
        <w:snapToGrid w:val="0"/>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出现影响采购公正的违法、违规行为的；</w:t>
      </w:r>
    </w:p>
    <w:p>
      <w:pPr>
        <w:numPr>
          <w:ilvl w:val="2"/>
          <w:numId w:val="8"/>
        </w:numPr>
        <w:snapToGrid w:val="0"/>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报价超过采购预算的。</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Pr>
        <w:numPr>
          <w:ilvl w:val="0"/>
          <w:numId w:val="8"/>
        </w:numPr>
        <w:tabs>
          <w:tab w:val="left" w:pos="360"/>
        </w:tabs>
        <w:snapToGrid w:val="0"/>
        <w:spacing w:line="360" w:lineRule="auto"/>
        <w:ind w:left="357" w:hanging="357"/>
        <w:outlineLvl w:val="1"/>
        <w:rPr>
          <w:rFonts w:ascii="Times New Roman" w:hAnsi="Times New Roman" w:eastAsia="宋体" w:cs="Times New Roman"/>
          <w:sz w:val="24"/>
        </w:rPr>
      </w:pPr>
      <w:bookmarkStart w:id="583" w:name="_Toc520356175"/>
      <w:bookmarkStart w:id="584" w:name="_Toc305158818"/>
      <w:bookmarkStart w:id="585" w:name="_Toc151193864"/>
      <w:bookmarkStart w:id="586" w:name="_Toc127151550"/>
      <w:bookmarkStart w:id="587" w:name="_Toc264969240"/>
      <w:bookmarkStart w:id="588" w:name="_Toc151193648"/>
      <w:bookmarkStart w:id="589" w:name="_Toc226965823"/>
      <w:bookmarkStart w:id="590" w:name="_Toc164351644"/>
      <w:bookmarkStart w:id="591" w:name="_Toc127151751"/>
      <w:bookmarkStart w:id="592" w:name="_Toc164229245"/>
      <w:bookmarkStart w:id="593" w:name="_Toc151193720"/>
      <w:bookmarkStart w:id="594" w:name="_Ref467306978"/>
      <w:bookmarkStart w:id="595" w:name="_Toc127161464"/>
      <w:bookmarkStart w:id="596" w:name="_Toc150774650"/>
      <w:bookmarkStart w:id="597" w:name="_Toc151193792"/>
      <w:bookmarkStart w:id="598" w:name="_Toc149720843"/>
      <w:bookmarkStart w:id="599" w:name="_Toc226337246"/>
      <w:bookmarkStart w:id="600" w:name="_Toc164608819"/>
      <w:bookmarkStart w:id="601" w:name="_Toc164229391"/>
      <w:bookmarkStart w:id="602" w:name="_Toc150774755"/>
      <w:bookmarkStart w:id="603" w:name="_Toc150480788"/>
      <w:bookmarkStart w:id="604" w:name="_Toc305158892"/>
      <w:bookmarkStart w:id="605" w:name="_Ref467307062"/>
      <w:bookmarkStart w:id="606" w:name="_Toc150509301"/>
      <w:bookmarkStart w:id="607" w:name="_Ref467307204"/>
      <w:bookmarkStart w:id="608" w:name="_Toc226309794"/>
      <w:bookmarkStart w:id="609" w:name="_Toc164608664"/>
      <w:bookmarkStart w:id="610" w:name="_Toc195842915"/>
      <w:bookmarkStart w:id="611" w:name="_Toc151190177"/>
      <w:bookmarkStart w:id="612" w:name="_Toc265228388"/>
      <w:bookmarkStart w:id="613" w:name="_Toc151193938"/>
      <w:bookmarkStart w:id="614" w:name="_Toc226965740"/>
      <w:bookmarkStart w:id="615" w:name="_Toc142311052"/>
      <w:bookmarkStart w:id="616" w:name="_Ref467306377"/>
      <w:r>
        <w:rPr>
          <w:rFonts w:ascii="Times New Roman" w:hAnsi="Times New Roman" w:eastAsia="宋体" w:cs="Times New Roman"/>
          <w:sz w:val="24"/>
        </w:rPr>
        <w:t>签订合同</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采购人与成交供应商应当自成交通知书发出之日起30日内，按照单一来源采购文件确定的合同文本以及采购标的、规格型号、采购金额、采购数量、技术和服务要求等事项签订政府采购合同。</w:t>
      </w:r>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成交供应商拒绝签订政府采购合同的，采购人可以重新开展采购活动。拒绝签订政府采购合同的成交供应商不得参加对该项目重新开展的采购活动。</w:t>
      </w:r>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联合体成交的，联合体各方应当共同与采购人签订合同，就采购合同约定的事项向采购人承担连带责任。</w:t>
      </w:r>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政府采购合同不能转包。</w:t>
      </w:r>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bookmarkEnd w:id="580"/>
    <w:bookmarkEnd w:id="581"/>
    <w:bookmarkEnd w:id="582"/>
    <w:p>
      <w:pPr>
        <w:numPr>
          <w:ilvl w:val="0"/>
          <w:numId w:val="8"/>
        </w:numPr>
        <w:tabs>
          <w:tab w:val="left" w:pos="360"/>
        </w:tabs>
        <w:snapToGrid w:val="0"/>
        <w:spacing w:line="360" w:lineRule="auto"/>
        <w:ind w:left="357" w:hanging="357"/>
        <w:outlineLvl w:val="1"/>
        <w:rPr>
          <w:rFonts w:ascii="Times New Roman" w:hAnsi="Times New Roman" w:eastAsia="宋体" w:cs="Times New Roman"/>
          <w:sz w:val="24"/>
        </w:rPr>
      </w:pPr>
      <w:r>
        <w:rPr>
          <w:rFonts w:ascii="Times New Roman" w:hAnsi="Times New Roman" w:eastAsia="宋体" w:cs="Times New Roman"/>
          <w:sz w:val="24"/>
        </w:rPr>
        <w:t>询问与质疑</w:t>
      </w:r>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询问</w:t>
      </w:r>
    </w:p>
    <w:p>
      <w:pPr>
        <w:numPr>
          <w:ilvl w:val="2"/>
          <w:numId w:val="8"/>
        </w:numPr>
        <w:snapToGrid w:val="0"/>
        <w:spacing w:line="360" w:lineRule="auto"/>
        <w:rPr>
          <w:rFonts w:ascii="Times New Roman" w:hAnsi="Times New Roman" w:eastAsia="宋体" w:cs="Times New Roman"/>
          <w:sz w:val="24"/>
        </w:rPr>
      </w:pPr>
      <w:r>
        <w:rPr>
          <w:rFonts w:ascii="Times New Roman" w:hAnsi="Times New Roman" w:eastAsia="宋体" w:cs="Times New Roman"/>
          <w:sz w:val="24"/>
        </w:rPr>
        <w:t>供应商对政府采购活动事项有疑问的，可依法提出询问，并按《供应商须知资料表》载明的形式送达采购人或采购代理机构。</w:t>
      </w:r>
    </w:p>
    <w:p>
      <w:pPr>
        <w:numPr>
          <w:ilvl w:val="2"/>
          <w:numId w:val="8"/>
        </w:numPr>
        <w:snapToGrid w:val="0"/>
        <w:spacing w:line="360" w:lineRule="auto"/>
        <w:rPr>
          <w:rFonts w:ascii="Times New Roman" w:hAnsi="Times New Roman" w:eastAsia="宋体" w:cs="Times New Roman"/>
          <w:sz w:val="24"/>
        </w:rPr>
      </w:pPr>
      <w:r>
        <w:rPr>
          <w:rFonts w:ascii="Times New Roman" w:hAnsi="Times New Roman" w:eastAsia="宋体" w:cs="Times New Roman"/>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质疑</w:t>
      </w:r>
    </w:p>
    <w:p>
      <w:pPr>
        <w:numPr>
          <w:ilvl w:val="2"/>
          <w:numId w:val="8"/>
        </w:numPr>
        <w:snapToGrid w:val="0"/>
        <w:spacing w:line="360" w:lineRule="auto"/>
        <w:rPr>
          <w:rFonts w:ascii="Times New Roman" w:hAnsi="Times New Roman" w:eastAsia="宋体" w:cs="Times New Roman"/>
          <w:sz w:val="24"/>
        </w:rPr>
      </w:pPr>
      <w:r>
        <w:rPr>
          <w:rFonts w:ascii="Times New Roman" w:hAnsi="Times New Roman" w:eastAsia="宋体" w:cs="Times New Roman"/>
          <w:sz w:val="24"/>
        </w:rPr>
        <w:t>供应商认为单一来源采购文件、采购过程、中标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pPr>
        <w:numPr>
          <w:ilvl w:val="2"/>
          <w:numId w:val="8"/>
        </w:numPr>
        <w:snapToGrid w:val="0"/>
        <w:spacing w:line="360" w:lineRule="auto"/>
        <w:rPr>
          <w:rFonts w:ascii="Times New Roman" w:hAnsi="Times New Roman" w:eastAsia="宋体" w:cs="Times New Roman"/>
          <w:sz w:val="24"/>
        </w:rPr>
      </w:pPr>
      <w:r>
        <w:rPr>
          <w:rFonts w:ascii="Times New Roman" w:hAnsi="Times New Roman" w:eastAsia="宋体" w:cs="Times New Roman"/>
          <w:sz w:val="24"/>
        </w:rPr>
        <w:t>质疑函须使用财政部制定的范本文件。供应商为自然人的，质疑函应当由本人签字；供应商为法人或者其他组织的，质疑函应当由法定代表人、主要负责人，或者其授权代表签字或者盖章，并加盖公章。</w:t>
      </w:r>
    </w:p>
    <w:p>
      <w:pPr>
        <w:numPr>
          <w:ilvl w:val="2"/>
          <w:numId w:val="8"/>
        </w:numPr>
        <w:snapToGrid w:val="0"/>
        <w:spacing w:line="360" w:lineRule="auto"/>
        <w:rPr>
          <w:rFonts w:hint="eastAsia" w:ascii="Times New Roman" w:hAnsi="Times New Roman" w:eastAsia="宋体" w:cs="Times New Roman"/>
          <w:sz w:val="24"/>
        </w:rPr>
      </w:pPr>
      <w:r>
        <w:rPr>
          <w:rFonts w:ascii="Times New Roman" w:hAnsi="Times New Roman" w:eastAsia="宋体" w:cs="Times New Roman"/>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2"/>
          <w:numId w:val="8"/>
        </w:numPr>
        <w:snapToGrid w:val="0"/>
        <w:spacing w:line="360" w:lineRule="auto"/>
        <w:rPr>
          <w:rFonts w:ascii="Times New Roman" w:hAnsi="Times New Roman" w:eastAsia="宋体" w:cs="Times New Roman"/>
          <w:sz w:val="24"/>
        </w:rPr>
      </w:pPr>
      <w:r>
        <w:rPr>
          <w:rFonts w:hint="eastAsia" w:ascii="Times New Roman" w:hAnsi="Times New Roman" w:eastAsia="宋体" w:cs="Times New Roman"/>
          <w:sz w:val="24"/>
        </w:rPr>
        <w:t>供应商</w:t>
      </w:r>
      <w:r>
        <w:rPr>
          <w:rFonts w:ascii="Times New Roman" w:hAnsi="Times New Roman" w:eastAsia="宋体" w:cs="Times New Roman"/>
          <w:sz w:val="24"/>
        </w:rPr>
        <w:t>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接收询问和质疑的联系部门、联系电话和通讯地址见《供应商须知资料表》。</w:t>
      </w:r>
    </w:p>
    <w:p>
      <w:pPr>
        <w:numPr>
          <w:ilvl w:val="0"/>
          <w:numId w:val="8"/>
        </w:numPr>
        <w:tabs>
          <w:tab w:val="left" w:pos="360"/>
        </w:tabs>
        <w:snapToGrid w:val="0"/>
        <w:spacing w:line="360" w:lineRule="auto"/>
        <w:ind w:left="357" w:hanging="357"/>
        <w:outlineLvl w:val="1"/>
        <w:rPr>
          <w:rFonts w:ascii="Times New Roman" w:hAnsi="Times New Roman" w:eastAsia="宋体" w:cs="Times New Roman"/>
          <w:sz w:val="24"/>
        </w:rPr>
      </w:pPr>
      <w:r>
        <w:rPr>
          <w:rFonts w:ascii="Times New Roman" w:hAnsi="Times New Roman" w:eastAsia="宋体" w:cs="Times New Roman"/>
          <w:sz w:val="24"/>
        </w:rPr>
        <w:t>代理费</w:t>
      </w:r>
    </w:p>
    <w:p>
      <w:pPr>
        <w:numPr>
          <w:ilvl w:val="1"/>
          <w:numId w:val="8"/>
        </w:numPr>
        <w:tabs>
          <w:tab w:val="left" w:pos="1080"/>
          <w:tab w:val="left" w:pos="2014"/>
        </w:tabs>
        <w:snapToGrid w:val="0"/>
        <w:spacing w:line="360" w:lineRule="auto"/>
        <w:ind w:left="1077" w:hanging="720"/>
        <w:rPr>
          <w:rFonts w:hint="eastAsia" w:ascii="Times New Roman" w:hAnsi="Times New Roman" w:eastAsia="宋体" w:cs="Times New Roman"/>
          <w:sz w:val="24"/>
        </w:rPr>
      </w:pPr>
      <w:r>
        <w:rPr>
          <w:rFonts w:hint="eastAsia" w:ascii="Times New Roman" w:hAnsi="Times New Roman" w:eastAsia="宋体" w:cs="Times New Roman"/>
          <w:sz w:val="24"/>
        </w:rPr>
        <w:t>收费对象、收费标准及缴纳时间见《供应商须知资料表》。由成交供应商支付的，成交供应商须一次性向采购代理机构缴纳代理费，供应商的报价应包含代理费用。</w:t>
      </w: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617" w:name="_Toc353825544"/>
      <w:bookmarkStart w:id="618" w:name="_Toc127151554"/>
      <w:bookmarkStart w:id="619" w:name="_Toc305158896"/>
      <w:bookmarkStart w:id="620" w:name="_Toc353873934"/>
      <w:bookmarkStart w:id="621" w:name="_Toc305158822"/>
      <w:bookmarkStart w:id="622" w:name="_Toc353873664"/>
      <w:bookmarkStart w:id="623" w:name="_Toc226965827"/>
      <w:bookmarkStart w:id="624" w:name="_Toc265228392"/>
      <w:bookmarkStart w:id="625" w:name="_Toc142311056"/>
      <w:bookmarkStart w:id="626" w:name="_Toc150480792"/>
      <w:bookmarkStart w:id="627" w:name="_Toc150774759"/>
      <w:bookmarkStart w:id="628" w:name="_Toc226337250"/>
      <w:bookmarkStart w:id="629" w:name="_Toc264969244"/>
      <w:r>
        <w:rPr>
          <w:sz w:val="24"/>
        </w:rPr>
        <w:br w:type="page"/>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617"/>
      <w:bookmarkEnd w:id="618"/>
      <w:bookmarkEnd w:id="619"/>
      <w:bookmarkEnd w:id="620"/>
      <w:bookmarkEnd w:id="621"/>
      <w:bookmarkEnd w:id="622"/>
      <w:bookmarkEnd w:id="623"/>
      <w:bookmarkEnd w:id="624"/>
      <w:bookmarkEnd w:id="625"/>
      <w:bookmarkEnd w:id="626"/>
      <w:bookmarkEnd w:id="627"/>
      <w:bookmarkEnd w:id="628"/>
      <w:bookmarkEnd w:id="629"/>
      <w:bookmarkStart w:id="630" w:name="_Hlt522424701"/>
      <w:bookmarkEnd w:id="630"/>
      <w:bookmarkStart w:id="631" w:name="_Hlt487900425"/>
      <w:bookmarkEnd w:id="631"/>
      <w:bookmarkStart w:id="632" w:name="_Hlt487972895"/>
      <w:bookmarkEnd w:id="632"/>
      <w:bookmarkStart w:id="633" w:name="_Toc353825550"/>
      <w:bookmarkStart w:id="634" w:name="_Toc127161490"/>
      <w:bookmarkStart w:id="635" w:name="_Toc127151779"/>
      <w:bookmarkStart w:id="636" w:name="_Toc353873940"/>
      <w:bookmarkStart w:id="637" w:name="_Toc226965858"/>
      <w:bookmarkStart w:id="638" w:name="_Toc99301281"/>
      <w:r>
        <w:rPr>
          <w:b/>
          <w:sz w:val="36"/>
          <w:szCs w:val="36"/>
        </w:rPr>
        <w:t xml:space="preserve">第三章   </w:t>
      </w:r>
      <w:bookmarkEnd w:id="633"/>
      <w:bookmarkEnd w:id="634"/>
      <w:bookmarkEnd w:id="635"/>
      <w:bookmarkEnd w:id="636"/>
      <w:bookmarkEnd w:id="637"/>
      <w:bookmarkStart w:id="639" w:name="_Hlt164229061"/>
      <w:bookmarkEnd w:id="639"/>
      <w:r>
        <w:rPr>
          <w:b/>
          <w:sz w:val="36"/>
          <w:szCs w:val="36"/>
        </w:rPr>
        <w:t>协商程序</w:t>
      </w:r>
      <w:bookmarkEnd w:id="638"/>
      <w:r>
        <w:rPr>
          <w:b/>
          <w:sz w:val="36"/>
          <w:szCs w:val="36"/>
        </w:rPr>
        <w:t xml:space="preserve"> </w:t>
      </w:r>
    </w:p>
    <w:p>
      <w:pPr>
        <w:tabs>
          <w:tab w:val="left" w:pos="1080"/>
        </w:tabs>
        <w:snapToGrid w:val="0"/>
        <w:rPr>
          <w:sz w:val="24"/>
        </w:rPr>
      </w:pPr>
    </w:p>
    <w:p>
      <w:pPr>
        <w:numPr>
          <w:ilvl w:val="0"/>
          <w:numId w:val="12"/>
        </w:numPr>
        <w:tabs>
          <w:tab w:val="left" w:pos="360"/>
        </w:tabs>
        <w:snapToGrid w:val="0"/>
        <w:spacing w:line="360" w:lineRule="auto"/>
        <w:outlineLvl w:val="1"/>
        <w:rPr>
          <w:sz w:val="24"/>
        </w:rPr>
      </w:pPr>
      <w:r>
        <w:rPr>
          <w:sz w:val="24"/>
        </w:rPr>
        <w:t>响应文件的资格审查和符合性审查</w:t>
      </w:r>
    </w:p>
    <w:p>
      <w:pPr>
        <w:numPr>
          <w:ilvl w:val="1"/>
          <w:numId w:val="12"/>
        </w:numPr>
        <w:tabs>
          <w:tab w:val="left" w:pos="1080"/>
          <w:tab w:val="left" w:pos="1589"/>
        </w:tabs>
        <w:snapToGrid w:val="0"/>
        <w:spacing w:line="360" w:lineRule="auto"/>
        <w:ind w:left="1077" w:hanging="720"/>
        <w:rPr>
          <w:sz w:val="24"/>
        </w:rPr>
      </w:pPr>
      <w:r>
        <w:rPr>
          <w:sz w:val="24"/>
        </w:rPr>
        <w:t>单一来源采购人员将根据《资格审查要求》和《符合性审查要求》中规定的审查因素和审查内容，对供应商进行审查，并形成审查记录。</w:t>
      </w:r>
    </w:p>
    <w:p>
      <w:pPr>
        <w:numPr>
          <w:ilvl w:val="1"/>
          <w:numId w:val="12"/>
        </w:numPr>
        <w:tabs>
          <w:tab w:val="left" w:pos="1080"/>
          <w:tab w:val="left" w:pos="1589"/>
        </w:tabs>
        <w:snapToGrid w:val="0"/>
        <w:spacing w:line="360" w:lineRule="auto"/>
        <w:ind w:left="1077" w:hanging="720"/>
        <w:rPr>
          <w:sz w:val="24"/>
        </w:rPr>
      </w:pPr>
      <w:r>
        <w:rPr>
          <w:sz w:val="24"/>
        </w:rPr>
        <w:t>《资格审查要求》和《符合性审查要求》中对格式有要求的，除单一来源采购文件另有规定外，均为“实质性格式”文件。未实质性响应</w:t>
      </w:r>
      <w:r>
        <w:rPr>
          <w:rFonts w:hint="eastAsia"/>
          <w:sz w:val="24"/>
        </w:rPr>
        <w:t>单一来源采购</w:t>
      </w:r>
      <w:r>
        <w:rPr>
          <w:sz w:val="24"/>
        </w:rPr>
        <w:t>文件的响应文件按</w:t>
      </w:r>
      <w:r>
        <w:rPr>
          <w:b/>
          <w:sz w:val="24"/>
        </w:rPr>
        <w:t>无效响应</w:t>
      </w:r>
      <w:r>
        <w:rPr>
          <w:sz w:val="24"/>
        </w:rPr>
        <w:t>处理，</w:t>
      </w:r>
      <w:r>
        <w:rPr>
          <w:rFonts w:hint="eastAsia"/>
          <w:sz w:val="24"/>
        </w:rPr>
        <w:t>协商</w:t>
      </w:r>
      <w:r>
        <w:rPr>
          <w:sz w:val="24"/>
        </w:rPr>
        <w:t>小组应当告知提交响应文件的供应商。</w:t>
      </w:r>
    </w:p>
    <w:p>
      <w:pPr>
        <w:numPr>
          <w:ilvl w:val="1"/>
          <w:numId w:val="12"/>
        </w:numPr>
        <w:tabs>
          <w:tab w:val="left" w:pos="1080"/>
          <w:tab w:val="left" w:pos="1589"/>
        </w:tabs>
        <w:snapToGrid w:val="0"/>
        <w:spacing w:line="360" w:lineRule="auto"/>
        <w:ind w:left="1077" w:hanging="720"/>
        <w:rPr>
          <w:sz w:val="24"/>
        </w:rPr>
      </w:pPr>
      <w:r>
        <w:rPr>
          <w:sz w:val="24"/>
        </w:rPr>
        <w:t>《资格审查要求》见下表：</w:t>
      </w:r>
    </w:p>
    <w:p>
      <w:pPr>
        <w:tabs>
          <w:tab w:val="left" w:pos="900"/>
          <w:tab w:val="left" w:pos="1080"/>
          <w:tab w:val="left" w:pos="1447"/>
        </w:tabs>
        <w:snapToGrid w:val="0"/>
        <w:spacing w:line="360" w:lineRule="auto"/>
        <w:jc w:val="center"/>
        <w:rPr>
          <w:b/>
          <w:sz w:val="24"/>
        </w:rPr>
      </w:pPr>
      <w:r>
        <w:rPr>
          <w:b/>
          <w:sz w:val="24"/>
        </w:rPr>
        <w:t>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5"/>
        <w:gridCol w:w="1702"/>
        <w:gridCol w:w="4111"/>
        <w:gridCol w:w="1274"/>
        <w:gridCol w:w="1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noWrap w:val="0"/>
            <w:vAlign w:val="center"/>
          </w:tcPr>
          <w:p>
            <w:pPr>
              <w:tabs>
                <w:tab w:val="left" w:pos="1080"/>
              </w:tabs>
              <w:snapToGrid w:val="0"/>
              <w:jc w:val="center"/>
              <w:rPr>
                <w:rFonts w:ascii="宋体" w:hAnsi="宋体" w:eastAsia="宋体"/>
                <w:b/>
                <w:sz w:val="24"/>
              </w:rPr>
            </w:pPr>
            <w:r>
              <w:rPr>
                <w:rFonts w:ascii="宋体" w:hAnsi="宋体" w:eastAsia="宋体"/>
                <w:b/>
                <w:sz w:val="24"/>
              </w:rPr>
              <w:t>序号</w:t>
            </w:r>
          </w:p>
        </w:tc>
        <w:tc>
          <w:tcPr>
            <w:tcW w:w="916" w:type="pct"/>
            <w:noWrap w:val="0"/>
            <w:vAlign w:val="center"/>
          </w:tcPr>
          <w:p>
            <w:pPr>
              <w:tabs>
                <w:tab w:val="left" w:pos="1080"/>
              </w:tabs>
              <w:snapToGrid w:val="0"/>
              <w:jc w:val="center"/>
              <w:rPr>
                <w:rFonts w:ascii="宋体" w:hAnsi="宋体" w:eastAsia="宋体"/>
                <w:b/>
                <w:bCs/>
                <w:sz w:val="24"/>
              </w:rPr>
            </w:pPr>
            <w:r>
              <w:rPr>
                <w:rFonts w:ascii="宋体" w:hAnsi="宋体" w:eastAsia="宋体"/>
                <w:b/>
                <w:bCs/>
                <w:sz w:val="24"/>
              </w:rPr>
              <w:t>审查因素</w:t>
            </w:r>
          </w:p>
        </w:tc>
        <w:tc>
          <w:tcPr>
            <w:tcW w:w="2213" w:type="pct"/>
            <w:noWrap w:val="0"/>
            <w:vAlign w:val="center"/>
          </w:tcPr>
          <w:p>
            <w:pPr>
              <w:tabs>
                <w:tab w:val="left" w:pos="1080"/>
              </w:tabs>
              <w:snapToGrid w:val="0"/>
              <w:jc w:val="center"/>
              <w:rPr>
                <w:rFonts w:ascii="宋体" w:hAnsi="宋体" w:eastAsia="宋体"/>
                <w:b/>
                <w:sz w:val="24"/>
              </w:rPr>
            </w:pPr>
            <w:r>
              <w:rPr>
                <w:rFonts w:ascii="宋体" w:hAnsi="宋体" w:eastAsia="宋体"/>
                <w:b/>
                <w:sz w:val="24"/>
              </w:rPr>
              <w:t>审查内容</w:t>
            </w:r>
          </w:p>
        </w:tc>
        <w:tc>
          <w:tcPr>
            <w:tcW w:w="686" w:type="pct"/>
            <w:noWrap w:val="0"/>
            <w:vAlign w:val="center"/>
          </w:tcPr>
          <w:p>
            <w:pPr>
              <w:tabs>
                <w:tab w:val="left" w:pos="1080"/>
              </w:tabs>
              <w:snapToGrid w:val="0"/>
              <w:jc w:val="center"/>
              <w:rPr>
                <w:rFonts w:ascii="宋体" w:hAnsi="宋体" w:eastAsia="宋体"/>
                <w:b/>
                <w:sz w:val="24"/>
              </w:rPr>
            </w:pPr>
            <w:r>
              <w:rPr>
                <w:rFonts w:ascii="宋体" w:hAnsi="宋体" w:eastAsia="宋体"/>
                <w:b/>
                <w:sz w:val="24"/>
              </w:rPr>
              <w:t>格式要求</w:t>
            </w:r>
          </w:p>
        </w:tc>
        <w:tc>
          <w:tcPr>
            <w:tcW w:w="730" w:type="pct"/>
            <w:noWrap w:val="0"/>
            <w:vAlign w:val="center"/>
          </w:tcPr>
          <w:p>
            <w:pPr>
              <w:tabs>
                <w:tab w:val="left" w:pos="1080"/>
              </w:tabs>
              <w:snapToGrid w:val="0"/>
              <w:jc w:val="center"/>
              <w:rPr>
                <w:rFonts w:ascii="宋体" w:hAnsi="宋体" w:eastAsia="宋体"/>
                <w:b/>
                <w:sz w:val="24"/>
              </w:rPr>
            </w:pPr>
            <w:r>
              <w:rPr>
                <w:rFonts w:ascii="宋体" w:hAnsi="宋体" w:eastAsia="宋体"/>
                <w:b/>
                <w:sz w:val="24"/>
              </w:rPr>
              <w:t>是否允许澄清、说明或者更正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noWrap w:val="0"/>
            <w:vAlign w:val="center"/>
          </w:tcPr>
          <w:p>
            <w:pPr>
              <w:tabs>
                <w:tab w:val="left" w:pos="1080"/>
              </w:tabs>
              <w:snapToGrid w:val="0"/>
              <w:jc w:val="center"/>
              <w:rPr>
                <w:rFonts w:ascii="宋体" w:hAnsi="宋体" w:eastAsia="宋体"/>
                <w:sz w:val="24"/>
              </w:rPr>
            </w:pPr>
            <w:r>
              <w:rPr>
                <w:rFonts w:ascii="宋体" w:hAnsi="宋体" w:eastAsia="宋体"/>
                <w:sz w:val="24"/>
              </w:rPr>
              <w:t>1</w:t>
            </w:r>
          </w:p>
        </w:tc>
        <w:tc>
          <w:tcPr>
            <w:tcW w:w="916" w:type="pct"/>
            <w:noWrap w:val="0"/>
            <w:vAlign w:val="center"/>
          </w:tcPr>
          <w:p>
            <w:pPr>
              <w:tabs>
                <w:tab w:val="left" w:pos="1080"/>
              </w:tabs>
              <w:snapToGrid w:val="0"/>
              <w:rPr>
                <w:rFonts w:ascii="宋体" w:hAnsi="宋体" w:eastAsia="宋体"/>
                <w:sz w:val="24"/>
              </w:rPr>
            </w:pPr>
            <w:r>
              <w:rPr>
                <w:rFonts w:ascii="宋体" w:hAnsi="宋体" w:eastAsia="宋体"/>
                <w:sz w:val="24"/>
              </w:rPr>
              <w:t>满足《中华人民共和国政府采购法》第二十二条规定及法律法规的其他规定</w:t>
            </w:r>
          </w:p>
        </w:tc>
        <w:tc>
          <w:tcPr>
            <w:tcW w:w="2213" w:type="pct"/>
            <w:noWrap w:val="0"/>
            <w:vAlign w:val="center"/>
          </w:tcPr>
          <w:p>
            <w:pPr>
              <w:tabs>
                <w:tab w:val="left" w:pos="1080"/>
              </w:tabs>
              <w:snapToGrid w:val="0"/>
              <w:rPr>
                <w:rFonts w:ascii="宋体" w:hAnsi="宋体" w:eastAsia="宋体"/>
                <w:sz w:val="24"/>
              </w:rPr>
            </w:pPr>
            <w:r>
              <w:rPr>
                <w:rFonts w:ascii="宋体" w:hAnsi="宋体" w:eastAsia="宋体"/>
                <w:sz w:val="24"/>
              </w:rPr>
              <w:t>具体规定见第一章《采购邀请》</w:t>
            </w:r>
          </w:p>
        </w:tc>
        <w:tc>
          <w:tcPr>
            <w:tcW w:w="686" w:type="pct"/>
            <w:noWrap w:val="0"/>
            <w:vAlign w:val="center"/>
          </w:tcPr>
          <w:p>
            <w:pPr>
              <w:tabs>
                <w:tab w:val="left" w:pos="1080"/>
              </w:tabs>
              <w:snapToGrid w:val="0"/>
              <w:rPr>
                <w:rFonts w:ascii="宋体" w:hAnsi="宋体" w:eastAsia="宋体"/>
                <w:sz w:val="24"/>
              </w:rPr>
            </w:pPr>
          </w:p>
        </w:tc>
        <w:tc>
          <w:tcPr>
            <w:tcW w:w="730" w:type="pct"/>
            <w:noWrap w:val="0"/>
            <w:vAlign w:val="center"/>
          </w:tcPr>
          <w:p>
            <w:pPr>
              <w:tabs>
                <w:tab w:val="left" w:pos="1080"/>
              </w:tabs>
              <w:snapToGrid w:val="0"/>
              <w:rPr>
                <w:rFonts w:ascii="宋体" w:hAnsi="宋体" w:eastAsia="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noWrap w:val="0"/>
            <w:vAlign w:val="center"/>
          </w:tcPr>
          <w:p>
            <w:pPr>
              <w:tabs>
                <w:tab w:val="left" w:pos="1080"/>
              </w:tabs>
              <w:snapToGrid w:val="0"/>
              <w:jc w:val="center"/>
              <w:rPr>
                <w:rFonts w:ascii="宋体" w:hAnsi="宋体" w:eastAsia="宋体"/>
                <w:sz w:val="24"/>
              </w:rPr>
            </w:pPr>
            <w:r>
              <w:rPr>
                <w:rFonts w:ascii="宋体" w:hAnsi="宋体" w:eastAsia="宋体"/>
                <w:sz w:val="24"/>
              </w:rPr>
              <w:t>1-1</w:t>
            </w:r>
          </w:p>
        </w:tc>
        <w:tc>
          <w:tcPr>
            <w:tcW w:w="916" w:type="pct"/>
            <w:noWrap w:val="0"/>
            <w:vAlign w:val="center"/>
          </w:tcPr>
          <w:p>
            <w:pPr>
              <w:tabs>
                <w:tab w:val="left" w:pos="1080"/>
              </w:tabs>
              <w:snapToGrid w:val="0"/>
              <w:rPr>
                <w:rFonts w:ascii="宋体" w:hAnsi="宋体" w:eastAsia="宋体"/>
                <w:sz w:val="24"/>
              </w:rPr>
            </w:pPr>
            <w:r>
              <w:rPr>
                <w:rFonts w:ascii="宋体" w:hAnsi="宋体" w:eastAsia="宋体"/>
                <w:sz w:val="24"/>
              </w:rPr>
              <w:t>营业执照等证明文件</w:t>
            </w:r>
          </w:p>
        </w:tc>
        <w:tc>
          <w:tcPr>
            <w:tcW w:w="2213" w:type="pct"/>
            <w:noWrap w:val="0"/>
            <w:vAlign w:val="center"/>
          </w:tcPr>
          <w:p>
            <w:pPr>
              <w:tabs>
                <w:tab w:val="left" w:pos="1080"/>
              </w:tabs>
              <w:snapToGrid w:val="0"/>
              <w:rPr>
                <w:rFonts w:ascii="宋体" w:hAnsi="宋体" w:eastAsia="宋体" w:cs="宋体"/>
                <w:color w:val="000000"/>
                <w:sz w:val="24"/>
              </w:rPr>
            </w:pPr>
            <w:r>
              <w:rPr>
                <w:rFonts w:hint="eastAsia" w:ascii="宋体" w:hAnsi="宋体" w:eastAsia="宋体" w:cs="宋体"/>
                <w:color w:val="000000"/>
                <w:sz w:val="24"/>
              </w:rPr>
              <w:t xml:space="preserve">供应商为企业（包括合伙企业）的，应提供 有效的“营业执照”； </w:t>
            </w:r>
          </w:p>
          <w:p>
            <w:pPr>
              <w:tabs>
                <w:tab w:val="left" w:pos="1080"/>
              </w:tabs>
              <w:snapToGrid w:val="0"/>
              <w:rPr>
                <w:rFonts w:ascii="宋体" w:hAnsi="宋体" w:eastAsia="宋体" w:cs="宋体"/>
                <w:color w:val="000000"/>
                <w:sz w:val="24"/>
              </w:rPr>
            </w:pPr>
            <w:r>
              <w:rPr>
                <w:rFonts w:hint="eastAsia" w:ascii="宋体" w:hAnsi="宋体" w:eastAsia="宋体" w:cs="宋体"/>
                <w:color w:val="000000"/>
                <w:sz w:val="24"/>
              </w:rPr>
              <w:t>供应商为事业单位的，应提供有效的“事业单位法人证书”；</w:t>
            </w:r>
          </w:p>
          <w:p>
            <w:pPr>
              <w:tabs>
                <w:tab w:val="left" w:pos="1080"/>
              </w:tabs>
              <w:snapToGrid w:val="0"/>
              <w:rPr>
                <w:rFonts w:ascii="宋体" w:hAnsi="宋体" w:eastAsia="宋体" w:cs="宋体"/>
                <w:color w:val="000000"/>
                <w:sz w:val="24"/>
              </w:rPr>
            </w:pPr>
            <w:r>
              <w:rPr>
                <w:rFonts w:hint="eastAsia" w:ascii="宋体" w:hAnsi="宋体" w:eastAsia="宋体" w:cs="宋体"/>
                <w:color w:val="000000"/>
                <w:sz w:val="24"/>
              </w:rPr>
              <w:t>供应商是非企业机构的，应提供有效的“执业许可证”、“登记证书”等证明文件；</w:t>
            </w:r>
          </w:p>
          <w:p>
            <w:pPr>
              <w:tabs>
                <w:tab w:val="left" w:pos="1080"/>
              </w:tabs>
              <w:snapToGrid w:val="0"/>
              <w:rPr>
                <w:rFonts w:ascii="宋体" w:hAnsi="宋体" w:eastAsia="宋体" w:cs="宋体"/>
                <w:color w:val="000000"/>
                <w:sz w:val="24"/>
              </w:rPr>
            </w:pPr>
            <w:r>
              <w:rPr>
                <w:rFonts w:hint="eastAsia" w:ascii="宋体" w:hAnsi="宋体" w:eastAsia="宋体" w:cs="宋体"/>
                <w:color w:val="000000"/>
                <w:sz w:val="24"/>
              </w:rPr>
              <w:t xml:space="preserve">供应商是个体工商户的，应提供有效的“个体工商户营业执照”； </w:t>
            </w:r>
          </w:p>
          <w:p>
            <w:pPr>
              <w:tabs>
                <w:tab w:val="left" w:pos="1080"/>
              </w:tabs>
              <w:snapToGrid w:val="0"/>
              <w:rPr>
                <w:rFonts w:ascii="宋体" w:hAnsi="宋体" w:eastAsia="宋体" w:cs="宋体"/>
                <w:color w:val="000000"/>
                <w:sz w:val="24"/>
              </w:rPr>
            </w:pPr>
            <w:r>
              <w:rPr>
                <w:rFonts w:hint="eastAsia" w:ascii="宋体" w:hAnsi="宋体" w:eastAsia="宋体" w:cs="宋体"/>
                <w:color w:val="000000"/>
                <w:sz w:val="24"/>
              </w:rPr>
              <w:t xml:space="preserve">供应商是自然人的，应提供有效的自然人身份证明。 </w:t>
            </w:r>
          </w:p>
          <w:p>
            <w:pPr>
              <w:tabs>
                <w:tab w:val="left" w:pos="1080"/>
              </w:tabs>
              <w:snapToGrid w:val="0"/>
              <w:rPr>
                <w:rFonts w:ascii="宋体" w:hAnsi="宋体" w:eastAsia="宋体"/>
                <w:color w:val="000000"/>
                <w:sz w:val="24"/>
              </w:rPr>
            </w:pPr>
            <w:r>
              <w:rPr>
                <w:rFonts w:hint="eastAsia" w:ascii="宋体" w:hAnsi="宋体" w:eastAsia="宋体" w:cs="宋体"/>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686" w:type="pct"/>
            <w:noWrap w:val="0"/>
            <w:vAlign w:val="center"/>
          </w:tcPr>
          <w:p>
            <w:pPr>
              <w:tabs>
                <w:tab w:val="left" w:pos="1080"/>
              </w:tabs>
              <w:snapToGrid w:val="0"/>
              <w:rPr>
                <w:rFonts w:ascii="宋体" w:hAnsi="宋体" w:eastAsia="宋体"/>
                <w:sz w:val="24"/>
              </w:rPr>
            </w:pPr>
            <w:r>
              <w:rPr>
                <w:rFonts w:ascii="宋体" w:hAnsi="宋体" w:eastAsia="宋体"/>
                <w:sz w:val="24"/>
              </w:rPr>
              <w:t>提供证明文件的复印件加盖供应商公章</w:t>
            </w:r>
          </w:p>
        </w:tc>
        <w:tc>
          <w:tcPr>
            <w:tcW w:w="730" w:type="pct"/>
            <w:noWrap w:val="0"/>
            <w:vAlign w:val="center"/>
          </w:tcPr>
          <w:p>
            <w:pPr>
              <w:tabs>
                <w:tab w:val="left" w:pos="1080"/>
              </w:tabs>
              <w:snapToGrid w:val="0"/>
              <w:jc w:val="center"/>
              <w:rPr>
                <w:rFonts w:ascii="宋体" w:hAnsi="宋体" w:eastAsia="宋体"/>
                <w:sz w:val="24"/>
              </w:rPr>
            </w:pPr>
            <w:r>
              <w:rPr>
                <w:rFonts w:ascii="宋体" w:hAnsi="宋体" w:eastAsia="宋体"/>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noWrap w:val="0"/>
            <w:vAlign w:val="center"/>
          </w:tcPr>
          <w:p>
            <w:pPr>
              <w:tabs>
                <w:tab w:val="left" w:pos="1080"/>
              </w:tabs>
              <w:snapToGrid w:val="0"/>
              <w:jc w:val="center"/>
              <w:rPr>
                <w:rFonts w:ascii="宋体" w:hAnsi="宋体" w:eastAsia="宋体"/>
                <w:sz w:val="24"/>
              </w:rPr>
            </w:pPr>
            <w:r>
              <w:rPr>
                <w:rFonts w:ascii="宋体" w:hAnsi="宋体" w:eastAsia="宋体"/>
                <w:sz w:val="24"/>
              </w:rPr>
              <w:t>1-2</w:t>
            </w:r>
          </w:p>
        </w:tc>
        <w:tc>
          <w:tcPr>
            <w:tcW w:w="916" w:type="pct"/>
            <w:noWrap w:val="0"/>
            <w:vAlign w:val="center"/>
          </w:tcPr>
          <w:p>
            <w:pPr>
              <w:tabs>
                <w:tab w:val="left" w:pos="1080"/>
              </w:tabs>
              <w:snapToGrid w:val="0"/>
              <w:rPr>
                <w:rFonts w:ascii="宋体" w:hAnsi="宋体" w:eastAsia="宋体"/>
                <w:sz w:val="24"/>
              </w:rPr>
            </w:pPr>
            <w:r>
              <w:rPr>
                <w:rFonts w:ascii="宋体" w:hAnsi="宋体" w:eastAsia="宋体"/>
                <w:sz w:val="24"/>
              </w:rPr>
              <w:t>供应商资格声明书</w:t>
            </w:r>
          </w:p>
        </w:tc>
        <w:tc>
          <w:tcPr>
            <w:tcW w:w="2213" w:type="pct"/>
            <w:noWrap w:val="0"/>
            <w:vAlign w:val="center"/>
          </w:tcPr>
          <w:p>
            <w:pPr>
              <w:tabs>
                <w:tab w:val="left" w:pos="1080"/>
              </w:tabs>
              <w:snapToGrid w:val="0"/>
              <w:rPr>
                <w:rFonts w:ascii="宋体" w:hAnsi="宋体" w:eastAsia="宋体"/>
                <w:sz w:val="24"/>
              </w:rPr>
            </w:pPr>
            <w:r>
              <w:rPr>
                <w:rFonts w:ascii="宋体" w:hAnsi="宋体" w:eastAsia="宋体"/>
                <w:sz w:val="24"/>
              </w:rPr>
              <w:t>提供了符合单一来源采购文件要求的《供应商资格声明书》。</w:t>
            </w:r>
          </w:p>
        </w:tc>
        <w:tc>
          <w:tcPr>
            <w:tcW w:w="686" w:type="pct"/>
            <w:noWrap w:val="0"/>
            <w:vAlign w:val="center"/>
          </w:tcPr>
          <w:p>
            <w:pPr>
              <w:tabs>
                <w:tab w:val="left" w:pos="1080"/>
              </w:tabs>
              <w:snapToGrid w:val="0"/>
              <w:rPr>
                <w:rFonts w:ascii="宋体" w:hAnsi="宋体" w:eastAsia="宋体"/>
                <w:sz w:val="24"/>
              </w:rPr>
            </w:pPr>
            <w:r>
              <w:rPr>
                <w:rFonts w:ascii="宋体" w:hAnsi="宋体" w:eastAsia="宋体"/>
                <w:sz w:val="24"/>
              </w:rPr>
              <w:t>格式见《响应文件格式》</w:t>
            </w:r>
          </w:p>
        </w:tc>
        <w:tc>
          <w:tcPr>
            <w:tcW w:w="730" w:type="pct"/>
            <w:noWrap w:val="0"/>
            <w:vAlign w:val="center"/>
          </w:tcPr>
          <w:p>
            <w:pPr>
              <w:tabs>
                <w:tab w:val="left" w:pos="1080"/>
              </w:tabs>
              <w:snapToGrid w:val="0"/>
              <w:jc w:val="center"/>
              <w:rPr>
                <w:rFonts w:ascii="宋体" w:hAnsi="宋体" w:eastAsia="宋体"/>
                <w:sz w:val="24"/>
              </w:rPr>
            </w:pPr>
            <w:r>
              <w:rPr>
                <w:rFonts w:ascii="宋体" w:hAnsi="宋体" w:eastAsia="宋体"/>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noWrap w:val="0"/>
            <w:vAlign w:val="center"/>
          </w:tcPr>
          <w:p>
            <w:pPr>
              <w:tabs>
                <w:tab w:val="left" w:pos="1080"/>
              </w:tabs>
              <w:snapToGrid w:val="0"/>
              <w:jc w:val="center"/>
              <w:rPr>
                <w:rFonts w:ascii="宋体" w:hAnsi="宋体" w:eastAsia="宋体"/>
                <w:sz w:val="24"/>
              </w:rPr>
            </w:pPr>
            <w:r>
              <w:rPr>
                <w:rFonts w:ascii="宋体" w:hAnsi="宋体" w:eastAsia="宋体"/>
                <w:sz w:val="24"/>
              </w:rPr>
              <w:t>1-3</w:t>
            </w:r>
          </w:p>
        </w:tc>
        <w:tc>
          <w:tcPr>
            <w:tcW w:w="916" w:type="pct"/>
            <w:noWrap w:val="0"/>
            <w:vAlign w:val="center"/>
          </w:tcPr>
          <w:p>
            <w:pPr>
              <w:tabs>
                <w:tab w:val="left" w:pos="1080"/>
              </w:tabs>
              <w:snapToGrid w:val="0"/>
              <w:rPr>
                <w:rFonts w:ascii="宋体" w:hAnsi="宋体" w:eastAsia="宋体"/>
                <w:sz w:val="24"/>
              </w:rPr>
            </w:pPr>
            <w:r>
              <w:rPr>
                <w:rFonts w:ascii="宋体" w:hAnsi="宋体" w:eastAsia="宋体"/>
                <w:sz w:val="24"/>
              </w:rPr>
              <w:t>供应商信用记录</w:t>
            </w:r>
          </w:p>
        </w:tc>
        <w:tc>
          <w:tcPr>
            <w:tcW w:w="2213" w:type="pct"/>
            <w:noWrap w:val="0"/>
            <w:vAlign w:val="center"/>
          </w:tcPr>
          <w:p>
            <w:pPr>
              <w:tabs>
                <w:tab w:val="left" w:pos="900"/>
                <w:tab w:val="left" w:pos="1980"/>
              </w:tabs>
              <w:snapToGrid w:val="0"/>
              <w:rPr>
                <w:rFonts w:ascii="宋体" w:hAnsi="宋体" w:eastAsia="宋体"/>
                <w:sz w:val="24"/>
              </w:rPr>
            </w:pPr>
            <w:r>
              <w:rPr>
                <w:rFonts w:ascii="宋体" w:hAnsi="宋体" w:eastAsia="宋体"/>
                <w:sz w:val="24"/>
              </w:rPr>
              <w:t>查询渠道：信用中国网站和中国政府采购网（www.creditchina.gov.cn、www.ccgp.gov.cn）；</w:t>
            </w:r>
          </w:p>
          <w:p>
            <w:pPr>
              <w:tabs>
                <w:tab w:val="left" w:pos="900"/>
                <w:tab w:val="left" w:pos="1980"/>
              </w:tabs>
              <w:snapToGrid w:val="0"/>
              <w:rPr>
                <w:rFonts w:ascii="宋体" w:hAnsi="宋体" w:eastAsia="宋体"/>
                <w:sz w:val="24"/>
              </w:rPr>
            </w:pPr>
            <w:r>
              <w:rPr>
                <w:rFonts w:ascii="宋体" w:hAnsi="宋体" w:eastAsia="宋体"/>
                <w:sz w:val="24"/>
              </w:rPr>
              <w:t>截止时点：提交响应文件截止时间以后、资格审查阶段采购人或采购代理机构的实际查询时间；</w:t>
            </w:r>
          </w:p>
          <w:p>
            <w:pPr>
              <w:tabs>
                <w:tab w:val="left" w:pos="900"/>
                <w:tab w:val="left" w:pos="1980"/>
              </w:tabs>
              <w:snapToGrid w:val="0"/>
              <w:rPr>
                <w:rFonts w:ascii="宋体" w:hAnsi="宋体" w:eastAsia="宋体"/>
                <w:sz w:val="24"/>
              </w:rPr>
            </w:pPr>
            <w:r>
              <w:rPr>
                <w:rFonts w:ascii="宋体" w:hAnsi="宋体" w:eastAsia="宋体"/>
                <w:sz w:val="24"/>
              </w:rPr>
              <w:t>信用信息查询记录和证据留存具体方式：查询结果网页打印页作为查询记录和证据，与其他单一来源采购文件一并保存；</w:t>
            </w:r>
          </w:p>
          <w:p>
            <w:pPr>
              <w:tabs>
                <w:tab w:val="left" w:pos="1080"/>
              </w:tabs>
              <w:snapToGrid w:val="0"/>
              <w:rPr>
                <w:rFonts w:ascii="宋体" w:hAnsi="宋体" w:eastAsia="宋体"/>
                <w:sz w:val="24"/>
              </w:rPr>
            </w:pPr>
            <w:r>
              <w:rPr>
                <w:rFonts w:ascii="宋体" w:hAnsi="宋体" w:eastAsia="宋体"/>
                <w:sz w:val="24"/>
              </w:rPr>
              <w:t>信用信息的使用原则：经认定的被列入失信被执行人、重大税收违法案件当事人名单、政府采购严重违法失信行为记录名单的供应商，其</w:t>
            </w:r>
            <w:r>
              <w:rPr>
                <w:rFonts w:ascii="宋体" w:hAnsi="宋体" w:eastAsia="宋体"/>
                <w:b/>
                <w:sz w:val="24"/>
              </w:rPr>
              <w:t>响应无效</w:t>
            </w:r>
            <w:r>
              <w:rPr>
                <w:rFonts w:ascii="宋体" w:hAnsi="宋体" w:eastAsia="宋体"/>
                <w:sz w:val="24"/>
              </w:rPr>
              <w:t>。联合体形式响应的，联合体成员存在不良信用记录，视同联合体存在不良信用记录。</w:t>
            </w:r>
          </w:p>
        </w:tc>
        <w:tc>
          <w:tcPr>
            <w:tcW w:w="686" w:type="pct"/>
            <w:noWrap w:val="0"/>
            <w:vAlign w:val="center"/>
          </w:tcPr>
          <w:p>
            <w:pPr>
              <w:tabs>
                <w:tab w:val="left" w:pos="1080"/>
              </w:tabs>
              <w:snapToGrid w:val="0"/>
              <w:rPr>
                <w:rFonts w:ascii="宋体" w:hAnsi="宋体" w:eastAsia="宋体"/>
                <w:sz w:val="24"/>
              </w:rPr>
            </w:pPr>
            <w:r>
              <w:rPr>
                <w:rFonts w:ascii="宋体" w:hAnsi="宋体" w:eastAsia="宋体"/>
                <w:sz w:val="24"/>
              </w:rPr>
              <w:t>无须供应商提供，由采购人或采购代理机构查询。</w:t>
            </w:r>
          </w:p>
        </w:tc>
        <w:tc>
          <w:tcPr>
            <w:tcW w:w="730" w:type="pct"/>
            <w:noWrap w:val="0"/>
            <w:vAlign w:val="center"/>
          </w:tcPr>
          <w:p>
            <w:pPr>
              <w:tabs>
                <w:tab w:val="left" w:pos="1080"/>
              </w:tabs>
              <w:snapToGrid w:val="0"/>
              <w:jc w:val="center"/>
              <w:rPr>
                <w:rFonts w:ascii="宋体" w:hAnsi="宋体" w:eastAsia="宋体"/>
                <w:sz w:val="24"/>
              </w:rPr>
            </w:pPr>
            <w:r>
              <w:rPr>
                <w:rFonts w:ascii="宋体" w:hAnsi="宋体" w:eastAsia="宋体"/>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noWrap w:val="0"/>
            <w:vAlign w:val="center"/>
          </w:tcPr>
          <w:p>
            <w:pPr>
              <w:tabs>
                <w:tab w:val="left" w:pos="1080"/>
              </w:tabs>
              <w:snapToGrid w:val="0"/>
              <w:jc w:val="center"/>
              <w:rPr>
                <w:rFonts w:ascii="宋体" w:hAnsi="宋体" w:eastAsia="宋体"/>
                <w:sz w:val="24"/>
              </w:rPr>
            </w:pPr>
            <w:r>
              <w:rPr>
                <w:rFonts w:hint="eastAsia" w:ascii="宋体" w:hAnsi="宋体" w:eastAsia="宋体"/>
                <w:sz w:val="24"/>
              </w:rPr>
              <w:t>1-4</w:t>
            </w:r>
          </w:p>
        </w:tc>
        <w:tc>
          <w:tcPr>
            <w:tcW w:w="916" w:type="pct"/>
            <w:noWrap w:val="0"/>
            <w:vAlign w:val="center"/>
          </w:tcPr>
          <w:p>
            <w:pPr>
              <w:tabs>
                <w:tab w:val="left" w:pos="1080"/>
              </w:tabs>
              <w:snapToGrid w:val="0"/>
              <w:rPr>
                <w:rFonts w:ascii="宋体" w:hAnsi="宋体" w:eastAsia="宋体"/>
                <w:sz w:val="24"/>
              </w:rPr>
            </w:pPr>
            <w:r>
              <w:rPr>
                <w:rFonts w:ascii="宋体" w:hAnsi="宋体" w:eastAsia="宋体"/>
                <w:sz w:val="24"/>
              </w:rPr>
              <w:t>法律、行政法规规定的其他条件</w:t>
            </w:r>
          </w:p>
        </w:tc>
        <w:tc>
          <w:tcPr>
            <w:tcW w:w="2213" w:type="pct"/>
            <w:noWrap w:val="0"/>
            <w:vAlign w:val="center"/>
          </w:tcPr>
          <w:p>
            <w:pPr>
              <w:tabs>
                <w:tab w:val="left" w:pos="900"/>
                <w:tab w:val="left" w:pos="1980"/>
              </w:tabs>
              <w:snapToGrid w:val="0"/>
              <w:rPr>
                <w:rFonts w:ascii="宋体" w:hAnsi="宋体" w:eastAsia="宋体"/>
                <w:sz w:val="24"/>
              </w:rPr>
            </w:pPr>
            <w:r>
              <w:rPr>
                <w:rFonts w:ascii="宋体" w:hAnsi="宋体" w:eastAsia="宋体"/>
                <w:sz w:val="24"/>
              </w:rPr>
              <w:t>法律、行政法规规定的其他条件</w:t>
            </w:r>
          </w:p>
        </w:tc>
        <w:tc>
          <w:tcPr>
            <w:tcW w:w="686" w:type="pct"/>
            <w:noWrap w:val="0"/>
            <w:vAlign w:val="center"/>
          </w:tcPr>
          <w:p>
            <w:pPr>
              <w:tabs>
                <w:tab w:val="left" w:pos="1080"/>
              </w:tabs>
              <w:snapToGrid w:val="0"/>
              <w:rPr>
                <w:rFonts w:ascii="宋体" w:hAnsi="宋体" w:eastAsia="宋体"/>
                <w:sz w:val="24"/>
              </w:rPr>
            </w:pPr>
            <w:r>
              <w:rPr>
                <w:rFonts w:hint="eastAsia" w:ascii="宋体" w:hAnsi="宋体" w:eastAsia="宋体"/>
                <w:sz w:val="24"/>
              </w:rPr>
              <w:t>/</w:t>
            </w:r>
          </w:p>
        </w:tc>
        <w:tc>
          <w:tcPr>
            <w:tcW w:w="730" w:type="pct"/>
            <w:noWrap w:val="0"/>
            <w:vAlign w:val="center"/>
          </w:tcPr>
          <w:p>
            <w:pPr>
              <w:tabs>
                <w:tab w:val="left" w:pos="1080"/>
              </w:tabs>
              <w:snapToGrid w:val="0"/>
              <w:jc w:val="center"/>
              <w:rPr>
                <w:rFonts w:ascii="宋体" w:hAnsi="宋体" w:eastAsia="宋体"/>
                <w:sz w:val="24"/>
              </w:rPr>
            </w:pPr>
            <w:r>
              <w:rPr>
                <w:rFonts w:ascii="宋体" w:hAnsi="宋体" w:eastAsia="宋体"/>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noWrap w:val="0"/>
            <w:vAlign w:val="center"/>
          </w:tcPr>
          <w:p>
            <w:pPr>
              <w:tabs>
                <w:tab w:val="left" w:pos="1080"/>
              </w:tabs>
              <w:snapToGrid w:val="0"/>
              <w:jc w:val="center"/>
              <w:rPr>
                <w:rFonts w:ascii="宋体" w:hAnsi="宋体" w:eastAsia="宋体" w:cs="宋体"/>
                <w:color w:val="000000"/>
                <w:sz w:val="24"/>
              </w:rPr>
            </w:pPr>
            <w:r>
              <w:rPr>
                <w:rFonts w:hint="eastAsia" w:ascii="宋体" w:hAnsi="宋体" w:eastAsia="宋体" w:cs="宋体"/>
                <w:color w:val="000000"/>
                <w:sz w:val="24"/>
              </w:rPr>
              <w:t>2</w:t>
            </w:r>
          </w:p>
        </w:tc>
        <w:tc>
          <w:tcPr>
            <w:tcW w:w="916" w:type="pct"/>
            <w:noWrap w:val="0"/>
            <w:vAlign w:val="center"/>
          </w:tcPr>
          <w:p>
            <w:pPr>
              <w:tabs>
                <w:tab w:val="left" w:pos="1080"/>
              </w:tabs>
              <w:snapToGrid w:val="0"/>
              <w:jc w:val="center"/>
              <w:rPr>
                <w:rFonts w:ascii="宋体" w:hAnsi="宋体" w:eastAsia="宋体" w:cs="宋体"/>
                <w:color w:val="000000"/>
                <w:sz w:val="24"/>
              </w:rPr>
            </w:pPr>
            <w:r>
              <w:rPr>
                <w:rFonts w:hint="eastAsia" w:ascii="宋体" w:hAnsi="宋体" w:eastAsia="宋体" w:cs="宋体"/>
                <w:color w:val="000000"/>
                <w:sz w:val="24"/>
              </w:rPr>
              <w:t>落实政府采购政策需满足的资格要求（本项目不适用）</w:t>
            </w:r>
          </w:p>
        </w:tc>
        <w:tc>
          <w:tcPr>
            <w:tcW w:w="2213" w:type="pct"/>
            <w:noWrap w:val="0"/>
            <w:vAlign w:val="center"/>
          </w:tcPr>
          <w:p>
            <w:pPr>
              <w:tabs>
                <w:tab w:val="left" w:pos="1080"/>
              </w:tabs>
              <w:snapToGrid w:val="0"/>
              <w:rPr>
                <w:rFonts w:ascii="宋体" w:hAnsi="宋体" w:eastAsia="宋体" w:cs="宋体"/>
                <w:color w:val="000000"/>
                <w:sz w:val="24"/>
              </w:rPr>
            </w:pPr>
            <w:r>
              <w:rPr>
                <w:rFonts w:hint="eastAsia" w:ascii="宋体" w:hAnsi="宋体" w:eastAsia="宋体" w:cs="宋体"/>
                <w:color w:val="000000"/>
                <w:sz w:val="24"/>
              </w:rPr>
              <w:t>具体要求见第一章《投标邀请》</w:t>
            </w:r>
          </w:p>
        </w:tc>
        <w:tc>
          <w:tcPr>
            <w:tcW w:w="686" w:type="pct"/>
            <w:noWrap w:val="0"/>
            <w:vAlign w:val="center"/>
          </w:tcPr>
          <w:p>
            <w:pPr>
              <w:tabs>
                <w:tab w:val="left" w:pos="1080"/>
              </w:tabs>
              <w:snapToGrid w:val="0"/>
              <w:rPr>
                <w:rFonts w:ascii="宋体" w:hAnsi="宋体" w:eastAsia="宋体" w:cs="宋体"/>
                <w:color w:val="000000"/>
                <w:sz w:val="24"/>
              </w:rPr>
            </w:pPr>
          </w:p>
        </w:tc>
        <w:tc>
          <w:tcPr>
            <w:tcW w:w="730" w:type="pct"/>
            <w:noWrap w:val="0"/>
            <w:vAlign w:val="center"/>
          </w:tcPr>
          <w:p>
            <w:pPr>
              <w:tabs>
                <w:tab w:val="left" w:pos="1080"/>
              </w:tabs>
              <w:snapToGrid w:val="0"/>
              <w:jc w:val="center"/>
              <w:rPr>
                <w:rFonts w:ascii="宋体" w:hAnsi="宋体" w:eastAsia="宋体" w:cs="宋体"/>
                <w:color w:val="000000"/>
                <w:sz w:val="24"/>
              </w:rPr>
            </w:pPr>
            <w:r>
              <w:rPr>
                <w:rFonts w:ascii="宋体" w:hAnsi="宋体" w:eastAsia="宋体"/>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noWrap w:val="0"/>
            <w:vAlign w:val="center"/>
          </w:tcPr>
          <w:p>
            <w:pPr>
              <w:tabs>
                <w:tab w:val="left" w:pos="1080"/>
              </w:tabs>
              <w:snapToGrid w:val="0"/>
              <w:jc w:val="center"/>
              <w:rPr>
                <w:rFonts w:ascii="宋体" w:hAnsi="宋体" w:eastAsia="宋体" w:cs="宋体"/>
                <w:color w:val="000000"/>
                <w:sz w:val="24"/>
              </w:rPr>
            </w:pPr>
            <w:r>
              <w:rPr>
                <w:rFonts w:hint="eastAsia" w:ascii="宋体" w:hAnsi="宋体" w:eastAsia="宋体" w:cs="宋体"/>
                <w:color w:val="000000"/>
                <w:sz w:val="24"/>
              </w:rPr>
              <w:t>2-1</w:t>
            </w:r>
          </w:p>
        </w:tc>
        <w:tc>
          <w:tcPr>
            <w:tcW w:w="916" w:type="pct"/>
            <w:noWrap w:val="0"/>
            <w:vAlign w:val="center"/>
          </w:tcPr>
          <w:p>
            <w:pPr>
              <w:tabs>
                <w:tab w:val="left" w:pos="1080"/>
              </w:tabs>
              <w:snapToGrid w:val="0"/>
              <w:jc w:val="center"/>
              <w:rPr>
                <w:rFonts w:ascii="宋体" w:hAnsi="宋体" w:eastAsia="宋体" w:cs="宋体"/>
                <w:color w:val="000000"/>
                <w:sz w:val="24"/>
              </w:rPr>
            </w:pPr>
            <w:r>
              <w:rPr>
                <w:rFonts w:hint="eastAsia" w:ascii="宋体" w:hAnsi="宋体" w:eastAsia="宋体" w:cs="宋体"/>
                <w:color w:val="000000"/>
                <w:sz w:val="24"/>
              </w:rPr>
              <w:t>中小企业证明文件</w:t>
            </w:r>
          </w:p>
        </w:tc>
        <w:tc>
          <w:tcPr>
            <w:tcW w:w="2213" w:type="pct"/>
            <w:noWrap w:val="0"/>
            <w:vAlign w:val="center"/>
          </w:tcPr>
          <w:p>
            <w:pPr>
              <w:tabs>
                <w:tab w:val="left" w:pos="1080"/>
              </w:tabs>
              <w:snapToGrid w:val="0"/>
              <w:jc w:val="left"/>
              <w:rPr>
                <w:rFonts w:ascii="宋体" w:hAnsi="宋体" w:eastAsia="宋体" w:cs="宋体"/>
                <w:color w:val="000000"/>
                <w:sz w:val="24"/>
              </w:rPr>
            </w:pPr>
            <w:r>
              <w:rPr>
                <w:rFonts w:hint="eastAsia" w:ascii="宋体" w:hAnsi="宋体" w:eastAsia="宋体" w:cs="宋体"/>
                <w:color w:val="000000"/>
                <w:sz w:val="24"/>
              </w:rPr>
              <w:t>当本项目（包）涉及预留份额专门面</w:t>
            </w:r>
          </w:p>
          <w:p>
            <w:pPr>
              <w:tabs>
                <w:tab w:val="left" w:pos="1080"/>
              </w:tabs>
              <w:snapToGrid w:val="0"/>
              <w:jc w:val="left"/>
              <w:rPr>
                <w:rFonts w:ascii="宋体" w:hAnsi="宋体" w:eastAsia="宋体" w:cs="宋体"/>
                <w:color w:val="000000"/>
                <w:sz w:val="24"/>
              </w:rPr>
            </w:pPr>
            <w:r>
              <w:rPr>
                <w:rFonts w:hint="eastAsia" w:ascii="宋体" w:hAnsi="宋体" w:eastAsia="宋体" w:cs="宋体"/>
                <w:color w:val="000000"/>
                <w:sz w:val="24"/>
              </w:rPr>
              <w:t>向中小企业采购，提供如下资料。</w:t>
            </w:r>
          </w:p>
          <w:p>
            <w:pPr>
              <w:tabs>
                <w:tab w:val="left" w:pos="1080"/>
              </w:tabs>
              <w:snapToGrid w:val="0"/>
              <w:jc w:val="left"/>
              <w:rPr>
                <w:rFonts w:ascii="宋体" w:hAnsi="宋体" w:eastAsia="宋体" w:cs="宋体"/>
                <w:color w:val="000000"/>
                <w:sz w:val="24"/>
              </w:rPr>
            </w:pPr>
            <w:r>
              <w:rPr>
                <w:rFonts w:ascii="宋体" w:hAnsi="宋体" w:eastAsia="宋体" w:cs="宋体"/>
                <w:color w:val="000000"/>
                <w:sz w:val="24"/>
              </w:rPr>
              <w:t>1</w:t>
            </w:r>
            <w:r>
              <w:rPr>
                <w:rFonts w:hint="eastAsia" w:ascii="宋体" w:hAnsi="宋体" w:eastAsia="宋体" w:cs="宋体"/>
                <w:color w:val="000000"/>
                <w:sz w:val="24"/>
              </w:rPr>
              <w:t>、供应商单独响应的，应提供《中小</w:t>
            </w:r>
          </w:p>
          <w:p>
            <w:pPr>
              <w:tabs>
                <w:tab w:val="left" w:pos="1080"/>
              </w:tabs>
              <w:snapToGrid w:val="0"/>
              <w:jc w:val="left"/>
              <w:rPr>
                <w:rFonts w:ascii="宋体" w:hAnsi="宋体" w:eastAsia="宋体" w:cs="宋体"/>
                <w:color w:val="000000"/>
                <w:sz w:val="24"/>
              </w:rPr>
            </w:pPr>
            <w:r>
              <w:rPr>
                <w:rFonts w:hint="eastAsia" w:ascii="宋体" w:hAnsi="宋体" w:eastAsia="宋体" w:cs="宋体"/>
                <w:color w:val="000000"/>
                <w:sz w:val="24"/>
              </w:rPr>
              <w:t>企业声明函》或《残疾人福利性单位</w:t>
            </w:r>
          </w:p>
          <w:p>
            <w:pPr>
              <w:tabs>
                <w:tab w:val="left" w:pos="1080"/>
              </w:tabs>
              <w:snapToGrid w:val="0"/>
              <w:jc w:val="left"/>
              <w:rPr>
                <w:rFonts w:ascii="宋体" w:hAnsi="宋体" w:eastAsia="宋体" w:cs="宋体"/>
                <w:color w:val="000000"/>
                <w:sz w:val="24"/>
              </w:rPr>
            </w:pPr>
            <w:r>
              <w:rPr>
                <w:rFonts w:hint="eastAsia" w:ascii="宋体" w:hAnsi="宋体" w:eastAsia="宋体" w:cs="宋体"/>
                <w:color w:val="000000"/>
                <w:sz w:val="24"/>
              </w:rPr>
              <w:t>声明函》或由省级以上监狱管理局、</w:t>
            </w:r>
          </w:p>
          <w:p>
            <w:pPr>
              <w:tabs>
                <w:tab w:val="left" w:pos="1080"/>
              </w:tabs>
              <w:snapToGrid w:val="0"/>
              <w:jc w:val="left"/>
              <w:rPr>
                <w:rFonts w:ascii="宋体" w:hAnsi="宋体" w:eastAsia="宋体" w:cs="宋体"/>
                <w:color w:val="000000"/>
                <w:sz w:val="24"/>
              </w:rPr>
            </w:pPr>
            <w:r>
              <w:rPr>
                <w:rFonts w:hint="eastAsia" w:ascii="宋体" w:hAnsi="宋体" w:eastAsia="宋体" w:cs="宋体"/>
                <w:color w:val="000000"/>
                <w:sz w:val="24"/>
              </w:rPr>
              <w:t>戒毒管理局（含新疆生产建设兵团）</w:t>
            </w:r>
          </w:p>
          <w:p>
            <w:pPr>
              <w:tabs>
                <w:tab w:val="left" w:pos="1080"/>
              </w:tabs>
              <w:snapToGrid w:val="0"/>
              <w:jc w:val="left"/>
              <w:rPr>
                <w:rFonts w:ascii="宋体" w:hAnsi="宋体" w:eastAsia="宋体" w:cs="宋体"/>
                <w:color w:val="000000"/>
                <w:sz w:val="24"/>
              </w:rPr>
            </w:pPr>
            <w:r>
              <w:rPr>
                <w:rFonts w:hint="eastAsia" w:ascii="宋体" w:hAnsi="宋体" w:eastAsia="宋体" w:cs="宋体"/>
                <w:color w:val="000000"/>
                <w:sz w:val="24"/>
              </w:rPr>
              <w:t>出具的属于监狱企业的证明文件。</w:t>
            </w:r>
          </w:p>
          <w:p>
            <w:pPr>
              <w:tabs>
                <w:tab w:val="left" w:pos="1080"/>
              </w:tabs>
              <w:snapToGrid w:val="0"/>
              <w:jc w:val="left"/>
              <w:rPr>
                <w:rFonts w:ascii="宋体" w:hAnsi="宋体" w:eastAsia="宋体" w:cs="宋体"/>
                <w:color w:val="000000"/>
                <w:sz w:val="24"/>
              </w:rPr>
            </w:pPr>
            <w:r>
              <w:rPr>
                <w:rFonts w:ascii="宋体" w:hAnsi="宋体" w:eastAsia="宋体" w:cs="宋体"/>
                <w:color w:val="000000"/>
                <w:sz w:val="24"/>
              </w:rPr>
              <w:t>2</w:t>
            </w:r>
            <w:r>
              <w:rPr>
                <w:rFonts w:hint="eastAsia" w:ascii="宋体" w:hAnsi="宋体" w:eastAsia="宋体" w:cs="宋体"/>
                <w:color w:val="000000"/>
                <w:sz w:val="24"/>
              </w:rPr>
              <w:t>、如单一来源采购文件要求以联合体</w:t>
            </w:r>
          </w:p>
          <w:p>
            <w:pPr>
              <w:tabs>
                <w:tab w:val="left" w:pos="1080"/>
              </w:tabs>
              <w:snapToGrid w:val="0"/>
              <w:jc w:val="left"/>
              <w:rPr>
                <w:rFonts w:ascii="宋体" w:hAnsi="宋体" w:eastAsia="宋体" w:cs="宋体"/>
                <w:color w:val="000000"/>
                <w:sz w:val="24"/>
              </w:rPr>
            </w:pPr>
            <w:r>
              <w:rPr>
                <w:rFonts w:hint="eastAsia" w:ascii="宋体" w:hAnsi="宋体" w:eastAsia="宋体" w:cs="宋体"/>
                <w:color w:val="000000"/>
                <w:sz w:val="24"/>
              </w:rPr>
              <w:t>形式参加或者要求合同分包的，且供</w:t>
            </w:r>
          </w:p>
          <w:p>
            <w:pPr>
              <w:tabs>
                <w:tab w:val="left" w:pos="1080"/>
              </w:tabs>
              <w:snapToGrid w:val="0"/>
              <w:jc w:val="left"/>
              <w:rPr>
                <w:rFonts w:ascii="宋体" w:hAnsi="宋体" w:eastAsia="宋体" w:cs="宋体"/>
                <w:color w:val="000000"/>
                <w:sz w:val="24"/>
              </w:rPr>
            </w:pPr>
            <w:r>
              <w:rPr>
                <w:rFonts w:hint="eastAsia" w:ascii="宋体" w:hAnsi="宋体" w:eastAsia="宋体" w:cs="宋体"/>
                <w:color w:val="000000"/>
                <w:sz w:val="24"/>
              </w:rPr>
              <w:t>应商为联合体或拟进行合同分包的，</w:t>
            </w:r>
          </w:p>
          <w:p>
            <w:pPr>
              <w:tabs>
                <w:tab w:val="left" w:pos="1080"/>
              </w:tabs>
              <w:snapToGrid w:val="0"/>
              <w:jc w:val="left"/>
              <w:rPr>
                <w:rFonts w:ascii="宋体" w:hAnsi="宋体" w:eastAsia="宋体" w:cs="宋体"/>
                <w:color w:val="000000"/>
                <w:sz w:val="24"/>
              </w:rPr>
            </w:pPr>
            <w:r>
              <w:rPr>
                <w:rFonts w:hint="eastAsia" w:ascii="宋体" w:hAnsi="宋体" w:eastAsia="宋体" w:cs="宋体"/>
                <w:color w:val="000000"/>
                <w:sz w:val="24"/>
              </w:rPr>
              <w:t>则联合体中的中小企业、签订分包意</w:t>
            </w:r>
          </w:p>
          <w:p>
            <w:pPr>
              <w:tabs>
                <w:tab w:val="left" w:pos="1080"/>
              </w:tabs>
              <w:snapToGrid w:val="0"/>
              <w:jc w:val="left"/>
              <w:rPr>
                <w:rFonts w:ascii="宋体" w:hAnsi="宋体" w:eastAsia="宋体" w:cs="宋体"/>
                <w:color w:val="000000"/>
                <w:sz w:val="24"/>
              </w:rPr>
            </w:pPr>
            <w:r>
              <w:rPr>
                <w:rFonts w:hint="eastAsia" w:ascii="宋体" w:hAnsi="宋体" w:eastAsia="宋体" w:cs="宋体"/>
                <w:color w:val="000000"/>
                <w:sz w:val="24"/>
              </w:rPr>
              <w:t>向协议的中小企业具体情况须在《中</w:t>
            </w:r>
          </w:p>
          <w:p>
            <w:pPr>
              <w:tabs>
                <w:tab w:val="left" w:pos="1080"/>
              </w:tabs>
              <w:snapToGrid w:val="0"/>
              <w:jc w:val="left"/>
              <w:rPr>
                <w:rFonts w:ascii="宋体" w:hAnsi="宋体" w:eastAsia="宋体" w:cs="宋体"/>
                <w:color w:val="000000"/>
                <w:sz w:val="24"/>
              </w:rPr>
            </w:pPr>
            <w:r>
              <w:rPr>
                <w:rFonts w:hint="eastAsia" w:ascii="宋体" w:hAnsi="宋体" w:eastAsia="宋体" w:cs="宋体"/>
                <w:color w:val="000000"/>
                <w:sz w:val="24"/>
              </w:rPr>
              <w:t>小企业声明函》或《残疾人福利性单</w:t>
            </w:r>
          </w:p>
          <w:p>
            <w:pPr>
              <w:tabs>
                <w:tab w:val="left" w:pos="1080"/>
              </w:tabs>
              <w:snapToGrid w:val="0"/>
              <w:jc w:val="left"/>
              <w:rPr>
                <w:rFonts w:ascii="宋体" w:hAnsi="宋体" w:eastAsia="宋体" w:cs="宋体"/>
                <w:color w:val="000000"/>
                <w:sz w:val="24"/>
              </w:rPr>
            </w:pPr>
            <w:r>
              <w:rPr>
                <w:rFonts w:hint="eastAsia" w:ascii="宋体" w:hAnsi="宋体" w:eastAsia="宋体" w:cs="宋体"/>
                <w:color w:val="000000"/>
                <w:sz w:val="24"/>
              </w:rPr>
              <w:t>位声明函》或由省级以上监狱管理局、</w:t>
            </w:r>
          </w:p>
          <w:p>
            <w:pPr>
              <w:tabs>
                <w:tab w:val="left" w:pos="1080"/>
              </w:tabs>
              <w:snapToGrid w:val="0"/>
              <w:jc w:val="left"/>
              <w:rPr>
                <w:rFonts w:ascii="宋体" w:hAnsi="宋体" w:eastAsia="宋体" w:cs="宋体"/>
                <w:color w:val="000000"/>
                <w:sz w:val="24"/>
              </w:rPr>
            </w:pPr>
            <w:r>
              <w:rPr>
                <w:rFonts w:hint="eastAsia" w:ascii="宋体" w:hAnsi="宋体" w:eastAsia="宋体" w:cs="宋体"/>
                <w:color w:val="000000"/>
                <w:sz w:val="24"/>
              </w:rPr>
              <w:t>戒毒管理局（含新疆生产建设兵团）</w:t>
            </w:r>
          </w:p>
          <w:p>
            <w:pPr>
              <w:tabs>
                <w:tab w:val="left" w:pos="1080"/>
              </w:tabs>
              <w:snapToGrid w:val="0"/>
              <w:jc w:val="left"/>
              <w:rPr>
                <w:rFonts w:ascii="宋体" w:hAnsi="宋体" w:eastAsia="宋体" w:cs="宋体"/>
                <w:color w:val="000000"/>
                <w:sz w:val="24"/>
              </w:rPr>
            </w:pPr>
            <w:r>
              <w:rPr>
                <w:rFonts w:hint="eastAsia" w:ascii="宋体" w:hAnsi="宋体" w:eastAsia="宋体" w:cs="宋体"/>
                <w:color w:val="000000"/>
                <w:sz w:val="24"/>
              </w:rPr>
              <w:t>出具的属于监狱企业的证明文件中如</w:t>
            </w:r>
          </w:p>
          <w:p>
            <w:pPr>
              <w:tabs>
                <w:tab w:val="left" w:pos="1080"/>
              </w:tabs>
              <w:snapToGrid w:val="0"/>
              <w:jc w:val="left"/>
              <w:rPr>
                <w:rFonts w:ascii="宋体" w:hAnsi="宋体" w:eastAsia="宋体" w:cs="宋体"/>
                <w:color w:val="000000"/>
                <w:sz w:val="24"/>
              </w:rPr>
            </w:pPr>
            <w:r>
              <w:rPr>
                <w:rFonts w:hint="eastAsia" w:ascii="宋体" w:hAnsi="宋体" w:eastAsia="宋体" w:cs="宋体"/>
                <w:color w:val="000000"/>
                <w:sz w:val="24"/>
              </w:rPr>
              <w:t>实填报，且满足采购文件关于预留份</w:t>
            </w:r>
          </w:p>
          <w:p>
            <w:pPr>
              <w:tabs>
                <w:tab w:val="left" w:pos="1080"/>
              </w:tabs>
              <w:snapToGrid w:val="0"/>
              <w:jc w:val="left"/>
              <w:rPr>
                <w:rFonts w:ascii="宋体" w:hAnsi="宋体" w:eastAsia="宋体" w:cs="宋体"/>
                <w:color w:val="000000"/>
                <w:sz w:val="24"/>
              </w:rPr>
            </w:pPr>
            <w:r>
              <w:rPr>
                <w:rFonts w:hint="eastAsia" w:ascii="宋体" w:hAnsi="宋体" w:eastAsia="宋体" w:cs="宋体"/>
                <w:color w:val="000000"/>
                <w:sz w:val="24"/>
              </w:rPr>
              <w:t>额的要求。</w:t>
            </w:r>
          </w:p>
        </w:tc>
        <w:tc>
          <w:tcPr>
            <w:tcW w:w="686" w:type="pct"/>
            <w:noWrap w:val="0"/>
            <w:vAlign w:val="center"/>
          </w:tcPr>
          <w:p>
            <w:pPr>
              <w:tabs>
                <w:tab w:val="left" w:pos="1080"/>
              </w:tabs>
              <w:snapToGrid w:val="0"/>
              <w:jc w:val="left"/>
              <w:rPr>
                <w:rFonts w:ascii="宋体" w:hAnsi="宋体" w:eastAsia="宋体" w:cs="宋体"/>
                <w:color w:val="000000"/>
                <w:sz w:val="24"/>
              </w:rPr>
            </w:pPr>
            <w:r>
              <w:rPr>
                <w:rFonts w:hint="eastAsia" w:ascii="宋体" w:hAnsi="宋体" w:eastAsia="宋体" w:cs="宋体"/>
                <w:color w:val="000000"/>
                <w:sz w:val="24"/>
              </w:rPr>
              <w:t>格式见《响应文件格式》</w:t>
            </w:r>
          </w:p>
        </w:tc>
        <w:tc>
          <w:tcPr>
            <w:tcW w:w="730" w:type="pct"/>
            <w:noWrap w:val="0"/>
            <w:vAlign w:val="center"/>
          </w:tcPr>
          <w:p>
            <w:pPr>
              <w:tabs>
                <w:tab w:val="left" w:pos="1080"/>
              </w:tabs>
              <w:snapToGrid w:val="0"/>
              <w:jc w:val="center"/>
              <w:rPr>
                <w:rFonts w:ascii="宋体" w:hAnsi="宋体" w:eastAsia="宋体" w:cs="宋体"/>
                <w:color w:val="000000"/>
                <w:sz w:val="24"/>
              </w:rPr>
            </w:pPr>
            <w:r>
              <w:rPr>
                <w:rFonts w:ascii="宋体" w:hAnsi="宋体" w:eastAsia="宋体"/>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noWrap w:val="0"/>
            <w:vAlign w:val="center"/>
          </w:tcPr>
          <w:p>
            <w:pPr>
              <w:widowControl/>
              <w:snapToGrid w:val="0"/>
              <w:jc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916" w:type="pct"/>
            <w:noWrap w:val="0"/>
            <w:vAlign w:val="center"/>
          </w:tcPr>
          <w:p>
            <w:pPr>
              <w:widowControl/>
              <w:snapToGrid w:val="0"/>
              <w:jc w:val="center"/>
              <w:rPr>
                <w:rFonts w:ascii="宋体" w:hAnsi="宋体" w:eastAsia="宋体" w:cs="宋体"/>
                <w:color w:val="000000"/>
                <w:sz w:val="24"/>
              </w:rPr>
            </w:pPr>
            <w:r>
              <w:rPr>
                <w:rFonts w:hint="eastAsia" w:ascii="宋体" w:hAnsi="宋体" w:eastAsia="宋体" w:cs="宋体"/>
                <w:color w:val="000000"/>
                <w:kern w:val="0"/>
                <w:sz w:val="24"/>
                <w:lang w:bidi="ar"/>
              </w:rPr>
              <w:t>本项目的特定资格要求</w:t>
            </w:r>
          </w:p>
        </w:tc>
        <w:tc>
          <w:tcPr>
            <w:tcW w:w="2213" w:type="pct"/>
            <w:noWrap w:val="0"/>
            <w:vAlign w:val="center"/>
          </w:tcPr>
          <w:p>
            <w:pPr>
              <w:widowControl/>
              <w:snapToGrid w:val="0"/>
              <w:jc w:val="left"/>
              <w:rPr>
                <w:rFonts w:ascii="宋体" w:hAnsi="宋体" w:eastAsia="宋体" w:cs="宋体"/>
                <w:color w:val="000000"/>
                <w:sz w:val="24"/>
              </w:rPr>
            </w:pPr>
            <w:r>
              <w:rPr>
                <w:rFonts w:hint="eastAsia" w:ascii="宋体" w:hAnsi="宋体" w:eastAsia="宋体" w:cs="宋体"/>
                <w:color w:val="000000"/>
                <w:sz w:val="24"/>
              </w:rPr>
              <w:t>如有，见第一章《投标邀请》 。</w:t>
            </w:r>
          </w:p>
        </w:tc>
        <w:tc>
          <w:tcPr>
            <w:tcW w:w="686" w:type="pct"/>
            <w:noWrap w:val="0"/>
            <w:vAlign w:val="center"/>
          </w:tcPr>
          <w:p>
            <w:pPr>
              <w:tabs>
                <w:tab w:val="left" w:pos="1080"/>
              </w:tabs>
              <w:snapToGrid w:val="0"/>
              <w:jc w:val="left"/>
              <w:rPr>
                <w:rFonts w:ascii="宋体" w:hAnsi="宋体" w:eastAsia="宋体" w:cs="宋体"/>
                <w:color w:val="000000"/>
                <w:sz w:val="24"/>
              </w:rPr>
            </w:pPr>
            <w:r>
              <w:rPr>
                <w:rFonts w:hint="eastAsia" w:ascii="宋体" w:hAnsi="宋体" w:eastAsia="宋体" w:cs="宋体"/>
                <w:color w:val="000000"/>
                <w:kern w:val="0"/>
                <w:sz w:val="24"/>
                <w:lang w:bidi="ar"/>
              </w:rPr>
              <w:t>格式见《响应文件格式》</w:t>
            </w:r>
          </w:p>
        </w:tc>
        <w:tc>
          <w:tcPr>
            <w:tcW w:w="730" w:type="pct"/>
            <w:noWrap w:val="0"/>
            <w:vAlign w:val="center"/>
          </w:tcPr>
          <w:p>
            <w:pPr>
              <w:widowControl/>
              <w:snapToGrid w:val="0"/>
              <w:jc w:val="center"/>
              <w:rPr>
                <w:rFonts w:ascii="宋体" w:hAnsi="宋体" w:eastAsia="宋体" w:cs="宋体"/>
                <w:color w:val="000000"/>
                <w:sz w:val="24"/>
              </w:rPr>
            </w:pPr>
            <w:r>
              <w:rPr>
                <w:rFonts w:ascii="宋体" w:hAnsi="宋体" w:eastAsia="宋体"/>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noWrap w:val="0"/>
            <w:vAlign w:val="center"/>
          </w:tcPr>
          <w:p>
            <w:pPr>
              <w:tabs>
                <w:tab w:val="left" w:pos="1080"/>
              </w:tabs>
              <w:snapToGrid w:val="0"/>
              <w:jc w:val="center"/>
              <w:rPr>
                <w:rFonts w:ascii="宋体" w:hAnsi="宋体" w:eastAsia="宋体" w:cs="宋体"/>
                <w:color w:val="000000"/>
                <w:sz w:val="24"/>
              </w:rPr>
            </w:pPr>
            <w:r>
              <w:rPr>
                <w:rFonts w:hint="eastAsia" w:ascii="宋体" w:hAnsi="宋体" w:eastAsia="宋体" w:cs="宋体"/>
                <w:color w:val="000000"/>
                <w:sz w:val="24"/>
              </w:rPr>
              <w:t>4</w:t>
            </w:r>
          </w:p>
        </w:tc>
        <w:tc>
          <w:tcPr>
            <w:tcW w:w="916" w:type="pct"/>
            <w:noWrap w:val="0"/>
            <w:vAlign w:val="center"/>
          </w:tcPr>
          <w:p>
            <w:pPr>
              <w:tabs>
                <w:tab w:val="left" w:pos="1080"/>
              </w:tabs>
              <w:snapToGrid w:val="0"/>
              <w:jc w:val="center"/>
              <w:rPr>
                <w:rFonts w:ascii="宋体" w:hAnsi="宋体" w:eastAsia="宋体" w:cs="宋体"/>
                <w:color w:val="000000"/>
                <w:sz w:val="24"/>
              </w:rPr>
            </w:pPr>
            <w:r>
              <w:rPr>
                <w:rFonts w:hint="eastAsia" w:ascii="宋体" w:hAnsi="宋体" w:eastAsia="宋体" w:cs="宋体"/>
                <w:color w:val="000000"/>
                <w:sz w:val="24"/>
              </w:rPr>
              <w:t>保证金（本项目不适用）</w:t>
            </w:r>
          </w:p>
        </w:tc>
        <w:tc>
          <w:tcPr>
            <w:tcW w:w="2213" w:type="pct"/>
            <w:noWrap w:val="0"/>
            <w:vAlign w:val="center"/>
          </w:tcPr>
          <w:p>
            <w:pPr>
              <w:tabs>
                <w:tab w:val="left" w:pos="1080"/>
              </w:tabs>
              <w:snapToGrid w:val="0"/>
              <w:rPr>
                <w:rFonts w:ascii="宋体" w:hAnsi="宋体" w:eastAsia="宋体" w:cs="宋体"/>
                <w:color w:val="000000"/>
                <w:sz w:val="24"/>
              </w:rPr>
            </w:pPr>
            <w:r>
              <w:rPr>
                <w:rFonts w:hint="eastAsia" w:ascii="宋体" w:hAnsi="宋体" w:eastAsia="宋体" w:cs="宋体"/>
                <w:color w:val="000000"/>
                <w:sz w:val="24"/>
              </w:rPr>
              <w:t>按照</w:t>
            </w:r>
            <w:r>
              <w:rPr>
                <w:rFonts w:hint="eastAsia" w:ascii="宋体" w:hAnsi="宋体" w:eastAsia="宋体" w:cs="宋体"/>
                <w:color w:val="000000"/>
                <w:kern w:val="0"/>
                <w:sz w:val="24"/>
                <w:lang w:bidi="ar"/>
              </w:rPr>
              <w:t>单一来源采购</w:t>
            </w:r>
            <w:r>
              <w:rPr>
                <w:rFonts w:hint="eastAsia" w:ascii="宋体" w:hAnsi="宋体" w:eastAsia="宋体" w:cs="宋体"/>
                <w:color w:val="000000"/>
                <w:sz w:val="24"/>
              </w:rPr>
              <w:t>文件的规定提交保证金。</w:t>
            </w:r>
          </w:p>
        </w:tc>
        <w:tc>
          <w:tcPr>
            <w:tcW w:w="686" w:type="pct"/>
            <w:noWrap w:val="0"/>
            <w:vAlign w:val="center"/>
          </w:tcPr>
          <w:p>
            <w:pPr>
              <w:tabs>
                <w:tab w:val="left" w:pos="1080"/>
              </w:tabs>
              <w:snapToGrid w:val="0"/>
              <w:jc w:val="left"/>
              <w:rPr>
                <w:rFonts w:ascii="宋体" w:hAnsi="宋体" w:eastAsia="宋体" w:cs="宋体"/>
                <w:color w:val="000000"/>
                <w:kern w:val="0"/>
                <w:sz w:val="24"/>
                <w:lang w:bidi="ar"/>
              </w:rPr>
            </w:pPr>
          </w:p>
        </w:tc>
        <w:tc>
          <w:tcPr>
            <w:tcW w:w="730" w:type="pct"/>
            <w:noWrap w:val="0"/>
            <w:vAlign w:val="center"/>
          </w:tcPr>
          <w:p>
            <w:pPr>
              <w:tabs>
                <w:tab w:val="left" w:pos="1080"/>
              </w:tabs>
              <w:snapToGrid w:val="0"/>
              <w:jc w:val="center"/>
              <w:rPr>
                <w:rFonts w:ascii="宋体" w:hAnsi="宋体" w:eastAsia="宋体" w:cs="宋体"/>
                <w:color w:val="000000"/>
                <w:sz w:val="24"/>
              </w:rPr>
            </w:pPr>
            <w:r>
              <w:rPr>
                <w:rFonts w:ascii="宋体" w:hAnsi="宋体" w:eastAsia="宋体"/>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55" w:type="pct"/>
            <w:noWrap w:val="0"/>
            <w:vAlign w:val="center"/>
          </w:tcPr>
          <w:p>
            <w:pPr>
              <w:tabs>
                <w:tab w:val="left" w:pos="1080"/>
              </w:tabs>
              <w:snapToGrid w:val="0"/>
              <w:jc w:val="center"/>
              <w:rPr>
                <w:rFonts w:ascii="宋体" w:hAnsi="宋体" w:eastAsia="宋体" w:cs="宋体"/>
                <w:color w:val="000000"/>
                <w:sz w:val="24"/>
              </w:rPr>
            </w:pPr>
            <w:r>
              <w:rPr>
                <w:rFonts w:hint="eastAsia" w:ascii="宋体" w:hAnsi="宋体" w:eastAsia="宋体" w:cs="宋体"/>
                <w:color w:val="000000"/>
                <w:sz w:val="24"/>
              </w:rPr>
              <w:t>5</w:t>
            </w:r>
          </w:p>
        </w:tc>
        <w:tc>
          <w:tcPr>
            <w:tcW w:w="916" w:type="pct"/>
            <w:noWrap w:val="0"/>
            <w:vAlign w:val="center"/>
          </w:tcPr>
          <w:p>
            <w:pPr>
              <w:widowControl/>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获取单一来源采购文件</w:t>
            </w:r>
          </w:p>
        </w:tc>
        <w:tc>
          <w:tcPr>
            <w:tcW w:w="2213" w:type="pct"/>
            <w:noWrap w:val="0"/>
            <w:vAlign w:val="top"/>
          </w:tcPr>
          <w:p>
            <w:pPr>
              <w:widowControl/>
              <w:rPr>
                <w:rFonts w:ascii="宋体" w:hAnsi="宋体" w:eastAsia="宋体" w:cs="宋体"/>
                <w:color w:val="000000"/>
                <w:kern w:val="0"/>
                <w:sz w:val="24"/>
                <w:lang w:bidi="ar"/>
              </w:rPr>
            </w:pPr>
            <w:r>
              <w:rPr>
                <w:rFonts w:hint="eastAsia" w:ascii="宋体" w:hAnsi="宋体" w:eastAsia="宋体" w:cs="宋体"/>
                <w:color w:val="000000"/>
                <w:kern w:val="0"/>
                <w:sz w:val="24"/>
                <w:lang w:bidi="ar"/>
              </w:rPr>
              <w:t>在规定期限内获取所参与项目/包的单一来源采购</w:t>
            </w:r>
            <w:r>
              <w:rPr>
                <w:rFonts w:hint="eastAsia" w:ascii="宋体" w:hAnsi="宋体" w:eastAsia="宋体" w:cs="宋体"/>
                <w:color w:val="000000"/>
                <w:sz w:val="24"/>
              </w:rPr>
              <w:t>文件</w:t>
            </w:r>
            <w:r>
              <w:rPr>
                <w:rFonts w:hint="eastAsia" w:ascii="宋体" w:hAnsi="宋体" w:eastAsia="宋体" w:cs="宋体"/>
                <w:color w:val="000000"/>
                <w:kern w:val="0"/>
                <w:sz w:val="24"/>
                <w:lang w:bidi="ar"/>
              </w:rPr>
              <w:t>。</w:t>
            </w:r>
          </w:p>
          <w:p>
            <w:pPr>
              <w:widowControl/>
              <w:jc w:val="left"/>
              <w:rPr>
                <w:rFonts w:ascii="宋体" w:hAnsi="宋体" w:eastAsia="宋体" w:cs="宋体"/>
                <w:color w:val="000000"/>
                <w:kern w:val="0"/>
                <w:sz w:val="24"/>
                <w:lang w:bidi="ar"/>
              </w:rPr>
            </w:pPr>
            <w:r>
              <w:rPr>
                <w:rFonts w:hint="eastAsia" w:ascii="宋体" w:hAnsi="宋体" w:eastAsia="宋体" w:cs="宋体"/>
                <w:color w:val="000000"/>
                <w:kern w:val="0"/>
                <w:sz w:val="24"/>
                <w:lang w:bidi="ar"/>
              </w:rPr>
              <w:t xml:space="preserve">注：如本项目接受联合体，且供应商人为联合体时，联合体中任一成员获取文件即视为满足要求。 </w:t>
            </w:r>
          </w:p>
        </w:tc>
        <w:tc>
          <w:tcPr>
            <w:tcW w:w="686" w:type="pct"/>
            <w:noWrap w:val="0"/>
            <w:vAlign w:val="center"/>
          </w:tcPr>
          <w:p>
            <w:pPr>
              <w:tabs>
                <w:tab w:val="left" w:pos="1080"/>
              </w:tabs>
              <w:snapToGrid w:val="0"/>
              <w:jc w:val="left"/>
              <w:rPr>
                <w:rFonts w:ascii="宋体" w:hAnsi="宋体" w:eastAsia="宋体" w:cs="宋体"/>
                <w:color w:val="000000"/>
                <w:sz w:val="24"/>
              </w:rPr>
            </w:pPr>
          </w:p>
        </w:tc>
        <w:tc>
          <w:tcPr>
            <w:tcW w:w="730" w:type="pct"/>
            <w:noWrap w:val="0"/>
            <w:vAlign w:val="center"/>
          </w:tcPr>
          <w:p>
            <w:pPr>
              <w:tabs>
                <w:tab w:val="left" w:pos="1080"/>
              </w:tabs>
              <w:snapToGrid w:val="0"/>
              <w:jc w:val="center"/>
              <w:rPr>
                <w:rFonts w:ascii="宋体" w:hAnsi="宋体" w:eastAsia="宋体" w:cs="宋体"/>
                <w:color w:val="000000"/>
                <w:sz w:val="24"/>
              </w:rPr>
            </w:pPr>
          </w:p>
        </w:tc>
      </w:tr>
    </w:tbl>
    <w:p>
      <w:pPr>
        <w:widowControl/>
        <w:jc w:val="left"/>
        <w:rPr>
          <w:sz w:val="24"/>
        </w:rPr>
      </w:pPr>
      <w:r>
        <w:rPr>
          <w:sz w:val="24"/>
        </w:rPr>
        <w:br w:type="page"/>
      </w:r>
    </w:p>
    <w:p>
      <w:pPr>
        <w:numPr>
          <w:ilvl w:val="1"/>
          <w:numId w:val="12"/>
        </w:numPr>
        <w:tabs>
          <w:tab w:val="left" w:pos="1080"/>
          <w:tab w:val="left" w:pos="1589"/>
        </w:tabs>
        <w:snapToGrid w:val="0"/>
        <w:spacing w:line="360" w:lineRule="auto"/>
        <w:ind w:left="1077" w:hanging="720"/>
        <w:rPr>
          <w:sz w:val="24"/>
        </w:rPr>
      </w:pPr>
      <w:r>
        <w:rPr>
          <w:sz w:val="24"/>
        </w:rPr>
        <w:t>《符合性审查要求》见下表：</w:t>
      </w:r>
    </w:p>
    <w:p>
      <w:pPr>
        <w:jc w:val="center"/>
        <w:rPr>
          <w:b/>
          <w:sz w:val="24"/>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711"/>
        <w:gridCol w:w="2941"/>
        <w:gridCol w:w="3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pPr>
              <w:widowControl/>
              <w:jc w:val="center"/>
              <w:rPr>
                <w:b/>
                <w:color w:val="000000"/>
                <w:kern w:val="0"/>
                <w:sz w:val="24"/>
              </w:rPr>
            </w:pPr>
            <w:r>
              <w:rPr>
                <w:b/>
                <w:color w:val="000000"/>
                <w:kern w:val="0"/>
                <w:sz w:val="24"/>
              </w:rPr>
              <w:t>序号</w:t>
            </w:r>
          </w:p>
        </w:tc>
        <w:tc>
          <w:tcPr>
            <w:tcW w:w="921" w:type="pct"/>
            <w:shd w:val="clear" w:color="000000" w:fill="FFFFFF"/>
            <w:noWrap w:val="0"/>
            <w:vAlign w:val="center"/>
          </w:tcPr>
          <w:p>
            <w:pPr>
              <w:widowControl/>
              <w:jc w:val="center"/>
              <w:rPr>
                <w:b/>
                <w:color w:val="000000"/>
                <w:kern w:val="0"/>
                <w:sz w:val="24"/>
              </w:rPr>
            </w:pPr>
            <w:r>
              <w:rPr>
                <w:b/>
                <w:sz w:val="24"/>
              </w:rPr>
              <w:t>检查</w:t>
            </w:r>
            <w:r>
              <w:rPr>
                <w:b/>
                <w:color w:val="000000"/>
                <w:kern w:val="0"/>
                <w:sz w:val="24"/>
              </w:rPr>
              <w:t>因素</w:t>
            </w:r>
          </w:p>
        </w:tc>
        <w:tc>
          <w:tcPr>
            <w:tcW w:w="1583" w:type="pct"/>
            <w:shd w:val="clear" w:color="000000" w:fill="FFFFFF"/>
            <w:noWrap w:val="0"/>
            <w:vAlign w:val="center"/>
          </w:tcPr>
          <w:p>
            <w:pPr>
              <w:widowControl/>
              <w:jc w:val="center"/>
              <w:rPr>
                <w:b/>
                <w:color w:val="000000"/>
                <w:kern w:val="0"/>
                <w:sz w:val="24"/>
              </w:rPr>
            </w:pPr>
            <w:r>
              <w:rPr>
                <w:b/>
                <w:sz w:val="24"/>
              </w:rPr>
              <w:t>检查</w:t>
            </w:r>
            <w:r>
              <w:rPr>
                <w:b/>
                <w:color w:val="000000"/>
                <w:kern w:val="0"/>
                <w:sz w:val="24"/>
              </w:rPr>
              <w:t>内容</w:t>
            </w:r>
          </w:p>
        </w:tc>
        <w:tc>
          <w:tcPr>
            <w:tcW w:w="1951" w:type="pct"/>
            <w:shd w:val="clear" w:color="000000" w:fill="FFFFFF"/>
            <w:noWrap w:val="0"/>
            <w:vAlign w:val="center"/>
          </w:tcPr>
          <w:p>
            <w:pPr>
              <w:widowControl/>
              <w:jc w:val="center"/>
              <w:rPr>
                <w:b/>
                <w:color w:val="000000"/>
                <w:kern w:val="0"/>
                <w:sz w:val="24"/>
              </w:rPr>
            </w:pPr>
            <w:r>
              <w:rPr>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pPr>
              <w:widowControl/>
              <w:jc w:val="center"/>
              <w:rPr>
                <w:color w:val="000000"/>
                <w:kern w:val="0"/>
                <w:sz w:val="24"/>
              </w:rPr>
            </w:pPr>
            <w:r>
              <w:rPr>
                <w:rFonts w:hint="eastAsia"/>
                <w:color w:val="000000"/>
                <w:kern w:val="0"/>
                <w:sz w:val="24"/>
              </w:rPr>
              <w:t>1</w:t>
            </w:r>
          </w:p>
        </w:tc>
        <w:tc>
          <w:tcPr>
            <w:tcW w:w="921" w:type="pct"/>
            <w:shd w:val="clear" w:color="000000" w:fill="FFFFFF"/>
            <w:noWrap w:val="0"/>
            <w:vAlign w:val="center"/>
          </w:tcPr>
          <w:p>
            <w:pPr>
              <w:widowControl/>
              <w:jc w:val="center"/>
              <w:rPr>
                <w:rFonts w:ascii="宋体" w:hAnsi="宋体"/>
                <w:color w:val="000000"/>
                <w:kern w:val="0"/>
                <w:sz w:val="24"/>
              </w:rPr>
            </w:pPr>
            <w:r>
              <w:rPr>
                <w:rFonts w:ascii="宋体" w:hAnsi="宋体"/>
                <w:color w:val="000000"/>
                <w:kern w:val="0"/>
                <w:sz w:val="24"/>
              </w:rPr>
              <w:t>授权委托书</w:t>
            </w:r>
          </w:p>
        </w:tc>
        <w:tc>
          <w:tcPr>
            <w:tcW w:w="1583" w:type="pct"/>
            <w:shd w:val="clear" w:color="000000" w:fill="FFFFFF"/>
            <w:noWrap w:val="0"/>
            <w:vAlign w:val="center"/>
          </w:tcPr>
          <w:p>
            <w:pPr>
              <w:widowControl/>
              <w:jc w:val="left"/>
              <w:rPr>
                <w:rFonts w:ascii="宋体" w:hAnsi="宋体"/>
                <w:color w:val="000000"/>
                <w:kern w:val="0"/>
                <w:sz w:val="24"/>
              </w:rPr>
            </w:pPr>
            <w:r>
              <w:rPr>
                <w:rFonts w:ascii="宋体" w:hAnsi="宋体"/>
                <w:color w:val="000000"/>
                <w:kern w:val="0"/>
                <w:sz w:val="24"/>
              </w:rPr>
              <w:t>按单一来源要求提供授权委托书；</w:t>
            </w:r>
          </w:p>
        </w:tc>
        <w:tc>
          <w:tcPr>
            <w:tcW w:w="1951" w:type="pct"/>
            <w:shd w:val="clear" w:color="000000" w:fill="FFFFFF"/>
            <w:noWrap w:val="0"/>
            <w:vAlign w:val="center"/>
          </w:tcPr>
          <w:p>
            <w:pPr>
              <w:widowControl/>
              <w:jc w:val="center"/>
              <w:rPr>
                <w:color w:val="000000"/>
                <w:kern w:val="0"/>
                <w:sz w:val="24"/>
              </w:rPr>
            </w:pPr>
            <w:r>
              <w:rPr>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pPr>
              <w:widowControl/>
              <w:jc w:val="center"/>
              <w:rPr>
                <w:color w:val="000000"/>
                <w:kern w:val="0"/>
                <w:sz w:val="24"/>
              </w:rPr>
            </w:pPr>
            <w:r>
              <w:rPr>
                <w:rFonts w:hint="eastAsia"/>
                <w:color w:val="000000"/>
                <w:kern w:val="0"/>
                <w:sz w:val="24"/>
              </w:rPr>
              <w:t>2</w:t>
            </w:r>
          </w:p>
        </w:tc>
        <w:tc>
          <w:tcPr>
            <w:tcW w:w="921" w:type="pct"/>
            <w:shd w:val="clear" w:color="000000" w:fill="FFFFFF"/>
            <w:noWrap w:val="0"/>
            <w:vAlign w:val="center"/>
          </w:tcPr>
          <w:p>
            <w:pPr>
              <w:widowControl/>
              <w:jc w:val="center"/>
              <w:rPr>
                <w:rFonts w:ascii="宋体" w:hAnsi="宋体"/>
                <w:color w:val="000000"/>
                <w:kern w:val="0"/>
                <w:sz w:val="24"/>
              </w:rPr>
            </w:pPr>
            <w:r>
              <w:rPr>
                <w:rFonts w:hint="eastAsia" w:ascii="宋体" w:hAnsi="宋体"/>
                <w:color w:val="000000"/>
                <w:kern w:val="0"/>
                <w:sz w:val="24"/>
              </w:rPr>
              <w:t>响应</w:t>
            </w:r>
            <w:r>
              <w:rPr>
                <w:rFonts w:ascii="宋体" w:hAnsi="宋体"/>
                <w:color w:val="000000"/>
                <w:kern w:val="0"/>
                <w:sz w:val="24"/>
              </w:rPr>
              <w:t>完整性</w:t>
            </w:r>
          </w:p>
        </w:tc>
        <w:tc>
          <w:tcPr>
            <w:tcW w:w="1583" w:type="pct"/>
            <w:shd w:val="clear" w:color="000000" w:fill="FFFFFF"/>
            <w:noWrap w:val="0"/>
            <w:vAlign w:val="center"/>
          </w:tcPr>
          <w:p>
            <w:pPr>
              <w:widowControl/>
              <w:jc w:val="left"/>
              <w:rPr>
                <w:rFonts w:ascii="宋体" w:hAnsi="宋体"/>
                <w:color w:val="000000"/>
                <w:kern w:val="0"/>
                <w:sz w:val="24"/>
              </w:rPr>
            </w:pPr>
            <w:r>
              <w:rPr>
                <w:rFonts w:hint="eastAsia" w:ascii="宋体" w:hAnsi="宋体"/>
                <w:color w:val="000000"/>
                <w:sz w:val="24"/>
              </w:rPr>
              <w:t>未</w:t>
            </w:r>
            <w:r>
              <w:rPr>
                <w:rFonts w:ascii="宋体" w:hAnsi="宋体"/>
                <w:color w:val="000000"/>
                <w:sz w:val="24"/>
              </w:rPr>
              <w:t>将一个采购包中的内容拆开</w:t>
            </w:r>
            <w:r>
              <w:rPr>
                <w:rFonts w:hint="eastAsia" w:ascii="宋体" w:hAnsi="宋体"/>
                <w:color w:val="000000"/>
                <w:sz w:val="24"/>
              </w:rPr>
              <w:t>响应</w:t>
            </w:r>
            <w:r>
              <w:rPr>
                <w:rFonts w:ascii="宋体" w:hAnsi="宋体"/>
                <w:color w:val="000000"/>
                <w:sz w:val="24"/>
              </w:rPr>
              <w:t>；</w:t>
            </w:r>
          </w:p>
        </w:tc>
        <w:tc>
          <w:tcPr>
            <w:tcW w:w="1951" w:type="pct"/>
            <w:shd w:val="clear" w:color="000000" w:fill="FFFFFF"/>
            <w:noWrap w:val="0"/>
            <w:vAlign w:val="center"/>
          </w:tcPr>
          <w:p>
            <w:pPr>
              <w:widowControl/>
              <w:jc w:val="center"/>
              <w:rPr>
                <w:color w:val="000000"/>
                <w:kern w:val="0"/>
                <w:sz w:val="24"/>
              </w:rPr>
            </w:pPr>
            <w:r>
              <w:rPr>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pPr>
              <w:widowControl/>
              <w:jc w:val="center"/>
              <w:rPr>
                <w:color w:val="000000"/>
                <w:kern w:val="0"/>
                <w:sz w:val="24"/>
              </w:rPr>
            </w:pPr>
            <w:r>
              <w:rPr>
                <w:rFonts w:hint="eastAsia"/>
                <w:color w:val="000000"/>
                <w:kern w:val="0"/>
                <w:sz w:val="24"/>
              </w:rPr>
              <w:t>3</w:t>
            </w:r>
          </w:p>
        </w:tc>
        <w:tc>
          <w:tcPr>
            <w:tcW w:w="921" w:type="pct"/>
            <w:shd w:val="clear" w:color="000000" w:fill="FFFFFF"/>
            <w:noWrap w:val="0"/>
            <w:vAlign w:val="center"/>
          </w:tcPr>
          <w:p>
            <w:pPr>
              <w:widowControl/>
              <w:jc w:val="center"/>
              <w:rPr>
                <w:rFonts w:ascii="宋体" w:hAnsi="宋体"/>
                <w:color w:val="000000"/>
                <w:kern w:val="0"/>
                <w:sz w:val="24"/>
              </w:rPr>
            </w:pPr>
            <w:r>
              <w:rPr>
                <w:rFonts w:hint="eastAsia" w:ascii="宋体" w:hAnsi="宋体"/>
                <w:color w:val="000000"/>
                <w:kern w:val="0"/>
                <w:sz w:val="24"/>
              </w:rPr>
              <w:t>响应</w:t>
            </w:r>
            <w:r>
              <w:rPr>
                <w:rFonts w:ascii="宋体" w:hAnsi="宋体"/>
                <w:color w:val="000000"/>
                <w:kern w:val="0"/>
                <w:sz w:val="24"/>
              </w:rPr>
              <w:t>报价</w:t>
            </w:r>
          </w:p>
        </w:tc>
        <w:tc>
          <w:tcPr>
            <w:tcW w:w="1583" w:type="pct"/>
            <w:shd w:val="clear" w:color="000000" w:fill="FFFFFF"/>
            <w:noWrap w:val="0"/>
            <w:vAlign w:val="center"/>
          </w:tcPr>
          <w:p>
            <w:pPr>
              <w:widowControl/>
              <w:jc w:val="left"/>
              <w:rPr>
                <w:rFonts w:ascii="宋体" w:hAnsi="宋体"/>
                <w:color w:val="000000"/>
                <w:kern w:val="0"/>
                <w:sz w:val="24"/>
              </w:rPr>
            </w:pPr>
            <w:r>
              <w:rPr>
                <w:rFonts w:hint="eastAsia" w:ascii="宋体" w:hAnsi="宋体"/>
                <w:color w:val="000000"/>
                <w:kern w:val="0"/>
                <w:sz w:val="24"/>
              </w:rPr>
              <w:t>响应</w:t>
            </w:r>
            <w:r>
              <w:rPr>
                <w:rFonts w:ascii="宋体" w:hAnsi="宋体"/>
                <w:color w:val="000000"/>
                <w:kern w:val="0"/>
                <w:sz w:val="24"/>
              </w:rPr>
              <w:t>报价</w:t>
            </w:r>
            <w:r>
              <w:rPr>
                <w:rFonts w:hint="eastAsia" w:ascii="宋体" w:hAnsi="宋体"/>
                <w:color w:val="000000"/>
                <w:kern w:val="0"/>
                <w:sz w:val="24"/>
              </w:rPr>
              <w:t>未</w:t>
            </w:r>
            <w:r>
              <w:rPr>
                <w:rFonts w:ascii="宋体" w:hAnsi="宋体"/>
                <w:color w:val="000000"/>
                <w:sz w:val="24"/>
              </w:rPr>
              <w:t>超过单一来源中规定的项目/采购包预算金额或者项目/采购包最高限价</w:t>
            </w:r>
            <w:r>
              <w:rPr>
                <w:rFonts w:ascii="宋体" w:hAnsi="宋体"/>
                <w:color w:val="000000"/>
                <w:kern w:val="0"/>
                <w:sz w:val="24"/>
              </w:rPr>
              <w:t>；</w:t>
            </w:r>
          </w:p>
        </w:tc>
        <w:tc>
          <w:tcPr>
            <w:tcW w:w="1951" w:type="pct"/>
            <w:shd w:val="clear" w:color="000000" w:fill="FFFFFF"/>
            <w:noWrap w:val="0"/>
            <w:vAlign w:val="center"/>
          </w:tcPr>
          <w:p>
            <w:pPr>
              <w:widowControl/>
              <w:jc w:val="center"/>
              <w:rPr>
                <w:color w:val="000000"/>
                <w:kern w:val="0"/>
                <w:sz w:val="24"/>
              </w:rPr>
            </w:pPr>
            <w:r>
              <w:rPr>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pPr>
              <w:widowControl/>
              <w:jc w:val="center"/>
              <w:rPr>
                <w:color w:val="000000"/>
                <w:kern w:val="0"/>
                <w:sz w:val="24"/>
              </w:rPr>
            </w:pPr>
            <w:r>
              <w:rPr>
                <w:rFonts w:hint="eastAsia"/>
                <w:color w:val="000000"/>
                <w:kern w:val="0"/>
                <w:sz w:val="24"/>
              </w:rPr>
              <w:t>4</w:t>
            </w:r>
          </w:p>
        </w:tc>
        <w:tc>
          <w:tcPr>
            <w:tcW w:w="921" w:type="pct"/>
            <w:shd w:val="clear" w:color="000000" w:fill="FFFFFF"/>
            <w:noWrap w:val="0"/>
            <w:vAlign w:val="center"/>
          </w:tcPr>
          <w:p>
            <w:pPr>
              <w:widowControl/>
              <w:jc w:val="center"/>
              <w:rPr>
                <w:rFonts w:ascii="宋体" w:hAnsi="宋体"/>
                <w:color w:val="000000"/>
                <w:kern w:val="0"/>
                <w:sz w:val="24"/>
              </w:rPr>
            </w:pPr>
            <w:r>
              <w:rPr>
                <w:rFonts w:ascii="宋体" w:hAnsi="宋体"/>
                <w:color w:val="000000"/>
                <w:kern w:val="0"/>
                <w:sz w:val="24"/>
              </w:rPr>
              <w:t>报价唯一性</w:t>
            </w:r>
          </w:p>
        </w:tc>
        <w:tc>
          <w:tcPr>
            <w:tcW w:w="1583" w:type="pct"/>
            <w:shd w:val="clear" w:color="000000" w:fill="FFFFFF"/>
            <w:noWrap w:val="0"/>
            <w:vAlign w:val="center"/>
          </w:tcPr>
          <w:p>
            <w:pPr>
              <w:widowControl/>
              <w:jc w:val="left"/>
              <w:rPr>
                <w:rFonts w:ascii="宋体" w:hAnsi="宋体"/>
                <w:color w:val="000000"/>
                <w:kern w:val="0"/>
                <w:sz w:val="24"/>
              </w:rPr>
            </w:pPr>
            <w:r>
              <w:rPr>
                <w:rFonts w:hint="eastAsia" w:ascii="宋体" w:hAnsi="宋体"/>
                <w:color w:val="000000"/>
                <w:kern w:val="0"/>
                <w:sz w:val="24"/>
              </w:rPr>
              <w:t>响应</w:t>
            </w:r>
            <w:r>
              <w:rPr>
                <w:rFonts w:ascii="宋体" w:hAnsi="宋体"/>
                <w:color w:val="000000"/>
                <w:kern w:val="0"/>
                <w:sz w:val="24"/>
              </w:rPr>
              <w:t>文件</w:t>
            </w:r>
            <w:r>
              <w:rPr>
                <w:rFonts w:hint="eastAsia" w:ascii="宋体" w:hAnsi="宋体"/>
                <w:color w:val="000000"/>
                <w:kern w:val="0"/>
                <w:sz w:val="24"/>
              </w:rPr>
              <w:t>未</w:t>
            </w:r>
            <w:r>
              <w:rPr>
                <w:rFonts w:hint="eastAsia" w:ascii="宋体" w:hAnsi="宋体"/>
                <w:color w:val="000000"/>
                <w:sz w:val="24"/>
              </w:rPr>
              <w:t>出现可选择性或可调整的报价（单一来源另有规定的除外）</w:t>
            </w:r>
            <w:r>
              <w:rPr>
                <w:rFonts w:ascii="宋体" w:hAnsi="宋体"/>
                <w:color w:val="000000"/>
                <w:kern w:val="0"/>
                <w:sz w:val="24"/>
              </w:rPr>
              <w:t>；</w:t>
            </w:r>
          </w:p>
        </w:tc>
        <w:tc>
          <w:tcPr>
            <w:tcW w:w="1951" w:type="pct"/>
            <w:shd w:val="clear" w:color="000000" w:fill="FFFFFF"/>
            <w:noWrap w:val="0"/>
            <w:vAlign w:val="center"/>
          </w:tcPr>
          <w:p>
            <w:pPr>
              <w:widowControl/>
              <w:jc w:val="center"/>
              <w:rPr>
                <w:color w:val="000000"/>
                <w:kern w:val="0"/>
                <w:sz w:val="24"/>
              </w:rPr>
            </w:pPr>
            <w:r>
              <w:rPr>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pPr>
              <w:widowControl/>
              <w:jc w:val="center"/>
              <w:rPr>
                <w:color w:val="000000"/>
                <w:kern w:val="0"/>
                <w:sz w:val="24"/>
              </w:rPr>
            </w:pPr>
            <w:r>
              <w:rPr>
                <w:rFonts w:hint="eastAsia"/>
                <w:color w:val="000000"/>
                <w:kern w:val="0"/>
                <w:sz w:val="24"/>
              </w:rPr>
              <w:t>5</w:t>
            </w:r>
          </w:p>
        </w:tc>
        <w:tc>
          <w:tcPr>
            <w:tcW w:w="921" w:type="pct"/>
            <w:shd w:val="clear" w:color="000000" w:fill="FFFFFF"/>
            <w:noWrap w:val="0"/>
            <w:vAlign w:val="center"/>
          </w:tcPr>
          <w:p>
            <w:pPr>
              <w:widowControl/>
              <w:jc w:val="center"/>
              <w:rPr>
                <w:rFonts w:ascii="宋体" w:hAnsi="宋体"/>
                <w:color w:val="000000"/>
                <w:kern w:val="0"/>
                <w:sz w:val="24"/>
              </w:rPr>
            </w:pPr>
            <w:r>
              <w:rPr>
                <w:rFonts w:hint="eastAsia" w:ascii="宋体" w:hAnsi="宋体"/>
                <w:color w:val="000000"/>
                <w:kern w:val="0"/>
                <w:sz w:val="24"/>
              </w:rPr>
              <w:t>响应</w:t>
            </w:r>
            <w:r>
              <w:rPr>
                <w:rFonts w:ascii="宋体" w:hAnsi="宋体"/>
                <w:color w:val="000000"/>
                <w:kern w:val="0"/>
                <w:sz w:val="24"/>
              </w:rPr>
              <w:t>有效期</w:t>
            </w:r>
          </w:p>
        </w:tc>
        <w:tc>
          <w:tcPr>
            <w:tcW w:w="1583" w:type="pct"/>
            <w:shd w:val="clear" w:color="000000" w:fill="FFFFFF"/>
            <w:noWrap w:val="0"/>
            <w:vAlign w:val="center"/>
          </w:tcPr>
          <w:p>
            <w:pPr>
              <w:widowControl/>
              <w:jc w:val="left"/>
              <w:rPr>
                <w:rFonts w:ascii="宋体" w:hAnsi="宋体"/>
                <w:color w:val="000000"/>
                <w:kern w:val="0"/>
                <w:sz w:val="24"/>
              </w:rPr>
            </w:pPr>
            <w:r>
              <w:rPr>
                <w:rFonts w:hint="eastAsia" w:ascii="宋体" w:hAnsi="宋体"/>
                <w:color w:val="000000"/>
                <w:kern w:val="0"/>
                <w:sz w:val="24"/>
              </w:rPr>
              <w:t>响应</w:t>
            </w:r>
            <w:r>
              <w:rPr>
                <w:rFonts w:ascii="宋体" w:hAnsi="宋体"/>
                <w:color w:val="000000"/>
                <w:kern w:val="0"/>
                <w:sz w:val="24"/>
              </w:rPr>
              <w:t>文件中承诺的</w:t>
            </w:r>
            <w:r>
              <w:rPr>
                <w:rFonts w:hint="eastAsia" w:ascii="宋体" w:hAnsi="宋体"/>
                <w:color w:val="000000"/>
                <w:kern w:val="0"/>
                <w:sz w:val="24"/>
              </w:rPr>
              <w:t>响应</w:t>
            </w:r>
            <w:r>
              <w:rPr>
                <w:rFonts w:ascii="宋体" w:hAnsi="宋体"/>
                <w:color w:val="000000"/>
                <w:kern w:val="0"/>
                <w:sz w:val="24"/>
              </w:rPr>
              <w:t>有效期</w:t>
            </w:r>
            <w:r>
              <w:rPr>
                <w:rFonts w:hint="eastAsia" w:ascii="宋体" w:hAnsi="宋体"/>
                <w:color w:val="000000"/>
                <w:kern w:val="0"/>
                <w:sz w:val="24"/>
              </w:rPr>
              <w:t>满足</w:t>
            </w:r>
            <w:r>
              <w:rPr>
                <w:rFonts w:ascii="宋体" w:hAnsi="宋体"/>
                <w:color w:val="000000"/>
                <w:kern w:val="0"/>
                <w:sz w:val="24"/>
              </w:rPr>
              <w:t>单一来源中载明的</w:t>
            </w:r>
            <w:r>
              <w:rPr>
                <w:rFonts w:hint="eastAsia" w:ascii="宋体" w:hAnsi="宋体"/>
                <w:color w:val="000000"/>
                <w:kern w:val="0"/>
                <w:sz w:val="24"/>
              </w:rPr>
              <w:t>响应</w:t>
            </w:r>
            <w:r>
              <w:rPr>
                <w:rFonts w:ascii="宋体" w:hAnsi="宋体"/>
                <w:color w:val="000000"/>
                <w:kern w:val="0"/>
                <w:sz w:val="24"/>
              </w:rPr>
              <w:t>有效期的；</w:t>
            </w:r>
          </w:p>
        </w:tc>
        <w:tc>
          <w:tcPr>
            <w:tcW w:w="1951" w:type="pct"/>
            <w:shd w:val="clear" w:color="000000" w:fill="FFFFFF"/>
            <w:noWrap w:val="0"/>
            <w:vAlign w:val="center"/>
          </w:tcPr>
          <w:p>
            <w:pPr>
              <w:widowControl/>
              <w:jc w:val="center"/>
              <w:rPr>
                <w:color w:val="000000"/>
                <w:kern w:val="0"/>
                <w:sz w:val="24"/>
              </w:rPr>
            </w:pPr>
            <w:r>
              <w:rPr>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pPr>
              <w:widowControl/>
              <w:jc w:val="center"/>
              <w:rPr>
                <w:color w:val="000000"/>
                <w:kern w:val="0"/>
                <w:sz w:val="24"/>
              </w:rPr>
            </w:pPr>
            <w:r>
              <w:rPr>
                <w:rFonts w:hint="eastAsia"/>
                <w:color w:val="000000"/>
                <w:kern w:val="0"/>
                <w:sz w:val="24"/>
              </w:rPr>
              <w:t>6</w:t>
            </w:r>
          </w:p>
        </w:tc>
        <w:tc>
          <w:tcPr>
            <w:tcW w:w="921" w:type="pct"/>
            <w:shd w:val="clear" w:color="000000" w:fill="FFFFFF"/>
            <w:noWrap w:val="0"/>
            <w:vAlign w:val="center"/>
          </w:tcPr>
          <w:p>
            <w:pPr>
              <w:widowControl/>
              <w:jc w:val="center"/>
              <w:rPr>
                <w:rFonts w:ascii="宋体" w:hAnsi="宋体"/>
                <w:color w:val="000000"/>
                <w:kern w:val="0"/>
                <w:sz w:val="24"/>
              </w:rPr>
            </w:pPr>
            <w:r>
              <w:rPr>
                <w:rFonts w:ascii="宋体" w:hAnsi="宋体"/>
                <w:color w:val="000000"/>
                <w:kern w:val="0"/>
                <w:sz w:val="24"/>
              </w:rPr>
              <w:t>签署、盖章</w:t>
            </w:r>
          </w:p>
        </w:tc>
        <w:tc>
          <w:tcPr>
            <w:tcW w:w="1583" w:type="pct"/>
            <w:shd w:val="clear" w:color="000000" w:fill="FFFFFF"/>
            <w:noWrap w:val="0"/>
            <w:vAlign w:val="center"/>
          </w:tcPr>
          <w:p>
            <w:pPr>
              <w:widowControl/>
              <w:jc w:val="left"/>
              <w:rPr>
                <w:rFonts w:ascii="宋体" w:hAnsi="宋体"/>
                <w:color w:val="000000"/>
                <w:kern w:val="0"/>
                <w:sz w:val="24"/>
              </w:rPr>
            </w:pPr>
            <w:r>
              <w:rPr>
                <w:rFonts w:ascii="宋体" w:hAnsi="宋体"/>
                <w:color w:val="000000"/>
                <w:kern w:val="0"/>
                <w:sz w:val="24"/>
              </w:rPr>
              <w:t>按照单一来源要求签署、盖章的；</w:t>
            </w:r>
          </w:p>
        </w:tc>
        <w:tc>
          <w:tcPr>
            <w:tcW w:w="1951" w:type="pct"/>
            <w:shd w:val="clear" w:color="000000" w:fill="FFFFFF"/>
            <w:noWrap w:val="0"/>
            <w:vAlign w:val="center"/>
          </w:tcPr>
          <w:p>
            <w:pPr>
              <w:widowControl/>
              <w:jc w:val="center"/>
              <w:rPr>
                <w:color w:val="000000"/>
                <w:kern w:val="0"/>
                <w:sz w:val="24"/>
              </w:rPr>
            </w:pPr>
            <w:r>
              <w:rPr>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pPr>
              <w:widowControl/>
              <w:jc w:val="center"/>
              <w:rPr>
                <w:rFonts w:hint="eastAsia"/>
                <w:color w:val="000000"/>
                <w:kern w:val="0"/>
                <w:sz w:val="24"/>
              </w:rPr>
            </w:pPr>
            <w:r>
              <w:rPr>
                <w:rFonts w:hint="eastAsia"/>
                <w:color w:val="000000"/>
                <w:kern w:val="0"/>
                <w:sz w:val="24"/>
              </w:rPr>
              <w:t>7</w:t>
            </w:r>
          </w:p>
        </w:tc>
        <w:tc>
          <w:tcPr>
            <w:tcW w:w="921" w:type="pct"/>
            <w:shd w:val="clear" w:color="000000" w:fill="FFFFFF"/>
            <w:noWrap w:val="0"/>
            <w:vAlign w:val="center"/>
          </w:tcPr>
          <w:p>
            <w:pPr>
              <w:widowControl/>
              <w:jc w:val="center"/>
              <w:rPr>
                <w:rFonts w:ascii="宋体" w:hAnsi="宋体"/>
                <w:color w:val="000000"/>
                <w:kern w:val="0"/>
                <w:sz w:val="24"/>
              </w:rPr>
            </w:pPr>
            <w:r>
              <w:rPr>
                <w:rFonts w:hint="eastAsia" w:ascii="宋体" w:hAnsi="宋体"/>
                <w:color w:val="000000"/>
                <w:kern w:val="0"/>
                <w:sz w:val="24"/>
              </w:rPr>
              <w:t>实质性格式</w:t>
            </w:r>
          </w:p>
        </w:tc>
        <w:tc>
          <w:tcPr>
            <w:tcW w:w="1583" w:type="pct"/>
            <w:shd w:val="clear" w:color="000000" w:fill="FFFFFF"/>
            <w:noWrap w:val="0"/>
            <w:vAlign w:val="center"/>
          </w:tcPr>
          <w:p>
            <w:pPr>
              <w:widowControl/>
              <w:jc w:val="left"/>
              <w:rPr>
                <w:rFonts w:ascii="宋体" w:hAnsi="宋体"/>
                <w:color w:val="000000"/>
                <w:kern w:val="0"/>
                <w:sz w:val="24"/>
              </w:rPr>
            </w:pPr>
            <w:r>
              <w:rPr>
                <w:rFonts w:hint="eastAsia" w:ascii="宋体" w:hAnsi="宋体"/>
                <w:color w:val="000000"/>
                <w:kern w:val="0"/>
                <w:sz w:val="24"/>
              </w:rPr>
              <w:t>标记为</w:t>
            </w:r>
            <w:r>
              <w:rPr>
                <w:rFonts w:ascii="宋体" w:hAnsi="宋体"/>
                <w:color w:val="000000"/>
                <w:kern w:val="0"/>
                <w:sz w:val="24"/>
              </w:rPr>
              <w:t>“</w:t>
            </w:r>
            <w:r>
              <w:rPr>
                <w:rFonts w:hint="eastAsia" w:ascii="宋体" w:hAnsi="宋体"/>
                <w:color w:val="000000"/>
                <w:kern w:val="0"/>
                <w:sz w:val="24"/>
              </w:rPr>
              <w:t>实质性格式</w:t>
            </w:r>
            <w:r>
              <w:rPr>
                <w:rFonts w:ascii="宋体" w:hAnsi="宋体"/>
                <w:color w:val="000000"/>
                <w:kern w:val="0"/>
                <w:sz w:val="24"/>
              </w:rPr>
              <w:t>”的</w:t>
            </w:r>
            <w:r>
              <w:rPr>
                <w:rFonts w:hint="eastAsia" w:ascii="宋体" w:hAnsi="宋体"/>
                <w:color w:val="000000"/>
                <w:kern w:val="0"/>
                <w:sz w:val="24"/>
              </w:rPr>
              <w:t>文件均按</w:t>
            </w:r>
            <w:r>
              <w:rPr>
                <w:rFonts w:ascii="宋体" w:hAnsi="宋体"/>
                <w:color w:val="000000"/>
                <w:kern w:val="0"/>
                <w:sz w:val="24"/>
              </w:rPr>
              <w:t>单一来源</w:t>
            </w:r>
            <w:r>
              <w:rPr>
                <w:rFonts w:hint="eastAsia" w:ascii="宋体" w:hAnsi="宋体"/>
                <w:color w:val="000000"/>
                <w:kern w:val="0"/>
                <w:sz w:val="24"/>
              </w:rPr>
              <w:t>要求提供；</w:t>
            </w:r>
          </w:p>
        </w:tc>
        <w:tc>
          <w:tcPr>
            <w:tcW w:w="1951" w:type="pct"/>
            <w:shd w:val="clear" w:color="000000" w:fill="FFFFFF"/>
            <w:noWrap w:val="0"/>
            <w:vAlign w:val="center"/>
          </w:tcPr>
          <w:p>
            <w:pPr>
              <w:widowControl/>
              <w:jc w:val="center"/>
              <w:rPr>
                <w:color w:val="000000"/>
                <w:kern w:val="0"/>
                <w:sz w:val="24"/>
              </w:rPr>
            </w:pPr>
            <w:r>
              <w:rPr>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pPr>
              <w:widowControl/>
              <w:jc w:val="center"/>
              <w:rPr>
                <w:rFonts w:hint="eastAsia"/>
                <w:color w:val="000000"/>
                <w:kern w:val="0"/>
                <w:sz w:val="24"/>
              </w:rPr>
            </w:pPr>
            <w:r>
              <w:rPr>
                <w:rFonts w:hint="eastAsia"/>
                <w:color w:val="000000"/>
                <w:kern w:val="0"/>
                <w:sz w:val="24"/>
              </w:rPr>
              <w:t>8</w:t>
            </w:r>
          </w:p>
        </w:tc>
        <w:tc>
          <w:tcPr>
            <w:tcW w:w="921" w:type="pct"/>
            <w:shd w:val="clear" w:color="000000" w:fill="FFFFFF"/>
            <w:noWrap w:val="0"/>
            <w:vAlign w:val="center"/>
          </w:tcPr>
          <w:p>
            <w:pPr>
              <w:widowControl/>
              <w:jc w:val="center"/>
              <w:rPr>
                <w:rFonts w:ascii="宋体" w:hAnsi="宋体"/>
                <w:color w:val="000000"/>
                <w:kern w:val="0"/>
                <w:sz w:val="24"/>
              </w:rPr>
            </w:pPr>
            <w:r>
              <w:rPr>
                <w:rFonts w:ascii="宋体" w:hAnsi="宋体"/>
                <w:color w:val="000000"/>
                <w:kern w:val="0"/>
                <w:sz w:val="24"/>
              </w:rPr>
              <w:t>报价的修正（如有）</w:t>
            </w:r>
          </w:p>
        </w:tc>
        <w:tc>
          <w:tcPr>
            <w:tcW w:w="1583" w:type="pct"/>
            <w:shd w:val="clear" w:color="000000" w:fill="FFFFFF"/>
            <w:noWrap w:val="0"/>
            <w:vAlign w:val="center"/>
          </w:tcPr>
          <w:p>
            <w:pPr>
              <w:widowControl/>
              <w:jc w:val="left"/>
              <w:rPr>
                <w:rFonts w:ascii="宋体" w:hAnsi="宋体"/>
                <w:color w:val="000000"/>
                <w:kern w:val="0"/>
                <w:sz w:val="24"/>
              </w:rPr>
            </w:pPr>
            <w:r>
              <w:rPr>
                <w:rFonts w:hint="eastAsia" w:ascii="宋体" w:hAnsi="宋体"/>
                <w:color w:val="000000"/>
                <w:kern w:val="0"/>
                <w:sz w:val="24"/>
              </w:rPr>
              <w:t>不涉及报价修正</w:t>
            </w:r>
            <w:r>
              <w:rPr>
                <w:rFonts w:ascii="宋体" w:hAnsi="宋体"/>
                <w:color w:val="000000"/>
                <w:kern w:val="0"/>
                <w:sz w:val="24"/>
              </w:rPr>
              <w:t>，或</w:t>
            </w:r>
            <w:r>
              <w:rPr>
                <w:rFonts w:hint="eastAsia" w:ascii="宋体" w:hAnsi="宋体"/>
                <w:color w:val="000000"/>
                <w:kern w:val="0"/>
                <w:sz w:val="24"/>
              </w:rPr>
              <w:t>响应</w:t>
            </w:r>
            <w:r>
              <w:rPr>
                <w:rFonts w:ascii="宋体" w:hAnsi="宋体"/>
                <w:color w:val="000000"/>
                <w:kern w:val="0"/>
                <w:sz w:val="24"/>
              </w:rPr>
              <w:t>文件报价出现前后不一致</w:t>
            </w:r>
            <w:r>
              <w:rPr>
                <w:rFonts w:hint="eastAsia" w:ascii="宋体" w:hAnsi="宋体"/>
                <w:color w:val="000000"/>
                <w:kern w:val="0"/>
                <w:sz w:val="24"/>
              </w:rPr>
              <w:t>时</w:t>
            </w:r>
            <w:r>
              <w:rPr>
                <w:rFonts w:ascii="宋体" w:hAnsi="宋体"/>
                <w:color w:val="000000"/>
                <w:kern w:val="0"/>
                <w:sz w:val="24"/>
              </w:rPr>
              <w:t>，</w:t>
            </w:r>
            <w:r>
              <w:rPr>
                <w:rFonts w:hint="eastAsia" w:ascii="宋体" w:hAnsi="宋体"/>
                <w:color w:val="000000"/>
                <w:kern w:val="0"/>
                <w:sz w:val="24"/>
              </w:rPr>
              <w:t>响应</w:t>
            </w:r>
            <w:r>
              <w:rPr>
                <w:rFonts w:ascii="宋体" w:hAnsi="宋体"/>
                <w:color w:val="000000"/>
                <w:kern w:val="0"/>
                <w:sz w:val="24"/>
              </w:rPr>
              <w:t>人对修正后的报价予</w:t>
            </w:r>
            <w:r>
              <w:rPr>
                <w:rFonts w:hint="eastAsia" w:ascii="宋体" w:hAnsi="宋体"/>
                <w:color w:val="000000"/>
                <w:kern w:val="0"/>
                <w:sz w:val="24"/>
              </w:rPr>
              <w:t>以</w:t>
            </w:r>
            <w:r>
              <w:rPr>
                <w:rFonts w:ascii="宋体" w:hAnsi="宋体"/>
                <w:color w:val="000000"/>
                <w:kern w:val="0"/>
                <w:sz w:val="24"/>
              </w:rPr>
              <w:t>确认；（如有）</w:t>
            </w:r>
          </w:p>
        </w:tc>
        <w:tc>
          <w:tcPr>
            <w:tcW w:w="1951" w:type="pct"/>
            <w:shd w:val="clear" w:color="000000" w:fill="FFFFFF"/>
            <w:noWrap w:val="0"/>
            <w:vAlign w:val="center"/>
          </w:tcPr>
          <w:p>
            <w:pPr>
              <w:widowControl/>
              <w:jc w:val="center"/>
              <w:rPr>
                <w:color w:val="000000"/>
                <w:kern w:val="0"/>
                <w:sz w:val="24"/>
              </w:rPr>
            </w:pPr>
            <w:r>
              <w:rPr>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pPr>
              <w:widowControl/>
              <w:jc w:val="center"/>
              <w:rPr>
                <w:rFonts w:hint="eastAsia"/>
                <w:color w:val="000000"/>
                <w:kern w:val="0"/>
                <w:sz w:val="24"/>
              </w:rPr>
            </w:pPr>
            <w:r>
              <w:rPr>
                <w:rFonts w:hint="eastAsia"/>
                <w:color w:val="000000"/>
                <w:kern w:val="0"/>
                <w:sz w:val="24"/>
              </w:rPr>
              <w:t>9</w:t>
            </w:r>
          </w:p>
        </w:tc>
        <w:tc>
          <w:tcPr>
            <w:tcW w:w="921" w:type="pct"/>
            <w:shd w:val="clear" w:color="000000" w:fill="FFFFFF"/>
            <w:noWrap w:val="0"/>
            <w:vAlign w:val="center"/>
          </w:tcPr>
          <w:p>
            <w:pPr>
              <w:widowControl/>
              <w:jc w:val="center"/>
              <w:rPr>
                <w:rFonts w:ascii="宋体" w:hAnsi="宋体"/>
                <w:color w:val="000000"/>
                <w:kern w:val="0"/>
                <w:sz w:val="24"/>
              </w:rPr>
            </w:pPr>
            <w:r>
              <w:rPr>
                <w:rFonts w:ascii="宋体" w:hAnsi="宋体"/>
                <w:color w:val="000000"/>
                <w:kern w:val="0"/>
                <w:sz w:val="24"/>
              </w:rPr>
              <w:t>报价合理性</w:t>
            </w:r>
          </w:p>
        </w:tc>
        <w:tc>
          <w:tcPr>
            <w:tcW w:w="1583" w:type="pct"/>
            <w:shd w:val="clear" w:color="000000" w:fill="FFFFFF"/>
            <w:noWrap w:val="0"/>
            <w:vAlign w:val="center"/>
          </w:tcPr>
          <w:p>
            <w:pPr>
              <w:widowControl/>
              <w:jc w:val="left"/>
              <w:rPr>
                <w:rFonts w:ascii="宋体" w:hAnsi="宋体"/>
                <w:color w:val="000000"/>
                <w:kern w:val="0"/>
                <w:sz w:val="24"/>
              </w:rPr>
            </w:pPr>
            <w:r>
              <w:rPr>
                <w:rFonts w:ascii="宋体" w:hAnsi="宋体"/>
                <w:color w:val="000000"/>
                <w:kern w:val="0"/>
                <w:sz w:val="24"/>
              </w:rPr>
              <w:t>报价合理，或</w:t>
            </w:r>
            <w:r>
              <w:rPr>
                <w:rFonts w:hint="eastAsia" w:ascii="宋体" w:hAnsi="宋体"/>
                <w:color w:val="000000"/>
                <w:sz w:val="24"/>
              </w:rPr>
              <w:t>供应商的报价明显低于其他通过符合性审查供应商的报价，</w:t>
            </w:r>
            <w:r>
              <w:rPr>
                <w:rFonts w:ascii="宋体" w:hAnsi="宋体"/>
                <w:color w:val="000000"/>
                <w:sz w:val="24"/>
              </w:rPr>
              <w:t>有可能影响产品质量或者不能诚信履约的</w:t>
            </w:r>
            <w:r>
              <w:rPr>
                <w:rFonts w:hint="eastAsia" w:ascii="宋体" w:hAnsi="宋体"/>
                <w:color w:val="000000"/>
                <w:sz w:val="24"/>
              </w:rPr>
              <w:t>，能够应评审委员会要求在规定时间内证明其报价合理性的</w:t>
            </w:r>
            <w:r>
              <w:rPr>
                <w:rFonts w:ascii="宋体" w:hAnsi="宋体"/>
                <w:color w:val="000000"/>
                <w:kern w:val="0"/>
                <w:sz w:val="24"/>
              </w:rPr>
              <w:t>；</w:t>
            </w:r>
          </w:p>
        </w:tc>
        <w:tc>
          <w:tcPr>
            <w:tcW w:w="1951" w:type="pct"/>
            <w:shd w:val="clear" w:color="000000" w:fill="FFFFFF"/>
            <w:noWrap w:val="0"/>
            <w:vAlign w:val="center"/>
          </w:tcPr>
          <w:p>
            <w:pPr>
              <w:widowControl/>
              <w:jc w:val="center"/>
              <w:rPr>
                <w:color w:val="000000"/>
                <w:kern w:val="0"/>
                <w:sz w:val="24"/>
              </w:rPr>
            </w:pPr>
            <w:r>
              <w:rPr>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pPr>
              <w:widowControl/>
              <w:jc w:val="center"/>
              <w:rPr>
                <w:rFonts w:hint="eastAsia"/>
                <w:color w:val="000000"/>
                <w:kern w:val="0"/>
                <w:sz w:val="24"/>
              </w:rPr>
            </w:pPr>
            <w:r>
              <w:rPr>
                <w:rFonts w:hint="eastAsia"/>
                <w:color w:val="000000"/>
                <w:kern w:val="0"/>
                <w:sz w:val="24"/>
              </w:rPr>
              <w:t>10</w:t>
            </w:r>
          </w:p>
        </w:tc>
        <w:tc>
          <w:tcPr>
            <w:tcW w:w="921" w:type="pct"/>
            <w:shd w:val="clear" w:color="000000" w:fill="FFFFFF"/>
            <w:noWrap w:val="0"/>
            <w:vAlign w:val="center"/>
          </w:tcPr>
          <w:p>
            <w:pPr>
              <w:widowControl/>
              <w:jc w:val="center"/>
              <w:rPr>
                <w:rFonts w:ascii="宋体" w:hAnsi="宋体"/>
                <w:color w:val="000000"/>
                <w:kern w:val="0"/>
                <w:sz w:val="24"/>
              </w:rPr>
            </w:pPr>
            <w:r>
              <w:rPr>
                <w:rFonts w:ascii="宋体" w:hAnsi="宋体"/>
                <w:color w:val="000000"/>
                <w:kern w:val="0"/>
                <w:sz w:val="24"/>
              </w:rPr>
              <w:t>公平竞争</w:t>
            </w:r>
          </w:p>
        </w:tc>
        <w:tc>
          <w:tcPr>
            <w:tcW w:w="1583" w:type="pct"/>
            <w:shd w:val="clear" w:color="000000" w:fill="FFFFFF"/>
            <w:noWrap w:val="0"/>
            <w:vAlign w:val="center"/>
          </w:tcPr>
          <w:p>
            <w:pPr>
              <w:widowControl/>
              <w:jc w:val="left"/>
              <w:rPr>
                <w:rFonts w:ascii="宋体" w:hAnsi="宋体"/>
                <w:color w:val="000000"/>
                <w:kern w:val="0"/>
                <w:sz w:val="24"/>
              </w:rPr>
            </w:pPr>
            <w:r>
              <w:rPr>
                <w:rFonts w:hint="eastAsia" w:ascii="宋体" w:hAnsi="宋体"/>
                <w:color w:val="000000"/>
                <w:kern w:val="0"/>
                <w:sz w:val="24"/>
              </w:rPr>
              <w:t>响应</w:t>
            </w:r>
            <w:r>
              <w:rPr>
                <w:rFonts w:ascii="宋体" w:hAnsi="宋体"/>
                <w:color w:val="000000"/>
                <w:sz w:val="24"/>
              </w:rPr>
              <w:t>人遵循公平竞争的原则，不存在恶意串通，妨碍其他供应商的竞争行为，不存在损害采购人或者其他</w:t>
            </w:r>
            <w:r>
              <w:rPr>
                <w:rFonts w:hint="eastAsia" w:ascii="宋体" w:hAnsi="宋体"/>
                <w:color w:val="000000"/>
                <w:kern w:val="0"/>
                <w:sz w:val="24"/>
              </w:rPr>
              <w:t>响应</w:t>
            </w:r>
            <w:r>
              <w:rPr>
                <w:rFonts w:ascii="宋体" w:hAnsi="宋体"/>
                <w:color w:val="000000"/>
                <w:sz w:val="24"/>
              </w:rPr>
              <w:t>人的合法权益情形的；</w:t>
            </w:r>
          </w:p>
        </w:tc>
        <w:tc>
          <w:tcPr>
            <w:tcW w:w="1951" w:type="pct"/>
            <w:shd w:val="clear" w:color="000000" w:fill="FFFFFF"/>
            <w:noWrap w:val="0"/>
            <w:vAlign w:val="center"/>
          </w:tcPr>
          <w:p>
            <w:pPr>
              <w:widowControl/>
              <w:jc w:val="center"/>
              <w:rPr>
                <w:color w:val="000000"/>
                <w:kern w:val="0"/>
                <w:sz w:val="24"/>
              </w:rPr>
            </w:pPr>
            <w:r>
              <w:rPr>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pPr>
              <w:widowControl/>
              <w:jc w:val="center"/>
              <w:rPr>
                <w:rFonts w:hint="eastAsia"/>
                <w:color w:val="000000"/>
                <w:kern w:val="0"/>
                <w:sz w:val="24"/>
              </w:rPr>
            </w:pPr>
            <w:r>
              <w:rPr>
                <w:rFonts w:hint="eastAsia"/>
                <w:color w:val="000000"/>
                <w:kern w:val="0"/>
                <w:sz w:val="24"/>
              </w:rPr>
              <w:t>11</w:t>
            </w:r>
          </w:p>
        </w:tc>
        <w:tc>
          <w:tcPr>
            <w:tcW w:w="921" w:type="pct"/>
            <w:shd w:val="clear" w:color="000000" w:fill="FFFFFF"/>
            <w:noWrap w:val="0"/>
            <w:vAlign w:val="center"/>
          </w:tcPr>
          <w:p>
            <w:pPr>
              <w:jc w:val="center"/>
              <w:rPr>
                <w:rFonts w:ascii="宋体" w:hAnsi="宋体" w:cs="仿宋_GB2312"/>
                <w:bCs/>
                <w:color w:val="000000"/>
                <w:sz w:val="24"/>
              </w:rPr>
            </w:pPr>
            <w:r>
              <w:rPr>
                <w:rFonts w:hint="eastAsia" w:ascii="宋体" w:hAnsi="宋体" w:cs="仿宋_GB2312"/>
                <w:color w:val="000000"/>
                <w:sz w:val="24"/>
              </w:rPr>
              <w:t>是否以</w:t>
            </w:r>
            <w:r>
              <w:rPr>
                <w:rFonts w:hint="eastAsia" w:ascii="宋体" w:hAnsi="宋体" w:cs="仿宋_GB2312"/>
                <w:bCs/>
                <w:color w:val="000000"/>
                <w:sz w:val="24"/>
              </w:rPr>
              <w:t>弄虚作假等方式参与协商过程</w:t>
            </w:r>
          </w:p>
        </w:tc>
        <w:tc>
          <w:tcPr>
            <w:tcW w:w="1583" w:type="pct"/>
            <w:shd w:val="clear" w:color="000000" w:fill="FFFFFF"/>
            <w:noWrap w:val="0"/>
            <w:vAlign w:val="center"/>
          </w:tcPr>
          <w:p>
            <w:pPr>
              <w:widowControl/>
              <w:jc w:val="left"/>
              <w:rPr>
                <w:rFonts w:ascii="宋体" w:hAnsi="宋体"/>
                <w:color w:val="000000"/>
                <w:kern w:val="0"/>
                <w:sz w:val="24"/>
              </w:rPr>
            </w:pPr>
            <w:r>
              <w:rPr>
                <w:rFonts w:hint="eastAsia" w:ascii="宋体" w:hAnsi="宋体"/>
                <w:bCs/>
                <w:color w:val="000000"/>
                <w:sz w:val="24"/>
              </w:rPr>
              <w:t>未以他人的名义参与磋商、串通磋商、以行贿手段谋取成交或者以其他弄虚作假方式协商；</w:t>
            </w:r>
          </w:p>
        </w:tc>
        <w:tc>
          <w:tcPr>
            <w:tcW w:w="1951" w:type="pct"/>
            <w:shd w:val="clear" w:color="000000" w:fill="FFFFFF"/>
            <w:noWrap w:val="0"/>
            <w:vAlign w:val="center"/>
          </w:tcPr>
          <w:p>
            <w:pPr>
              <w:widowControl/>
              <w:jc w:val="center"/>
              <w:rPr>
                <w:color w:val="000000"/>
                <w:kern w:val="0"/>
                <w:sz w:val="24"/>
              </w:rPr>
            </w:pPr>
            <w:r>
              <w:rPr>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pPr>
              <w:widowControl/>
              <w:jc w:val="center"/>
              <w:rPr>
                <w:rFonts w:hint="eastAsia"/>
                <w:color w:val="000000"/>
                <w:kern w:val="0"/>
                <w:sz w:val="24"/>
              </w:rPr>
            </w:pPr>
            <w:r>
              <w:rPr>
                <w:rFonts w:hint="eastAsia"/>
                <w:color w:val="000000"/>
                <w:kern w:val="0"/>
                <w:sz w:val="24"/>
              </w:rPr>
              <w:t>12</w:t>
            </w:r>
          </w:p>
        </w:tc>
        <w:tc>
          <w:tcPr>
            <w:tcW w:w="921" w:type="pct"/>
            <w:shd w:val="clear" w:color="000000" w:fill="FFFFFF"/>
            <w:noWrap w:val="0"/>
            <w:vAlign w:val="center"/>
          </w:tcPr>
          <w:p>
            <w:pPr>
              <w:widowControl/>
              <w:jc w:val="center"/>
              <w:rPr>
                <w:rFonts w:ascii="宋体" w:hAnsi="宋体"/>
                <w:color w:val="000000"/>
                <w:kern w:val="0"/>
                <w:sz w:val="24"/>
              </w:rPr>
            </w:pPr>
            <w:r>
              <w:rPr>
                <w:rFonts w:ascii="宋体" w:hAnsi="宋体"/>
                <w:color w:val="000000"/>
                <w:kern w:val="0"/>
                <w:sz w:val="24"/>
              </w:rPr>
              <w:t>附加条件</w:t>
            </w:r>
          </w:p>
        </w:tc>
        <w:tc>
          <w:tcPr>
            <w:tcW w:w="1583" w:type="pct"/>
            <w:shd w:val="clear" w:color="000000" w:fill="FFFFFF"/>
            <w:noWrap w:val="0"/>
            <w:vAlign w:val="center"/>
          </w:tcPr>
          <w:p>
            <w:pPr>
              <w:widowControl/>
              <w:jc w:val="left"/>
              <w:rPr>
                <w:rFonts w:ascii="宋体" w:hAnsi="宋体"/>
                <w:color w:val="000000"/>
                <w:kern w:val="0"/>
                <w:sz w:val="24"/>
              </w:rPr>
            </w:pPr>
            <w:r>
              <w:rPr>
                <w:rFonts w:hint="eastAsia" w:ascii="宋体" w:hAnsi="宋体"/>
                <w:color w:val="000000"/>
                <w:kern w:val="0"/>
                <w:sz w:val="24"/>
              </w:rPr>
              <w:t>响应</w:t>
            </w:r>
            <w:r>
              <w:rPr>
                <w:rFonts w:ascii="宋体" w:hAnsi="宋体"/>
                <w:color w:val="000000"/>
                <w:kern w:val="0"/>
                <w:sz w:val="24"/>
              </w:rPr>
              <w:t>文件</w:t>
            </w:r>
            <w:r>
              <w:rPr>
                <w:rFonts w:hint="eastAsia" w:ascii="宋体" w:hAnsi="宋体"/>
                <w:color w:val="000000"/>
                <w:kern w:val="0"/>
                <w:sz w:val="24"/>
              </w:rPr>
              <w:t>未</w:t>
            </w:r>
            <w:r>
              <w:rPr>
                <w:rFonts w:ascii="宋体" w:hAnsi="宋体"/>
                <w:color w:val="000000"/>
                <w:kern w:val="0"/>
                <w:sz w:val="24"/>
              </w:rPr>
              <w:t>含有采购人不能接受的附加条件的；</w:t>
            </w:r>
          </w:p>
        </w:tc>
        <w:tc>
          <w:tcPr>
            <w:tcW w:w="1951" w:type="pct"/>
            <w:shd w:val="clear" w:color="000000" w:fill="FFFFFF"/>
            <w:noWrap w:val="0"/>
            <w:vAlign w:val="center"/>
          </w:tcPr>
          <w:p>
            <w:pPr>
              <w:widowControl/>
              <w:jc w:val="center"/>
              <w:rPr>
                <w:color w:val="000000"/>
                <w:kern w:val="0"/>
                <w:sz w:val="24"/>
              </w:rPr>
            </w:pPr>
            <w:r>
              <w:rPr>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noWrap w:val="0"/>
            <w:vAlign w:val="center"/>
          </w:tcPr>
          <w:p>
            <w:pPr>
              <w:widowControl/>
              <w:jc w:val="center"/>
              <w:rPr>
                <w:rFonts w:hint="eastAsia"/>
                <w:color w:val="000000"/>
                <w:kern w:val="0"/>
                <w:sz w:val="24"/>
              </w:rPr>
            </w:pPr>
            <w:r>
              <w:rPr>
                <w:rFonts w:hint="eastAsia"/>
                <w:color w:val="000000"/>
                <w:kern w:val="0"/>
                <w:sz w:val="24"/>
              </w:rPr>
              <w:t>13</w:t>
            </w:r>
          </w:p>
        </w:tc>
        <w:tc>
          <w:tcPr>
            <w:tcW w:w="921" w:type="pct"/>
            <w:shd w:val="clear" w:color="000000" w:fill="FFFFFF"/>
            <w:noWrap w:val="0"/>
            <w:vAlign w:val="center"/>
          </w:tcPr>
          <w:p>
            <w:pPr>
              <w:widowControl/>
              <w:jc w:val="center"/>
              <w:rPr>
                <w:rFonts w:hint="eastAsia" w:ascii="宋体" w:hAnsi="宋体"/>
                <w:color w:val="000000"/>
                <w:kern w:val="0"/>
                <w:sz w:val="24"/>
              </w:rPr>
            </w:pPr>
            <w:r>
              <w:rPr>
                <w:rFonts w:ascii="宋体" w:hAnsi="宋体"/>
                <w:color w:val="000000"/>
                <w:kern w:val="0"/>
                <w:sz w:val="24"/>
              </w:rPr>
              <w:t>其他无效</w:t>
            </w:r>
          </w:p>
          <w:p>
            <w:pPr>
              <w:widowControl/>
              <w:jc w:val="center"/>
              <w:rPr>
                <w:rFonts w:ascii="宋体" w:hAnsi="宋体"/>
                <w:color w:val="000000"/>
                <w:kern w:val="0"/>
                <w:sz w:val="24"/>
              </w:rPr>
            </w:pPr>
            <w:r>
              <w:rPr>
                <w:rFonts w:ascii="宋体" w:hAnsi="宋体"/>
                <w:color w:val="000000"/>
                <w:kern w:val="0"/>
                <w:sz w:val="24"/>
              </w:rPr>
              <w:t>情形</w:t>
            </w:r>
          </w:p>
        </w:tc>
        <w:tc>
          <w:tcPr>
            <w:tcW w:w="1583" w:type="pct"/>
            <w:shd w:val="clear" w:color="000000" w:fill="FFFFFF"/>
            <w:noWrap w:val="0"/>
            <w:vAlign w:val="center"/>
          </w:tcPr>
          <w:p>
            <w:pPr>
              <w:widowControl/>
              <w:jc w:val="left"/>
              <w:rPr>
                <w:rFonts w:ascii="宋体" w:hAnsi="宋体"/>
                <w:color w:val="000000"/>
                <w:kern w:val="0"/>
                <w:sz w:val="24"/>
              </w:rPr>
            </w:pPr>
            <w:r>
              <w:rPr>
                <w:rFonts w:ascii="宋体" w:hAnsi="宋体"/>
                <w:color w:val="000000"/>
                <w:sz w:val="24"/>
              </w:rPr>
              <w:t>供应商、</w:t>
            </w:r>
            <w:r>
              <w:rPr>
                <w:rFonts w:hint="eastAsia" w:ascii="宋体" w:hAnsi="宋体"/>
                <w:color w:val="000000"/>
                <w:sz w:val="24"/>
              </w:rPr>
              <w:t>响应</w:t>
            </w:r>
            <w:r>
              <w:rPr>
                <w:rFonts w:ascii="宋体" w:hAnsi="宋体"/>
                <w:color w:val="000000"/>
                <w:sz w:val="24"/>
              </w:rPr>
              <w:t>文件</w:t>
            </w:r>
            <w:r>
              <w:rPr>
                <w:rFonts w:hint="eastAsia" w:ascii="宋体" w:hAnsi="宋体"/>
                <w:color w:val="000000"/>
                <w:sz w:val="24"/>
              </w:rPr>
              <w:t>不存在</w:t>
            </w:r>
            <w:r>
              <w:rPr>
                <w:rFonts w:ascii="宋体" w:hAnsi="宋体"/>
                <w:color w:val="000000"/>
                <w:sz w:val="24"/>
              </w:rPr>
              <w:t>不符合法律、法规和单一来源规定的其他无效情形。</w:t>
            </w:r>
          </w:p>
        </w:tc>
        <w:tc>
          <w:tcPr>
            <w:tcW w:w="1951" w:type="pct"/>
            <w:shd w:val="clear" w:color="000000" w:fill="FFFFFF"/>
            <w:noWrap w:val="0"/>
            <w:vAlign w:val="center"/>
          </w:tcPr>
          <w:p>
            <w:pPr>
              <w:widowControl/>
              <w:jc w:val="center"/>
              <w:rPr>
                <w:color w:val="000000"/>
                <w:kern w:val="0"/>
                <w:sz w:val="24"/>
              </w:rPr>
            </w:pPr>
            <w:r>
              <w:rPr>
                <w:color w:val="000000"/>
                <w:kern w:val="0"/>
                <w:sz w:val="24"/>
              </w:rPr>
              <w:t>允许</w:t>
            </w:r>
          </w:p>
        </w:tc>
      </w:tr>
    </w:tbl>
    <w:p>
      <w:pPr>
        <w:pStyle w:val="96"/>
        <w:widowControl/>
        <w:ind w:left="900" w:firstLine="0" w:firstLineChars="0"/>
        <w:jc w:val="left"/>
        <w:rPr>
          <w:sz w:val="24"/>
        </w:rPr>
      </w:pPr>
    </w:p>
    <w:p>
      <w:pPr>
        <w:widowControl/>
        <w:jc w:val="left"/>
        <w:rPr>
          <w:sz w:val="24"/>
        </w:rPr>
      </w:pPr>
    </w:p>
    <w:p>
      <w:pPr>
        <w:widowControl/>
        <w:jc w:val="left"/>
        <w:rPr>
          <w:sz w:val="24"/>
        </w:rPr>
      </w:pPr>
      <w:r>
        <w:rPr>
          <w:sz w:val="24"/>
        </w:rPr>
        <w:br w:type="page"/>
      </w:r>
    </w:p>
    <w:p>
      <w:pPr>
        <w:numPr>
          <w:ilvl w:val="0"/>
          <w:numId w:val="12"/>
        </w:numPr>
        <w:tabs>
          <w:tab w:val="left" w:pos="360"/>
        </w:tabs>
        <w:snapToGrid w:val="0"/>
        <w:spacing w:line="360" w:lineRule="auto"/>
        <w:outlineLvl w:val="1"/>
        <w:rPr>
          <w:sz w:val="24"/>
        </w:rPr>
      </w:pPr>
      <w:r>
        <w:rPr>
          <w:sz w:val="24"/>
        </w:rPr>
        <w:t>响应文件有关事项的澄清、说明或更正</w:t>
      </w:r>
    </w:p>
    <w:p>
      <w:pPr>
        <w:numPr>
          <w:ilvl w:val="1"/>
          <w:numId w:val="13"/>
        </w:numPr>
        <w:tabs>
          <w:tab w:val="left" w:pos="1080"/>
          <w:tab w:val="left" w:pos="2014"/>
        </w:tabs>
        <w:snapToGrid w:val="0"/>
        <w:spacing w:line="360" w:lineRule="auto"/>
        <w:ind w:left="1077" w:hanging="720"/>
        <w:rPr>
          <w:sz w:val="24"/>
        </w:rPr>
      </w:pPr>
      <w:r>
        <w:rPr>
          <w:sz w:val="24"/>
        </w:rPr>
        <w:t>单一来源采购人员在对响应文件的有效性、完整性和响应程度进行审查时，可以要求供应商作出必要的澄清、说明或者更正。</w:t>
      </w:r>
    </w:p>
    <w:p>
      <w:pPr>
        <w:numPr>
          <w:ilvl w:val="1"/>
          <w:numId w:val="13"/>
        </w:numPr>
        <w:tabs>
          <w:tab w:val="left" w:pos="1080"/>
          <w:tab w:val="left" w:pos="2014"/>
        </w:tabs>
        <w:snapToGrid w:val="0"/>
        <w:spacing w:line="360" w:lineRule="auto"/>
        <w:ind w:left="1077" w:hanging="720"/>
        <w:rPr>
          <w:sz w:val="24"/>
        </w:rPr>
      </w:pPr>
      <w:r>
        <w:rPr>
          <w:sz w:val="24"/>
        </w:rPr>
        <w:t>单一来源采购人员对响应文件进行审查，如发现供应商提交的响应文件存在不满足《资格审查要求》和《符合性审查要求》的内容，如属于表中“不允许”澄清、说明或者更正的内容，则供应商响应文件按</w:t>
      </w:r>
      <w:r>
        <w:rPr>
          <w:b/>
          <w:sz w:val="24"/>
        </w:rPr>
        <w:t>无效</w:t>
      </w:r>
      <w:r>
        <w:rPr>
          <w:sz w:val="24"/>
        </w:rPr>
        <w:t>处理；如属于表中的“允许”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b/>
          <w:sz w:val="24"/>
        </w:rPr>
        <w:t>无效</w:t>
      </w:r>
      <w:r>
        <w:rPr>
          <w:sz w:val="24"/>
        </w:rPr>
        <w:t>处理。</w:t>
      </w:r>
    </w:p>
    <w:p>
      <w:pPr>
        <w:numPr>
          <w:ilvl w:val="1"/>
          <w:numId w:val="13"/>
        </w:numPr>
        <w:tabs>
          <w:tab w:val="left" w:pos="1080"/>
          <w:tab w:val="left" w:pos="2014"/>
        </w:tabs>
        <w:snapToGrid w:val="0"/>
        <w:spacing w:line="360" w:lineRule="auto"/>
        <w:ind w:left="1077" w:hanging="720"/>
        <w:rPr>
          <w:sz w:val="24"/>
        </w:rPr>
      </w:pPr>
      <w:r>
        <w:rPr>
          <w:sz w:val="24"/>
        </w:rPr>
        <w:t>单一来源采购人员要求供应商澄清、说明或者补正响应文件应当以书面形式作出。供应商的澄清、说明或者补正应当由法定代表人（若供应商为事业单位或其他组织或分支机构，可为单位负责人）或其授权代表签字或者加盖公章。由授权代表签字的，应当附授权委托书。供应商为自然人的，应当由本人签字并附身份证明。澄清、说明或者补正文件将作为响应文件内容的一部分。</w:t>
      </w:r>
    </w:p>
    <w:p>
      <w:pPr>
        <w:numPr>
          <w:ilvl w:val="0"/>
          <w:numId w:val="12"/>
        </w:numPr>
        <w:tabs>
          <w:tab w:val="left" w:pos="360"/>
        </w:tabs>
        <w:snapToGrid w:val="0"/>
        <w:spacing w:line="360" w:lineRule="auto"/>
        <w:outlineLvl w:val="1"/>
        <w:rPr>
          <w:sz w:val="24"/>
        </w:rPr>
      </w:pPr>
      <w:r>
        <w:rPr>
          <w:sz w:val="24"/>
        </w:rPr>
        <w:t>商定合理价格</w:t>
      </w:r>
    </w:p>
    <w:p>
      <w:pPr>
        <w:pStyle w:val="96"/>
        <w:numPr>
          <w:ilvl w:val="0"/>
          <w:numId w:val="13"/>
        </w:numPr>
        <w:tabs>
          <w:tab w:val="left" w:pos="1080"/>
          <w:tab w:val="left" w:pos="5133"/>
        </w:tabs>
        <w:snapToGrid w:val="0"/>
        <w:spacing w:line="360" w:lineRule="auto"/>
        <w:ind w:firstLineChars="0"/>
        <w:rPr>
          <w:rFonts w:ascii="Times New Roman" w:hAnsi="Times New Roman"/>
          <w:vanish/>
          <w:sz w:val="24"/>
          <w:szCs w:val="24"/>
        </w:rPr>
      </w:pPr>
    </w:p>
    <w:p>
      <w:pPr>
        <w:numPr>
          <w:ilvl w:val="1"/>
          <w:numId w:val="13"/>
        </w:numPr>
        <w:tabs>
          <w:tab w:val="left" w:pos="1080"/>
          <w:tab w:val="left" w:pos="2014"/>
        </w:tabs>
        <w:snapToGrid w:val="0"/>
        <w:spacing w:line="360" w:lineRule="auto"/>
        <w:ind w:left="1077" w:hanging="720"/>
        <w:rPr>
          <w:sz w:val="24"/>
        </w:rPr>
      </w:pPr>
      <w:r>
        <w:rPr>
          <w:sz w:val="24"/>
        </w:rPr>
        <w:t>单一来源采购人员与供应商商定合理的价格并保证采购项目质量。单一来源采购人员应当编写协商情况记录。</w:t>
      </w:r>
    </w:p>
    <w:p>
      <w:pPr>
        <w:numPr>
          <w:ilvl w:val="0"/>
          <w:numId w:val="12"/>
        </w:numPr>
        <w:tabs>
          <w:tab w:val="left" w:pos="360"/>
        </w:tabs>
        <w:snapToGrid w:val="0"/>
        <w:spacing w:line="360" w:lineRule="auto"/>
        <w:outlineLvl w:val="1"/>
        <w:rPr>
          <w:sz w:val="24"/>
        </w:rPr>
      </w:pPr>
      <w:r>
        <w:rPr>
          <w:sz w:val="24"/>
        </w:rPr>
        <w:t>报告违法行为</w:t>
      </w:r>
    </w:p>
    <w:p>
      <w:pPr>
        <w:pStyle w:val="96"/>
        <w:numPr>
          <w:ilvl w:val="0"/>
          <w:numId w:val="13"/>
        </w:numPr>
        <w:tabs>
          <w:tab w:val="left" w:pos="1080"/>
          <w:tab w:val="left" w:pos="5133"/>
        </w:tabs>
        <w:snapToGrid w:val="0"/>
        <w:spacing w:line="360" w:lineRule="auto"/>
        <w:ind w:firstLineChars="0"/>
        <w:rPr>
          <w:rFonts w:ascii="Times New Roman" w:hAnsi="Times New Roman"/>
          <w:vanish/>
          <w:sz w:val="24"/>
          <w:szCs w:val="24"/>
        </w:rPr>
      </w:pPr>
    </w:p>
    <w:p>
      <w:pPr>
        <w:numPr>
          <w:ilvl w:val="1"/>
          <w:numId w:val="13"/>
        </w:numPr>
        <w:tabs>
          <w:tab w:val="left" w:pos="1080"/>
          <w:tab w:val="left" w:pos="2014"/>
        </w:tabs>
        <w:snapToGrid w:val="0"/>
        <w:spacing w:line="360" w:lineRule="auto"/>
        <w:ind w:left="1077" w:hanging="720"/>
        <w:rPr>
          <w:sz w:val="24"/>
        </w:rPr>
      </w:pPr>
      <w:r>
        <w:rPr>
          <w:sz w:val="24"/>
        </w:rPr>
        <w:t>单一来源采购人员在评审过程中发现供应商有行贿、提供虚假材料或者串通等违法行为时，有向采购人、采购代理机构或者有关部门报告的职责。</w:t>
      </w:r>
    </w:p>
    <w:p>
      <w:pPr>
        <w:tabs>
          <w:tab w:val="left" w:pos="1080"/>
          <w:tab w:val="left" w:pos="5133"/>
        </w:tabs>
        <w:snapToGrid w:val="0"/>
        <w:spacing w:line="360" w:lineRule="auto"/>
        <w:rPr>
          <w:sz w:val="24"/>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pPr>
        <w:widowControl/>
        <w:jc w:val="left"/>
        <w:rPr>
          <w:b/>
          <w:sz w:val="36"/>
          <w:szCs w:val="36"/>
        </w:rPr>
      </w:pPr>
      <w:bookmarkStart w:id="640" w:name="_Toc353825545"/>
      <w:bookmarkStart w:id="641" w:name="_Toc127151555"/>
      <w:bookmarkStart w:id="642" w:name="_Toc353873935"/>
      <w:bookmarkStart w:id="643" w:name="_Toc305158823"/>
      <w:bookmarkStart w:id="644" w:name="_Toc305158897"/>
      <w:bookmarkStart w:id="645" w:name="_Toc150774760"/>
      <w:bookmarkStart w:id="646" w:name="_Toc142311057"/>
      <w:bookmarkStart w:id="647" w:name="_Toc226337251"/>
      <w:bookmarkStart w:id="648" w:name="_Toc226965828"/>
      <w:bookmarkStart w:id="649" w:name="_Toc353873665"/>
      <w:bookmarkStart w:id="650" w:name="_Toc264969245"/>
      <w:bookmarkStart w:id="651" w:name="_Toc195842920"/>
      <w:bookmarkStart w:id="652" w:name="_Toc265228393"/>
      <w:bookmarkStart w:id="653" w:name="_Toc150480793"/>
    </w:p>
    <w:p>
      <w:pPr>
        <w:spacing w:line="360" w:lineRule="auto"/>
        <w:jc w:val="center"/>
        <w:outlineLvl w:val="0"/>
        <w:rPr>
          <w:b/>
          <w:sz w:val="36"/>
          <w:szCs w:val="36"/>
        </w:rPr>
      </w:pPr>
      <w:bookmarkStart w:id="654" w:name="_Toc99301282"/>
      <w:r>
        <w:rPr>
          <w:b/>
          <w:sz w:val="36"/>
          <w:szCs w:val="36"/>
        </w:rPr>
        <w:t>第四章   采购需求</w:t>
      </w:r>
      <w:bookmarkEnd w:id="654"/>
    </w:p>
    <w:p>
      <w:pPr>
        <w:spacing w:line="360" w:lineRule="auto"/>
        <w:contextualSpacing/>
        <w:rPr>
          <w:sz w:val="24"/>
        </w:rPr>
      </w:pPr>
    </w:p>
    <w:p>
      <w:pPr>
        <w:pStyle w:val="96"/>
        <w:keepNext w:val="0"/>
        <w:keepLines w:val="0"/>
        <w:pageBreakBefore w:val="0"/>
        <w:widowControl w:val="0"/>
        <w:numPr>
          <w:ilvl w:val="0"/>
          <w:numId w:val="14"/>
        </w:numPr>
        <w:kinsoku/>
        <w:wordWrap/>
        <w:overflowPunct/>
        <w:topLinePunct w:val="0"/>
        <w:autoSpaceDE/>
        <w:autoSpaceDN/>
        <w:bidi w:val="0"/>
        <w:adjustRightInd w:val="0"/>
        <w:snapToGrid w:val="0"/>
        <w:spacing w:line="560" w:lineRule="exact"/>
        <w:ind w:left="-60" w:leftChars="0" w:firstLine="480" w:firstLineChars="0"/>
        <w:contextualSpacing/>
        <w:textAlignment w:val="auto"/>
        <w:rPr>
          <w:rFonts w:hint="eastAsia" w:ascii="宋体" w:hAnsi="宋体" w:eastAsia="宋体" w:cs="宋体"/>
          <w:b/>
          <w:sz w:val="24"/>
          <w:szCs w:val="24"/>
        </w:rPr>
      </w:pPr>
      <w:r>
        <w:rPr>
          <w:rFonts w:hint="eastAsia" w:ascii="宋体" w:hAnsi="宋体" w:eastAsia="宋体" w:cs="宋体"/>
          <w:b/>
          <w:sz w:val="24"/>
          <w:szCs w:val="24"/>
        </w:rPr>
        <w:t>采购标的</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textAlignment w:val="auto"/>
        <w:rPr>
          <w:rFonts w:hint="eastAsia" w:ascii="宋体" w:hAnsi="宋体" w:eastAsia="宋体" w:cs="宋体"/>
          <w:bCs/>
          <w:sz w:val="24"/>
          <w:szCs w:val="24"/>
        </w:rPr>
      </w:pPr>
      <w:r>
        <w:rPr>
          <w:rFonts w:hint="eastAsia" w:ascii="宋体" w:hAnsi="宋体" w:eastAsia="宋体" w:cs="宋体"/>
          <w:bCs/>
          <w:sz w:val="24"/>
          <w:szCs w:val="24"/>
        </w:rPr>
        <w:t>1. 采购标的</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项目名称：</w:t>
      </w:r>
      <w:r>
        <w:rPr>
          <w:rFonts w:hint="eastAsia" w:ascii="宋体" w:hAnsi="宋体" w:eastAsia="宋体" w:cs="宋体"/>
          <w:bCs/>
          <w:sz w:val="24"/>
          <w:szCs w:val="24"/>
          <w:lang w:eastAsia="zh-CN"/>
        </w:rPr>
        <w:t>液化石油气政府应急储备服务</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预算金额：</w:t>
      </w:r>
      <w:r>
        <w:rPr>
          <w:rFonts w:hint="eastAsia" w:ascii="宋体" w:hAnsi="宋体" w:eastAsia="宋体" w:cs="宋体"/>
          <w:bCs/>
          <w:sz w:val="24"/>
          <w:szCs w:val="24"/>
          <w:highlight w:val="none"/>
          <w:lang w:eastAsia="zh-CN"/>
        </w:rPr>
        <w:t>年度</w:t>
      </w:r>
      <w:r>
        <w:rPr>
          <w:rFonts w:hint="eastAsia" w:ascii="宋体" w:hAnsi="宋体" w:eastAsia="宋体" w:cs="宋体"/>
          <w:bCs/>
          <w:sz w:val="24"/>
          <w:szCs w:val="24"/>
          <w:highlight w:val="none"/>
        </w:rPr>
        <w:t>委托费用</w:t>
      </w:r>
      <w:r>
        <w:rPr>
          <w:rFonts w:hint="eastAsia" w:ascii="宋体" w:hAnsi="宋体" w:eastAsia="宋体" w:cs="宋体"/>
          <w:bCs/>
          <w:sz w:val="24"/>
          <w:szCs w:val="24"/>
          <w:highlight w:val="none"/>
          <w:lang w:val="en-US" w:eastAsia="zh-CN"/>
        </w:rPr>
        <w:t>4154.275万</w:t>
      </w:r>
      <w:r>
        <w:rPr>
          <w:rFonts w:hint="eastAsia" w:ascii="宋体" w:hAnsi="宋体" w:eastAsia="宋体" w:cs="宋体"/>
          <w:bCs/>
          <w:sz w:val="24"/>
          <w:szCs w:val="24"/>
          <w:highlight w:val="none"/>
        </w:rPr>
        <w:t>元（为完成合同全部约定事项的所有费用）。</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 项目背景/项目概述</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自2008年开始，我市</w:t>
      </w:r>
      <w:r>
        <w:rPr>
          <w:rFonts w:hint="eastAsia" w:ascii="宋体" w:hAnsi="宋体" w:eastAsia="宋体" w:cs="宋体"/>
          <w:bCs/>
          <w:sz w:val="24"/>
          <w:szCs w:val="24"/>
          <w:highlight w:val="none"/>
          <w:lang w:eastAsia="zh-CN"/>
        </w:rPr>
        <w:t>开始</w:t>
      </w:r>
      <w:r>
        <w:rPr>
          <w:rFonts w:hint="eastAsia" w:ascii="宋体" w:hAnsi="宋体" w:eastAsia="宋体" w:cs="宋体"/>
          <w:bCs/>
          <w:sz w:val="24"/>
          <w:szCs w:val="24"/>
          <w:highlight w:val="none"/>
        </w:rPr>
        <w:t>建立1万吨液化石油气政府应急储备</w:t>
      </w:r>
      <w:r>
        <w:rPr>
          <w:rFonts w:hint="eastAsia" w:ascii="宋体" w:hAnsi="宋体" w:eastAsia="宋体" w:cs="宋体"/>
          <w:bCs/>
          <w:sz w:val="24"/>
          <w:szCs w:val="24"/>
          <w:highlight w:val="none"/>
          <w:lang w:eastAsia="zh-CN"/>
        </w:rPr>
        <w:t>，</w:t>
      </w:r>
      <w:r>
        <w:rPr>
          <w:rFonts w:hint="eastAsia" w:ascii="宋体" w:hAnsi="宋体" w:eastAsia="宋体" w:cs="宋体"/>
          <w:snapToGrid w:val="0"/>
          <w:kern w:val="0"/>
          <w:sz w:val="24"/>
          <w:szCs w:val="24"/>
          <w:highlight w:val="none"/>
          <w:lang w:bidi="ar"/>
        </w:rPr>
        <w:t>主要用于我市发生自然灾害、公共安全事件、恐怖袭击等突发事件时，保障本市城乡居民基本炊事用气以及医院、养老院、幼儿园、中小学校等重点用户应急用气。</w:t>
      </w:r>
      <w:r>
        <w:rPr>
          <w:rFonts w:hint="eastAsia" w:ascii="宋体" w:hAnsi="宋体" w:eastAsia="宋体" w:cs="宋体"/>
          <w:snapToGrid w:val="0"/>
          <w:kern w:val="0"/>
          <w:sz w:val="24"/>
          <w:szCs w:val="24"/>
          <w:highlight w:val="none"/>
          <w:lang w:eastAsia="zh-CN" w:bidi="ar"/>
        </w:rPr>
        <w:t>经市政府批准，</w:t>
      </w:r>
      <w:r>
        <w:rPr>
          <w:rFonts w:hint="eastAsia" w:ascii="宋体" w:hAnsi="宋体" w:eastAsia="宋体" w:cs="宋体"/>
          <w:bCs/>
          <w:sz w:val="24"/>
          <w:szCs w:val="24"/>
          <w:highlight w:val="none"/>
          <w:lang w:eastAsia="zh-CN"/>
        </w:rPr>
        <w:t>储备量自</w:t>
      </w:r>
      <w:r>
        <w:rPr>
          <w:rFonts w:hint="eastAsia" w:ascii="宋体" w:hAnsi="宋体" w:eastAsia="宋体" w:cs="宋体"/>
          <w:bCs/>
          <w:sz w:val="24"/>
          <w:szCs w:val="24"/>
          <w:highlight w:val="none"/>
          <w:lang w:val="en-US" w:eastAsia="zh-CN"/>
        </w:rPr>
        <w:t>2021年1月1日起从1万吨调减至5000吨延续至今。</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 项目内容</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textAlignment w:val="auto"/>
        <w:rPr>
          <w:rFonts w:hint="eastAsia" w:ascii="宋体" w:hAnsi="宋体" w:eastAsia="宋体" w:cs="宋体"/>
          <w:bCs/>
          <w:sz w:val="24"/>
          <w:szCs w:val="24"/>
          <w:highlight w:val="none"/>
        </w:rPr>
      </w:pPr>
      <w:r>
        <w:rPr>
          <w:rFonts w:hint="eastAsia" w:ascii="宋体" w:hAnsi="宋体" w:eastAsia="宋体" w:cs="宋体"/>
          <w:snapToGrid w:val="0"/>
          <w:kern w:val="0"/>
          <w:sz w:val="24"/>
          <w:szCs w:val="24"/>
          <w:highlight w:val="none"/>
          <w:lang w:val="en-US" w:eastAsia="zh-CN" w:bidi="ar"/>
        </w:rPr>
        <w:t>在北京市实物储存5000吨液化石油气作为</w:t>
      </w:r>
      <w:r>
        <w:rPr>
          <w:rFonts w:hint="eastAsia" w:ascii="宋体" w:hAnsi="宋体" w:eastAsia="宋体" w:cs="宋体"/>
          <w:snapToGrid w:val="0"/>
          <w:kern w:val="0"/>
          <w:sz w:val="24"/>
          <w:szCs w:val="24"/>
          <w:highlight w:val="none"/>
          <w:lang w:eastAsia="zh-CN" w:bidi="ar"/>
        </w:rPr>
        <w:t>政府应急储备，当</w:t>
      </w:r>
      <w:r>
        <w:rPr>
          <w:rFonts w:hint="eastAsia" w:ascii="宋体" w:hAnsi="宋体" w:eastAsia="宋体" w:cs="宋体"/>
          <w:snapToGrid w:val="0"/>
          <w:kern w:val="0"/>
          <w:sz w:val="24"/>
          <w:szCs w:val="24"/>
          <w:highlight w:val="none"/>
          <w:lang w:bidi="ar"/>
        </w:rPr>
        <w:t>我市发生自然灾害、公共安全事件、恐怖袭击等突发事件时，保障本市城乡居民基本炊事用气以及医院、养老院、幼儿园、中小学校等重点用户应急用气</w:t>
      </w:r>
      <w:r>
        <w:rPr>
          <w:rFonts w:hint="eastAsia" w:ascii="宋体" w:hAnsi="宋体" w:eastAsia="宋体" w:cs="宋体"/>
          <w:bCs/>
          <w:sz w:val="24"/>
          <w:szCs w:val="24"/>
          <w:highlight w:val="none"/>
        </w:rPr>
        <w:t>。</w:t>
      </w:r>
    </w:p>
    <w:p>
      <w:pPr>
        <w:pStyle w:val="96"/>
        <w:keepNext w:val="0"/>
        <w:keepLines w:val="0"/>
        <w:pageBreakBefore w:val="0"/>
        <w:widowControl w:val="0"/>
        <w:numPr>
          <w:ilvl w:val="0"/>
          <w:numId w:val="14"/>
        </w:numPr>
        <w:kinsoku/>
        <w:wordWrap/>
        <w:overflowPunct/>
        <w:topLinePunct w:val="0"/>
        <w:autoSpaceDE/>
        <w:autoSpaceDN/>
        <w:bidi w:val="0"/>
        <w:adjustRightInd w:val="0"/>
        <w:snapToGrid w:val="0"/>
        <w:spacing w:line="560" w:lineRule="exact"/>
        <w:ind w:left="-60" w:leftChars="0" w:firstLine="480" w:firstLineChars="0"/>
        <w:contextualSpacing/>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商务要求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textAlignment w:val="auto"/>
        <w:rPr>
          <w:rFonts w:hint="eastAsia" w:ascii="宋体" w:hAnsi="宋体" w:eastAsia="宋体" w:cs="宋体"/>
          <w:i/>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val="en-US" w:eastAsia="zh-CN"/>
        </w:rPr>
        <w:t>储备</w:t>
      </w:r>
      <w:r>
        <w:rPr>
          <w:rFonts w:hint="eastAsia" w:ascii="宋体" w:hAnsi="宋体" w:eastAsia="宋体" w:cs="宋体"/>
          <w:sz w:val="24"/>
          <w:szCs w:val="24"/>
          <w:highlight w:val="none"/>
        </w:rPr>
        <w:t>时间（期限）和地点（范围）</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（一）储备期限：202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月1日至202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30</w:t>
      </w:r>
      <w:r>
        <w:rPr>
          <w:rFonts w:hint="eastAsia" w:ascii="宋体" w:hAnsi="宋体" w:eastAsia="宋体" w:cs="宋体"/>
          <w:kern w:val="0"/>
          <w:sz w:val="24"/>
          <w:szCs w:val="24"/>
          <w:highlight w:val="none"/>
        </w:rPr>
        <w:t>日。</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（二）项目实施地点：北京市。</w:t>
      </w:r>
    </w:p>
    <w:p>
      <w:pPr>
        <w:keepNext w:val="0"/>
        <w:keepLines w:val="0"/>
        <w:pageBreakBefore w:val="0"/>
        <w:widowControl w:val="0"/>
        <w:numPr>
          <w:ilvl w:val="0"/>
          <w:numId w:val="15"/>
        </w:numPr>
        <w:kinsoku/>
        <w:wordWrap/>
        <w:overflowPunct/>
        <w:topLinePunct w:val="0"/>
        <w:autoSpaceDE/>
        <w:autoSpaceDN/>
        <w:bidi w:val="0"/>
        <w:adjustRightInd w:val="0"/>
        <w:snapToGrid w:val="0"/>
        <w:spacing w:line="560" w:lineRule="exact"/>
        <w:ind w:firstLine="480" w:firstLineChars="20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付款条件（进度和方式）</w:t>
      </w:r>
    </w:p>
    <w:p>
      <w:pPr>
        <w:adjustRightInd w:val="0"/>
        <w:snapToGrid w:val="0"/>
        <w:spacing w:line="560" w:lineRule="exact"/>
        <w:ind w:firstLine="480" w:firstLineChars="200"/>
        <w:rPr>
          <w:rFonts w:hint="eastAsia" w:ascii="宋体" w:hAnsi="宋体" w:eastAsia="宋体" w:cs="宋体"/>
          <w:b/>
          <w:bCs/>
          <w:snapToGrid w:val="0"/>
          <w:kern w:val="0"/>
          <w:sz w:val="24"/>
          <w:szCs w:val="24"/>
          <w:highlight w:val="none"/>
          <w:lang w:bidi="ar"/>
        </w:rPr>
      </w:pPr>
      <w:r>
        <w:rPr>
          <w:rFonts w:hint="eastAsia" w:ascii="宋体" w:hAnsi="宋体" w:eastAsia="宋体" w:cs="宋体"/>
          <w:sz w:val="24"/>
          <w:szCs w:val="24"/>
          <w:highlight w:val="none"/>
        </w:rPr>
        <w:t>合同生效后，</w:t>
      </w:r>
      <w:r>
        <w:rPr>
          <w:rFonts w:hint="eastAsia" w:ascii="宋体" w:hAnsi="宋体" w:eastAsia="宋体" w:cs="宋体"/>
          <w:sz w:val="24"/>
          <w:szCs w:val="24"/>
          <w:highlight w:val="none"/>
          <w:lang w:eastAsia="zh-CN"/>
        </w:rPr>
        <w:t>储备费用按</w:t>
      </w:r>
      <w:r>
        <w:rPr>
          <w:rFonts w:hint="eastAsia" w:ascii="宋体" w:hAnsi="宋体" w:eastAsia="宋体" w:cs="宋体"/>
          <w:snapToGrid w:val="0"/>
          <w:kern w:val="0"/>
          <w:sz w:val="24"/>
          <w:szCs w:val="24"/>
          <w:highlight w:val="none"/>
          <w:lang w:bidi="ar"/>
        </w:rPr>
        <w:t>照预拨和结算的方式进行支付</w:t>
      </w:r>
      <w:r>
        <w:rPr>
          <w:rFonts w:hint="eastAsia" w:ascii="宋体" w:hAnsi="宋体" w:eastAsia="宋体" w:cs="宋体"/>
          <w:snapToGrid w:val="0"/>
          <w:kern w:val="0"/>
          <w:sz w:val="24"/>
          <w:szCs w:val="24"/>
          <w:highlight w:val="none"/>
          <w:lang w:eastAsia="zh-CN" w:bidi="ar"/>
        </w:rPr>
        <w:t>，</w:t>
      </w:r>
      <w:r>
        <w:rPr>
          <w:rFonts w:hint="eastAsia" w:ascii="宋体" w:hAnsi="宋体" w:eastAsia="宋体" w:cs="宋体"/>
          <w:snapToGrid w:val="0"/>
          <w:kern w:val="0"/>
          <w:sz w:val="24"/>
          <w:szCs w:val="24"/>
          <w:highlight w:val="none"/>
          <w:lang w:bidi="ar"/>
        </w:rPr>
        <w:t>预拨费用为合同期内预计委托费用（</w:t>
      </w:r>
      <w:r>
        <w:rPr>
          <w:rFonts w:hint="eastAsia" w:ascii="宋体" w:hAnsi="宋体" w:eastAsia="宋体" w:cs="宋体"/>
          <w:snapToGrid w:val="0"/>
          <w:kern w:val="0"/>
          <w:sz w:val="24"/>
          <w:szCs w:val="24"/>
          <w:highlight w:val="none"/>
          <w:lang w:val="en-US" w:eastAsia="zh-CN" w:bidi="ar"/>
        </w:rPr>
        <w:t>4154.275万元</w:t>
      </w:r>
      <w:r>
        <w:rPr>
          <w:rFonts w:hint="eastAsia" w:ascii="宋体" w:hAnsi="宋体" w:eastAsia="宋体" w:cs="宋体"/>
          <w:snapToGrid w:val="0"/>
          <w:kern w:val="0"/>
          <w:sz w:val="24"/>
          <w:szCs w:val="24"/>
          <w:highlight w:val="none"/>
          <w:lang w:bidi="ar"/>
        </w:rPr>
        <w:t>）的70%，即</w:t>
      </w:r>
      <w:r>
        <w:rPr>
          <w:rFonts w:hint="eastAsia" w:ascii="宋体" w:hAnsi="宋体" w:eastAsia="宋体" w:cs="宋体"/>
          <w:snapToGrid w:val="0"/>
          <w:kern w:val="0"/>
          <w:sz w:val="24"/>
          <w:szCs w:val="24"/>
          <w:highlight w:val="none"/>
          <w:lang w:val="en-US" w:eastAsia="zh-CN" w:bidi="ar"/>
        </w:rPr>
        <w:t>2907.9925万</w:t>
      </w:r>
      <w:r>
        <w:rPr>
          <w:rFonts w:hint="eastAsia" w:ascii="宋体" w:hAnsi="宋体" w:eastAsia="宋体" w:cs="宋体"/>
          <w:snapToGrid w:val="0"/>
          <w:kern w:val="0"/>
          <w:sz w:val="24"/>
          <w:szCs w:val="24"/>
          <w:highlight w:val="none"/>
          <w:lang w:bidi="ar"/>
        </w:rPr>
        <w:t>元</w:t>
      </w:r>
      <w:r>
        <w:rPr>
          <w:rFonts w:hint="eastAsia" w:ascii="宋体" w:hAnsi="宋体" w:eastAsia="宋体" w:cs="宋体"/>
          <w:snapToGrid w:val="0"/>
          <w:kern w:val="0"/>
          <w:sz w:val="24"/>
          <w:szCs w:val="24"/>
          <w:highlight w:val="none"/>
          <w:lang w:eastAsia="zh-CN" w:bidi="ar"/>
        </w:rPr>
        <w:t>，</w:t>
      </w:r>
      <w:r>
        <w:rPr>
          <w:rFonts w:hint="eastAsia" w:ascii="宋体" w:hAnsi="宋体" w:eastAsia="宋体" w:cs="宋体"/>
          <w:snapToGrid w:val="0"/>
          <w:kern w:val="0"/>
          <w:sz w:val="24"/>
          <w:szCs w:val="24"/>
          <w:highlight w:val="none"/>
          <w:lang w:bidi="ar"/>
        </w:rPr>
        <w:t>该笔经费于合同签订之日起</w:t>
      </w:r>
      <w:r>
        <w:rPr>
          <w:rFonts w:hint="eastAsia" w:ascii="宋体" w:hAnsi="宋体" w:eastAsia="宋体" w:cs="宋体"/>
          <w:snapToGrid w:val="0"/>
          <w:kern w:val="0"/>
          <w:sz w:val="24"/>
          <w:szCs w:val="24"/>
          <w:highlight w:val="none"/>
          <w:lang w:val="en-US" w:eastAsia="zh-CN" w:bidi="ar"/>
        </w:rPr>
        <w:t>6</w:t>
      </w:r>
      <w:r>
        <w:rPr>
          <w:rFonts w:hint="eastAsia" w:ascii="宋体" w:hAnsi="宋体" w:eastAsia="宋体" w:cs="宋体"/>
          <w:snapToGrid w:val="0"/>
          <w:kern w:val="0"/>
          <w:sz w:val="24"/>
          <w:szCs w:val="24"/>
          <w:highlight w:val="none"/>
          <w:lang w:bidi="ar"/>
        </w:rPr>
        <w:t>0日内支付乙方。202</w:t>
      </w:r>
      <w:r>
        <w:rPr>
          <w:rFonts w:hint="eastAsia" w:ascii="宋体" w:hAnsi="宋体" w:eastAsia="宋体" w:cs="宋体"/>
          <w:snapToGrid w:val="0"/>
          <w:kern w:val="0"/>
          <w:sz w:val="24"/>
          <w:szCs w:val="24"/>
          <w:highlight w:val="none"/>
          <w:lang w:val="en-US" w:eastAsia="zh-CN" w:bidi="ar"/>
        </w:rPr>
        <w:t>6</w:t>
      </w:r>
      <w:r>
        <w:rPr>
          <w:rFonts w:hint="eastAsia" w:ascii="宋体" w:hAnsi="宋体" w:eastAsia="宋体" w:cs="宋体"/>
          <w:snapToGrid w:val="0"/>
          <w:kern w:val="0"/>
          <w:sz w:val="24"/>
          <w:szCs w:val="24"/>
          <w:highlight w:val="none"/>
          <w:lang w:bidi="ar"/>
        </w:rPr>
        <w:t>年</w:t>
      </w:r>
      <w:r>
        <w:rPr>
          <w:rFonts w:hint="eastAsia" w:ascii="宋体" w:hAnsi="宋体" w:eastAsia="宋体" w:cs="宋体"/>
          <w:snapToGrid w:val="0"/>
          <w:kern w:val="0"/>
          <w:sz w:val="24"/>
          <w:szCs w:val="24"/>
          <w:highlight w:val="none"/>
          <w:lang w:val="en-US" w:eastAsia="zh-CN" w:bidi="ar"/>
        </w:rPr>
        <w:t>6</w:t>
      </w:r>
      <w:r>
        <w:rPr>
          <w:rFonts w:hint="eastAsia" w:ascii="宋体" w:hAnsi="宋体" w:eastAsia="宋体" w:cs="宋体"/>
          <w:snapToGrid w:val="0"/>
          <w:kern w:val="0"/>
          <w:sz w:val="24"/>
          <w:szCs w:val="24"/>
          <w:highlight w:val="none"/>
          <w:lang w:bidi="ar"/>
        </w:rPr>
        <w:t>月</w:t>
      </w:r>
      <w:r>
        <w:rPr>
          <w:rFonts w:hint="eastAsia" w:ascii="宋体" w:hAnsi="宋体" w:eastAsia="宋体" w:cs="宋体"/>
          <w:snapToGrid w:val="0"/>
          <w:kern w:val="0"/>
          <w:sz w:val="24"/>
          <w:szCs w:val="24"/>
          <w:highlight w:val="none"/>
          <w:lang w:val="en-US" w:eastAsia="zh-CN" w:bidi="ar"/>
        </w:rPr>
        <w:t>30</w:t>
      </w:r>
      <w:r>
        <w:rPr>
          <w:rFonts w:hint="eastAsia" w:ascii="宋体" w:hAnsi="宋体" w:eastAsia="宋体" w:cs="宋体"/>
          <w:snapToGrid w:val="0"/>
          <w:kern w:val="0"/>
          <w:sz w:val="24"/>
          <w:szCs w:val="24"/>
          <w:highlight w:val="none"/>
          <w:lang w:bidi="ar"/>
        </w:rPr>
        <w:t>日委托任务完成后，按照合同第七条</w:t>
      </w:r>
      <w:r>
        <w:rPr>
          <w:rFonts w:hint="eastAsia" w:ascii="宋体" w:hAnsi="宋体" w:eastAsia="宋体" w:cs="宋体"/>
          <w:snapToGrid w:val="0"/>
          <w:kern w:val="0"/>
          <w:sz w:val="24"/>
          <w:szCs w:val="24"/>
          <w:highlight w:val="none"/>
          <w:lang w:eastAsia="zh-CN" w:bidi="ar"/>
        </w:rPr>
        <w:t>违约责任</w:t>
      </w:r>
      <w:r>
        <w:rPr>
          <w:rFonts w:hint="eastAsia" w:ascii="宋体" w:hAnsi="宋体" w:eastAsia="宋体" w:cs="宋体"/>
          <w:snapToGrid w:val="0"/>
          <w:kern w:val="0"/>
          <w:sz w:val="24"/>
          <w:szCs w:val="24"/>
          <w:highlight w:val="none"/>
          <w:lang w:bidi="ar"/>
        </w:rPr>
        <w:t>规定进行结算，并于</w:t>
      </w:r>
      <w:r>
        <w:rPr>
          <w:rFonts w:hint="eastAsia" w:ascii="宋体" w:hAnsi="宋体" w:eastAsia="宋体" w:cs="宋体"/>
          <w:snapToGrid w:val="0"/>
          <w:kern w:val="0"/>
          <w:sz w:val="24"/>
          <w:szCs w:val="24"/>
          <w:highlight w:val="none"/>
          <w:lang w:val="en-US" w:eastAsia="zh-CN" w:bidi="ar"/>
        </w:rPr>
        <w:t>2026年9月30</w:t>
      </w:r>
      <w:r>
        <w:rPr>
          <w:rFonts w:hint="eastAsia" w:ascii="宋体" w:hAnsi="宋体" w:eastAsia="宋体" w:cs="宋体"/>
          <w:snapToGrid w:val="0"/>
          <w:kern w:val="0"/>
          <w:sz w:val="24"/>
          <w:szCs w:val="24"/>
          <w:highlight w:val="none"/>
          <w:lang w:bidi="ar"/>
        </w:rPr>
        <w:t>日前支付乙方结算费用。</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如遇市财政国库结账等特殊时期，具体支付时间将根据北京市财政局有关规定执行，甲方不因此构成违约，乙方不得因此拒绝履行合同义务。</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highlight w:val="none"/>
          <w:lang w:val="en-US" w:eastAsia="zh-CN" w:bidi="ar-SA"/>
        </w:rPr>
        <w:t>甲方每次按合同约定付款前，乙方应向甲方出具等额、合法的增值税普通发票，如</w:t>
      </w:r>
      <w:r>
        <w:rPr>
          <w:rFonts w:hint="eastAsia" w:ascii="宋体" w:hAnsi="宋体" w:eastAsia="宋体" w:cs="宋体"/>
          <w:kern w:val="2"/>
          <w:sz w:val="24"/>
          <w:szCs w:val="24"/>
          <w:lang w:val="en-US" w:eastAsia="zh-CN" w:bidi="ar-SA"/>
        </w:rPr>
        <w:t>乙方未按约定出具发票的，甲方有权拒绝付款，且不承担违约责任，乙方不得因此拒绝履行合同义务。如乙方向甲方提供的发票不符合本合同约定或法律规定，因此给甲方造成的一切损失（包括但不限于损害赔偿、消除影响等）由乙方承担。</w:t>
      </w:r>
    </w:p>
    <w:p>
      <w:pPr>
        <w:pStyle w:val="96"/>
        <w:keepNext w:val="0"/>
        <w:keepLines w:val="0"/>
        <w:pageBreakBefore w:val="0"/>
        <w:widowControl w:val="0"/>
        <w:numPr>
          <w:ilvl w:val="0"/>
          <w:numId w:val="14"/>
        </w:numPr>
        <w:kinsoku/>
        <w:wordWrap/>
        <w:overflowPunct/>
        <w:topLinePunct w:val="0"/>
        <w:autoSpaceDE/>
        <w:autoSpaceDN/>
        <w:bidi w:val="0"/>
        <w:adjustRightInd w:val="0"/>
        <w:snapToGrid w:val="0"/>
        <w:spacing w:line="560" w:lineRule="exact"/>
        <w:ind w:left="-60" w:leftChars="0" w:firstLine="480" w:firstLineChars="0"/>
        <w:contextualSpacing/>
        <w:textAlignment w:val="auto"/>
        <w:rPr>
          <w:rFonts w:hint="eastAsia" w:ascii="宋体" w:hAnsi="宋体" w:eastAsia="宋体" w:cs="宋体"/>
          <w:b/>
          <w:sz w:val="24"/>
          <w:szCs w:val="24"/>
        </w:rPr>
      </w:pPr>
      <w:r>
        <w:rPr>
          <w:rFonts w:hint="eastAsia" w:ascii="宋体" w:hAnsi="宋体" w:eastAsia="宋体" w:cs="宋体"/>
          <w:b/>
          <w:sz w:val="24"/>
          <w:szCs w:val="24"/>
        </w:rPr>
        <w:t>技术要求</w:t>
      </w:r>
    </w:p>
    <w:p>
      <w:pPr>
        <w:keepNext w:val="0"/>
        <w:keepLines w:val="0"/>
        <w:pageBreakBefore w:val="0"/>
        <w:widowControl w:val="0"/>
        <w:numPr>
          <w:ilvl w:val="0"/>
          <w:numId w:val="16"/>
        </w:numPr>
        <w:kinsoku/>
        <w:wordWrap/>
        <w:overflowPunct/>
        <w:topLinePunct w:val="0"/>
        <w:autoSpaceDE/>
        <w:autoSpaceDN/>
        <w:bidi w:val="0"/>
        <w:adjustRightInd w:val="0"/>
        <w:snapToGrid w:val="0"/>
        <w:spacing w:line="56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基本要求</w:t>
      </w:r>
    </w:p>
    <w:p>
      <w:pPr>
        <w:keepNext w:val="0"/>
        <w:keepLines w:val="0"/>
        <w:pageBreakBefore w:val="0"/>
        <w:widowControl w:val="0"/>
        <w:numPr>
          <w:ilvl w:val="1"/>
          <w:numId w:val="16"/>
        </w:numPr>
        <w:kinsoku/>
        <w:wordWrap/>
        <w:overflowPunct/>
        <w:topLinePunct w:val="0"/>
        <w:autoSpaceDE/>
        <w:autoSpaceDN/>
        <w:bidi w:val="0"/>
        <w:adjustRightInd w:val="0"/>
        <w:snapToGrid w:val="0"/>
        <w:spacing w:line="56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采购标的需实现的功能或者目标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完成</w:t>
      </w:r>
      <w:r>
        <w:rPr>
          <w:rFonts w:hint="eastAsia" w:ascii="宋体" w:hAnsi="宋体" w:eastAsia="宋体" w:cs="宋体"/>
          <w:sz w:val="24"/>
          <w:szCs w:val="24"/>
          <w:lang w:val="en-US" w:eastAsia="zh-CN"/>
        </w:rPr>
        <w:t>5000</w:t>
      </w:r>
      <w:r>
        <w:rPr>
          <w:rFonts w:hint="eastAsia" w:ascii="宋体" w:hAnsi="宋体" w:eastAsia="宋体" w:cs="宋体"/>
          <w:sz w:val="24"/>
          <w:szCs w:val="24"/>
        </w:rPr>
        <w:t>吨液化气市政府应急储备任务。当我市出现液化气供应紧张、中断，发生重大自然灾害、安全生产或医疗卫生等突发事件时，按照市政府要求，及时采取动用储备、紧急调度等应急措施，优先保障全市液化石油气居民用户生活用气，医院、养老院、幼儿园、学校、机关等重点单位用气的稳定供应。</w:t>
      </w:r>
    </w:p>
    <w:p>
      <w:pPr>
        <w:keepNext w:val="0"/>
        <w:keepLines w:val="0"/>
        <w:pageBreakBefore w:val="0"/>
        <w:widowControl w:val="0"/>
        <w:numPr>
          <w:ilvl w:val="1"/>
          <w:numId w:val="16"/>
        </w:numPr>
        <w:kinsoku/>
        <w:wordWrap/>
        <w:overflowPunct/>
        <w:topLinePunct w:val="0"/>
        <w:autoSpaceDE/>
        <w:autoSpaceDN/>
        <w:bidi w:val="0"/>
        <w:adjustRightInd w:val="0"/>
        <w:snapToGrid w:val="0"/>
        <w:spacing w:line="560" w:lineRule="exact"/>
        <w:ind w:left="0" w:leftChars="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需执行的国家相关标准、行业标准、地方标准或者其他标准、规范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contextualSpacing/>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符合</w:t>
      </w:r>
      <w:r>
        <w:rPr>
          <w:rFonts w:hint="eastAsia" w:ascii="宋体" w:hAnsi="宋体" w:eastAsia="宋体" w:cs="宋体"/>
          <w:sz w:val="24"/>
          <w:szCs w:val="24"/>
        </w:rPr>
        <w:t>《中华人民共和国民法典》《城镇燃气管理条例》和《北京市燃气管理条例》等法律法规及相关规范性文件的规定</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 其他要求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在项目实际执行过程中，甲方需求如出现变化调整，经甲乙双方充分协商，可更换为乙方提供的等价值的其他服务。</w:t>
      </w:r>
    </w:p>
    <w:p>
      <w:pPr>
        <w:spacing w:line="360" w:lineRule="auto"/>
        <w:jc w:val="center"/>
        <w:outlineLvl w:val="0"/>
        <w:rPr>
          <w:b/>
          <w:sz w:val="36"/>
          <w:szCs w:val="36"/>
          <w:highlight w:val="none"/>
        </w:rPr>
      </w:pPr>
      <w:bookmarkStart w:id="655" w:name="_Toc99301283"/>
      <w:r>
        <w:rPr>
          <w:b/>
          <w:sz w:val="36"/>
          <w:szCs w:val="36"/>
        </w:rPr>
        <w:br w:type="page"/>
      </w:r>
      <w:r>
        <w:rPr>
          <w:b/>
          <w:sz w:val="36"/>
          <w:szCs w:val="36"/>
          <w:highlight w:val="none"/>
        </w:rPr>
        <w:t>第五章   合同草案条款</w:t>
      </w:r>
      <w:bookmarkEnd w:id="655"/>
    </w:p>
    <w:p>
      <w:pPr>
        <w:tabs>
          <w:tab w:val="left" w:pos="900"/>
          <w:tab w:val="left" w:pos="1080"/>
        </w:tabs>
        <w:snapToGrid w:val="0"/>
        <w:spacing w:line="360" w:lineRule="auto"/>
        <w:rPr>
          <w:kern w:val="0"/>
          <w:sz w:val="18"/>
          <w:szCs w:val="18"/>
        </w:rPr>
      </w:pPr>
    </w:p>
    <w:p>
      <w:pPr>
        <w:tabs>
          <w:tab w:val="left" w:pos="900"/>
          <w:tab w:val="left" w:pos="1080"/>
        </w:tabs>
        <w:snapToGrid w:val="0"/>
        <w:spacing w:line="360" w:lineRule="auto"/>
        <w:rPr>
          <w:kern w:val="0"/>
          <w:sz w:val="18"/>
          <w:szCs w:val="18"/>
        </w:rPr>
      </w:pPr>
    </w:p>
    <w:p>
      <w:pPr>
        <w:snapToGrid w:val="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液化石油气政府应急储备服务项目</w:t>
      </w:r>
    </w:p>
    <w:p>
      <w:pPr>
        <w:snapToGrid w:val="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委托合同书</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甲方：北京市城市管理委员会</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法定代表人：陈清</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地址：北京市西城区西单北大街80号</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联系人：</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联系人：</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p>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    为提高应急状态下的液化石油气供应保障能力，按照市政府对《北京市财政局、北京市城市管理委员会关于完善我市民用液化石油气补贴政策的请示》（京财公用〔2018〕155号）以及《北京市城市管理委员会、北京市发展和改革委员会关于调减市级液化石油气政府应急储备量的请示》（京管文〔2020〕70号）的批示精神，依据《中华人民共和国民法典》、《城镇燃气管理条例》和《北京市燃气管理条例》等法律法规及相关规范性文件的规定，经甲、乙双方充分协商，本着互惠互利的原则，就甲方委托乙方储备液化石油气的有关事宜，签订本合同。</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第一条 储备数量和质量</w:t>
      </w:r>
    </w:p>
    <w:p>
      <w:pPr>
        <w:adjustRightInd w:val="0"/>
        <w:snapToGrid w:val="0"/>
        <w:spacing w:line="5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（一）储备数量</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非调用期间，每日保持储备5000吨液化石油气；调用期间，每日不少于5000</w:t>
      </w:r>
      <w:r>
        <w:rPr>
          <w:rFonts w:hint="eastAsia" w:ascii="宋体" w:hAnsi="宋体" w:eastAsia="宋体" w:cs="宋体"/>
          <w:snapToGrid w:val="0"/>
          <w:kern w:val="0"/>
          <w:sz w:val="24"/>
          <w:szCs w:val="24"/>
          <w:lang w:bidi="ar"/>
        </w:rPr>
        <w:t>吨扣除甲方同意调用储备量后的剩余量</w:t>
      </w:r>
      <w:r>
        <w:rPr>
          <w:rFonts w:hint="eastAsia" w:ascii="宋体" w:hAnsi="宋体" w:eastAsia="宋体" w:cs="宋体"/>
          <w:sz w:val="24"/>
          <w:szCs w:val="24"/>
        </w:rPr>
        <w:t>。</w:t>
      </w:r>
    </w:p>
    <w:p>
      <w:pPr>
        <w:adjustRightInd w:val="0"/>
        <w:snapToGrid w:val="0"/>
        <w:spacing w:line="560" w:lineRule="exact"/>
        <w:ind w:firstLine="482" w:firstLineChars="200"/>
        <w:rPr>
          <w:rFonts w:hint="eastAsia" w:ascii="宋体" w:hAnsi="宋体" w:eastAsia="宋体" w:cs="宋体"/>
          <w:b/>
          <w:bCs/>
          <w:snapToGrid w:val="0"/>
          <w:kern w:val="0"/>
          <w:sz w:val="24"/>
          <w:szCs w:val="24"/>
          <w:lang w:bidi="ar"/>
        </w:rPr>
      </w:pPr>
      <w:r>
        <w:rPr>
          <w:rFonts w:hint="eastAsia" w:ascii="宋体" w:hAnsi="宋体" w:eastAsia="宋体" w:cs="宋体"/>
          <w:b/>
          <w:bCs/>
          <w:sz w:val="24"/>
          <w:szCs w:val="24"/>
        </w:rPr>
        <w:t>（二）储备质量</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符合现行国家和本市液化石油气质量相关法律法规和标准规范要求。</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第二条 储备地点</w:t>
      </w:r>
    </w:p>
    <w:p>
      <w:pPr>
        <w:adjustRightInd w:val="0"/>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第三条 储备期限</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储备期限：</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月1日至202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w:t>
      </w:r>
      <w:r>
        <w:rPr>
          <w:rFonts w:hint="eastAsia" w:ascii="宋体" w:hAnsi="宋体" w:eastAsia="宋体" w:cs="宋体"/>
          <w:sz w:val="24"/>
          <w:szCs w:val="24"/>
        </w:rPr>
        <w:t>。</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第四条 甲方的权利和义务</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1</w:t>
      </w:r>
      <w:r>
        <w:rPr>
          <w:rFonts w:hint="eastAsia" w:ascii="宋体" w:hAnsi="宋体" w:eastAsia="宋体" w:cs="宋体"/>
          <w:snapToGrid w:val="0"/>
          <w:kern w:val="0"/>
          <w:sz w:val="24"/>
          <w:szCs w:val="24"/>
          <w:lang w:eastAsia="zh-CN" w:bidi="ar"/>
        </w:rPr>
        <w:t>.</w:t>
      </w:r>
      <w:r>
        <w:rPr>
          <w:rFonts w:hint="eastAsia" w:ascii="宋体" w:hAnsi="宋体" w:eastAsia="宋体" w:cs="宋体"/>
          <w:snapToGrid w:val="0"/>
          <w:kern w:val="0"/>
          <w:sz w:val="24"/>
          <w:szCs w:val="24"/>
          <w:lang w:bidi="ar"/>
        </w:rPr>
        <w:t>甲方有权自行或组织有关单位，对乙方履行合同情况进行检查，提出整改意见。检查内容包括储备量、气质和安全运行情况等的监督检查，每半年检查不少于1次。</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val="en-US" w:eastAsia="zh-CN" w:bidi="ar"/>
        </w:rPr>
        <w:t>2.</w:t>
      </w:r>
      <w:r>
        <w:rPr>
          <w:rFonts w:hint="eastAsia" w:ascii="宋体" w:hAnsi="宋体" w:eastAsia="宋体" w:cs="宋体"/>
          <w:snapToGrid w:val="0"/>
          <w:kern w:val="0"/>
          <w:sz w:val="24"/>
          <w:szCs w:val="24"/>
          <w:lang w:bidi="ar"/>
        </w:rPr>
        <w:t>甲方有权要求乙方调用储备。</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3</w:t>
      </w:r>
      <w:r>
        <w:rPr>
          <w:rFonts w:hint="eastAsia" w:ascii="宋体" w:hAnsi="宋体" w:eastAsia="宋体" w:cs="宋体"/>
          <w:snapToGrid w:val="0"/>
          <w:kern w:val="0"/>
          <w:sz w:val="24"/>
          <w:szCs w:val="24"/>
          <w:lang w:val="en-US" w:eastAsia="zh-CN" w:bidi="ar"/>
        </w:rPr>
        <w:t>.</w:t>
      </w:r>
      <w:r>
        <w:rPr>
          <w:rFonts w:hint="eastAsia" w:ascii="宋体" w:hAnsi="宋体" w:eastAsia="宋体" w:cs="宋体"/>
          <w:snapToGrid w:val="0"/>
          <w:kern w:val="0"/>
          <w:sz w:val="24"/>
          <w:szCs w:val="24"/>
          <w:lang w:bidi="ar"/>
        </w:rPr>
        <w:t>甲方有权要求乙方提供履行合同情况的书面报告和数据。</w:t>
      </w:r>
    </w:p>
    <w:p>
      <w:pPr>
        <w:widowControl/>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val="en-US" w:eastAsia="zh-CN" w:bidi="ar"/>
        </w:rPr>
        <w:t>4.</w:t>
      </w:r>
      <w:r>
        <w:rPr>
          <w:rFonts w:hint="eastAsia" w:ascii="宋体" w:hAnsi="宋体" w:eastAsia="宋体" w:cs="宋体"/>
          <w:snapToGrid w:val="0"/>
          <w:kern w:val="0"/>
          <w:sz w:val="24"/>
          <w:szCs w:val="24"/>
          <w:lang w:bidi="ar"/>
        </w:rPr>
        <w:t>甲方应向乙方解释说明承担储备所需了解的有关情况。</w:t>
      </w:r>
    </w:p>
    <w:p>
      <w:pPr>
        <w:widowControl/>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5</w:t>
      </w:r>
      <w:r>
        <w:rPr>
          <w:rFonts w:hint="eastAsia" w:ascii="宋体" w:hAnsi="宋体" w:eastAsia="宋体" w:cs="宋体"/>
          <w:snapToGrid w:val="0"/>
          <w:kern w:val="0"/>
          <w:sz w:val="24"/>
          <w:szCs w:val="24"/>
          <w:lang w:val="en-US" w:eastAsia="zh-CN" w:bidi="ar"/>
        </w:rPr>
        <w:t>.</w:t>
      </w:r>
      <w:r>
        <w:rPr>
          <w:rFonts w:hint="eastAsia" w:ascii="宋体" w:hAnsi="宋体" w:eastAsia="宋体" w:cs="宋体"/>
          <w:snapToGrid w:val="0"/>
          <w:kern w:val="0"/>
          <w:sz w:val="24"/>
          <w:szCs w:val="24"/>
          <w:lang w:bidi="ar"/>
        </w:rPr>
        <w:t>甲方应回复乙方为确保履行合同而向甲方书面提出的有关问题。</w:t>
      </w:r>
    </w:p>
    <w:p>
      <w:pPr>
        <w:widowControl/>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val="en-US" w:eastAsia="zh-CN" w:bidi="ar"/>
        </w:rPr>
        <w:t>6.</w:t>
      </w:r>
      <w:r>
        <w:rPr>
          <w:rFonts w:hint="eastAsia" w:ascii="宋体" w:hAnsi="宋体" w:eastAsia="宋体" w:cs="宋体"/>
          <w:snapToGrid w:val="0"/>
          <w:kern w:val="0"/>
          <w:sz w:val="24"/>
          <w:szCs w:val="24"/>
          <w:lang w:bidi="ar"/>
        </w:rPr>
        <w:t>甲方应按照合同约定及时向乙方支付费用。</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第五条 乙方的权利和义务</w:t>
      </w:r>
    </w:p>
    <w:p>
      <w:pPr>
        <w:widowControl/>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val="en-US" w:eastAsia="zh-CN" w:bidi="ar"/>
        </w:rPr>
        <w:t>1.</w:t>
      </w:r>
      <w:r>
        <w:rPr>
          <w:rFonts w:hint="eastAsia" w:ascii="宋体" w:hAnsi="宋体" w:eastAsia="宋体" w:cs="宋体"/>
          <w:snapToGrid w:val="0"/>
          <w:kern w:val="0"/>
          <w:sz w:val="24"/>
          <w:szCs w:val="24"/>
          <w:lang w:bidi="ar"/>
        </w:rPr>
        <w:t>乙方有权书面要求甲方对履行合同所需了解的有关情况进行说明。</w:t>
      </w:r>
    </w:p>
    <w:p>
      <w:pPr>
        <w:widowControl/>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val="en-US" w:eastAsia="zh-CN" w:bidi="ar"/>
        </w:rPr>
        <w:t>2.</w:t>
      </w:r>
      <w:r>
        <w:rPr>
          <w:rFonts w:hint="eastAsia" w:ascii="宋体" w:hAnsi="宋体" w:eastAsia="宋体" w:cs="宋体"/>
          <w:snapToGrid w:val="0"/>
          <w:kern w:val="0"/>
          <w:sz w:val="24"/>
          <w:szCs w:val="24"/>
          <w:lang w:bidi="ar"/>
        </w:rPr>
        <w:t>乙方有权要求甲方按照合同约定支付储备费用。</w:t>
      </w:r>
    </w:p>
    <w:p>
      <w:pPr>
        <w:widowControl/>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val="en-US" w:eastAsia="zh-CN" w:bidi="ar"/>
        </w:rPr>
        <w:t>3.</w:t>
      </w:r>
      <w:r>
        <w:rPr>
          <w:rFonts w:hint="eastAsia" w:ascii="宋体" w:hAnsi="宋体" w:eastAsia="宋体" w:cs="宋体"/>
          <w:snapToGrid w:val="0"/>
          <w:kern w:val="0"/>
          <w:sz w:val="24"/>
          <w:szCs w:val="24"/>
          <w:lang w:bidi="ar"/>
        </w:rPr>
        <w:t>乙方应按照国家和本市法律法规、规范性文件及标准规范的规定，按照本合同的约定，开展日常储备工作，负责市级储备设施的运行管理；负责落实市级储备气源的采购、储存、动用和补库等工作；建立并落实储备相关管理制度和操作规程，保证储备的数量、质量和安全。</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val="en-US" w:eastAsia="zh-CN" w:bidi="ar"/>
        </w:rPr>
        <w:t>4.</w:t>
      </w:r>
      <w:r>
        <w:rPr>
          <w:rFonts w:hint="eastAsia" w:ascii="宋体" w:hAnsi="宋体" w:eastAsia="宋体" w:cs="宋体"/>
          <w:snapToGrid w:val="0"/>
          <w:kern w:val="0"/>
          <w:sz w:val="24"/>
          <w:szCs w:val="24"/>
          <w:lang w:bidi="ar"/>
        </w:rPr>
        <w:t>乙方应配合甲方对合同执行情况进行检查，并按照甲方提出的要求进行整改。</w:t>
      </w:r>
    </w:p>
    <w:p>
      <w:pPr>
        <w:widowControl/>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val="en-US" w:eastAsia="zh-CN" w:bidi="ar"/>
        </w:rPr>
        <w:t>5.</w:t>
      </w:r>
      <w:r>
        <w:rPr>
          <w:rFonts w:hint="eastAsia" w:ascii="宋体" w:hAnsi="宋体" w:eastAsia="宋体" w:cs="宋体"/>
          <w:snapToGrid w:val="0"/>
          <w:kern w:val="0"/>
          <w:sz w:val="24"/>
          <w:szCs w:val="24"/>
          <w:lang w:bidi="ar"/>
        </w:rPr>
        <w:t>乙方应按照甲方的要求储存和调用储备，未经甲方书面同意，乙方不得擅自变更储备地点，或调用储备。</w:t>
      </w:r>
    </w:p>
    <w:p>
      <w:pPr>
        <w:widowControl/>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val="en-US" w:eastAsia="zh-CN" w:bidi="ar"/>
        </w:rPr>
        <w:t>6.</w:t>
      </w:r>
      <w:r>
        <w:rPr>
          <w:rFonts w:hint="eastAsia" w:ascii="宋体" w:hAnsi="宋体" w:eastAsia="宋体" w:cs="宋体"/>
          <w:snapToGrid w:val="0"/>
          <w:kern w:val="0"/>
          <w:sz w:val="24"/>
          <w:szCs w:val="24"/>
          <w:lang w:bidi="ar"/>
        </w:rPr>
        <w:t>乙方应按甲方要求提供履行合同情况的报告和数据等。</w:t>
      </w:r>
    </w:p>
    <w:p>
      <w:pPr>
        <w:widowControl/>
        <w:adjustRightInd w:val="0"/>
        <w:snapToGrid w:val="0"/>
        <w:spacing w:line="560" w:lineRule="exact"/>
        <w:ind w:firstLine="480" w:firstLineChars="200"/>
        <w:rPr>
          <w:rStyle w:val="52"/>
          <w:rFonts w:hint="eastAsia" w:ascii="宋体" w:hAnsi="宋体" w:eastAsia="宋体" w:cs="宋体"/>
          <w:sz w:val="24"/>
          <w:szCs w:val="24"/>
        </w:rPr>
      </w:pPr>
      <w:r>
        <w:rPr>
          <w:rFonts w:hint="eastAsia" w:ascii="宋体" w:hAnsi="宋体" w:eastAsia="宋体" w:cs="宋体"/>
          <w:snapToGrid w:val="0"/>
          <w:kern w:val="0"/>
          <w:sz w:val="24"/>
          <w:szCs w:val="24"/>
          <w:lang w:val="en-US" w:eastAsia="zh-CN" w:bidi="ar"/>
        </w:rPr>
        <w:t>7.</w:t>
      </w:r>
      <w:r>
        <w:rPr>
          <w:rFonts w:hint="eastAsia" w:ascii="宋体" w:hAnsi="宋体" w:eastAsia="宋体" w:cs="宋体"/>
          <w:snapToGrid w:val="0"/>
          <w:kern w:val="0"/>
          <w:sz w:val="24"/>
          <w:szCs w:val="24"/>
          <w:lang w:bidi="ar"/>
        </w:rPr>
        <w:t>乙方应组织专业机构在企业年度审计报告中对财政拨付储备资金的使用情况及储备任务完成情况出具审计意见。</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val="en-US" w:eastAsia="zh-CN" w:bidi="ar"/>
        </w:rPr>
        <w:t>8.</w:t>
      </w:r>
      <w:r>
        <w:rPr>
          <w:rFonts w:hint="eastAsia" w:ascii="宋体" w:hAnsi="宋体" w:eastAsia="宋体" w:cs="宋体"/>
          <w:snapToGrid w:val="0"/>
          <w:kern w:val="0"/>
          <w:sz w:val="24"/>
          <w:szCs w:val="24"/>
          <w:lang w:bidi="ar"/>
        </w:rPr>
        <w:t>乙方应配合甲方或甲方委托的中介机构进行审计检查。</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z w:val="24"/>
          <w:szCs w:val="24"/>
        </w:rPr>
        <w:t xml:space="preserve">第六条 </w:t>
      </w:r>
      <w:r>
        <w:rPr>
          <w:rFonts w:hint="eastAsia" w:ascii="宋体" w:hAnsi="宋体" w:eastAsia="宋体" w:cs="宋体"/>
          <w:snapToGrid w:val="0"/>
          <w:kern w:val="0"/>
          <w:sz w:val="24"/>
          <w:szCs w:val="24"/>
          <w:lang w:bidi="ar"/>
        </w:rPr>
        <w:t>委托费用及支付方式</w:t>
      </w:r>
    </w:p>
    <w:p>
      <w:pPr>
        <w:adjustRightInd w:val="0"/>
        <w:snapToGrid w:val="0"/>
        <w:spacing w:line="560" w:lineRule="exact"/>
        <w:ind w:firstLine="482" w:firstLineChars="200"/>
        <w:rPr>
          <w:rFonts w:hint="eastAsia" w:ascii="宋体" w:hAnsi="宋体" w:eastAsia="宋体" w:cs="宋体"/>
          <w:b/>
          <w:bCs/>
          <w:snapToGrid w:val="0"/>
          <w:kern w:val="0"/>
          <w:sz w:val="24"/>
          <w:szCs w:val="24"/>
          <w:lang w:bidi="ar"/>
        </w:rPr>
      </w:pPr>
      <w:r>
        <w:rPr>
          <w:rFonts w:hint="eastAsia" w:ascii="宋体" w:hAnsi="宋体" w:eastAsia="宋体" w:cs="宋体"/>
          <w:b/>
          <w:bCs/>
          <w:snapToGrid w:val="0"/>
          <w:kern w:val="0"/>
          <w:sz w:val="24"/>
          <w:szCs w:val="24"/>
          <w:lang w:bidi="ar"/>
        </w:rPr>
        <w:t>（一）年度储备资金补助定额标准</w:t>
      </w:r>
    </w:p>
    <w:p>
      <w:pPr>
        <w:adjustRightInd w:val="0"/>
        <w:snapToGrid w:val="0"/>
        <w:spacing w:line="560" w:lineRule="exact"/>
        <w:ind w:firstLine="480" w:firstLineChars="200"/>
        <w:rPr>
          <w:rFonts w:hint="eastAsia" w:ascii="宋体" w:hAnsi="宋体" w:eastAsia="宋体" w:cs="宋体"/>
          <w:snapToGrid w:val="0"/>
          <w:kern w:val="0"/>
          <w:sz w:val="24"/>
          <w:szCs w:val="24"/>
          <w:highlight w:val="none"/>
          <w:lang w:bidi="ar"/>
        </w:rPr>
      </w:pPr>
      <w:r>
        <w:rPr>
          <w:rFonts w:hint="eastAsia" w:ascii="宋体" w:hAnsi="宋体" w:eastAsia="宋体" w:cs="宋体"/>
          <w:snapToGrid w:val="0"/>
          <w:kern w:val="0"/>
          <w:sz w:val="24"/>
          <w:szCs w:val="24"/>
          <w:highlight w:val="none"/>
          <w:lang w:bidi="ar"/>
        </w:rPr>
        <w:t>本储备期内的年度储备资金补助定额标准为：￥41,542,750.00元（人民币肆仟壹佰伍拾肆万贰仟柒佰伍拾元整）。</w:t>
      </w:r>
    </w:p>
    <w:p>
      <w:pPr>
        <w:adjustRightInd w:val="0"/>
        <w:snapToGrid w:val="0"/>
        <w:spacing w:line="560" w:lineRule="exact"/>
        <w:ind w:firstLine="482" w:firstLineChars="200"/>
        <w:rPr>
          <w:rFonts w:hint="eastAsia" w:ascii="宋体" w:hAnsi="宋体" w:eastAsia="宋体" w:cs="宋体"/>
          <w:b/>
          <w:bCs/>
          <w:snapToGrid w:val="0"/>
          <w:kern w:val="0"/>
          <w:sz w:val="24"/>
          <w:szCs w:val="24"/>
          <w:highlight w:val="none"/>
          <w:lang w:bidi="ar"/>
        </w:rPr>
      </w:pPr>
      <w:r>
        <w:rPr>
          <w:rFonts w:hint="eastAsia" w:ascii="宋体" w:hAnsi="宋体" w:eastAsia="宋体" w:cs="宋体"/>
          <w:b/>
          <w:bCs/>
          <w:snapToGrid w:val="0"/>
          <w:kern w:val="0"/>
          <w:sz w:val="24"/>
          <w:szCs w:val="24"/>
          <w:highlight w:val="none"/>
          <w:lang w:bidi="ar"/>
        </w:rPr>
        <w:t>（二）委托费用及支付方式</w:t>
      </w:r>
    </w:p>
    <w:p>
      <w:pPr>
        <w:adjustRightInd w:val="0"/>
        <w:snapToGrid w:val="0"/>
        <w:spacing w:line="560" w:lineRule="exact"/>
        <w:ind w:firstLine="480" w:firstLineChars="200"/>
        <w:rPr>
          <w:rFonts w:hint="eastAsia" w:ascii="宋体" w:hAnsi="宋体" w:eastAsia="宋体" w:cs="宋体"/>
          <w:snapToGrid w:val="0"/>
          <w:kern w:val="0"/>
          <w:sz w:val="24"/>
          <w:szCs w:val="24"/>
          <w:highlight w:val="none"/>
          <w:lang w:bidi="ar"/>
        </w:rPr>
      </w:pPr>
      <w:r>
        <w:rPr>
          <w:rFonts w:hint="eastAsia" w:ascii="宋体" w:hAnsi="宋体" w:eastAsia="宋体" w:cs="宋体"/>
          <w:snapToGrid w:val="0"/>
          <w:kern w:val="0"/>
          <w:sz w:val="24"/>
          <w:szCs w:val="24"/>
          <w:highlight w:val="none"/>
          <w:lang w:bidi="ar"/>
        </w:rPr>
        <w:t>本合同执行期限内，预计委托费用按照年度储备资金补助定额标准执行。</w:t>
      </w:r>
      <w:r>
        <w:rPr>
          <w:rFonts w:hint="eastAsia" w:ascii="宋体" w:hAnsi="宋体" w:eastAsia="宋体" w:cs="宋体"/>
          <w:snapToGrid w:val="0"/>
          <w:kern w:val="0"/>
          <w:sz w:val="24"/>
          <w:szCs w:val="24"/>
          <w:highlight w:val="none"/>
          <w:lang w:val="en-US" w:eastAsia="zh-CN" w:bidi="ar"/>
        </w:rPr>
        <w:t>储备期限为</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月1日至202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日，预计委托费用</w:t>
      </w:r>
      <w:r>
        <w:rPr>
          <w:rFonts w:hint="eastAsia" w:ascii="宋体" w:hAnsi="宋体" w:eastAsia="宋体" w:cs="宋体"/>
          <w:snapToGrid w:val="0"/>
          <w:kern w:val="0"/>
          <w:sz w:val="24"/>
          <w:szCs w:val="24"/>
          <w:highlight w:val="none"/>
          <w:lang w:bidi="ar"/>
        </w:rPr>
        <w:t>￥41,542,750.00元（为完成合同全部约定事项的所有费用），实际按照预拨和结算的方式进行支付。</w:t>
      </w:r>
    </w:p>
    <w:p>
      <w:pPr>
        <w:adjustRightInd w:val="0"/>
        <w:snapToGrid w:val="0"/>
        <w:spacing w:line="560" w:lineRule="exact"/>
        <w:ind w:firstLine="480" w:firstLineChars="200"/>
        <w:rPr>
          <w:rFonts w:hint="eastAsia" w:ascii="宋体" w:hAnsi="宋体" w:eastAsia="宋体" w:cs="宋体"/>
          <w:b/>
          <w:bCs/>
          <w:snapToGrid w:val="0"/>
          <w:kern w:val="0"/>
          <w:sz w:val="24"/>
          <w:szCs w:val="24"/>
          <w:highlight w:val="none"/>
          <w:lang w:bidi="ar"/>
        </w:rPr>
      </w:pPr>
      <w:r>
        <w:rPr>
          <w:rFonts w:hint="eastAsia" w:ascii="宋体" w:hAnsi="宋体" w:eastAsia="宋体" w:cs="宋体"/>
          <w:snapToGrid w:val="0"/>
          <w:kern w:val="0"/>
          <w:sz w:val="24"/>
          <w:szCs w:val="24"/>
          <w:highlight w:val="none"/>
          <w:lang w:bidi="ar"/>
        </w:rPr>
        <w:t>预拨费用为合同期内预计委托费用（￥41,542,750.00元）的70%，即￥</w:t>
      </w:r>
      <w:r>
        <w:rPr>
          <w:rFonts w:hint="eastAsia" w:ascii="宋体" w:hAnsi="宋体" w:eastAsia="宋体" w:cs="宋体"/>
          <w:snapToGrid w:val="0"/>
          <w:kern w:val="0"/>
          <w:sz w:val="24"/>
          <w:szCs w:val="24"/>
          <w:highlight w:val="none"/>
          <w:lang w:val="en-US" w:eastAsia="zh-CN" w:bidi="ar"/>
        </w:rPr>
        <w:t>29</w:t>
      </w:r>
      <w:r>
        <w:rPr>
          <w:rFonts w:hint="eastAsia" w:ascii="宋体" w:hAnsi="宋体" w:eastAsia="宋体" w:cs="宋体"/>
          <w:snapToGrid w:val="0"/>
          <w:kern w:val="0"/>
          <w:sz w:val="24"/>
          <w:szCs w:val="24"/>
          <w:highlight w:val="none"/>
          <w:lang w:bidi="ar"/>
        </w:rPr>
        <w:t>,</w:t>
      </w:r>
      <w:r>
        <w:rPr>
          <w:rFonts w:hint="eastAsia" w:ascii="宋体" w:hAnsi="宋体" w:eastAsia="宋体" w:cs="宋体"/>
          <w:snapToGrid w:val="0"/>
          <w:kern w:val="0"/>
          <w:sz w:val="24"/>
          <w:szCs w:val="24"/>
          <w:highlight w:val="none"/>
          <w:lang w:val="en-US" w:eastAsia="zh-CN" w:bidi="ar"/>
        </w:rPr>
        <w:t>079</w:t>
      </w:r>
      <w:r>
        <w:rPr>
          <w:rFonts w:hint="eastAsia" w:ascii="宋体" w:hAnsi="宋体" w:eastAsia="宋体" w:cs="宋体"/>
          <w:snapToGrid w:val="0"/>
          <w:kern w:val="0"/>
          <w:sz w:val="24"/>
          <w:szCs w:val="24"/>
          <w:highlight w:val="none"/>
          <w:lang w:bidi="ar"/>
        </w:rPr>
        <w:t>,</w:t>
      </w:r>
      <w:r>
        <w:rPr>
          <w:rFonts w:hint="eastAsia" w:ascii="宋体" w:hAnsi="宋体" w:eastAsia="宋体" w:cs="宋体"/>
          <w:snapToGrid w:val="0"/>
          <w:kern w:val="0"/>
          <w:sz w:val="24"/>
          <w:szCs w:val="24"/>
          <w:highlight w:val="none"/>
          <w:lang w:val="en-US" w:eastAsia="zh-CN" w:bidi="ar"/>
        </w:rPr>
        <w:t>925.00</w:t>
      </w:r>
      <w:r>
        <w:rPr>
          <w:rFonts w:hint="eastAsia" w:ascii="宋体" w:hAnsi="宋体" w:eastAsia="宋体" w:cs="宋体"/>
          <w:snapToGrid w:val="0"/>
          <w:kern w:val="0"/>
          <w:sz w:val="24"/>
          <w:szCs w:val="24"/>
          <w:highlight w:val="none"/>
          <w:lang w:bidi="ar"/>
        </w:rPr>
        <w:t>元（人民币</w:t>
      </w:r>
      <w:r>
        <w:rPr>
          <w:rFonts w:hint="eastAsia" w:ascii="宋体" w:hAnsi="宋体" w:eastAsia="宋体" w:cs="宋体"/>
          <w:snapToGrid w:val="0"/>
          <w:kern w:val="0"/>
          <w:sz w:val="24"/>
          <w:szCs w:val="24"/>
          <w:highlight w:val="none"/>
          <w:lang w:eastAsia="zh-CN" w:bidi="ar"/>
        </w:rPr>
        <w:t>贰仟玖佰零柒</w:t>
      </w:r>
      <w:r>
        <w:rPr>
          <w:rFonts w:hint="eastAsia" w:ascii="宋体" w:hAnsi="宋体" w:eastAsia="宋体" w:cs="宋体"/>
          <w:snapToGrid w:val="0"/>
          <w:kern w:val="0"/>
          <w:sz w:val="24"/>
          <w:szCs w:val="24"/>
          <w:highlight w:val="none"/>
          <w:lang w:bidi="ar"/>
        </w:rPr>
        <w:t>万玖仟</w:t>
      </w:r>
      <w:r>
        <w:rPr>
          <w:rFonts w:hint="eastAsia" w:ascii="宋体" w:hAnsi="宋体" w:eastAsia="宋体" w:cs="宋体"/>
          <w:snapToGrid w:val="0"/>
          <w:kern w:val="0"/>
          <w:sz w:val="24"/>
          <w:szCs w:val="24"/>
          <w:highlight w:val="none"/>
          <w:lang w:eastAsia="zh-CN" w:bidi="ar"/>
        </w:rPr>
        <w:t>玖</w:t>
      </w:r>
      <w:r>
        <w:rPr>
          <w:rFonts w:hint="eastAsia" w:ascii="宋体" w:hAnsi="宋体" w:eastAsia="宋体" w:cs="宋体"/>
          <w:snapToGrid w:val="0"/>
          <w:kern w:val="0"/>
          <w:sz w:val="24"/>
          <w:szCs w:val="24"/>
          <w:highlight w:val="none"/>
          <w:lang w:bidi="ar"/>
        </w:rPr>
        <w:t>佰</w:t>
      </w:r>
      <w:r>
        <w:rPr>
          <w:rFonts w:hint="eastAsia" w:ascii="宋体" w:hAnsi="宋体" w:eastAsia="宋体" w:cs="宋体"/>
          <w:snapToGrid w:val="0"/>
          <w:kern w:val="0"/>
          <w:sz w:val="24"/>
          <w:szCs w:val="24"/>
          <w:highlight w:val="none"/>
          <w:lang w:eastAsia="zh-CN" w:bidi="ar"/>
        </w:rPr>
        <w:t>贰拾伍元</w:t>
      </w:r>
      <w:r>
        <w:rPr>
          <w:rFonts w:hint="eastAsia" w:ascii="宋体" w:hAnsi="宋体" w:eastAsia="宋体" w:cs="宋体"/>
          <w:snapToGrid w:val="0"/>
          <w:kern w:val="0"/>
          <w:sz w:val="24"/>
          <w:szCs w:val="24"/>
          <w:highlight w:val="none"/>
          <w:lang w:bidi="ar"/>
        </w:rPr>
        <w:t>整）。该笔经费于本合同签订之日起</w:t>
      </w:r>
      <w:r>
        <w:rPr>
          <w:rFonts w:hint="eastAsia" w:ascii="宋体" w:hAnsi="宋体" w:eastAsia="宋体" w:cs="宋体"/>
          <w:snapToGrid w:val="0"/>
          <w:kern w:val="0"/>
          <w:sz w:val="24"/>
          <w:szCs w:val="24"/>
          <w:highlight w:val="none"/>
          <w:lang w:val="en-US" w:eastAsia="zh-CN" w:bidi="ar"/>
        </w:rPr>
        <w:t>6</w:t>
      </w:r>
      <w:r>
        <w:rPr>
          <w:rFonts w:hint="eastAsia" w:ascii="宋体" w:hAnsi="宋体" w:eastAsia="宋体" w:cs="宋体"/>
          <w:snapToGrid w:val="0"/>
          <w:kern w:val="0"/>
          <w:sz w:val="24"/>
          <w:szCs w:val="24"/>
          <w:highlight w:val="none"/>
          <w:lang w:bidi="ar"/>
        </w:rPr>
        <w:t>0日内支付乙方。202</w:t>
      </w:r>
      <w:r>
        <w:rPr>
          <w:rFonts w:hint="eastAsia" w:ascii="宋体" w:hAnsi="宋体" w:eastAsia="宋体" w:cs="宋体"/>
          <w:snapToGrid w:val="0"/>
          <w:kern w:val="0"/>
          <w:sz w:val="24"/>
          <w:szCs w:val="24"/>
          <w:highlight w:val="none"/>
          <w:lang w:val="en-US" w:eastAsia="zh-CN" w:bidi="ar"/>
        </w:rPr>
        <w:t>6</w:t>
      </w:r>
      <w:r>
        <w:rPr>
          <w:rFonts w:hint="eastAsia" w:ascii="宋体" w:hAnsi="宋体" w:eastAsia="宋体" w:cs="宋体"/>
          <w:snapToGrid w:val="0"/>
          <w:kern w:val="0"/>
          <w:sz w:val="24"/>
          <w:szCs w:val="24"/>
          <w:highlight w:val="none"/>
          <w:lang w:bidi="ar"/>
        </w:rPr>
        <w:t>年</w:t>
      </w:r>
      <w:r>
        <w:rPr>
          <w:rFonts w:hint="eastAsia" w:ascii="宋体" w:hAnsi="宋体" w:eastAsia="宋体" w:cs="宋体"/>
          <w:snapToGrid w:val="0"/>
          <w:kern w:val="0"/>
          <w:sz w:val="24"/>
          <w:szCs w:val="24"/>
          <w:highlight w:val="none"/>
          <w:lang w:val="en-US" w:eastAsia="zh-CN" w:bidi="ar"/>
        </w:rPr>
        <w:t>6</w:t>
      </w:r>
      <w:r>
        <w:rPr>
          <w:rFonts w:hint="eastAsia" w:ascii="宋体" w:hAnsi="宋体" w:eastAsia="宋体" w:cs="宋体"/>
          <w:snapToGrid w:val="0"/>
          <w:kern w:val="0"/>
          <w:sz w:val="24"/>
          <w:szCs w:val="24"/>
          <w:highlight w:val="none"/>
          <w:lang w:bidi="ar"/>
        </w:rPr>
        <w:t>月</w:t>
      </w:r>
      <w:r>
        <w:rPr>
          <w:rFonts w:hint="eastAsia" w:ascii="宋体" w:hAnsi="宋体" w:eastAsia="宋体" w:cs="宋体"/>
          <w:snapToGrid w:val="0"/>
          <w:kern w:val="0"/>
          <w:sz w:val="24"/>
          <w:szCs w:val="24"/>
          <w:highlight w:val="none"/>
          <w:lang w:val="en-US" w:eastAsia="zh-CN" w:bidi="ar"/>
        </w:rPr>
        <w:t>30</w:t>
      </w:r>
      <w:r>
        <w:rPr>
          <w:rFonts w:hint="eastAsia" w:ascii="宋体" w:hAnsi="宋体" w:eastAsia="宋体" w:cs="宋体"/>
          <w:snapToGrid w:val="0"/>
          <w:kern w:val="0"/>
          <w:sz w:val="24"/>
          <w:szCs w:val="24"/>
          <w:highlight w:val="none"/>
          <w:lang w:bidi="ar"/>
        </w:rPr>
        <w:t>日委托任务完成后，按照本合同第七条</w:t>
      </w:r>
      <w:r>
        <w:rPr>
          <w:rFonts w:hint="eastAsia" w:ascii="宋体" w:hAnsi="宋体" w:eastAsia="宋体" w:cs="宋体"/>
          <w:snapToGrid w:val="0"/>
          <w:kern w:val="0"/>
          <w:sz w:val="24"/>
          <w:szCs w:val="24"/>
          <w:highlight w:val="none"/>
          <w:lang w:eastAsia="zh-CN" w:bidi="ar"/>
        </w:rPr>
        <w:t>违约责任</w:t>
      </w:r>
      <w:r>
        <w:rPr>
          <w:rFonts w:hint="eastAsia" w:ascii="宋体" w:hAnsi="宋体" w:eastAsia="宋体" w:cs="宋体"/>
          <w:snapToGrid w:val="0"/>
          <w:kern w:val="0"/>
          <w:sz w:val="24"/>
          <w:szCs w:val="24"/>
          <w:highlight w:val="none"/>
          <w:lang w:bidi="ar"/>
        </w:rPr>
        <w:t>规定进行结算，并于</w:t>
      </w:r>
      <w:r>
        <w:rPr>
          <w:rFonts w:hint="eastAsia" w:ascii="宋体" w:hAnsi="宋体" w:eastAsia="宋体" w:cs="宋体"/>
          <w:snapToGrid w:val="0"/>
          <w:kern w:val="0"/>
          <w:sz w:val="24"/>
          <w:szCs w:val="24"/>
          <w:highlight w:val="none"/>
          <w:lang w:val="en-US" w:eastAsia="zh-CN" w:bidi="ar"/>
        </w:rPr>
        <w:t>2026年9月30</w:t>
      </w:r>
      <w:r>
        <w:rPr>
          <w:rFonts w:hint="eastAsia" w:ascii="宋体" w:hAnsi="宋体" w:eastAsia="宋体" w:cs="宋体"/>
          <w:snapToGrid w:val="0"/>
          <w:kern w:val="0"/>
          <w:sz w:val="24"/>
          <w:szCs w:val="24"/>
          <w:highlight w:val="none"/>
          <w:lang w:bidi="ar"/>
        </w:rPr>
        <w:t>日前支付乙方结算费用。</w:t>
      </w:r>
    </w:p>
    <w:p>
      <w:pPr>
        <w:adjustRightInd w:val="0"/>
        <w:snapToGrid w:val="0"/>
        <w:spacing w:line="560" w:lineRule="exact"/>
        <w:ind w:firstLine="482" w:firstLineChars="200"/>
        <w:rPr>
          <w:rFonts w:hint="eastAsia" w:ascii="宋体" w:hAnsi="宋体" w:eastAsia="宋体" w:cs="宋体"/>
          <w:b/>
          <w:bCs/>
          <w:snapToGrid w:val="0"/>
          <w:kern w:val="0"/>
          <w:sz w:val="24"/>
          <w:szCs w:val="24"/>
          <w:lang w:bidi="ar"/>
        </w:rPr>
      </w:pPr>
      <w:r>
        <w:rPr>
          <w:rFonts w:hint="eastAsia" w:ascii="宋体" w:hAnsi="宋体" w:eastAsia="宋体" w:cs="宋体"/>
          <w:b/>
          <w:bCs/>
          <w:snapToGrid w:val="0"/>
          <w:kern w:val="0"/>
          <w:sz w:val="24"/>
          <w:szCs w:val="24"/>
          <w:lang w:eastAsia="zh-CN" w:bidi="ar"/>
        </w:rPr>
        <w:t>（三）</w:t>
      </w:r>
      <w:r>
        <w:rPr>
          <w:rFonts w:hint="eastAsia" w:ascii="宋体" w:hAnsi="宋体" w:eastAsia="宋体" w:cs="宋体"/>
          <w:b/>
          <w:bCs/>
          <w:snapToGrid w:val="0"/>
          <w:kern w:val="0"/>
          <w:sz w:val="24"/>
          <w:szCs w:val="24"/>
          <w:lang w:bidi="ar"/>
        </w:rPr>
        <w:t>发票</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甲方每次按合同约定付款前，乙方应向甲方出具等额、合法的增值税普通发票，如乙方未按约定出具发票的，甲方有权拒绝付款，且不承担违约责任，乙方不得因此拒绝履行合同义务。</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如乙方向甲方提供的发票不符合本合同约定或法律规定，因此给甲方造成的一切损失（包括但不限于损害赔偿、消除影响等）由乙方承担。</w:t>
      </w:r>
    </w:p>
    <w:p>
      <w:pPr>
        <w:adjustRightInd w:val="0"/>
        <w:snapToGrid w:val="0"/>
        <w:spacing w:line="560" w:lineRule="exact"/>
        <w:ind w:firstLine="482" w:firstLineChars="200"/>
        <w:rPr>
          <w:rFonts w:hint="eastAsia" w:ascii="宋体" w:hAnsi="宋体" w:eastAsia="宋体" w:cs="宋体"/>
          <w:b/>
          <w:bCs/>
          <w:snapToGrid w:val="0"/>
          <w:kern w:val="0"/>
          <w:sz w:val="24"/>
          <w:szCs w:val="24"/>
          <w:lang w:bidi="ar"/>
        </w:rPr>
      </w:pPr>
      <w:r>
        <w:rPr>
          <w:rFonts w:hint="eastAsia" w:ascii="宋体" w:hAnsi="宋体" w:eastAsia="宋体" w:cs="宋体"/>
          <w:b/>
          <w:bCs/>
          <w:snapToGrid w:val="0"/>
          <w:kern w:val="0"/>
          <w:sz w:val="24"/>
          <w:szCs w:val="24"/>
          <w:lang w:eastAsia="zh-CN" w:bidi="ar"/>
        </w:rPr>
        <w:t>（四）</w:t>
      </w:r>
      <w:r>
        <w:rPr>
          <w:rFonts w:hint="eastAsia" w:ascii="宋体" w:hAnsi="宋体" w:eastAsia="宋体" w:cs="宋体"/>
          <w:b/>
          <w:bCs/>
          <w:snapToGrid w:val="0"/>
          <w:kern w:val="0"/>
          <w:sz w:val="24"/>
          <w:szCs w:val="24"/>
          <w:lang w:bidi="ar"/>
        </w:rPr>
        <w:t>财政支付特殊情况</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委托费用支付时，如遇市财政国库结账等特殊时期，具体支付时间将根据北京市财政局有关规定执行，甲方不因此构成违约，乙方不得因此拒绝履行合同义务。</w:t>
      </w:r>
    </w:p>
    <w:p>
      <w:pPr>
        <w:adjustRightInd w:val="0"/>
        <w:snapToGrid w:val="0"/>
        <w:spacing w:line="560" w:lineRule="exact"/>
        <w:ind w:firstLine="482" w:firstLineChars="200"/>
        <w:rPr>
          <w:rFonts w:hint="eastAsia" w:ascii="宋体" w:hAnsi="宋体" w:eastAsia="宋体" w:cs="宋体"/>
          <w:b/>
          <w:bCs/>
          <w:snapToGrid w:val="0"/>
          <w:kern w:val="0"/>
          <w:sz w:val="24"/>
          <w:szCs w:val="24"/>
          <w:lang w:bidi="ar"/>
        </w:rPr>
      </w:pPr>
      <w:r>
        <w:rPr>
          <w:rFonts w:hint="eastAsia" w:ascii="宋体" w:hAnsi="宋体" w:eastAsia="宋体" w:cs="宋体"/>
          <w:b/>
          <w:bCs/>
          <w:snapToGrid w:val="0"/>
          <w:kern w:val="0"/>
          <w:sz w:val="24"/>
          <w:szCs w:val="24"/>
          <w:lang w:eastAsia="zh-CN" w:bidi="ar"/>
        </w:rPr>
        <w:t>（五）</w:t>
      </w:r>
      <w:r>
        <w:rPr>
          <w:rFonts w:hint="eastAsia" w:ascii="宋体" w:hAnsi="宋体" w:eastAsia="宋体" w:cs="宋体"/>
          <w:b/>
          <w:bCs/>
          <w:snapToGrid w:val="0"/>
          <w:kern w:val="0"/>
          <w:sz w:val="24"/>
          <w:szCs w:val="24"/>
          <w:lang w:bidi="ar"/>
        </w:rPr>
        <w:t>服务终止</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如果由于无法预见的原因（包括但不限于不可抗力、情势变更、政策调整等），致使项目未实施前本合同所涉及的服务终止，乙方应退还甲方预付的全部委托费用。如项目实施过程中终止，双方应就本合同已履行部分对应的费用进行结算，结算事宜另行协商。</w:t>
      </w:r>
    </w:p>
    <w:p>
      <w:pPr>
        <w:adjustRightInd w:val="0"/>
        <w:snapToGrid w:val="0"/>
        <w:spacing w:line="560" w:lineRule="exact"/>
        <w:ind w:firstLine="482" w:firstLineChars="200"/>
        <w:rPr>
          <w:rFonts w:hint="eastAsia" w:ascii="宋体" w:hAnsi="宋体" w:eastAsia="宋体" w:cs="宋体"/>
          <w:b/>
          <w:bCs/>
          <w:snapToGrid w:val="0"/>
          <w:kern w:val="0"/>
          <w:sz w:val="24"/>
          <w:szCs w:val="24"/>
          <w:lang w:bidi="ar"/>
        </w:rPr>
      </w:pPr>
      <w:r>
        <w:rPr>
          <w:rFonts w:hint="eastAsia" w:ascii="宋体" w:hAnsi="宋体" w:eastAsia="宋体" w:cs="宋体"/>
          <w:b/>
          <w:bCs/>
          <w:snapToGrid w:val="0"/>
          <w:kern w:val="0"/>
          <w:sz w:val="24"/>
          <w:szCs w:val="24"/>
          <w:lang w:eastAsia="zh-CN" w:bidi="ar"/>
        </w:rPr>
        <w:t>（六）</w:t>
      </w:r>
      <w:r>
        <w:rPr>
          <w:rFonts w:hint="eastAsia" w:ascii="宋体" w:hAnsi="宋体" w:eastAsia="宋体" w:cs="宋体"/>
          <w:b/>
          <w:bCs/>
          <w:snapToGrid w:val="0"/>
          <w:kern w:val="0"/>
          <w:sz w:val="24"/>
          <w:szCs w:val="24"/>
          <w:lang w:bidi="ar"/>
        </w:rPr>
        <w:t>乙方账户信息</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开户银行：</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 xml:space="preserve">账户名称： </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 xml:space="preserve">账　　号： </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乙方上述信息变更的，应及时书面通知甲方，否则甲方按照上述银行账户付款的，视为甲方已履行付款义务，由此造成的损失由乙方自行承担。如在合同期限内该账号注销或其他因乙方原因导致甲方无法进行支付的，不视为甲方违约，由此造成的损失由乙方自行承担。</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第七条  违约责任</w:t>
      </w:r>
    </w:p>
    <w:p>
      <w:pPr>
        <w:adjustRightInd w:val="0"/>
        <w:snapToGrid w:val="0"/>
        <w:spacing w:line="560" w:lineRule="exact"/>
        <w:ind w:firstLine="482" w:firstLineChars="200"/>
        <w:rPr>
          <w:rFonts w:hint="eastAsia" w:ascii="宋体" w:hAnsi="宋体" w:eastAsia="宋体" w:cs="宋体"/>
          <w:b/>
          <w:bCs/>
          <w:snapToGrid w:val="0"/>
          <w:kern w:val="0"/>
          <w:sz w:val="24"/>
          <w:szCs w:val="24"/>
          <w:lang w:bidi="ar"/>
        </w:rPr>
      </w:pPr>
      <w:r>
        <w:rPr>
          <w:rFonts w:hint="eastAsia" w:ascii="宋体" w:hAnsi="宋体" w:eastAsia="宋体" w:cs="宋体"/>
          <w:b/>
          <w:bCs/>
          <w:snapToGrid w:val="0"/>
          <w:kern w:val="0"/>
          <w:sz w:val="24"/>
          <w:szCs w:val="24"/>
          <w:lang w:bidi="ar"/>
        </w:rPr>
        <w:t>（一）储备数量不合格</w:t>
      </w:r>
    </w:p>
    <w:p>
      <w:pPr>
        <w:adjustRightInd w:val="0"/>
        <w:snapToGrid w:val="0"/>
        <w:spacing w:line="560" w:lineRule="exact"/>
        <w:ind w:firstLine="482" w:firstLineChars="200"/>
        <w:rPr>
          <w:rFonts w:hint="eastAsia" w:ascii="宋体" w:hAnsi="宋体" w:eastAsia="宋体" w:cs="宋体"/>
          <w:b/>
          <w:bCs/>
          <w:snapToGrid w:val="0"/>
          <w:kern w:val="0"/>
          <w:sz w:val="24"/>
          <w:szCs w:val="24"/>
          <w:lang w:bidi="ar"/>
        </w:rPr>
      </w:pPr>
      <w:r>
        <w:rPr>
          <w:rFonts w:hint="eastAsia" w:ascii="宋体" w:hAnsi="宋体" w:eastAsia="宋体" w:cs="宋体"/>
          <w:b/>
          <w:bCs/>
          <w:snapToGrid w:val="0"/>
          <w:kern w:val="0"/>
          <w:sz w:val="24"/>
          <w:szCs w:val="24"/>
          <w:lang w:bidi="ar"/>
        </w:rPr>
        <w:t>乙方未按合同约定保证储备数量时，按如下方法扣除经费：</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val="en-US" w:eastAsia="zh-CN" w:bidi="ar"/>
        </w:rPr>
        <w:t>1.</w:t>
      </w:r>
      <w:r>
        <w:rPr>
          <w:rFonts w:hint="eastAsia" w:ascii="宋体" w:hAnsi="宋体" w:eastAsia="宋体" w:cs="宋体"/>
          <w:snapToGrid w:val="0"/>
          <w:kern w:val="0"/>
          <w:sz w:val="24"/>
          <w:szCs w:val="24"/>
          <w:lang w:bidi="ar"/>
        </w:rPr>
        <w:t>非调用期内，若当日实际储备数量低于应储备数量的，当日应核减费用=（5000吨-当日实际政府储备量）／5000吨×年度储备资金补助定额标准／365。</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val="en-US" w:eastAsia="zh-CN" w:bidi="ar"/>
        </w:rPr>
        <w:t>2.</w:t>
      </w:r>
      <w:r>
        <w:rPr>
          <w:rFonts w:hint="eastAsia" w:ascii="宋体" w:hAnsi="宋体" w:eastAsia="宋体" w:cs="宋体"/>
          <w:snapToGrid w:val="0"/>
          <w:kern w:val="0"/>
          <w:sz w:val="24"/>
          <w:szCs w:val="24"/>
          <w:lang w:bidi="ar"/>
        </w:rPr>
        <w:t>调用期内，若当日实际储备数量低于应储备数量的，当日核减费用=[（5000吨-经甲方同意调用的储备量）-当日实际政府储备量]／5000吨×年度储备资金补助定额标准／365。</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val="en-US" w:eastAsia="zh-CN" w:bidi="ar"/>
        </w:rPr>
        <w:t>3.</w:t>
      </w:r>
      <w:r>
        <w:rPr>
          <w:rFonts w:hint="eastAsia" w:ascii="宋体" w:hAnsi="宋体" w:eastAsia="宋体" w:cs="宋体"/>
          <w:snapToGrid w:val="0"/>
          <w:kern w:val="0"/>
          <w:sz w:val="24"/>
          <w:szCs w:val="24"/>
          <w:lang w:bidi="ar"/>
        </w:rPr>
        <w:t>如因设备检修、借用部分政府应急储备量等乙方提出需要降低库存的情况，虽经甲方批准，但因未满足政府应急储备的数量要求，因此还应扣除相应的利润与辅助成本2.45元/吨（本储备期内评审认定的单位利润为2.07元，辅助储备成本为0.36元，销项税金为0.02元）。当日扣除费用计算方法如下：</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如当日储备量高于甲方批复的储备量，扣除费用=（5000吨-当日实际政府储备量）×2.45；</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如当日储备量低于或等于甲方批复的储备量，扣除费用=（5000吨-甲方批复的储备量）×2.45。</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4、储备期内因储备数量不足而总计应核减的费用为以上核减费用和扣除费用的总和。</w:t>
      </w:r>
    </w:p>
    <w:p>
      <w:pPr>
        <w:adjustRightInd w:val="0"/>
        <w:snapToGrid w:val="0"/>
        <w:spacing w:line="560" w:lineRule="exact"/>
        <w:ind w:firstLine="482" w:firstLineChars="200"/>
        <w:rPr>
          <w:rFonts w:hint="eastAsia" w:ascii="宋体" w:hAnsi="宋体" w:eastAsia="宋体" w:cs="宋体"/>
          <w:b/>
          <w:bCs/>
          <w:snapToGrid w:val="0"/>
          <w:kern w:val="0"/>
          <w:sz w:val="24"/>
          <w:szCs w:val="24"/>
          <w:lang w:bidi="ar"/>
        </w:rPr>
      </w:pPr>
      <w:r>
        <w:rPr>
          <w:rFonts w:hint="eastAsia" w:ascii="宋体" w:hAnsi="宋体" w:eastAsia="宋体" w:cs="宋体"/>
          <w:b/>
          <w:bCs/>
          <w:snapToGrid w:val="0"/>
          <w:kern w:val="0"/>
          <w:sz w:val="24"/>
          <w:szCs w:val="24"/>
          <w:lang w:bidi="ar"/>
        </w:rPr>
        <w:t>（二）储备质量不合格</w:t>
      </w:r>
    </w:p>
    <w:p>
      <w:pPr>
        <w:adjustRightInd w:val="0"/>
        <w:snapToGrid w:val="0"/>
        <w:spacing w:line="560" w:lineRule="exact"/>
        <w:ind w:firstLine="482" w:firstLineChars="200"/>
        <w:rPr>
          <w:rFonts w:hint="eastAsia" w:ascii="宋体" w:hAnsi="宋体" w:eastAsia="宋体" w:cs="宋体"/>
          <w:b/>
          <w:bCs/>
          <w:snapToGrid w:val="0"/>
          <w:kern w:val="0"/>
          <w:sz w:val="24"/>
          <w:szCs w:val="24"/>
          <w:lang w:bidi="ar"/>
        </w:rPr>
      </w:pPr>
      <w:r>
        <w:rPr>
          <w:rFonts w:hint="eastAsia" w:ascii="宋体" w:hAnsi="宋体" w:eastAsia="宋体" w:cs="宋体"/>
          <w:b/>
          <w:bCs/>
          <w:snapToGrid w:val="0"/>
          <w:kern w:val="0"/>
          <w:sz w:val="24"/>
          <w:szCs w:val="24"/>
          <w:lang w:bidi="ar"/>
        </w:rPr>
        <w:t>乙方未按合同保证储备质量时，按如下方法扣除经费：</w:t>
      </w:r>
    </w:p>
    <w:p>
      <w:pPr>
        <w:adjustRightInd w:val="0"/>
        <w:snapToGrid w:val="0"/>
        <w:spacing w:line="560" w:lineRule="exact"/>
        <w:ind w:firstLine="64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若当日气质不合格，当日核减费用=当日不合格液化石油气重量（即：当日不合格气质所在储罐的全部液化石油气重量）／5000吨×年度储备资金补助定额标准／365；</w:t>
      </w:r>
    </w:p>
    <w:p>
      <w:pPr>
        <w:adjustRightInd w:val="0"/>
        <w:snapToGrid w:val="0"/>
        <w:spacing w:line="560" w:lineRule="exact"/>
        <w:ind w:firstLine="64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储备期内因储备气质不合格而总计应核减的费用为因每日气质不合格而核减费用的总和。</w:t>
      </w:r>
    </w:p>
    <w:p>
      <w:pPr>
        <w:adjustRightInd w:val="0"/>
        <w:snapToGrid w:val="0"/>
        <w:spacing w:line="560" w:lineRule="exact"/>
        <w:ind w:firstLine="482" w:firstLineChars="200"/>
        <w:rPr>
          <w:rFonts w:hint="eastAsia" w:ascii="宋体" w:hAnsi="宋体" w:eastAsia="宋体" w:cs="宋体"/>
          <w:b/>
          <w:bCs/>
          <w:snapToGrid w:val="0"/>
          <w:kern w:val="0"/>
          <w:sz w:val="24"/>
          <w:szCs w:val="24"/>
          <w:lang w:bidi="ar"/>
        </w:rPr>
      </w:pPr>
      <w:r>
        <w:rPr>
          <w:rFonts w:hint="eastAsia" w:ascii="宋体" w:hAnsi="宋体" w:eastAsia="宋体" w:cs="宋体"/>
          <w:b/>
          <w:bCs/>
          <w:snapToGrid w:val="0"/>
          <w:kern w:val="0"/>
          <w:sz w:val="24"/>
          <w:szCs w:val="24"/>
          <w:lang w:bidi="ar"/>
        </w:rPr>
        <w:t>（三）一般性违约处理</w:t>
      </w:r>
    </w:p>
    <w:p>
      <w:pPr>
        <w:adjustRightInd w:val="0"/>
        <w:snapToGrid w:val="0"/>
        <w:spacing w:line="560" w:lineRule="exact"/>
        <w:ind w:firstLine="640" w:firstLineChars="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除未保证储备数量和质量外，乙方违反合同约定的其他义务的（除合同另有约定外），乙方应按甲方要求时限进行整改。</w:t>
      </w:r>
    </w:p>
    <w:p>
      <w:pPr>
        <w:adjustRightInd w:val="0"/>
        <w:snapToGrid w:val="0"/>
        <w:spacing w:line="560" w:lineRule="exact"/>
        <w:ind w:firstLine="640" w:firstLineChars="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乙方未按时完成整改的，每延迟一日，应向甲方支付违约金，违约金按年度储备资金补助定额标准的</w:t>
      </w:r>
      <w:r>
        <w:rPr>
          <w:rStyle w:val="52"/>
          <w:rFonts w:hint="eastAsia" w:ascii="宋体" w:hAnsi="宋体" w:eastAsia="宋体" w:cs="宋体"/>
          <w:snapToGrid w:val="0"/>
          <w:kern w:val="0"/>
          <w:sz w:val="24"/>
          <w:szCs w:val="24"/>
          <w:lang w:bidi="ar"/>
        </w:rPr>
        <w:t>5‰</w:t>
      </w:r>
      <w:r>
        <w:rPr>
          <w:rFonts w:hint="eastAsia" w:ascii="宋体" w:hAnsi="宋体" w:eastAsia="宋体" w:cs="宋体"/>
          <w:snapToGrid w:val="0"/>
          <w:kern w:val="0"/>
          <w:sz w:val="24"/>
          <w:szCs w:val="24"/>
          <w:lang w:bidi="ar"/>
        </w:rPr>
        <w:t>计算；延迟达15日，甲方有权解除本合同，乙方除支付相应的违约金外，还应退还未履行义务部分的甲方已预付的全部款项；违约金不足以弥补甲方损失的，乙方应予补足。</w:t>
      </w:r>
    </w:p>
    <w:p>
      <w:pPr>
        <w:adjustRightInd w:val="0"/>
        <w:snapToGrid w:val="0"/>
        <w:spacing w:line="560" w:lineRule="exact"/>
        <w:ind w:firstLine="482" w:firstLineChars="200"/>
        <w:rPr>
          <w:rFonts w:hint="eastAsia" w:ascii="宋体" w:hAnsi="宋体" w:eastAsia="宋体" w:cs="宋体"/>
          <w:b/>
          <w:bCs/>
          <w:snapToGrid w:val="0"/>
          <w:kern w:val="0"/>
          <w:sz w:val="24"/>
          <w:szCs w:val="24"/>
          <w:lang w:bidi="ar"/>
        </w:rPr>
      </w:pPr>
      <w:r>
        <w:rPr>
          <w:rFonts w:hint="eastAsia" w:ascii="宋体" w:hAnsi="宋体" w:eastAsia="宋体" w:cs="宋体"/>
          <w:b/>
          <w:bCs/>
          <w:snapToGrid w:val="0"/>
          <w:kern w:val="0"/>
          <w:sz w:val="24"/>
          <w:szCs w:val="24"/>
          <w:lang w:bidi="ar"/>
        </w:rPr>
        <w:t>（四）侵犯第三人合法权益处理</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乙方应保证其提交给甲方的工作成果及提供的服务不侵犯任何第三人的合法权益。因乙方违反本条约定给甲方造成损失的，乙方负责赔偿。并且，乙方应向甲方支付年度储备资金补助定额标准1%的违约金。甲方有权从应付款中进行扣除，违约金不足以弥补甲方损失的，乙方应予补足。同时，甲方有权解除本合同，乙方应退还未履行义务部分的甲方已预付的全部款项。</w:t>
      </w:r>
    </w:p>
    <w:p>
      <w:pPr>
        <w:adjustRightInd w:val="0"/>
        <w:snapToGrid w:val="0"/>
        <w:spacing w:line="560" w:lineRule="exact"/>
        <w:ind w:firstLine="482" w:firstLineChars="200"/>
        <w:rPr>
          <w:rFonts w:hint="eastAsia" w:ascii="宋体" w:hAnsi="宋体" w:eastAsia="宋体" w:cs="宋体"/>
          <w:b/>
          <w:bCs/>
          <w:snapToGrid w:val="0"/>
          <w:kern w:val="0"/>
          <w:sz w:val="24"/>
          <w:szCs w:val="24"/>
          <w:lang w:bidi="ar"/>
        </w:rPr>
      </w:pPr>
      <w:r>
        <w:rPr>
          <w:rFonts w:hint="eastAsia" w:ascii="宋体" w:hAnsi="宋体" w:eastAsia="宋体" w:cs="宋体"/>
          <w:b/>
          <w:bCs/>
          <w:snapToGrid w:val="0"/>
          <w:kern w:val="0"/>
          <w:sz w:val="24"/>
          <w:szCs w:val="24"/>
          <w:lang w:bidi="ar"/>
        </w:rPr>
        <w:t>（五）不具有相关资质或资质有瑕疵</w:t>
      </w:r>
    </w:p>
    <w:p>
      <w:pPr>
        <w:adjustRightInd w:val="0"/>
        <w:snapToGrid w:val="0"/>
        <w:spacing w:line="560" w:lineRule="exact"/>
        <w:ind w:firstLine="480" w:firstLineChars="200"/>
        <w:rPr>
          <w:rFonts w:hint="eastAsia" w:ascii="宋体" w:hAnsi="宋体" w:eastAsia="宋体" w:cs="宋体"/>
          <w:snapToGrid w:val="0"/>
          <w:kern w:val="0"/>
          <w:sz w:val="24"/>
          <w:szCs w:val="24"/>
          <w:highlight w:val="yellow"/>
          <w:lang w:bidi="ar"/>
        </w:rPr>
      </w:pPr>
      <w:r>
        <w:rPr>
          <w:rFonts w:hint="eastAsia" w:ascii="宋体" w:hAnsi="宋体" w:eastAsia="宋体" w:cs="宋体"/>
          <w:snapToGrid w:val="0"/>
          <w:kern w:val="0"/>
          <w:sz w:val="24"/>
          <w:szCs w:val="24"/>
          <w:lang w:bidi="ar"/>
        </w:rPr>
        <w:t>乙方应保证具有履行本合同的资质，否则应向甲方支付年度储备资金补助定额标准</w:t>
      </w:r>
      <w:r>
        <w:rPr>
          <w:rStyle w:val="52"/>
          <w:rFonts w:hint="eastAsia" w:ascii="宋体" w:hAnsi="宋体" w:eastAsia="宋体" w:cs="宋体"/>
          <w:snapToGrid w:val="0"/>
          <w:kern w:val="0"/>
          <w:sz w:val="24"/>
          <w:szCs w:val="24"/>
          <w:highlight w:val="none"/>
          <w:lang w:bidi="ar"/>
        </w:rPr>
        <w:t>5‰</w:t>
      </w:r>
      <w:r>
        <w:rPr>
          <w:rFonts w:hint="eastAsia" w:ascii="宋体" w:hAnsi="宋体" w:eastAsia="宋体" w:cs="宋体"/>
          <w:snapToGrid w:val="0"/>
          <w:kern w:val="0"/>
          <w:sz w:val="24"/>
          <w:szCs w:val="24"/>
          <w:lang w:bidi="ar"/>
        </w:rPr>
        <w:t>的违约金。同时，甲方有权解除本合同，乙方应退还未履行义务部分的甲方已预付的全部款项。</w:t>
      </w:r>
    </w:p>
    <w:p>
      <w:pPr>
        <w:adjustRightInd w:val="0"/>
        <w:snapToGrid w:val="0"/>
        <w:spacing w:line="560" w:lineRule="exact"/>
        <w:ind w:firstLine="482" w:firstLineChars="200"/>
        <w:rPr>
          <w:rFonts w:hint="eastAsia" w:ascii="宋体" w:hAnsi="宋体" w:eastAsia="宋体" w:cs="宋体"/>
          <w:b/>
          <w:bCs/>
          <w:snapToGrid w:val="0"/>
          <w:kern w:val="0"/>
          <w:sz w:val="24"/>
          <w:szCs w:val="24"/>
          <w:lang w:bidi="ar"/>
        </w:rPr>
      </w:pPr>
      <w:r>
        <w:rPr>
          <w:rFonts w:hint="eastAsia" w:ascii="宋体" w:hAnsi="宋体" w:eastAsia="宋体" w:cs="宋体"/>
          <w:b/>
          <w:bCs/>
          <w:snapToGrid w:val="0"/>
          <w:kern w:val="0"/>
          <w:sz w:val="24"/>
          <w:szCs w:val="24"/>
          <w:lang w:bidi="ar"/>
        </w:rPr>
        <w:t>（六）转让权利和义务</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未经甲方书面同意，乙方不得将本合同项下的权利和/或义务转让给第三方，否则所得收益归甲方所有，且乙方还应向甲方支付年度储备资金补助定额标准</w:t>
      </w:r>
      <w:r>
        <w:rPr>
          <w:rStyle w:val="52"/>
          <w:rFonts w:hint="eastAsia" w:ascii="宋体" w:hAnsi="宋体" w:eastAsia="宋体" w:cs="宋体"/>
          <w:snapToGrid w:val="0"/>
          <w:kern w:val="0"/>
          <w:sz w:val="24"/>
          <w:szCs w:val="24"/>
          <w:highlight w:val="none"/>
          <w:lang w:bidi="ar"/>
        </w:rPr>
        <w:t>5‰</w:t>
      </w:r>
      <w:r>
        <w:rPr>
          <w:rFonts w:hint="eastAsia" w:ascii="宋体" w:hAnsi="宋体" w:eastAsia="宋体" w:cs="宋体"/>
          <w:snapToGrid w:val="0"/>
          <w:kern w:val="0"/>
          <w:sz w:val="24"/>
          <w:szCs w:val="24"/>
          <w:lang w:bidi="ar"/>
        </w:rPr>
        <w:t>的违约金。同时，甲方有权解除本合同，乙方应退还未履行义务部分的甲方已预付的全部款项。</w:t>
      </w:r>
    </w:p>
    <w:p>
      <w:pPr>
        <w:adjustRightInd w:val="0"/>
        <w:snapToGrid w:val="0"/>
        <w:spacing w:line="560" w:lineRule="exact"/>
        <w:ind w:firstLine="482" w:firstLineChars="200"/>
        <w:rPr>
          <w:rFonts w:hint="eastAsia" w:ascii="宋体" w:hAnsi="宋体" w:eastAsia="宋体" w:cs="宋体"/>
          <w:b/>
          <w:bCs/>
          <w:snapToGrid w:val="0"/>
          <w:kern w:val="0"/>
          <w:sz w:val="24"/>
          <w:szCs w:val="24"/>
          <w:lang w:bidi="ar"/>
        </w:rPr>
      </w:pPr>
      <w:r>
        <w:rPr>
          <w:rFonts w:hint="eastAsia" w:ascii="宋体" w:hAnsi="宋体" w:eastAsia="宋体" w:cs="宋体"/>
          <w:b/>
          <w:bCs/>
          <w:snapToGrid w:val="0"/>
          <w:kern w:val="0"/>
          <w:sz w:val="24"/>
          <w:szCs w:val="24"/>
          <w:lang w:bidi="ar"/>
        </w:rPr>
        <w:t>（七）甲方损失</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乙方基于本合同约定应向甲方支付的违约金不足以弥补甲方损失的,乙方应予以补足。本本合同所称甲方损失，包括但不限于甲方直接经济利益的减损、可得利益损失、甲方支付的调查取证费、公证费、评估费、鉴定费、审计费、诉讼费、仲裁费、保全费、保全担保费或保全担保保险费、律师代理费、咨询费、执行费、差旅费以及甲方向第三方支付的赔偿款、向行政机关缴纳的罚款等全部损失及费用。</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第八条 不可抗力</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val="en-US" w:eastAsia="zh-CN" w:bidi="ar"/>
        </w:rPr>
        <w:t>1.</w:t>
      </w:r>
      <w:r>
        <w:rPr>
          <w:rFonts w:hint="eastAsia" w:ascii="宋体" w:hAnsi="宋体" w:eastAsia="宋体" w:cs="宋体"/>
          <w:snapToGrid w:val="0"/>
          <w:kern w:val="0"/>
          <w:sz w:val="24"/>
          <w:szCs w:val="24"/>
          <w:lang w:bidi="ar"/>
        </w:rPr>
        <w:t>在履行合同中因发生不可抗力，造成合同部分或全部不能履行，甲乙双方均不承担违约责任。</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不可抗力包括：</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（1）自然灾害（地震、洪水、水灾、台风、雷击等）；</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（2）由于适用法律的变更或任何</w:t>
      </w:r>
      <w:r>
        <w:rPr>
          <w:rFonts w:hint="eastAsia" w:ascii="宋体" w:hAnsi="宋体" w:eastAsia="宋体" w:cs="宋体"/>
          <w:snapToGrid w:val="0"/>
          <w:kern w:val="0"/>
          <w:sz w:val="24"/>
          <w:szCs w:val="24"/>
          <w:lang w:val="en-US" w:eastAsia="zh-CN" w:bidi="ar"/>
        </w:rPr>
        <w:t>适用</w:t>
      </w:r>
      <w:r>
        <w:rPr>
          <w:rFonts w:hint="eastAsia" w:ascii="宋体" w:hAnsi="宋体" w:eastAsia="宋体" w:cs="宋体"/>
          <w:snapToGrid w:val="0"/>
          <w:kern w:val="0"/>
          <w:sz w:val="24"/>
          <w:szCs w:val="24"/>
          <w:lang w:bidi="ar"/>
        </w:rPr>
        <w:t>的后继法规的颁布导致本合同的履行不再合法；</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（3）政策性调整；</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（4）其他合同双方一致认可的属于不可抗力的事件。</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val="en-US" w:eastAsia="zh-CN" w:bidi="ar"/>
        </w:rPr>
        <w:t>2.</w:t>
      </w:r>
      <w:r>
        <w:rPr>
          <w:rFonts w:hint="eastAsia" w:ascii="宋体" w:hAnsi="宋体" w:eastAsia="宋体" w:cs="宋体"/>
          <w:snapToGrid w:val="0"/>
          <w:kern w:val="0"/>
          <w:sz w:val="24"/>
          <w:szCs w:val="24"/>
          <w:lang w:bidi="ar"/>
        </w:rPr>
        <w:t>有不可抗力事件发生，受其影响的一方应立刻将所发生的不可抗力情况以书面形式通知另一方，并在7个工作日内将有权机关出具的证明文件提交另一方认可。</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val="en-US" w:eastAsia="zh-CN" w:bidi="ar"/>
        </w:rPr>
        <w:t>3.</w:t>
      </w:r>
      <w:r>
        <w:rPr>
          <w:rFonts w:hint="eastAsia" w:ascii="宋体" w:hAnsi="宋体" w:eastAsia="宋体" w:cs="宋体"/>
          <w:snapToGrid w:val="0"/>
          <w:kern w:val="0"/>
          <w:sz w:val="24"/>
          <w:szCs w:val="24"/>
          <w:lang w:bidi="ar"/>
        </w:rPr>
        <w:t>发生不可抗力的，双方应积极采取措施避免损失的进一步扩大，否则须就损失扩大的部分承担赔偿责任。一方延迟履行期间发生不可抗力的，不免除责任。</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第九条 争议解决</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与本合同有关的一切纠纷，双方应首先本着相互谅解、信任、平等互利的原则充分协商，解决争议。如协商不成，应向甲方住所地有管辖权的人民法院起诉。在协商和诉讼过程中，乙方应保证储备工作的正常进行。</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第十条 合同效力及其他</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1.本合同一式陆份，甲乙双方各执叁份，具有同等法律效力。</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2.本合同自双方法定代表人或其授权代表签字并加盖公章之日起生效。</w:t>
      </w:r>
    </w:p>
    <w:p>
      <w:pPr>
        <w:adjustRightInd w:val="0"/>
        <w:snapToGrid w:val="0"/>
        <w:spacing w:line="560" w:lineRule="exact"/>
        <w:ind w:firstLine="480" w:firstLineChars="200"/>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bidi="ar"/>
        </w:rPr>
        <w:t>3.根据本合同需要发出的全部通知，均须采取书面形式按照本合同文首的地址发出，该地址同样适用于人民法院第一审程序、第二审程序、执行程序等诉讼程序。任何一方上述地址及约定的联系人、联系方式发生变更的，应当及时书面通知另一方。如果因接受方原因（包括但不限于接受方相关信息变更未及时通知、无人签收或拒收等）导致通知发送失败，则发送方按照上述地址以寄送方式送达的书面文件，寄送后第3个工作日视为送达。</w:t>
      </w:r>
    </w:p>
    <w:p>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（以下无正文）</w:t>
      </w:r>
    </w:p>
    <w:p>
      <w:pPr>
        <w:adjustRightInd w:val="0"/>
        <w:snapToGrid w:val="0"/>
        <w:spacing w:line="560" w:lineRule="exact"/>
        <w:rPr>
          <w:rFonts w:hint="eastAsia" w:ascii="宋体" w:hAnsi="宋体" w:eastAsia="宋体" w:cs="宋体"/>
          <w:sz w:val="24"/>
          <w:szCs w:val="24"/>
        </w:rPr>
      </w:pPr>
    </w:p>
    <w:p>
      <w:pPr>
        <w:adjustRightInd w:val="0"/>
        <w:snapToGrid w:val="0"/>
        <w:spacing w:line="560" w:lineRule="exact"/>
        <w:rPr>
          <w:rFonts w:hint="eastAsia" w:ascii="宋体" w:hAnsi="宋体" w:eastAsia="宋体" w:cs="宋体"/>
          <w:sz w:val="24"/>
          <w:szCs w:val="24"/>
        </w:rPr>
      </w:pPr>
    </w:p>
    <w:p>
      <w:pPr>
        <w:adjustRightInd w:val="0"/>
        <w:snapToGrid w:val="0"/>
        <w:spacing w:line="560" w:lineRule="exact"/>
        <w:rPr>
          <w:rFonts w:hint="eastAsia" w:ascii="宋体" w:hAnsi="宋体" w:eastAsia="宋体" w:cs="宋体"/>
          <w:sz w:val="24"/>
          <w:szCs w:val="24"/>
        </w:rPr>
      </w:pPr>
    </w:p>
    <w:p>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甲方:北京市城市管理委员会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乙方: </w:t>
      </w:r>
    </w:p>
    <w:p>
      <w:pPr>
        <w:adjustRightInd w:val="0"/>
        <w:snapToGrid w:val="0"/>
        <w:spacing w:line="560" w:lineRule="exact"/>
        <w:ind w:firstLine="480" w:firstLineChars="200"/>
        <w:jc w:val="left"/>
        <w:rPr>
          <w:rFonts w:hint="eastAsia" w:ascii="宋体" w:hAnsi="宋体" w:eastAsia="宋体" w:cs="宋体"/>
          <w:sz w:val="24"/>
          <w:szCs w:val="24"/>
        </w:rPr>
      </w:pPr>
    </w:p>
    <w:p>
      <w:pPr>
        <w:adjustRightInd w:val="0"/>
        <w:snapToGrid w:val="0"/>
        <w:spacing w:line="560" w:lineRule="exact"/>
        <w:rPr>
          <w:rFonts w:hint="eastAsia" w:ascii="宋体" w:hAnsi="宋体" w:eastAsia="宋体" w:cs="宋体"/>
          <w:sz w:val="24"/>
          <w:szCs w:val="24"/>
        </w:rPr>
      </w:pPr>
      <w:r>
        <w:rPr>
          <w:rFonts w:hint="eastAsia" w:ascii="宋体" w:hAnsi="宋体" w:eastAsia="宋体" w:cs="宋体"/>
          <w:sz w:val="24"/>
          <w:szCs w:val="24"/>
        </w:rPr>
        <w:t>法定代表人或授权代表（签字）：           法定代表人或授权代表（签字）：</w:t>
      </w:r>
    </w:p>
    <w:p>
      <w:pPr>
        <w:adjustRightInd w:val="0"/>
        <w:snapToGrid w:val="0"/>
        <w:spacing w:line="560" w:lineRule="exact"/>
        <w:jc w:val="left"/>
        <w:rPr>
          <w:rFonts w:hint="eastAsia" w:ascii="宋体" w:hAnsi="宋体" w:eastAsia="宋体" w:cs="宋体"/>
          <w:sz w:val="24"/>
          <w:szCs w:val="24"/>
        </w:rPr>
      </w:pPr>
    </w:p>
    <w:p>
      <w:pPr>
        <w:widowControl/>
        <w:jc w:val="left"/>
        <w:rPr>
          <w:b/>
          <w:sz w:val="36"/>
          <w:szCs w:val="36"/>
        </w:rPr>
      </w:pPr>
      <w:r>
        <w:rPr>
          <w:rFonts w:hint="eastAsia" w:ascii="宋体" w:hAnsi="宋体" w:eastAsia="宋体" w:cs="宋体"/>
          <w:sz w:val="24"/>
          <w:szCs w:val="24"/>
        </w:rPr>
        <w:t>签订日期：   年 月 日</w:t>
      </w: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3053080</wp:posOffset>
                </wp:positionH>
                <wp:positionV relativeFrom="paragraph">
                  <wp:posOffset>2946400</wp:posOffset>
                </wp:positionV>
                <wp:extent cx="3086100" cy="2797810"/>
                <wp:effectExtent l="4445" t="4445" r="14605" b="17145"/>
                <wp:wrapNone/>
                <wp:docPr id="1" name="文本框 2"/>
                <wp:cNvGraphicFramePr/>
                <a:graphic xmlns:a="http://schemas.openxmlformats.org/drawingml/2006/main">
                  <a:graphicData uri="http://schemas.microsoft.com/office/word/2010/wordprocessingShape">
                    <wps:wsp>
                      <wps:cNvSpPr txBox="1"/>
                      <wps:spPr>
                        <a:xfrm>
                          <a:off x="0" y="0"/>
                          <a:ext cx="3086100" cy="279781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360" w:lineRule="auto"/>
                              <w:rPr>
                                <w:rFonts w:hint="eastAsia" w:ascii="宋体" w:hAnsi="宋体"/>
                                <w:b/>
                                <w:sz w:val="24"/>
                              </w:rPr>
                            </w:pPr>
                          </w:p>
                        </w:txbxContent>
                      </wps:txbx>
                      <wps:bodyPr wrap="square" upright="1"/>
                    </wps:wsp>
                  </a:graphicData>
                </a:graphic>
              </wp:anchor>
            </w:drawing>
          </mc:Choice>
          <mc:Fallback>
            <w:pict>
              <v:shape id="文本框 2" o:spid="_x0000_s1026" o:spt="202" type="#_x0000_t202" style="position:absolute;left:0pt;margin-left:240.4pt;margin-top:232pt;height:220.3pt;width:243pt;z-index:251659264;mso-width-relative:page;mso-height-relative:page;" fillcolor="#FFFFFF" filled="t" stroked="t" coordsize="21600,21600" o:gfxdata="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NlJS41wAAAAsBAAAPAAAAAAAA&#10;AAEAIAAAACIAAABkcnMvZG93bnJldi54bWxQSwECFAAUAAAACACHTuJAuxNnFBMCAABFBAAADgAA&#10;AAAAAAABACAAAAAmAQAAZHJzL2Uyb0RvYy54bWxQSwUGAAAAAAYABgBZAQAAqwUAAAAA&#10;">
                <v:fill on="t" focussize="0,0"/>
                <v:stroke color="#FFFFFF" joinstyle="miter"/>
                <v:imagedata o:title=""/>
                <o:lock v:ext="edit" aspectratio="f"/>
                <v:textbox>
                  <w:txbxContent>
                    <w:p>
                      <w:pPr>
                        <w:spacing w:line="360" w:lineRule="auto"/>
                        <w:rPr>
                          <w:rFonts w:hint="eastAsia" w:ascii="宋体" w:hAnsi="宋体"/>
                          <w:b/>
                          <w:sz w:val="24"/>
                        </w:rPr>
                      </w:pPr>
                    </w:p>
                  </w:txbxContent>
                </v:textbox>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2970530</wp:posOffset>
                </wp:positionV>
                <wp:extent cx="2724150" cy="2797810"/>
                <wp:effectExtent l="4445" t="4445" r="14605" b="17145"/>
                <wp:wrapNone/>
                <wp:docPr id="2" name="文本框 3"/>
                <wp:cNvGraphicFramePr/>
                <a:graphic xmlns:a="http://schemas.openxmlformats.org/drawingml/2006/main">
                  <a:graphicData uri="http://schemas.microsoft.com/office/word/2010/wordprocessingShape">
                    <wps:wsp>
                      <wps:cNvSpPr txBox="1"/>
                      <wps:spPr>
                        <a:xfrm>
                          <a:off x="0" y="0"/>
                          <a:ext cx="2724150" cy="279781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360" w:lineRule="auto"/>
                              <w:rPr>
                                <w:rFonts w:hint="eastAsia" w:ascii="宋体" w:hAnsi="宋体"/>
                                <w:b/>
                                <w:sz w:val="24"/>
                              </w:rPr>
                            </w:pPr>
                          </w:p>
                        </w:txbxContent>
                      </wps:txbx>
                      <wps:bodyPr wrap="square" upright="1"/>
                    </wps:wsp>
                  </a:graphicData>
                </a:graphic>
              </wp:anchor>
            </w:drawing>
          </mc:Choice>
          <mc:Fallback>
            <w:pict>
              <v:shape id="文本框 3" o:spid="_x0000_s1026" o:spt="202" type="#_x0000_t202" style="position:absolute;left:0pt;margin-left:-7.5pt;margin-top:233.9pt;height:220.3pt;width:214.5pt;z-index:251660288;mso-width-relative:page;mso-height-relative:page;" fillcolor="#FFFFFF" filled="t" stroked="t" coordsize="21600,21600" o:gfxdata="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wekFDZAAAACwEAAA8AAAAA&#10;AAAAAQAgAAAAIgAAAGRycy9kb3ducmV2LnhtbFBLAQIUABQAAAAIAIdO4kAO9y0hEwIAAEUEAAAO&#10;AAAAAAAAAAEAIAAAACgBAABkcnMvZTJvRG9jLnhtbFBLBQYAAAAABgAGAFkBAACtBQAAAAA=&#10;">
                <v:fill on="t" focussize="0,0"/>
                <v:stroke color="#FFFFFF" joinstyle="miter"/>
                <v:imagedata o:title=""/>
                <o:lock v:ext="edit" aspectratio="f"/>
                <v:textbox>
                  <w:txbxContent>
                    <w:p>
                      <w:pPr>
                        <w:spacing w:line="360" w:lineRule="auto"/>
                        <w:rPr>
                          <w:rFonts w:hint="eastAsia" w:ascii="宋体" w:hAnsi="宋体"/>
                          <w:b/>
                          <w:sz w:val="24"/>
                        </w:rPr>
                      </w:pPr>
                    </w:p>
                  </w:txbxContent>
                </v:textbox>
              </v:shape>
            </w:pict>
          </mc:Fallback>
        </mc:AlternateConten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签订日期：   年 月 日</w:t>
      </w:r>
    </w:p>
    <w:p>
      <w:pPr>
        <w:spacing w:line="360" w:lineRule="auto"/>
        <w:jc w:val="center"/>
        <w:rPr>
          <w:b/>
          <w:sz w:val="36"/>
          <w:szCs w:val="36"/>
        </w:rPr>
      </w:pPr>
      <w:r>
        <w:rPr>
          <w:b/>
          <w:sz w:val="36"/>
          <w:szCs w:val="36"/>
        </w:rPr>
        <w:br w:type="page"/>
      </w:r>
      <w:bookmarkStart w:id="656" w:name="_Toc99301284"/>
      <w:r>
        <w:rPr>
          <w:b/>
          <w:sz w:val="36"/>
          <w:szCs w:val="36"/>
        </w:rPr>
        <w:t>第六章   响应文件格式</w:t>
      </w:r>
      <w:bookmarkEnd w:id="656"/>
    </w:p>
    <w:p>
      <w:pPr>
        <w:widowControl/>
        <w:spacing w:line="360" w:lineRule="auto"/>
        <w:jc w:val="left"/>
        <w:rPr>
          <w:b/>
          <w:sz w:val="24"/>
        </w:rPr>
      </w:pPr>
    </w:p>
    <w:p>
      <w:pPr>
        <w:widowControl/>
        <w:spacing w:line="360" w:lineRule="auto"/>
        <w:jc w:val="left"/>
        <w:rPr>
          <w:b/>
          <w:sz w:val="24"/>
        </w:rPr>
      </w:pPr>
    </w:p>
    <w:p>
      <w:pPr>
        <w:tabs>
          <w:tab w:val="left" w:pos="900"/>
          <w:tab w:val="left" w:pos="1980"/>
        </w:tabs>
        <w:snapToGrid w:val="0"/>
        <w:spacing w:line="360" w:lineRule="auto"/>
        <w:ind w:left="142"/>
        <w:rPr>
          <w:sz w:val="24"/>
        </w:rPr>
      </w:pPr>
      <w:r>
        <w:rPr>
          <w:b/>
          <w:sz w:val="24"/>
        </w:rPr>
        <w:t>供应商编制文件须知</w:t>
      </w:r>
    </w:p>
    <w:p>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sz w:val="24"/>
        </w:rPr>
      </w:pPr>
      <w:r>
        <w:rPr>
          <w:sz w:val="24"/>
        </w:rPr>
        <w:t>2、</w:t>
      </w:r>
      <w:r>
        <w:rPr>
          <w:kern w:val="0"/>
          <w:sz w:val="24"/>
        </w:rPr>
        <w:t>对于单一来源采购文件中标记了“实质性格式”文件的，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。未标记“实质性格式”的文件和单一来源采购文件未提供格式的内容，可由供应商自行编写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widowControl/>
        <w:jc w:val="left"/>
        <w:rPr>
          <w:sz w:val="24"/>
        </w:rPr>
      </w:pPr>
      <w:r>
        <w:rPr>
          <w:sz w:val="24"/>
        </w:rPr>
        <w:br w:type="page"/>
      </w:r>
    </w:p>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Pr>
        <w:rPr>
          <w:b/>
          <w:spacing w:val="20"/>
          <w:szCs w:val="21"/>
        </w:rPr>
      </w:pPr>
    </w:p>
    <w:p>
      <w:pPr>
        <w:rPr>
          <w:b/>
          <w:sz w:val="24"/>
        </w:rPr>
      </w:pPr>
      <w:r>
        <w:rPr>
          <w:b/>
          <w:spacing w:val="20"/>
          <w:sz w:val="24"/>
        </w:rPr>
        <w:t>响应文件</w:t>
      </w:r>
      <w:r>
        <w:rPr>
          <w:b/>
          <w:sz w:val="24"/>
        </w:rPr>
        <w:t>封面（非实质性格式）</w:t>
      </w:r>
    </w:p>
    <w:p>
      <w:pPr>
        <w:jc w:val="center"/>
        <w:rPr>
          <w:szCs w:val="21"/>
        </w:rPr>
      </w:pPr>
    </w:p>
    <w:p>
      <w:pPr>
        <w:jc w:val="center"/>
        <w:rPr>
          <w:rFonts w:hint="eastAsia"/>
          <w:b/>
          <w:spacing w:val="60"/>
          <w:sz w:val="84"/>
          <w:szCs w:val="84"/>
        </w:rPr>
      </w:pPr>
    </w:p>
    <w:p>
      <w:pPr>
        <w:jc w:val="center"/>
        <w:rPr>
          <w:b/>
          <w:spacing w:val="60"/>
          <w:sz w:val="84"/>
          <w:szCs w:val="84"/>
        </w:rPr>
      </w:pPr>
      <w:r>
        <w:rPr>
          <w:b/>
          <w:spacing w:val="60"/>
          <w:sz w:val="84"/>
          <w:szCs w:val="84"/>
        </w:rPr>
        <w:t>响  应 文 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供应商名称：</w:t>
      </w:r>
    </w:p>
    <w:p>
      <w:pPr>
        <w:jc w:val="center"/>
        <w:rPr>
          <w:b/>
          <w:sz w:val="32"/>
          <w:szCs w:val="32"/>
        </w:rPr>
      </w:pPr>
    </w:p>
    <w:p>
      <w:pPr>
        <w:rPr>
          <w:b/>
        </w:rPr>
      </w:pPr>
      <w:r>
        <w:rPr>
          <w:b/>
          <w:spacing w:val="20"/>
          <w:sz w:val="32"/>
          <w:szCs w:val="32"/>
        </w:rPr>
        <w:br w:type="page"/>
      </w:r>
    </w:p>
    <w:p>
      <w:pPr>
        <w:spacing w:line="360" w:lineRule="auto"/>
        <w:outlineLvl w:val="2"/>
        <w:rPr>
          <w:color w:val="000000"/>
          <w:sz w:val="24"/>
          <w:szCs w:val="20"/>
        </w:rPr>
      </w:pPr>
      <w:r>
        <w:rPr>
          <w:color w:val="000000"/>
          <w:sz w:val="24"/>
          <w:szCs w:val="20"/>
        </w:rPr>
        <w:t>1</w:t>
      </w:r>
      <w:r>
        <w:rPr>
          <w:sz w:val="24"/>
        </w:rPr>
        <w:t>满足《中华人民共和国政府采购法》第二十二条规定及法律法规的其他规定</w:t>
      </w:r>
    </w:p>
    <w:p>
      <w:pPr>
        <w:spacing w:line="360" w:lineRule="auto"/>
        <w:outlineLvl w:val="2"/>
        <w:rPr>
          <w:color w:val="000000"/>
          <w:sz w:val="24"/>
          <w:szCs w:val="20"/>
        </w:rPr>
      </w:pPr>
      <w:r>
        <w:rPr>
          <w:color w:val="000000"/>
          <w:sz w:val="24"/>
          <w:szCs w:val="20"/>
        </w:rPr>
        <w:t>1-1营业执照等证明文件</w:t>
      </w:r>
    </w:p>
    <w:p>
      <w:pPr>
        <w:tabs>
          <w:tab w:val="left" w:pos="1080"/>
        </w:tabs>
        <w:snapToGrid w:val="0"/>
        <w:rPr>
          <w:sz w:val="24"/>
        </w:rPr>
      </w:pPr>
    </w:p>
    <w:p>
      <w:pPr>
        <w:widowControl/>
        <w:jc w:val="left"/>
        <w:rPr>
          <w:color w:val="000000"/>
          <w:sz w:val="24"/>
          <w:szCs w:val="20"/>
        </w:rPr>
      </w:pPr>
    </w:p>
    <w:p>
      <w:pPr>
        <w:pStyle w:val="5"/>
        <w:rPr>
          <w:rFonts w:ascii="Times New Roman"/>
          <w:b w:val="0"/>
          <w:bCs/>
          <w:color w:val="000000"/>
          <w:u w:val="none"/>
        </w:rPr>
      </w:pPr>
      <w:r>
        <w:rPr>
          <w:rFonts w:ascii="Times New Roman"/>
          <w:b w:val="0"/>
          <w:color w:val="000000"/>
          <w:u w:val="none"/>
        </w:rPr>
        <w:br w:type="page"/>
      </w:r>
      <w:r>
        <w:rPr>
          <w:rFonts w:ascii="Times New Roman"/>
          <w:b w:val="0"/>
          <w:color w:val="000000"/>
          <w:u w:val="none"/>
        </w:rPr>
        <w:t>1-2 供应商资格声明书（实质性格式）</w:t>
      </w:r>
    </w:p>
    <w:p>
      <w:pPr>
        <w:spacing w:line="360" w:lineRule="auto"/>
        <w:jc w:val="center"/>
        <w:rPr>
          <w:b/>
          <w:color w:val="000000"/>
          <w:sz w:val="36"/>
          <w:szCs w:val="36"/>
        </w:rPr>
      </w:pPr>
      <w:r>
        <w:rPr>
          <w:b/>
          <w:color w:val="000000"/>
          <w:sz w:val="36"/>
          <w:szCs w:val="36"/>
        </w:rPr>
        <w:t>供应商资格声明书</w:t>
      </w:r>
    </w:p>
    <w:p>
      <w:pPr>
        <w:rPr>
          <w:color w:val="000000"/>
          <w:szCs w:val="20"/>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在参与本次项目响应中，我单位承诺：</w:t>
      </w:r>
    </w:p>
    <w:p>
      <w:pPr>
        <w:numPr>
          <w:ilvl w:val="0"/>
          <w:numId w:val="17"/>
        </w:numPr>
        <w:spacing w:line="360" w:lineRule="auto"/>
        <w:ind w:left="1134"/>
        <w:rPr>
          <w:sz w:val="24"/>
          <w:szCs w:val="22"/>
        </w:rPr>
      </w:pPr>
      <w:r>
        <w:rPr>
          <w:sz w:val="24"/>
          <w:szCs w:val="22"/>
        </w:rPr>
        <w:t>具有良好的商业信誉和健全的财务会计制度；</w:t>
      </w:r>
    </w:p>
    <w:p>
      <w:pPr>
        <w:numPr>
          <w:ilvl w:val="0"/>
          <w:numId w:val="17"/>
        </w:numPr>
        <w:spacing w:line="360" w:lineRule="auto"/>
        <w:ind w:left="1134"/>
        <w:rPr>
          <w:sz w:val="24"/>
          <w:szCs w:val="22"/>
        </w:rPr>
      </w:pPr>
      <w:r>
        <w:rPr>
          <w:sz w:val="24"/>
          <w:szCs w:val="22"/>
        </w:rPr>
        <w:t>具有履行合同所必需的设备和专业技术能力；</w:t>
      </w:r>
    </w:p>
    <w:p>
      <w:pPr>
        <w:numPr>
          <w:ilvl w:val="0"/>
          <w:numId w:val="17"/>
        </w:numPr>
        <w:spacing w:line="360" w:lineRule="auto"/>
        <w:ind w:left="1134"/>
        <w:rPr>
          <w:sz w:val="24"/>
          <w:szCs w:val="22"/>
        </w:rPr>
      </w:pPr>
      <w:r>
        <w:rPr>
          <w:sz w:val="24"/>
          <w:szCs w:val="22"/>
        </w:rPr>
        <w:t>有依法缴纳税收和社会保障资金的良好记录；</w:t>
      </w:r>
    </w:p>
    <w:p>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sz w:val="24"/>
              </w:rPr>
            </w:pPr>
            <w:r>
              <w:rPr>
                <w:sz w:val="24"/>
              </w:rPr>
              <w:t>序号</w:t>
            </w:r>
          </w:p>
        </w:tc>
        <w:tc>
          <w:tcPr>
            <w:tcW w:w="4574" w:type="dxa"/>
            <w:noWrap w:val="0"/>
            <w:vAlign w:val="center"/>
          </w:tcPr>
          <w:p>
            <w:pPr>
              <w:jc w:val="center"/>
              <w:rPr>
                <w:sz w:val="24"/>
              </w:rPr>
            </w:pPr>
            <w:r>
              <w:rPr>
                <w:sz w:val="24"/>
              </w:rPr>
              <w:t>单位名称</w:t>
            </w:r>
          </w:p>
        </w:tc>
        <w:tc>
          <w:tcPr>
            <w:tcW w:w="2976" w:type="dxa"/>
            <w:noWrap w:val="0"/>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sz w:val="24"/>
              </w:rPr>
            </w:pPr>
            <w:r>
              <w:rPr>
                <w:sz w:val="24"/>
              </w:rPr>
              <w:t>1</w:t>
            </w:r>
          </w:p>
        </w:tc>
        <w:tc>
          <w:tcPr>
            <w:tcW w:w="4574" w:type="dxa"/>
            <w:noWrap w:val="0"/>
            <w:vAlign w:val="center"/>
          </w:tcPr>
          <w:p>
            <w:pPr>
              <w:jc w:val="center"/>
              <w:rPr>
                <w:sz w:val="24"/>
              </w:rPr>
            </w:pPr>
          </w:p>
        </w:tc>
        <w:tc>
          <w:tcPr>
            <w:tcW w:w="2976" w:type="dxa"/>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sz w:val="24"/>
              </w:rPr>
            </w:pPr>
            <w:r>
              <w:rPr>
                <w:sz w:val="24"/>
              </w:rPr>
              <w:t>2</w:t>
            </w:r>
          </w:p>
        </w:tc>
        <w:tc>
          <w:tcPr>
            <w:tcW w:w="4574" w:type="dxa"/>
            <w:noWrap w:val="0"/>
            <w:vAlign w:val="center"/>
          </w:tcPr>
          <w:p>
            <w:pPr>
              <w:jc w:val="center"/>
              <w:rPr>
                <w:sz w:val="24"/>
              </w:rPr>
            </w:pPr>
          </w:p>
        </w:tc>
        <w:tc>
          <w:tcPr>
            <w:tcW w:w="2976" w:type="dxa"/>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jc w:val="center"/>
              <w:rPr>
                <w:sz w:val="24"/>
              </w:rPr>
            </w:pPr>
            <w:r>
              <w:rPr>
                <w:sz w:val="24"/>
              </w:rPr>
              <w:t>…</w:t>
            </w:r>
          </w:p>
        </w:tc>
        <w:tc>
          <w:tcPr>
            <w:tcW w:w="4574" w:type="dxa"/>
            <w:noWrap w:val="0"/>
            <w:vAlign w:val="center"/>
          </w:tcPr>
          <w:p>
            <w:pPr>
              <w:jc w:val="center"/>
              <w:rPr>
                <w:sz w:val="24"/>
              </w:rPr>
            </w:pPr>
          </w:p>
        </w:tc>
        <w:tc>
          <w:tcPr>
            <w:tcW w:w="2976" w:type="dxa"/>
            <w:noWrap w:val="0"/>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    ____________</w:t>
      </w:r>
    </w:p>
    <w:p>
      <w:pPr>
        <w:spacing w:line="360" w:lineRule="auto"/>
        <w:ind w:right="360" w:firstLine="480"/>
        <w:jc w:val="right"/>
        <w:rPr>
          <w:color w:val="000000"/>
          <w:sz w:val="24"/>
        </w:rPr>
      </w:pPr>
      <w:r>
        <w:rPr>
          <w:color w:val="000000"/>
          <w:sz w:val="24"/>
          <w:szCs w:val="20"/>
        </w:rPr>
        <w:t xml:space="preserve">日期：_____年______月______日   </w:t>
      </w:r>
    </w:p>
    <w:p>
      <w:pPr>
        <w:spacing w:line="360" w:lineRule="auto"/>
        <w:rPr>
          <w:sz w:val="24"/>
        </w:rPr>
      </w:pP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tabs>
          <w:tab w:val="left" w:pos="5580"/>
        </w:tabs>
        <w:spacing w:line="360" w:lineRule="auto"/>
        <w:rPr>
          <w:sz w:val="24"/>
        </w:rPr>
        <w:sectPr>
          <w:headerReference r:id="rId13" w:type="default"/>
          <w:footerReference r:id="rId14" w:type="default"/>
          <w:pgSz w:w="11907" w:h="16840"/>
          <w:pgMar w:top="1418" w:right="1134" w:bottom="1418" w:left="1701" w:header="851" w:footer="851" w:gutter="0"/>
          <w:cols w:space="720" w:num="1"/>
          <w:docGrid w:linePitch="462" w:charSpace="0"/>
        </w:sectPr>
      </w:pPr>
    </w:p>
    <w:p>
      <w:pPr>
        <w:spacing w:line="360" w:lineRule="auto"/>
        <w:outlineLvl w:val="2"/>
        <w:rPr>
          <w:color w:val="000000"/>
          <w:sz w:val="24"/>
          <w:szCs w:val="20"/>
        </w:rPr>
      </w:pPr>
      <w:r>
        <w:rPr>
          <w:color w:val="000000"/>
          <w:sz w:val="24"/>
          <w:szCs w:val="20"/>
        </w:rPr>
        <w:t>2 落实政府采购政策需满足的资格要求（</w:t>
      </w:r>
      <w:r>
        <w:rPr>
          <w:rFonts w:hint="eastAsia"/>
          <w:color w:val="000000"/>
          <w:sz w:val="24"/>
          <w:szCs w:val="20"/>
        </w:rPr>
        <w:t>如有</w:t>
      </w:r>
      <w:r>
        <w:rPr>
          <w:color w:val="000000"/>
          <w:sz w:val="24"/>
          <w:szCs w:val="20"/>
        </w:rPr>
        <w:t>）</w:t>
      </w:r>
    </w:p>
    <w:p>
      <w:pPr>
        <w:spacing w:line="360" w:lineRule="auto"/>
        <w:outlineLvl w:val="2"/>
        <w:rPr>
          <w:rFonts w:ascii="宋体" w:hAnsi="宋体" w:eastAsia="宋体"/>
          <w:color w:val="000000"/>
          <w:sz w:val="24"/>
          <w:szCs w:val="20"/>
        </w:rPr>
      </w:pPr>
      <w:r>
        <w:rPr>
          <w:sz w:val="24"/>
        </w:rPr>
        <w:t>无</w:t>
      </w:r>
      <w:r>
        <w:rPr>
          <w:rFonts w:hint="eastAsia"/>
          <w:sz w:val="24"/>
        </w:rPr>
        <w:t>。</w:t>
      </w:r>
      <w:r>
        <w:rPr>
          <w:sz w:val="24"/>
        </w:rPr>
        <w:br w:type="page"/>
      </w:r>
      <w:r>
        <w:rPr>
          <w:rFonts w:hint="eastAsia" w:ascii="宋体" w:hAnsi="宋体" w:eastAsia="宋体"/>
          <w:color w:val="000000"/>
          <w:sz w:val="24"/>
          <w:szCs w:val="20"/>
        </w:rPr>
        <w:t>2-1</w:t>
      </w:r>
      <w:r>
        <w:rPr>
          <w:rFonts w:ascii="宋体" w:hAnsi="宋体" w:eastAsia="宋体"/>
          <w:color w:val="000000"/>
          <w:sz w:val="24"/>
          <w:szCs w:val="20"/>
        </w:rPr>
        <w:t>中小企业政策证明文件</w:t>
      </w:r>
    </w:p>
    <w:p>
      <w:pPr>
        <w:tabs>
          <w:tab w:val="left" w:pos="5580"/>
        </w:tabs>
        <w:spacing w:line="360" w:lineRule="auto"/>
        <w:rPr>
          <w:rFonts w:ascii="宋体" w:hAnsi="宋体" w:eastAsia="宋体"/>
          <w:sz w:val="24"/>
        </w:rPr>
      </w:pPr>
      <w:r>
        <w:rPr>
          <w:rFonts w:hint="eastAsia" w:ascii="宋体" w:hAnsi="宋体" w:eastAsia="宋体"/>
          <w:sz w:val="24"/>
        </w:rPr>
        <w:t>说明：</w:t>
      </w:r>
    </w:p>
    <w:p>
      <w:pPr>
        <w:tabs>
          <w:tab w:val="left" w:pos="5580"/>
        </w:tabs>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）如本项目（包）不专门面向中小企业预留采购份额，供应商无须提供《中小企业</w:t>
      </w:r>
    </w:p>
    <w:p>
      <w:pPr>
        <w:tabs>
          <w:tab w:val="left" w:pos="5580"/>
        </w:tabs>
        <w:spacing w:line="360" w:lineRule="auto"/>
        <w:rPr>
          <w:rFonts w:ascii="宋体" w:hAnsi="宋体" w:eastAsia="宋体"/>
          <w:sz w:val="24"/>
        </w:rPr>
      </w:pPr>
      <w:r>
        <w:rPr>
          <w:rFonts w:hint="eastAsia" w:ascii="宋体" w:hAnsi="宋体" w:eastAsia="宋体"/>
          <w:sz w:val="24"/>
        </w:rPr>
        <w:t>声明函》或《残疾人福利性单位声明函》或由省级以上监狱管理局、戒毒管理局（含新</w:t>
      </w:r>
    </w:p>
    <w:p>
      <w:pPr>
        <w:tabs>
          <w:tab w:val="left" w:pos="5580"/>
        </w:tabs>
        <w:spacing w:line="360" w:lineRule="auto"/>
        <w:rPr>
          <w:rFonts w:ascii="宋体" w:hAnsi="宋体" w:eastAsia="宋体"/>
          <w:sz w:val="24"/>
        </w:rPr>
      </w:pPr>
      <w:r>
        <w:rPr>
          <w:rFonts w:hint="eastAsia" w:ascii="宋体" w:hAnsi="宋体" w:eastAsia="宋体"/>
          <w:sz w:val="24"/>
        </w:rPr>
        <w:t>疆生产建设兵团）出具的属于监狱企业的证明文件；当供应商拟享受中小企业扶持政策</w:t>
      </w:r>
    </w:p>
    <w:p>
      <w:pPr>
        <w:tabs>
          <w:tab w:val="left" w:pos="5580"/>
        </w:tabs>
        <w:spacing w:line="360" w:lineRule="auto"/>
        <w:rPr>
          <w:rFonts w:ascii="宋体" w:hAnsi="宋体" w:eastAsia="宋体"/>
          <w:sz w:val="24"/>
        </w:rPr>
      </w:pPr>
      <w:r>
        <w:rPr>
          <w:rFonts w:hint="eastAsia" w:ascii="宋体" w:hAnsi="宋体" w:eastAsia="宋体"/>
          <w:sz w:val="24"/>
        </w:rPr>
        <w:t>时，仍应提供上述证明文件，否则不享受相关中小企业扶持政策。</w:t>
      </w:r>
    </w:p>
    <w:p>
      <w:pPr>
        <w:tabs>
          <w:tab w:val="left" w:pos="5580"/>
        </w:tabs>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）如本项目（包）专门面向中小企业采购，响应文件中须提供《中小企业声明函》</w:t>
      </w:r>
    </w:p>
    <w:p>
      <w:pPr>
        <w:tabs>
          <w:tab w:val="left" w:pos="5580"/>
        </w:tabs>
        <w:spacing w:line="360" w:lineRule="auto"/>
        <w:rPr>
          <w:rFonts w:ascii="宋体" w:hAnsi="宋体" w:eastAsia="宋体"/>
          <w:sz w:val="24"/>
        </w:rPr>
      </w:pPr>
      <w:r>
        <w:rPr>
          <w:rFonts w:hint="eastAsia" w:ascii="宋体" w:hAnsi="宋体" w:eastAsia="宋体"/>
          <w:sz w:val="24"/>
        </w:rPr>
        <w:t>或《残疾人福利性单位声明函》，或提供由省级以上监狱管理局、戒毒管理局（含新疆</w:t>
      </w:r>
    </w:p>
    <w:p>
      <w:pPr>
        <w:tabs>
          <w:tab w:val="left" w:pos="5580"/>
        </w:tabs>
        <w:spacing w:line="360" w:lineRule="auto"/>
        <w:rPr>
          <w:rFonts w:ascii="宋体" w:hAnsi="宋体" w:eastAsia="宋体"/>
          <w:sz w:val="24"/>
        </w:rPr>
      </w:pPr>
      <w:r>
        <w:rPr>
          <w:rFonts w:hint="eastAsia" w:ascii="宋体" w:hAnsi="宋体" w:eastAsia="宋体"/>
          <w:sz w:val="24"/>
        </w:rPr>
        <w:t>生产建设兵团）出具的属于监狱企业的证明文件。</w:t>
      </w:r>
    </w:p>
    <w:p>
      <w:pPr>
        <w:tabs>
          <w:tab w:val="left" w:pos="5580"/>
        </w:tabs>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）如本项目（包）预留部分采购项目预算专门面向中小企业采购，且要求获得采购</w:t>
      </w:r>
    </w:p>
    <w:p>
      <w:pPr>
        <w:tabs>
          <w:tab w:val="left" w:pos="5580"/>
        </w:tabs>
        <w:spacing w:line="360" w:lineRule="auto"/>
        <w:rPr>
          <w:rFonts w:ascii="宋体" w:hAnsi="宋体" w:eastAsia="宋体"/>
          <w:sz w:val="24"/>
        </w:rPr>
      </w:pPr>
      <w:r>
        <w:rPr>
          <w:rFonts w:hint="eastAsia" w:ascii="宋体" w:hAnsi="宋体" w:eastAsia="宋体"/>
          <w:sz w:val="24"/>
        </w:rPr>
        <w:t>合同的供应商将采购项目中的一定比例分包给一家或者多家中小企业或要求供应商以</w:t>
      </w:r>
    </w:p>
    <w:p>
      <w:pPr>
        <w:tabs>
          <w:tab w:val="left" w:pos="5580"/>
        </w:tabs>
        <w:spacing w:line="360" w:lineRule="auto"/>
        <w:rPr>
          <w:rFonts w:ascii="宋体" w:hAnsi="宋体" w:eastAsia="宋体"/>
          <w:sz w:val="24"/>
        </w:rPr>
      </w:pPr>
      <w:r>
        <w:rPr>
          <w:rFonts w:hint="eastAsia" w:ascii="宋体" w:hAnsi="宋体" w:eastAsia="宋体"/>
          <w:sz w:val="24"/>
        </w:rPr>
        <w:t>联合体形式参加采购活动，响应文件中须提供《中小企业声明函》或《残疾人福利性单</w:t>
      </w:r>
    </w:p>
    <w:p>
      <w:pPr>
        <w:tabs>
          <w:tab w:val="left" w:pos="5580"/>
        </w:tabs>
        <w:spacing w:line="360" w:lineRule="auto"/>
        <w:rPr>
          <w:rFonts w:ascii="宋体" w:hAnsi="宋体" w:eastAsia="宋体"/>
          <w:sz w:val="24"/>
        </w:rPr>
      </w:pPr>
      <w:r>
        <w:rPr>
          <w:rFonts w:hint="eastAsia" w:ascii="宋体" w:hAnsi="宋体" w:eastAsia="宋体"/>
          <w:sz w:val="24"/>
        </w:rPr>
        <w:t>位声明函》或由省级以上监狱管理局、戒毒管理局（含新疆生产建设兵团）出具的属于</w:t>
      </w:r>
    </w:p>
    <w:p>
      <w:pPr>
        <w:tabs>
          <w:tab w:val="left" w:pos="5580"/>
        </w:tabs>
        <w:spacing w:line="360" w:lineRule="auto"/>
        <w:rPr>
          <w:rFonts w:ascii="宋体" w:hAnsi="宋体" w:eastAsia="宋体"/>
          <w:sz w:val="24"/>
        </w:rPr>
      </w:pPr>
      <w:r>
        <w:rPr>
          <w:rFonts w:hint="eastAsia" w:ascii="宋体" w:hAnsi="宋体" w:eastAsia="宋体"/>
          <w:sz w:val="24"/>
        </w:rPr>
        <w:t>监狱企业的证明文件。</w:t>
      </w:r>
    </w:p>
    <w:p>
      <w:pPr>
        <w:tabs>
          <w:tab w:val="left" w:pos="5580"/>
        </w:tabs>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4</w:t>
      </w:r>
      <w:r>
        <w:rPr>
          <w:rFonts w:hint="eastAsia" w:ascii="宋体" w:hAnsi="宋体" w:eastAsia="宋体"/>
          <w:sz w:val="24"/>
        </w:rPr>
        <w:t>）中小企业声明函填写注意事项</w:t>
      </w:r>
    </w:p>
    <w:p>
      <w:pPr>
        <w:tabs>
          <w:tab w:val="left" w:pos="5580"/>
        </w:tabs>
        <w:spacing w:line="360" w:lineRule="auto"/>
        <w:rPr>
          <w:rFonts w:ascii="宋体" w:hAnsi="宋体" w:eastAsia="宋体"/>
          <w:sz w:val="24"/>
        </w:rPr>
      </w:pPr>
      <w:r>
        <w:rPr>
          <w:rFonts w:ascii="宋体" w:hAnsi="宋体" w:eastAsia="宋体"/>
          <w:sz w:val="24"/>
        </w:rPr>
        <w:t>1</w:t>
      </w:r>
      <w:r>
        <w:rPr>
          <w:rFonts w:hint="eastAsia" w:ascii="宋体" w:hAnsi="宋体" w:eastAsia="宋体"/>
          <w:sz w:val="24"/>
        </w:rPr>
        <w:t>）《中小企业声明函》由参加政府采购活动的供应商出具。联合体参与的，《中小企业</w:t>
      </w:r>
    </w:p>
    <w:p>
      <w:pPr>
        <w:tabs>
          <w:tab w:val="left" w:pos="5580"/>
        </w:tabs>
        <w:spacing w:line="360" w:lineRule="auto"/>
        <w:rPr>
          <w:rFonts w:ascii="宋体" w:hAnsi="宋体" w:eastAsia="宋体"/>
          <w:sz w:val="24"/>
        </w:rPr>
      </w:pPr>
      <w:r>
        <w:rPr>
          <w:rFonts w:hint="eastAsia" w:ascii="宋体" w:hAnsi="宋体" w:eastAsia="宋体"/>
          <w:sz w:val="24"/>
        </w:rPr>
        <w:t>声明函》可由牵头人出具。</w:t>
      </w:r>
    </w:p>
    <w:p>
      <w:pPr>
        <w:tabs>
          <w:tab w:val="left" w:pos="5580"/>
        </w:tabs>
        <w:spacing w:line="360" w:lineRule="auto"/>
        <w:rPr>
          <w:rFonts w:ascii="宋体" w:hAnsi="宋体" w:eastAsia="宋体"/>
          <w:sz w:val="24"/>
        </w:rPr>
      </w:pPr>
      <w:r>
        <w:rPr>
          <w:rFonts w:ascii="宋体" w:hAnsi="宋体" w:eastAsia="宋体"/>
          <w:sz w:val="24"/>
        </w:rPr>
        <w:t>2</w:t>
      </w:r>
      <w:r>
        <w:rPr>
          <w:rFonts w:hint="eastAsia" w:ascii="宋体" w:hAnsi="宋体" w:eastAsia="宋体"/>
          <w:sz w:val="24"/>
        </w:rPr>
        <w:t>）对于联合体中由中小企业承担的部分，或者分包给中小企业的部分，必须全部由中</w:t>
      </w:r>
    </w:p>
    <w:p>
      <w:pPr>
        <w:tabs>
          <w:tab w:val="left" w:pos="5580"/>
        </w:tabs>
        <w:spacing w:line="360" w:lineRule="auto"/>
        <w:rPr>
          <w:rFonts w:ascii="宋体" w:hAnsi="宋体" w:eastAsia="宋体"/>
          <w:sz w:val="24"/>
        </w:rPr>
      </w:pPr>
      <w:r>
        <w:rPr>
          <w:rFonts w:hint="eastAsia" w:ascii="宋体" w:hAnsi="宋体" w:eastAsia="宋体"/>
          <w:sz w:val="24"/>
        </w:rPr>
        <w:t>小企业制造、承建或者承接。供应商应当在声明函“标的名称”部分标明联合体中中小企</w:t>
      </w:r>
    </w:p>
    <w:p>
      <w:pPr>
        <w:tabs>
          <w:tab w:val="left" w:pos="5580"/>
        </w:tabs>
        <w:spacing w:line="360" w:lineRule="auto"/>
        <w:rPr>
          <w:rFonts w:ascii="宋体" w:hAnsi="宋体" w:eastAsia="宋体"/>
          <w:sz w:val="24"/>
        </w:rPr>
      </w:pPr>
      <w:r>
        <w:rPr>
          <w:rFonts w:hint="eastAsia" w:ascii="宋体" w:hAnsi="宋体" w:eastAsia="宋体"/>
          <w:sz w:val="24"/>
        </w:rPr>
        <w:t>业承担的具体内容或者中小企业的具体分包内容。</w:t>
      </w:r>
    </w:p>
    <w:p>
      <w:pPr>
        <w:tabs>
          <w:tab w:val="left" w:pos="5580"/>
        </w:tabs>
        <w:spacing w:line="360" w:lineRule="auto"/>
        <w:rPr>
          <w:rFonts w:ascii="宋体" w:hAnsi="宋体" w:eastAsia="宋体"/>
          <w:sz w:val="24"/>
        </w:rPr>
      </w:pPr>
      <w:r>
        <w:rPr>
          <w:rFonts w:ascii="宋体" w:hAnsi="宋体" w:eastAsia="宋体"/>
          <w:sz w:val="24"/>
        </w:rPr>
        <w:t>3</w:t>
      </w:r>
      <w:r>
        <w:rPr>
          <w:rFonts w:hint="eastAsia" w:ascii="宋体" w:hAnsi="宋体" w:eastAsia="宋体"/>
          <w:sz w:val="24"/>
        </w:rPr>
        <w:t>）对于多标的采购项目，供应商应充分、准确地了解所提供货物的制造企业、提供服</w:t>
      </w:r>
    </w:p>
    <w:p>
      <w:pPr>
        <w:tabs>
          <w:tab w:val="left" w:pos="5580"/>
        </w:tabs>
        <w:spacing w:line="360" w:lineRule="auto"/>
        <w:rPr>
          <w:rFonts w:ascii="宋体" w:hAnsi="宋体" w:eastAsia="宋体"/>
          <w:sz w:val="24"/>
        </w:rPr>
      </w:pPr>
      <w:r>
        <w:rPr>
          <w:rFonts w:hint="eastAsia" w:ascii="宋体" w:hAnsi="宋体" w:eastAsia="宋体"/>
          <w:sz w:val="24"/>
        </w:rPr>
        <w:t>务的承接企业信息。对相关情况了解不清楚的，不建议填报本声明函。</w:t>
      </w:r>
    </w:p>
    <w:p>
      <w:pPr>
        <w:tabs>
          <w:tab w:val="left" w:pos="5580"/>
        </w:tabs>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5</w:t>
      </w:r>
      <w:r>
        <w:rPr>
          <w:rFonts w:hint="eastAsia" w:ascii="宋体" w:hAnsi="宋体" w:eastAsia="宋体"/>
          <w:sz w:val="24"/>
        </w:rPr>
        <w:t>）温馨提示：为方便广大中小企业识别企业规模类型，工业和信息化部组织开发了</w:t>
      </w:r>
    </w:p>
    <w:p>
      <w:pPr>
        <w:tabs>
          <w:tab w:val="left" w:pos="5580"/>
        </w:tabs>
        <w:spacing w:line="360" w:lineRule="auto"/>
        <w:rPr>
          <w:rFonts w:ascii="宋体" w:hAnsi="宋体" w:eastAsia="宋体"/>
          <w:sz w:val="24"/>
        </w:rPr>
      </w:pPr>
      <w:r>
        <w:rPr>
          <w:rFonts w:hint="eastAsia" w:ascii="宋体" w:hAnsi="宋体" w:eastAsia="宋体"/>
          <w:sz w:val="24"/>
        </w:rPr>
        <w:t>中小企业规模类型自测小程序，在国务院客户端和工业和信息化部网站上均有链接，供</w:t>
      </w:r>
    </w:p>
    <w:p>
      <w:pPr>
        <w:tabs>
          <w:tab w:val="left" w:pos="5580"/>
        </w:tabs>
        <w:spacing w:line="360" w:lineRule="auto"/>
        <w:rPr>
          <w:rFonts w:ascii="宋体" w:hAnsi="宋体" w:eastAsia="宋体"/>
          <w:sz w:val="24"/>
        </w:rPr>
      </w:pPr>
      <w:r>
        <w:rPr>
          <w:rFonts w:hint="eastAsia" w:ascii="宋体" w:hAnsi="宋体" w:eastAsia="宋体"/>
          <w:sz w:val="24"/>
        </w:rPr>
        <w:t>应商填写所属的行业和指标数据可自动生成企业规模类型测试结果。本项目中小企业划</w:t>
      </w:r>
    </w:p>
    <w:p>
      <w:pPr>
        <w:tabs>
          <w:tab w:val="left" w:pos="5580"/>
        </w:tabs>
        <w:spacing w:line="360" w:lineRule="auto"/>
        <w:rPr>
          <w:rFonts w:ascii="宋体" w:hAnsi="宋体" w:eastAsia="宋体"/>
          <w:sz w:val="24"/>
        </w:rPr>
      </w:pPr>
      <w:r>
        <w:rPr>
          <w:rFonts w:hint="eastAsia" w:ascii="宋体" w:hAnsi="宋体" w:eastAsia="宋体"/>
          <w:sz w:val="24"/>
        </w:rPr>
        <w:t>分标准所属行业详见第二章《供应商须知资料表》，如在该程序中未找到本项目文件规定的中小企业划分标准所属行业，则按照《关于印发中小企业划型标准规定的通知（工</w:t>
      </w:r>
    </w:p>
    <w:p>
      <w:pPr>
        <w:tabs>
          <w:tab w:val="left" w:pos="5580"/>
        </w:tabs>
        <w:spacing w:line="360" w:lineRule="auto"/>
        <w:rPr>
          <w:rFonts w:ascii="宋体" w:hAnsi="宋体" w:eastAsia="宋体"/>
          <w:sz w:val="24"/>
        </w:rPr>
      </w:pPr>
      <w:r>
        <w:rPr>
          <w:rFonts w:hint="eastAsia" w:ascii="宋体" w:hAnsi="宋体" w:eastAsia="宋体"/>
          <w:sz w:val="24"/>
        </w:rPr>
        <w:t>信部联企业﹝2011﹞300 号）》及《金融业企业划型标准规定》（〔2015〕309 号）等</w:t>
      </w:r>
    </w:p>
    <w:p>
      <w:pPr>
        <w:tabs>
          <w:tab w:val="left" w:pos="5580"/>
        </w:tabs>
        <w:spacing w:line="360" w:lineRule="auto"/>
        <w:rPr>
          <w:rFonts w:ascii="宋体" w:hAnsi="宋体" w:eastAsia="宋体"/>
          <w:b/>
          <w:color w:val="000000"/>
          <w:sz w:val="36"/>
          <w:szCs w:val="36"/>
        </w:rPr>
      </w:pPr>
      <w:r>
        <w:rPr>
          <w:rFonts w:hint="eastAsia" w:ascii="宋体" w:hAnsi="宋体" w:eastAsia="宋体"/>
          <w:sz w:val="24"/>
        </w:rPr>
        <w:t>国务院批准的中小企业划分标准执行。</w:t>
      </w:r>
      <w:r>
        <w:rPr>
          <w:rFonts w:ascii="宋体" w:hAnsi="宋体" w:eastAsia="宋体"/>
          <w:b/>
          <w:color w:val="000000"/>
          <w:sz w:val="36"/>
          <w:szCs w:val="36"/>
        </w:rPr>
        <w:br w:type="page"/>
      </w:r>
    </w:p>
    <w:p>
      <w:pPr>
        <w:tabs>
          <w:tab w:val="left" w:pos="5580"/>
        </w:tabs>
        <w:spacing w:line="360" w:lineRule="auto"/>
        <w:jc w:val="center"/>
        <w:rPr>
          <w:rFonts w:ascii="宋体" w:hAnsi="宋体" w:eastAsia="宋体"/>
          <w:b/>
          <w:bCs/>
          <w:color w:val="000000"/>
          <w:sz w:val="24"/>
        </w:rPr>
      </w:pPr>
      <w:r>
        <w:rPr>
          <w:rFonts w:ascii="宋体" w:hAnsi="宋体" w:eastAsia="宋体"/>
          <w:b/>
          <w:color w:val="000000"/>
          <w:sz w:val="36"/>
          <w:szCs w:val="36"/>
        </w:rPr>
        <w:t>中小企业声明函（工程、服务）格式</w:t>
      </w:r>
    </w:p>
    <w:p>
      <w:pPr>
        <w:spacing w:line="360" w:lineRule="auto"/>
        <w:ind w:firstLine="504"/>
        <w:rPr>
          <w:rFonts w:ascii="宋体" w:hAnsi="宋体" w:eastAsia="宋体"/>
          <w:spacing w:val="6"/>
          <w:sz w:val="24"/>
        </w:rPr>
      </w:pPr>
      <w:r>
        <w:rPr>
          <w:rFonts w:ascii="宋体" w:hAnsi="宋体" w:eastAsia="宋体"/>
          <w:spacing w:val="6"/>
          <w:sz w:val="24"/>
        </w:rPr>
        <w:t>本公司（联合体）郑重声明，根据《政府采购促进中小企业发展管理办法》（财库﹝2020﹞46 号）的规定，本公司（联合体）参加</w:t>
      </w:r>
      <w:r>
        <w:rPr>
          <w:rFonts w:ascii="宋体" w:hAnsi="宋体" w:eastAsia="宋体"/>
          <w:spacing w:val="6"/>
          <w:sz w:val="24"/>
          <w:u w:val="single"/>
        </w:rPr>
        <w:t>（单位名称）</w:t>
      </w:r>
      <w:r>
        <w:rPr>
          <w:rFonts w:ascii="宋体" w:hAnsi="宋体" w:eastAsia="宋体"/>
          <w:spacing w:val="6"/>
          <w:sz w:val="24"/>
        </w:rPr>
        <w:t>的</w:t>
      </w:r>
      <w:r>
        <w:rPr>
          <w:rFonts w:ascii="宋体" w:hAnsi="宋体" w:eastAsia="宋体"/>
          <w:spacing w:val="6"/>
          <w:sz w:val="24"/>
          <w:u w:val="single"/>
        </w:rPr>
        <w:t>（项目名称）</w:t>
      </w:r>
      <w:r>
        <w:rPr>
          <w:rFonts w:ascii="宋体" w:hAnsi="宋体" w:eastAsia="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ascii="宋体" w:hAnsi="宋体" w:eastAsia="宋体"/>
          <w:spacing w:val="6"/>
          <w:sz w:val="24"/>
        </w:rPr>
      </w:pPr>
      <w:r>
        <w:rPr>
          <w:rFonts w:ascii="宋体" w:hAnsi="宋体" w:eastAsia="宋体"/>
          <w:spacing w:val="6"/>
          <w:sz w:val="24"/>
        </w:rPr>
        <w:t>1.</w:t>
      </w:r>
      <w:r>
        <w:rPr>
          <w:rFonts w:ascii="宋体" w:hAnsi="宋体" w:eastAsia="宋体"/>
          <w:spacing w:val="6"/>
          <w:sz w:val="24"/>
          <w:u w:val="single"/>
        </w:rPr>
        <w:t>（标的名称）</w:t>
      </w:r>
      <w:r>
        <w:rPr>
          <w:rFonts w:ascii="宋体" w:hAnsi="宋体" w:eastAsia="宋体"/>
          <w:spacing w:val="6"/>
          <w:sz w:val="24"/>
        </w:rPr>
        <w:t>，属于</w:t>
      </w:r>
      <w:r>
        <w:rPr>
          <w:rFonts w:ascii="宋体" w:hAnsi="宋体" w:eastAsia="宋体"/>
          <w:spacing w:val="6"/>
          <w:sz w:val="24"/>
          <w:u w:val="single"/>
        </w:rPr>
        <w:t>（采购文件中明确的所属行业）</w:t>
      </w:r>
      <w:r>
        <w:rPr>
          <w:rFonts w:ascii="宋体" w:hAnsi="宋体" w:eastAsia="宋体"/>
          <w:spacing w:val="6"/>
          <w:sz w:val="24"/>
        </w:rPr>
        <w:t>行业；承建（承接）企业为</w:t>
      </w:r>
      <w:r>
        <w:rPr>
          <w:rFonts w:ascii="宋体" w:hAnsi="宋体" w:eastAsia="宋体"/>
          <w:spacing w:val="6"/>
          <w:sz w:val="24"/>
          <w:u w:val="single"/>
        </w:rPr>
        <w:t>（企业名称）</w:t>
      </w:r>
      <w:r>
        <w:rPr>
          <w:rFonts w:ascii="宋体" w:hAnsi="宋体" w:eastAsia="宋体"/>
          <w:spacing w:val="6"/>
          <w:sz w:val="24"/>
        </w:rPr>
        <w:t>，从业人员______人，营业收入为______万元，资产总额为______万元</w:t>
      </w:r>
      <w:r>
        <w:rPr>
          <w:rFonts w:ascii="宋体" w:hAnsi="宋体" w:eastAsia="宋体"/>
          <w:spacing w:val="6"/>
          <w:sz w:val="24"/>
          <w:vertAlign w:val="superscript"/>
        </w:rPr>
        <w:t>1</w:t>
      </w:r>
      <w:r>
        <w:rPr>
          <w:rFonts w:ascii="宋体" w:hAnsi="宋体" w:eastAsia="宋体"/>
          <w:spacing w:val="6"/>
          <w:sz w:val="24"/>
        </w:rPr>
        <w:t>，属于（中型企业、小型企业、微型企业）；</w:t>
      </w:r>
    </w:p>
    <w:p>
      <w:pPr>
        <w:spacing w:line="360" w:lineRule="auto"/>
        <w:ind w:firstLine="504"/>
        <w:rPr>
          <w:rFonts w:ascii="宋体" w:hAnsi="宋体" w:eastAsia="宋体"/>
          <w:spacing w:val="6"/>
          <w:sz w:val="24"/>
        </w:rPr>
      </w:pPr>
      <w:r>
        <w:rPr>
          <w:rFonts w:ascii="宋体" w:hAnsi="宋体" w:eastAsia="宋体"/>
          <w:spacing w:val="6"/>
          <w:sz w:val="24"/>
        </w:rPr>
        <w:t>2.</w:t>
      </w:r>
      <w:r>
        <w:rPr>
          <w:rFonts w:ascii="宋体" w:hAnsi="宋体" w:eastAsia="宋体"/>
          <w:spacing w:val="6"/>
          <w:sz w:val="24"/>
          <w:u w:val="single"/>
        </w:rPr>
        <w:t>（标的名称）</w:t>
      </w:r>
      <w:r>
        <w:rPr>
          <w:rFonts w:ascii="宋体" w:hAnsi="宋体" w:eastAsia="宋体"/>
          <w:spacing w:val="6"/>
          <w:sz w:val="24"/>
        </w:rPr>
        <w:t>，属于</w:t>
      </w:r>
      <w:r>
        <w:rPr>
          <w:rFonts w:ascii="宋体" w:hAnsi="宋体" w:eastAsia="宋体"/>
          <w:spacing w:val="6"/>
          <w:sz w:val="24"/>
          <w:u w:val="single"/>
        </w:rPr>
        <w:t>（采购文件中明确的所属行业）</w:t>
      </w:r>
      <w:r>
        <w:rPr>
          <w:rFonts w:ascii="宋体" w:hAnsi="宋体" w:eastAsia="宋体"/>
          <w:spacing w:val="6"/>
          <w:sz w:val="24"/>
        </w:rPr>
        <w:t>行业；承建（承接）企业为</w:t>
      </w:r>
      <w:r>
        <w:rPr>
          <w:rFonts w:ascii="宋体" w:hAnsi="宋体" w:eastAsia="宋体"/>
          <w:spacing w:val="6"/>
          <w:sz w:val="24"/>
          <w:u w:val="single"/>
        </w:rPr>
        <w:t>（企业名称）</w:t>
      </w:r>
      <w:r>
        <w:rPr>
          <w:rFonts w:ascii="宋体" w:hAnsi="宋体" w:eastAsia="宋体"/>
          <w:spacing w:val="6"/>
          <w:sz w:val="24"/>
        </w:rPr>
        <w:t>，从业人员______人，营业收入为______万元，资产总额为______万元，属于</w:t>
      </w:r>
      <w:r>
        <w:rPr>
          <w:rFonts w:ascii="宋体" w:hAnsi="宋体" w:eastAsia="宋体"/>
          <w:spacing w:val="6"/>
          <w:sz w:val="24"/>
          <w:u w:val="single"/>
        </w:rPr>
        <w:t>（中型企业、小型企业、微型企业）</w:t>
      </w:r>
      <w:r>
        <w:rPr>
          <w:rFonts w:ascii="宋体" w:hAnsi="宋体" w:eastAsia="宋体"/>
          <w:spacing w:val="6"/>
          <w:sz w:val="24"/>
        </w:rPr>
        <w:t>；</w:t>
      </w:r>
    </w:p>
    <w:p>
      <w:pPr>
        <w:spacing w:line="360" w:lineRule="auto"/>
        <w:ind w:firstLine="504"/>
        <w:rPr>
          <w:rFonts w:ascii="宋体" w:hAnsi="宋体" w:eastAsia="宋体"/>
          <w:spacing w:val="6"/>
          <w:sz w:val="24"/>
        </w:rPr>
      </w:pPr>
    </w:p>
    <w:p>
      <w:pPr>
        <w:spacing w:line="360" w:lineRule="auto"/>
        <w:ind w:firstLine="504"/>
        <w:rPr>
          <w:rFonts w:ascii="宋体" w:hAnsi="宋体" w:eastAsia="宋体"/>
          <w:spacing w:val="6"/>
          <w:sz w:val="24"/>
        </w:rPr>
      </w:pPr>
      <w:r>
        <w:rPr>
          <w:rFonts w:ascii="宋体" w:hAnsi="宋体" w:eastAsia="宋体"/>
          <w:spacing w:val="6"/>
          <w:sz w:val="24"/>
        </w:rPr>
        <w:t>……</w:t>
      </w:r>
    </w:p>
    <w:p>
      <w:pPr>
        <w:spacing w:line="360" w:lineRule="auto"/>
        <w:ind w:firstLine="504"/>
        <w:rPr>
          <w:rFonts w:ascii="宋体" w:hAnsi="宋体" w:eastAsia="宋体"/>
          <w:spacing w:val="6"/>
          <w:sz w:val="24"/>
        </w:rPr>
      </w:pPr>
      <w:r>
        <w:rPr>
          <w:rFonts w:ascii="宋体" w:hAnsi="宋体" w:eastAsia="宋体"/>
          <w:spacing w:val="6"/>
          <w:sz w:val="24"/>
        </w:rPr>
        <w:t>以上企业，不属于大企业的分支机构，不存在控股股东为大企业的情形，也不存在与大企业的负责人为同一人的情形。</w:t>
      </w:r>
    </w:p>
    <w:p>
      <w:pPr>
        <w:spacing w:line="360" w:lineRule="auto"/>
        <w:ind w:firstLine="504"/>
        <w:rPr>
          <w:rFonts w:ascii="宋体" w:hAnsi="宋体" w:eastAsia="宋体"/>
          <w:spacing w:val="6"/>
          <w:sz w:val="24"/>
        </w:rPr>
      </w:pPr>
      <w:r>
        <w:rPr>
          <w:rFonts w:ascii="宋体" w:hAnsi="宋体" w:eastAsia="宋体"/>
          <w:spacing w:val="6"/>
          <w:sz w:val="24"/>
        </w:rPr>
        <w:t>本企业对上述声明内容的真实性负责。如有虚假，将依法承担相应责任。</w:t>
      </w:r>
    </w:p>
    <w:p>
      <w:pPr>
        <w:spacing w:line="360" w:lineRule="auto"/>
        <w:ind w:right="360" w:firstLine="480"/>
        <w:jc w:val="right"/>
        <w:rPr>
          <w:rFonts w:ascii="宋体" w:hAnsi="宋体" w:eastAsia="宋体"/>
          <w:color w:val="000000"/>
          <w:sz w:val="24"/>
        </w:rPr>
      </w:pPr>
    </w:p>
    <w:p>
      <w:pPr>
        <w:spacing w:line="360" w:lineRule="auto"/>
        <w:ind w:right="360" w:firstLine="480"/>
        <w:jc w:val="right"/>
        <w:rPr>
          <w:rFonts w:ascii="宋体" w:hAnsi="宋体" w:eastAsia="宋体"/>
          <w:color w:val="000000"/>
          <w:sz w:val="24"/>
        </w:rPr>
      </w:pPr>
      <w:r>
        <w:rPr>
          <w:rFonts w:ascii="宋体" w:hAnsi="宋体" w:eastAsia="宋体"/>
          <w:color w:val="000000"/>
          <w:sz w:val="24"/>
        </w:rPr>
        <w:t>企业名称（盖章）：________</w:t>
      </w:r>
    </w:p>
    <w:p>
      <w:pPr>
        <w:spacing w:line="360" w:lineRule="auto"/>
        <w:ind w:right="360" w:firstLine="480"/>
        <w:jc w:val="right"/>
        <w:rPr>
          <w:rFonts w:ascii="宋体" w:hAnsi="宋体" w:eastAsia="宋体"/>
          <w:color w:val="000000"/>
          <w:sz w:val="24"/>
        </w:rPr>
      </w:pPr>
      <w:r>
        <w:rPr>
          <w:rFonts w:ascii="宋体" w:hAnsi="宋体" w:eastAsia="宋体"/>
          <w:color w:val="000000"/>
          <w:sz w:val="24"/>
        </w:rPr>
        <w:t>日 期：________</w:t>
      </w:r>
    </w:p>
    <w:p>
      <w:pPr>
        <w:adjustRightInd w:val="0"/>
        <w:snapToGrid w:val="0"/>
        <w:jc w:val="left"/>
        <w:rPr>
          <w:rFonts w:ascii="宋体" w:hAnsi="宋体" w:eastAsia="宋体"/>
          <w:color w:val="000000"/>
          <w:sz w:val="24"/>
          <w:szCs w:val="21"/>
        </w:rPr>
      </w:pPr>
    </w:p>
    <w:p>
      <w:pPr>
        <w:adjustRightInd w:val="0"/>
        <w:snapToGrid w:val="0"/>
        <w:jc w:val="left"/>
        <w:rPr>
          <w:rFonts w:ascii="宋体" w:hAnsi="宋体" w:eastAsia="宋体"/>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pPr>
              <w:adjustRightInd w:val="0"/>
              <w:snapToGrid w:val="0"/>
              <w:jc w:val="left"/>
              <w:rPr>
                <w:rFonts w:ascii="宋体" w:hAnsi="宋体" w:eastAsia="宋体"/>
                <w:color w:val="000000"/>
                <w:szCs w:val="21"/>
              </w:rPr>
            </w:pPr>
            <w:r>
              <w:rPr>
                <w:rFonts w:ascii="宋体" w:hAnsi="宋体" w:eastAsia="宋体"/>
                <w:color w:val="000000"/>
                <w:szCs w:val="21"/>
                <w:vertAlign w:val="superscript"/>
              </w:rPr>
              <w:t>1</w:t>
            </w:r>
            <w:r>
              <w:rPr>
                <w:rFonts w:ascii="宋体" w:hAnsi="宋体" w:eastAsia="宋体"/>
                <w:color w:val="000000"/>
                <w:szCs w:val="21"/>
              </w:rPr>
              <w:t>从业人员、营业收入、资产总额填报上一年度数据，无上一年度数据的新成立企业可不填报。</w:t>
            </w:r>
          </w:p>
        </w:tc>
      </w:tr>
    </w:tbl>
    <w:p>
      <w:pPr>
        <w:adjustRightInd w:val="0"/>
        <w:snapToGrid w:val="0"/>
        <w:jc w:val="left"/>
        <w:rPr>
          <w:rFonts w:ascii="宋体" w:hAnsi="宋体" w:eastAsia="宋体"/>
          <w:color w:val="000000"/>
          <w:szCs w:val="21"/>
          <w:vertAlign w:val="superscript"/>
        </w:rPr>
      </w:pPr>
    </w:p>
    <w:p>
      <w:pPr>
        <w:spacing w:line="360" w:lineRule="auto"/>
        <w:ind w:right="360" w:firstLine="480"/>
        <w:jc w:val="right"/>
        <w:rPr>
          <w:rFonts w:ascii="宋体" w:hAnsi="宋体" w:eastAsia="宋体"/>
          <w:color w:val="000000"/>
          <w:sz w:val="24"/>
        </w:rPr>
      </w:pPr>
    </w:p>
    <w:p>
      <w:pPr>
        <w:spacing w:line="360" w:lineRule="auto"/>
        <w:ind w:right="360" w:firstLine="480"/>
        <w:jc w:val="right"/>
        <w:rPr>
          <w:rFonts w:ascii="宋体" w:hAnsi="宋体" w:eastAsia="宋体"/>
          <w:color w:val="000000"/>
          <w:sz w:val="24"/>
        </w:rPr>
      </w:pPr>
    </w:p>
    <w:p>
      <w:pPr>
        <w:spacing w:line="360" w:lineRule="auto"/>
        <w:outlineLvl w:val="2"/>
        <w:rPr>
          <w:rFonts w:ascii="宋体" w:hAnsi="宋体" w:eastAsia="宋体"/>
          <w:color w:val="000000"/>
          <w:sz w:val="24"/>
          <w:szCs w:val="20"/>
        </w:rPr>
      </w:pPr>
      <w:r>
        <w:rPr>
          <w:rFonts w:ascii="宋体" w:hAnsi="宋体" w:eastAsia="宋体"/>
          <w:color w:val="000000"/>
          <w:sz w:val="24"/>
          <w:szCs w:val="20"/>
        </w:rPr>
        <w:br w:type="page"/>
      </w:r>
    </w:p>
    <w:p>
      <w:pPr>
        <w:spacing w:before="240" w:beforeLines="100" w:after="240" w:afterLines="100" w:line="360" w:lineRule="auto"/>
        <w:jc w:val="center"/>
        <w:rPr>
          <w:rFonts w:ascii="宋体" w:hAnsi="宋体" w:eastAsia="宋体"/>
          <w:color w:val="000000"/>
          <w:sz w:val="36"/>
          <w:szCs w:val="36"/>
        </w:rPr>
      </w:pPr>
      <w:r>
        <w:rPr>
          <w:rFonts w:ascii="宋体" w:hAnsi="宋体" w:eastAsia="宋体"/>
          <w:b/>
          <w:bCs/>
          <w:color w:val="000000"/>
          <w:sz w:val="36"/>
          <w:szCs w:val="36"/>
        </w:rPr>
        <w:t>残疾人福利性单位声明函格式</w:t>
      </w:r>
      <w:r>
        <w:rPr>
          <w:rFonts w:ascii="宋体" w:hAnsi="宋体" w:eastAsia="宋体"/>
          <w:color w:val="000000"/>
          <w:sz w:val="36"/>
          <w:szCs w:val="36"/>
        </w:rPr>
        <w:t xml:space="preserve">       </w:t>
      </w:r>
    </w:p>
    <w:p>
      <w:pPr>
        <w:spacing w:line="588" w:lineRule="exact"/>
        <w:ind w:firstLine="504"/>
        <w:rPr>
          <w:rFonts w:ascii="宋体" w:hAnsi="宋体" w:eastAsia="宋体"/>
          <w:spacing w:val="6"/>
          <w:sz w:val="24"/>
        </w:rPr>
      </w:pPr>
      <w:r>
        <w:rPr>
          <w:rFonts w:ascii="宋体" w:hAnsi="宋体" w:eastAsia="宋体"/>
          <w:spacing w:val="6"/>
          <w:sz w:val="24"/>
        </w:rPr>
        <w:t>本单位郑重声明，根据《财政部 民政部 中国残疾人联合会关于促进残疾人就业政府采购政策的通知》（财库</w:t>
      </w:r>
      <w:r>
        <w:rPr>
          <w:rFonts w:ascii="宋体" w:hAnsi="宋体" w:eastAsia="宋体"/>
          <w:sz w:val="24"/>
        </w:rPr>
        <w:t>〔2017〕 141</w:t>
      </w:r>
      <w:r>
        <w:rPr>
          <w:rFonts w:ascii="宋体" w:hAnsi="宋体" w:eastAsia="宋体"/>
          <w:spacing w:val="6"/>
          <w:sz w:val="24"/>
        </w:rPr>
        <w:t>号）的规定，本单位</w:t>
      </w:r>
      <w:r>
        <w:rPr>
          <w:rFonts w:ascii="宋体" w:hAnsi="宋体" w:eastAsia="宋体"/>
          <w:b/>
          <w:sz w:val="24"/>
        </w:rPr>
        <w:t>（请进行勾选）</w:t>
      </w:r>
      <w:r>
        <w:rPr>
          <w:rFonts w:ascii="宋体" w:hAnsi="宋体" w:eastAsia="宋体"/>
          <w:spacing w:val="6"/>
          <w:sz w:val="24"/>
        </w:rPr>
        <w:t>：</w:t>
      </w:r>
    </w:p>
    <w:p>
      <w:pPr>
        <w:spacing w:line="588" w:lineRule="exact"/>
        <w:ind w:firstLine="482"/>
        <w:rPr>
          <w:rFonts w:ascii="宋体" w:hAnsi="宋体" w:eastAsia="宋体"/>
          <w:b/>
          <w:spacing w:val="6"/>
          <w:sz w:val="24"/>
        </w:rPr>
      </w:pPr>
      <w:r>
        <w:rPr>
          <w:rFonts w:ascii="宋体" w:hAnsi="宋体" w:eastAsia="宋体"/>
          <w:b/>
          <w:sz w:val="24"/>
        </w:rPr>
        <w:t>□</w:t>
      </w:r>
      <w:r>
        <w:rPr>
          <w:rFonts w:ascii="宋体" w:hAnsi="宋体" w:eastAsia="宋体"/>
          <w:b/>
          <w:spacing w:val="6"/>
          <w:sz w:val="24"/>
        </w:rPr>
        <w:t>不属于符合条件的残疾人福利性单位。</w:t>
      </w:r>
    </w:p>
    <w:p>
      <w:pPr>
        <w:spacing w:line="588" w:lineRule="exact"/>
        <w:ind w:firstLine="482"/>
        <w:rPr>
          <w:rFonts w:ascii="宋体" w:hAnsi="宋体" w:eastAsia="宋体"/>
          <w:spacing w:val="6"/>
          <w:sz w:val="24"/>
        </w:rPr>
      </w:pPr>
      <w:r>
        <w:rPr>
          <w:rFonts w:ascii="宋体" w:hAnsi="宋体" w:eastAsia="宋体"/>
          <w:b/>
          <w:sz w:val="24"/>
        </w:rPr>
        <w:t>□</w:t>
      </w:r>
      <w:r>
        <w:rPr>
          <w:rFonts w:ascii="宋体" w:hAnsi="宋体" w:eastAsia="宋体"/>
          <w:b/>
          <w:spacing w:val="6"/>
          <w:sz w:val="24"/>
        </w:rPr>
        <w:t>属于符合条件的残疾人福利性单位，</w:t>
      </w:r>
      <w:r>
        <w:rPr>
          <w:rFonts w:ascii="宋体" w:hAnsi="宋体" w:eastAsia="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eastAsia="宋体"/>
          <w:spacing w:val="6"/>
          <w:sz w:val="24"/>
        </w:rPr>
      </w:pPr>
      <w:r>
        <w:rPr>
          <w:rFonts w:ascii="宋体" w:hAnsi="宋体" w:eastAsia="宋体"/>
          <w:b/>
          <w:spacing w:val="6"/>
          <w:sz w:val="24"/>
        </w:rPr>
        <w:t>本单位对上述声明的真实性负责。如有虚假，将依法承担相应责任。</w:t>
      </w:r>
    </w:p>
    <w:p>
      <w:pPr>
        <w:spacing w:line="588" w:lineRule="exact"/>
        <w:ind w:firstLine="504" w:firstLineChars="200"/>
        <w:rPr>
          <w:rFonts w:ascii="宋体" w:hAnsi="宋体" w:eastAsia="宋体"/>
          <w:spacing w:val="6"/>
          <w:sz w:val="24"/>
        </w:rPr>
      </w:pPr>
    </w:p>
    <w:p>
      <w:pPr>
        <w:spacing w:line="588" w:lineRule="exact"/>
        <w:ind w:firstLine="504" w:firstLineChars="200"/>
        <w:rPr>
          <w:rFonts w:ascii="宋体" w:hAnsi="宋体" w:eastAsia="宋体"/>
          <w:spacing w:val="6"/>
          <w:sz w:val="24"/>
        </w:rPr>
      </w:pPr>
    </w:p>
    <w:p>
      <w:pPr>
        <w:tabs>
          <w:tab w:val="left" w:pos="4860"/>
        </w:tabs>
        <w:spacing w:line="588" w:lineRule="exact"/>
        <w:ind w:right="1560" w:firstLine="504" w:firstLineChars="200"/>
        <w:jc w:val="center"/>
        <w:rPr>
          <w:rFonts w:ascii="宋体" w:hAnsi="宋体" w:eastAsia="宋体"/>
          <w:spacing w:val="6"/>
          <w:sz w:val="24"/>
        </w:rPr>
      </w:pPr>
      <w:r>
        <w:rPr>
          <w:rFonts w:ascii="宋体" w:hAnsi="宋体" w:eastAsia="宋体"/>
          <w:spacing w:val="6"/>
          <w:sz w:val="24"/>
        </w:rPr>
        <w:t xml:space="preserve">               单位名称（盖章）：</w:t>
      </w:r>
    </w:p>
    <w:p>
      <w:pPr>
        <w:tabs>
          <w:tab w:val="left" w:pos="4860"/>
        </w:tabs>
        <w:spacing w:line="588" w:lineRule="exact"/>
        <w:ind w:right="1560" w:firstLine="504" w:firstLineChars="200"/>
        <w:jc w:val="center"/>
        <w:rPr>
          <w:rFonts w:ascii="宋体" w:hAnsi="宋体" w:eastAsia="宋体"/>
          <w:spacing w:val="6"/>
          <w:sz w:val="24"/>
        </w:rPr>
      </w:pPr>
      <w:r>
        <w:rPr>
          <w:rFonts w:ascii="宋体" w:hAnsi="宋体" w:eastAsia="宋体"/>
          <w:spacing w:val="6"/>
          <w:sz w:val="24"/>
        </w:rPr>
        <w:t xml:space="preserve">       日  期：</w:t>
      </w:r>
    </w:p>
    <w:p>
      <w:pPr>
        <w:widowControl/>
        <w:jc w:val="left"/>
        <w:rPr>
          <w:rFonts w:ascii="宋体" w:hAnsi="宋体" w:eastAsia="宋体"/>
          <w:color w:val="000000"/>
          <w:sz w:val="24"/>
          <w:szCs w:val="20"/>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pPr>
        <w:widowControl/>
        <w:jc w:val="center"/>
        <w:rPr>
          <w:sz w:val="24"/>
        </w:rPr>
      </w:pPr>
      <w:r>
        <w:rPr>
          <w:rFonts w:hint="eastAsia" w:ascii="宋体" w:hAnsi="宋体" w:eastAsia="宋体"/>
          <w:b/>
          <w:bCs/>
          <w:color w:val="000000"/>
          <w:sz w:val="36"/>
          <w:szCs w:val="36"/>
        </w:rPr>
        <w:t>监狱企业证明（原件）（如有）</w:t>
      </w:r>
    </w:p>
    <w:p>
      <w:pPr>
        <w:spacing w:line="360" w:lineRule="auto"/>
        <w:outlineLvl w:val="2"/>
        <w:rPr>
          <w:color w:val="000000"/>
          <w:sz w:val="24"/>
          <w:szCs w:val="20"/>
        </w:rPr>
      </w:pPr>
      <w:r>
        <w:rPr>
          <w:color w:val="000000"/>
          <w:sz w:val="24"/>
          <w:szCs w:val="20"/>
        </w:rPr>
        <w:br w:type="page"/>
      </w:r>
      <w:r>
        <w:rPr>
          <w:color w:val="000000"/>
          <w:sz w:val="24"/>
          <w:szCs w:val="20"/>
        </w:rPr>
        <w:t xml:space="preserve">3 </w:t>
      </w:r>
      <w:r>
        <w:rPr>
          <w:sz w:val="24"/>
        </w:rPr>
        <w:t>本项目的特定资格要求</w:t>
      </w:r>
    </w:p>
    <w:p>
      <w:pPr>
        <w:spacing w:line="360" w:lineRule="auto"/>
        <w:outlineLvl w:val="2"/>
        <w:rPr>
          <w:sz w:val="24"/>
          <w:szCs w:val="20"/>
        </w:rPr>
      </w:pPr>
      <w:r>
        <w:rPr>
          <w:color w:val="000000"/>
          <w:sz w:val="24"/>
          <w:szCs w:val="20"/>
        </w:rPr>
        <w:t>3-</w:t>
      </w:r>
      <w:r>
        <w:rPr>
          <w:rFonts w:hint="eastAsia"/>
          <w:color w:val="000000"/>
          <w:sz w:val="24"/>
          <w:szCs w:val="20"/>
        </w:rPr>
        <w:t>1</w:t>
      </w:r>
      <w:r>
        <w:rPr>
          <w:color w:val="000000"/>
          <w:sz w:val="24"/>
          <w:szCs w:val="20"/>
        </w:rPr>
        <w:t>其他</w:t>
      </w:r>
      <w:r>
        <w:rPr>
          <w:sz w:val="24"/>
          <w:szCs w:val="20"/>
        </w:rPr>
        <w:t>特定资格要求</w:t>
      </w:r>
    </w:p>
    <w:p>
      <w:pPr>
        <w:numPr>
          <w:ilvl w:val="0"/>
          <w:numId w:val="18"/>
        </w:numPr>
        <w:tabs>
          <w:tab w:val="left" w:pos="5580"/>
        </w:tabs>
        <w:spacing w:line="360" w:lineRule="auto"/>
        <w:rPr>
          <w:sz w:val="24"/>
        </w:rPr>
      </w:pPr>
      <w:r>
        <w:rPr>
          <w:sz w:val="24"/>
        </w:rPr>
        <w:t>具有燃气行政监督管理部门核发的合法有效的燃气经营许可证；</w:t>
      </w:r>
    </w:p>
    <w:p>
      <w:pPr>
        <w:numPr>
          <w:ilvl w:val="0"/>
          <w:numId w:val="18"/>
        </w:numPr>
        <w:tabs>
          <w:tab w:val="left" w:pos="5580"/>
        </w:tabs>
        <w:spacing w:line="360" w:lineRule="auto"/>
        <w:rPr>
          <w:sz w:val="24"/>
        </w:rPr>
      </w:pPr>
      <w:r>
        <w:rPr>
          <w:sz w:val="24"/>
        </w:rPr>
        <w:t>具有合法有效的气瓶充装许可证；</w:t>
      </w:r>
    </w:p>
    <w:p>
      <w:pPr>
        <w:numPr>
          <w:ilvl w:val="0"/>
          <w:numId w:val="18"/>
        </w:numPr>
        <w:tabs>
          <w:tab w:val="left" w:pos="5580"/>
        </w:tabs>
        <w:spacing w:line="360" w:lineRule="auto"/>
        <w:rPr>
          <w:sz w:val="24"/>
        </w:rPr>
      </w:pPr>
      <w:r>
        <w:rPr>
          <w:sz w:val="24"/>
        </w:rPr>
        <w:t>具有危险品道路运输经营许可证（或与具有相应资质的第三方危险货物道路运输企业签订的委托合同及危险品道路运输经营许可证）。</w:t>
      </w:r>
    </w:p>
    <w:p>
      <w:pPr>
        <w:numPr>
          <w:ilvl w:val="0"/>
          <w:numId w:val="0"/>
        </w:numPr>
        <w:tabs>
          <w:tab w:val="left" w:pos="5580"/>
        </w:tabs>
        <w:spacing w:line="360" w:lineRule="auto"/>
        <w:rPr>
          <w:rFonts w:hint="default" w:eastAsia="宋体"/>
          <w:b/>
          <w:bCs/>
          <w:sz w:val="24"/>
          <w:lang w:val="en-US" w:eastAsia="zh-CN"/>
        </w:rPr>
      </w:pPr>
      <w:r>
        <w:rPr>
          <w:rFonts w:hint="eastAsia"/>
          <w:b/>
          <w:bCs/>
          <w:sz w:val="24"/>
          <w:lang w:val="en-US" w:eastAsia="zh-CN"/>
        </w:rPr>
        <w:t>注：以上资料提供证明材料复印件加盖公章。</w:t>
      </w:r>
    </w:p>
    <w:p>
      <w:pPr>
        <w:tabs>
          <w:tab w:val="left" w:pos="5580"/>
        </w:tabs>
        <w:spacing w:line="360" w:lineRule="auto"/>
        <w:rPr>
          <w:sz w:val="24"/>
          <w:szCs w:val="20"/>
        </w:rPr>
      </w:pPr>
    </w:p>
    <w:p>
      <w:pPr>
        <w:widowControl/>
        <w:jc w:val="left"/>
        <w:rPr>
          <w:kern w:val="0"/>
          <w:sz w:val="24"/>
          <w:szCs w:val="20"/>
        </w:rPr>
      </w:pPr>
      <w:r>
        <w:rPr>
          <w:b/>
          <w:sz w:val="24"/>
        </w:rPr>
        <w:br w:type="page"/>
      </w:r>
    </w:p>
    <w:p>
      <w:pPr>
        <w:spacing w:line="360" w:lineRule="auto"/>
        <w:outlineLvl w:val="2"/>
        <w:rPr>
          <w:color w:val="000000"/>
          <w:sz w:val="24"/>
          <w:szCs w:val="20"/>
        </w:rPr>
      </w:pPr>
      <w:bookmarkStart w:id="657" w:name="_Hlt520274065"/>
      <w:bookmarkEnd w:id="657"/>
      <w:bookmarkStart w:id="658" w:name="_Hlt520355504"/>
      <w:bookmarkEnd w:id="658"/>
      <w:bookmarkStart w:id="659" w:name="_Hlt520343000"/>
      <w:bookmarkEnd w:id="659"/>
      <w:bookmarkStart w:id="660" w:name="_Hlt520271212"/>
      <w:bookmarkEnd w:id="660"/>
      <w:bookmarkStart w:id="661" w:name="_Hlt520274121"/>
      <w:bookmarkEnd w:id="661"/>
      <w:bookmarkStart w:id="662" w:name="_Hlt520274393"/>
      <w:bookmarkEnd w:id="662"/>
      <w:bookmarkStart w:id="663" w:name="_Hlt520274407"/>
      <w:bookmarkEnd w:id="663"/>
      <w:bookmarkStart w:id="664" w:name="_Hlt520343392"/>
      <w:bookmarkEnd w:id="664"/>
      <w:bookmarkStart w:id="665" w:name="_Hlt520273711"/>
      <w:bookmarkEnd w:id="665"/>
      <w:bookmarkStart w:id="666" w:name="_Hlt520350918"/>
      <w:bookmarkEnd w:id="666"/>
      <w:bookmarkStart w:id="667" w:name="_Ref467988698"/>
      <w:bookmarkStart w:id="668" w:name="_Toc480942349"/>
      <w:bookmarkStart w:id="669" w:name="_Toc226337252"/>
      <w:bookmarkStart w:id="670" w:name="_Toc226965746"/>
      <w:bookmarkStart w:id="671" w:name="_Toc520356217"/>
      <w:bookmarkStart w:id="672" w:name="_Toc226965829"/>
      <w:bookmarkStart w:id="673" w:name="_Toc195842921"/>
      <w:bookmarkStart w:id="674" w:name="_Toc226309800"/>
      <w:bookmarkStart w:id="675" w:name="_Toc142311058"/>
      <w:bookmarkStart w:id="676" w:name="_Toc150480794"/>
      <w:bookmarkStart w:id="677" w:name="_Toc150774761"/>
      <w:bookmarkStart w:id="678" w:name="_Toc127151556"/>
      <w:r>
        <w:rPr>
          <w:color w:val="000000"/>
          <w:sz w:val="24"/>
          <w:szCs w:val="20"/>
        </w:rPr>
        <w:t>4 保证金凭证/交款单据电子件</w:t>
      </w:r>
      <w:r>
        <w:rPr>
          <w:rFonts w:hint="eastAsia"/>
          <w:color w:val="000000"/>
          <w:sz w:val="24"/>
          <w:szCs w:val="20"/>
        </w:rPr>
        <w:t>（本项目不适用）</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rPr>
        <w:t>5</w:t>
      </w:r>
      <w:bookmarkEnd w:id="667"/>
      <w:bookmarkEnd w:id="668"/>
      <w:r>
        <w:rPr>
          <w:color w:val="000000"/>
          <w:sz w:val="24"/>
        </w:rPr>
        <w:t xml:space="preserve"> 响应书</w:t>
      </w:r>
      <w:bookmarkEnd w:id="669"/>
      <w:bookmarkEnd w:id="670"/>
      <w:bookmarkEnd w:id="671"/>
      <w:bookmarkEnd w:id="672"/>
      <w:bookmarkEnd w:id="673"/>
      <w:bookmarkEnd w:id="674"/>
      <w:bookmarkEnd w:id="675"/>
      <w:bookmarkEnd w:id="676"/>
      <w:bookmarkEnd w:id="677"/>
      <w:bookmarkEnd w:id="678"/>
    </w:p>
    <w:p>
      <w:pPr>
        <w:tabs>
          <w:tab w:val="left" w:pos="5580"/>
        </w:tabs>
        <w:spacing w:line="360" w:lineRule="auto"/>
        <w:rPr>
          <w:color w:val="000000"/>
          <w:sz w:val="24"/>
        </w:rPr>
      </w:pPr>
    </w:p>
    <w:p>
      <w:pPr>
        <w:spacing w:line="360" w:lineRule="auto"/>
        <w:jc w:val="center"/>
        <w:rPr>
          <w:b/>
          <w:color w:val="000000"/>
          <w:sz w:val="36"/>
          <w:szCs w:val="36"/>
        </w:rPr>
      </w:pPr>
      <w:r>
        <w:rPr>
          <w:b/>
          <w:color w:val="000000"/>
          <w:sz w:val="36"/>
          <w:szCs w:val="36"/>
        </w:rPr>
        <w:t>响应书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我方参加你方就_____________________（项目名称，项目编号/包号）组织的采购活动，并对此项目进行响应。</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已详细审查全部单一来源采购文件</w:t>
      </w:r>
      <w:r>
        <w:rPr>
          <w:color w:val="000000"/>
          <w:sz w:val="24"/>
          <w:szCs w:val="20"/>
        </w:rPr>
        <w:t>，自愿参与响应并承诺如下：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（1）本响应有效期为自提交响应文件的截止之日起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rFonts w:hint="eastAsia"/>
          <w:color w:val="000000"/>
          <w:sz w:val="24"/>
          <w:szCs w:val="20"/>
        </w:rPr>
      </w:pPr>
      <w:r>
        <w:rPr>
          <w:color w:val="000000"/>
          <w:sz w:val="24"/>
          <w:szCs w:val="20"/>
        </w:rPr>
        <w:t>（2）除合同条款及采购需求偏离表列出的偏离外，我方响应单一来源采购文件的全</w:t>
      </w:r>
    </w:p>
    <w:p>
      <w:pPr>
        <w:tabs>
          <w:tab w:val="left" w:pos="720"/>
          <w:tab w:val="left" w:pos="900"/>
        </w:tabs>
        <w:spacing w:line="360" w:lineRule="auto"/>
        <w:rPr>
          <w:color w:val="000000"/>
          <w:sz w:val="24"/>
          <w:szCs w:val="20"/>
        </w:rPr>
      </w:pPr>
      <w:r>
        <w:rPr>
          <w:color w:val="000000"/>
          <w:sz w:val="24"/>
          <w:szCs w:val="20"/>
        </w:rPr>
        <w:t>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（4）如我方成交，我方将在法律规定的期限内与你方签订合同，按照单一来源采购文件要求提交履约保证金，并在合同约定的期限内完成合同规定的全部义务。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_____________________</w:t>
      </w:r>
      <w:r>
        <w:rPr>
          <w:color w:val="000000"/>
          <w:sz w:val="24"/>
        </w:rPr>
        <w:t>。</w:t>
      </w:r>
    </w:p>
    <w:p>
      <w:pPr>
        <w:spacing w:line="360" w:lineRule="auto"/>
        <w:ind w:firstLine="480" w:firstLineChars="200"/>
        <w:rPr>
          <w:color w:val="000000"/>
          <w:sz w:val="24"/>
        </w:rPr>
      </w:pPr>
      <w:r>
        <w:rPr>
          <w:color w:val="000000"/>
          <w:sz w:val="24"/>
        </w:rPr>
        <w:t>与本响应有关的一切正式往来信函请寄：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供应商名称（加盖公章） _____________________</w:t>
      </w:r>
    </w:p>
    <w:p>
      <w:pPr>
        <w:tabs>
          <w:tab w:val="left" w:pos="5580"/>
        </w:tabs>
        <w:spacing w:line="360" w:lineRule="auto"/>
        <w:ind w:left="420"/>
        <w:rPr>
          <w:color w:val="000000"/>
          <w:sz w:val="24"/>
          <w:szCs w:val="20"/>
          <w:u w:val="single"/>
        </w:rPr>
      </w:pPr>
      <w:r>
        <w:rPr>
          <w:color w:val="000000"/>
          <w:sz w:val="24"/>
          <w:szCs w:val="20"/>
        </w:rPr>
        <w:t xml:space="preserve">日期：_____年______月______日  </w:t>
      </w:r>
    </w:p>
    <w:p>
      <w:pPr>
        <w:widowControl/>
        <w:jc w:val="left"/>
        <w:rPr>
          <w:color w:val="000000"/>
          <w:sz w:val="24"/>
        </w:rPr>
      </w:pPr>
      <w:bookmarkStart w:id="679" w:name="_Hlt520356243"/>
      <w:bookmarkEnd w:id="679"/>
      <w:bookmarkStart w:id="680" w:name="_Hlt520355938"/>
      <w:bookmarkEnd w:id="680"/>
      <w:bookmarkStart w:id="681" w:name="_Toc150480795"/>
      <w:bookmarkStart w:id="682" w:name="_Toc142311059"/>
      <w:bookmarkStart w:id="683" w:name="_Toc265228395"/>
      <w:bookmarkStart w:id="684" w:name="_Ref467988705"/>
      <w:bookmarkStart w:id="685" w:name="_Toc226965830"/>
      <w:bookmarkStart w:id="686" w:name="_Toc226309801"/>
      <w:bookmarkStart w:id="687" w:name="_Toc520356218"/>
      <w:bookmarkStart w:id="688" w:name="_Toc195842922"/>
      <w:bookmarkStart w:id="689" w:name="_Toc127151557"/>
      <w:bookmarkStart w:id="690" w:name="_Toc305158825"/>
      <w:bookmarkStart w:id="691" w:name="_Toc226965747"/>
      <w:bookmarkStart w:id="692" w:name="_Toc264969247"/>
      <w:bookmarkStart w:id="693" w:name="_Toc480942350"/>
      <w:bookmarkStart w:id="694" w:name="_Toc150774762"/>
      <w:bookmarkStart w:id="695" w:name="_Toc226337253"/>
      <w:bookmarkStart w:id="696" w:name="_Toc305158899"/>
      <w:r>
        <w:rPr>
          <w:color w:val="000000"/>
          <w:sz w:val="24"/>
        </w:rPr>
        <w:br w:type="page"/>
      </w:r>
    </w:p>
    <w:p>
      <w:pPr>
        <w:spacing w:line="360" w:lineRule="auto"/>
        <w:outlineLvl w:val="2"/>
        <w:rPr>
          <w:color w:val="000000"/>
          <w:sz w:val="24"/>
        </w:rPr>
      </w:pPr>
      <w:r>
        <w:rPr>
          <w:color w:val="000000"/>
          <w:sz w:val="24"/>
        </w:rPr>
        <w:t>6 授权委托书</w:t>
      </w:r>
    </w:p>
    <w:p>
      <w:pPr>
        <w:spacing w:line="360" w:lineRule="auto"/>
        <w:jc w:val="center"/>
        <w:rPr>
          <w:b/>
          <w:color w:val="000000"/>
          <w:sz w:val="36"/>
          <w:szCs w:val="36"/>
        </w:rPr>
      </w:pPr>
      <w:r>
        <w:rPr>
          <w:b/>
          <w:color w:val="000000"/>
          <w:sz w:val="36"/>
          <w:szCs w:val="36"/>
        </w:rPr>
        <w:t>授权委托书</w:t>
      </w:r>
    </w:p>
    <w:p>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（姓名）为我方代理人。代理人根据授权，以我方名义签署、澄清确认、递交、撤回、修改</w:t>
      </w:r>
      <w:r>
        <w:rPr>
          <w:color w:val="000000"/>
          <w:sz w:val="24"/>
          <w:lang w:val="zh-CN"/>
        </w:rPr>
        <w:t>________________</w:t>
      </w:r>
      <w:r>
        <w:rPr>
          <w:color w:val="000000"/>
          <w:sz w:val="24"/>
          <w:szCs w:val="20"/>
        </w:rPr>
        <w:t>（项目名称）响应文件和处理有关事宜，其法律后果由我方承担。</w:t>
      </w:r>
    </w:p>
    <w:p>
      <w:pPr>
        <w:spacing w:line="360" w:lineRule="auto"/>
        <w:ind w:firstLine="420"/>
        <w:rPr>
          <w:color w:val="000000"/>
          <w:sz w:val="24"/>
          <w:szCs w:val="20"/>
        </w:rPr>
      </w:pPr>
      <w:r>
        <w:rPr>
          <w:color w:val="000000"/>
          <w:sz w:val="24"/>
          <w:szCs w:val="20"/>
        </w:rPr>
        <w:t>委托期限：自本授权委托书签署之日起至响应有效期届满之日止。</w:t>
      </w:r>
    </w:p>
    <w:p>
      <w:pPr>
        <w:spacing w:line="360" w:lineRule="auto"/>
        <w:ind w:firstLine="420"/>
        <w:rPr>
          <w:color w:val="000000"/>
          <w:sz w:val="24"/>
          <w:szCs w:val="20"/>
        </w:rPr>
      </w:pPr>
      <w:r>
        <w:rPr>
          <w:color w:val="000000"/>
          <w:sz w:val="24"/>
          <w:szCs w:val="20"/>
        </w:rPr>
        <w:t>代理人无转委托权。</w:t>
      </w:r>
      <w:r>
        <w:rPr>
          <w:color w:val="000000"/>
          <w:sz w:val="24"/>
          <w:szCs w:val="20"/>
        </w:rPr>
        <w:cr/>
      </w:r>
    </w:p>
    <w:p>
      <w:pPr>
        <w:spacing w:line="360" w:lineRule="auto"/>
        <w:rPr>
          <w:color w:val="000000"/>
          <w:sz w:val="24"/>
          <w:lang w:val="zh-CN"/>
        </w:rPr>
      </w:pPr>
      <w:r>
        <w:rPr>
          <w:color w:val="000000"/>
          <w:sz w:val="24"/>
        </w:rPr>
        <w:t>供应商名称（加盖公章）</w:t>
      </w:r>
      <w:r>
        <w:rPr>
          <w:color w:val="000000"/>
          <w:sz w:val="24"/>
          <w:lang w:val="zh-CN"/>
        </w:rPr>
        <w:t>：________________</w:t>
      </w:r>
    </w:p>
    <w:p>
      <w:pPr>
        <w:spacing w:line="360" w:lineRule="auto"/>
        <w:rPr>
          <w:color w:val="000000"/>
          <w:sz w:val="24"/>
          <w:szCs w:val="20"/>
        </w:rPr>
      </w:pPr>
      <w:r>
        <w:rPr>
          <w:color w:val="000000"/>
          <w:sz w:val="24"/>
          <w:szCs w:val="20"/>
        </w:rPr>
        <w:t>法定代表人（单位负责人）（签字或盖章）：</w:t>
      </w:r>
      <w:r>
        <w:rPr>
          <w:color w:val="000000"/>
          <w:sz w:val="24"/>
          <w:lang w:val="zh-CN"/>
        </w:rPr>
        <w:t>________________</w:t>
      </w:r>
    </w:p>
    <w:p>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或盖章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pPr>
        <w:autoSpaceDE w:val="0"/>
        <w:autoSpaceDN w:val="0"/>
        <w:adjustRightInd w:val="0"/>
        <w:snapToGrid w:val="0"/>
        <w:spacing w:line="360" w:lineRule="auto"/>
        <w:rPr>
          <w:color w:val="000000"/>
          <w:sz w:val="24"/>
          <w:lang w:val="zh-CN"/>
        </w:rPr>
      </w:pPr>
      <w:r>
        <w:rPr>
          <w:color w:val="000000"/>
          <w:sz w:val="24"/>
        </w:rPr>
        <w:t>日期：_____年______月______日</w:t>
      </w:r>
    </w:p>
    <w:p>
      <w:pPr>
        <w:tabs>
          <w:tab w:val="left" w:pos="5580"/>
        </w:tabs>
        <w:spacing w:line="360" w:lineRule="auto"/>
        <w:ind w:firstLine="480" w:firstLineChars="200"/>
        <w:rPr>
          <w:color w:val="000000"/>
          <w:sz w:val="24"/>
          <w:szCs w:val="20"/>
        </w:rPr>
      </w:pPr>
    </w:p>
    <w:p>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color w:val="000000"/>
          <w:sz w:val="24"/>
          <w:szCs w:val="20"/>
        </w:rPr>
        <w:t>电子件：</w:t>
      </w:r>
    </w:p>
    <w:p>
      <w:pPr>
        <w:pStyle w:val="42"/>
        <w:ind w:firstLine="480"/>
      </w:pPr>
    </w:p>
    <w:p>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color w:val="000000"/>
          <w:sz w:val="24"/>
          <w:szCs w:val="20"/>
        </w:rPr>
        <w:t>电子件：</w:t>
      </w:r>
    </w:p>
    <w:p>
      <w:pPr>
        <w:pStyle w:val="42"/>
        <w:ind w:firstLine="480"/>
      </w:pPr>
    </w:p>
    <w:p>
      <w:pPr>
        <w:tabs>
          <w:tab w:val="left" w:pos="5580"/>
        </w:tabs>
        <w:spacing w:line="360" w:lineRule="auto"/>
        <w:jc w:val="left"/>
        <w:rPr>
          <w:color w:val="000000"/>
          <w:sz w:val="24"/>
          <w:szCs w:val="20"/>
        </w:rPr>
      </w:pPr>
      <w:r>
        <w:rPr>
          <w:color w:val="000000"/>
          <w:sz w:val="24"/>
          <w:szCs w:val="20"/>
        </w:rPr>
        <w:t>说明：</w:t>
      </w:r>
    </w:p>
    <w:p>
      <w:pPr>
        <w:tabs>
          <w:tab w:val="left" w:pos="5580"/>
        </w:tabs>
        <w:jc w:val="left"/>
        <w:rPr>
          <w:color w:val="000000"/>
          <w:sz w:val="24"/>
          <w:szCs w:val="20"/>
        </w:rPr>
      </w:pPr>
      <w:r>
        <w:rPr>
          <w:color w:val="000000"/>
          <w:sz w:val="24"/>
          <w:szCs w:val="20"/>
        </w:rPr>
        <w:t>1.若供应商为事业单位或其他组织或分支机构（仅当单一来源采购文件注明允许分支机构响应的），则法定代表人（单位负责人）处的签署人可为单位负责人。</w:t>
      </w:r>
    </w:p>
    <w:p>
      <w:pPr>
        <w:tabs>
          <w:tab w:val="left" w:pos="5580"/>
        </w:tabs>
        <w:jc w:val="left"/>
        <w:rPr>
          <w:color w:val="000000"/>
          <w:sz w:val="24"/>
          <w:szCs w:val="20"/>
        </w:rPr>
      </w:pPr>
      <w:r>
        <w:rPr>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pPr>
        <w:tabs>
          <w:tab w:val="left" w:pos="5580"/>
        </w:tabs>
        <w:jc w:val="left"/>
        <w:rPr>
          <w:rFonts w:hint="eastAsia"/>
          <w:color w:val="000000"/>
          <w:sz w:val="24"/>
          <w:szCs w:val="20"/>
        </w:rPr>
      </w:pPr>
      <w:r>
        <w:rPr>
          <w:color w:val="000000"/>
          <w:sz w:val="24"/>
          <w:szCs w:val="20"/>
        </w:rPr>
        <w:t>3.供应商为自然人的情形，可不提供本《授权委托书》。</w:t>
      </w:r>
    </w:p>
    <w:p>
      <w:pPr>
        <w:tabs>
          <w:tab w:val="left" w:pos="5580"/>
        </w:tabs>
        <w:jc w:val="left"/>
        <w:rPr>
          <w:color w:val="000000"/>
          <w:sz w:val="30"/>
          <w:szCs w:val="30"/>
        </w:rPr>
      </w:pPr>
      <w:r>
        <w:rPr>
          <w:rFonts w:hint="eastAsia"/>
          <w:color w:val="000000"/>
          <w:sz w:val="24"/>
          <w:szCs w:val="20"/>
        </w:rPr>
        <w:t>4.供应商应随本《授权委托书》同时提供法定代表人（单位负责人）及委托代理人的有效的身份证、护照等身份证明文件电子件。提供身份证的，应同时提供身份证双面电子件。</w:t>
      </w:r>
      <w:r>
        <w:rPr>
          <w:color w:val="000000"/>
          <w:sz w:val="30"/>
          <w:szCs w:val="30"/>
        </w:rPr>
        <w:br w:type="page"/>
      </w:r>
    </w:p>
    <w:p>
      <w:pPr>
        <w:spacing w:line="360" w:lineRule="exact"/>
        <w:jc w:val="center"/>
        <w:rPr>
          <w:b/>
          <w:color w:val="000000"/>
          <w:sz w:val="36"/>
          <w:szCs w:val="36"/>
        </w:rPr>
      </w:pPr>
      <w:r>
        <w:rPr>
          <w:b/>
          <w:color w:val="000000"/>
          <w:sz w:val="36"/>
          <w:szCs w:val="36"/>
        </w:rPr>
        <w:t>附：法定代表人（单位负责人）身份证明</w:t>
      </w:r>
    </w:p>
    <w:p>
      <w:pPr>
        <w:kinsoku w:val="0"/>
        <w:overflowPunct w:val="0"/>
        <w:spacing w:line="200" w:lineRule="exact"/>
        <w:rPr>
          <w:sz w:val="20"/>
          <w:szCs w:val="20"/>
        </w:rPr>
      </w:pP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p>
      <w:pPr>
        <w:pStyle w:val="17"/>
        <w:kinsoku w:val="0"/>
        <w:overflowPunct w:val="0"/>
        <w:spacing w:line="583" w:lineRule="auto"/>
        <w:ind w:right="4305"/>
        <w:rPr>
          <w:rFonts w:ascii="Times New Roman" w:hAnsi="Times New Roman"/>
          <w:spacing w:val="-3"/>
        </w:rPr>
      </w:pPr>
    </w:p>
    <w:p>
      <w:pPr>
        <w:pStyle w:val="17"/>
        <w:kinsoku w:val="0"/>
        <w:overflowPunct w:val="0"/>
        <w:spacing w:line="583" w:lineRule="auto"/>
        <w:ind w:right="4305"/>
        <w:rPr>
          <w:rFonts w:ascii="Times New Roman" w:hAnsi="Times New Roman"/>
          <w:spacing w:val="-3"/>
        </w:rPr>
      </w:pPr>
    </w:p>
    <w:p>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：________________</w:t>
      </w:r>
    </w:p>
    <w:p>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）（签字或盖章）：_____________</w:t>
      </w:r>
    </w:p>
    <w:p>
      <w:pPr>
        <w:autoSpaceDE w:val="0"/>
        <w:autoSpaceDN w:val="0"/>
        <w:adjustRightInd w:val="0"/>
        <w:snapToGrid w:val="0"/>
        <w:spacing w:line="360" w:lineRule="auto"/>
        <w:rPr>
          <w:color w:val="000000"/>
          <w:sz w:val="24"/>
          <w:lang w:val="zh-CN"/>
        </w:rPr>
      </w:pPr>
      <w:r>
        <w:rPr>
          <w:color w:val="000000"/>
          <w:sz w:val="24"/>
        </w:rPr>
        <w:t>日期：_____年______月______日</w:t>
      </w:r>
    </w:p>
    <w:p>
      <w:pPr>
        <w:widowControl/>
        <w:jc w:val="left"/>
        <w:rPr>
          <w:i/>
          <w:color w:val="000000"/>
          <w:sz w:val="24"/>
          <w:szCs w:val="20"/>
          <w:u w:val="single"/>
        </w:rPr>
      </w:pPr>
    </w:p>
    <w:p>
      <w:pPr>
        <w:widowControl/>
        <w:jc w:val="left"/>
        <w:rPr>
          <w:i/>
          <w:color w:val="000000"/>
          <w:sz w:val="24"/>
          <w:szCs w:val="20"/>
          <w:u w:val="single"/>
        </w:rPr>
      </w:pP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7 报价一览表</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pPr>
        <w:spacing w:line="360" w:lineRule="exact"/>
        <w:jc w:val="center"/>
        <w:rPr>
          <w:b/>
          <w:color w:val="000000"/>
          <w:sz w:val="36"/>
          <w:szCs w:val="36"/>
        </w:rPr>
      </w:pPr>
      <w:bookmarkStart w:id="697" w:name="_Toc164608672"/>
      <w:bookmarkStart w:id="698" w:name="_Toc265228396"/>
      <w:bookmarkStart w:id="699" w:name="_Toc264969248"/>
      <w:bookmarkStart w:id="700" w:name="_Toc226309802"/>
      <w:bookmarkStart w:id="701" w:name="_Toc226965748"/>
      <w:bookmarkStart w:id="702" w:name="_Toc164608827"/>
      <w:bookmarkStart w:id="703" w:name="_Toc305158900"/>
      <w:bookmarkStart w:id="704" w:name="_Toc305158826"/>
      <w:bookmarkStart w:id="705" w:name="_Toc226965831"/>
      <w:bookmarkStart w:id="706" w:name="_Toc195842923"/>
      <w:bookmarkStart w:id="707" w:name="_Toc226337254"/>
      <w:r>
        <w:rPr>
          <w:b/>
          <w:color w:val="000000"/>
          <w:sz w:val="36"/>
          <w:szCs w:val="36"/>
        </w:rPr>
        <w:t>报价一览表</w:t>
      </w:r>
      <w:bookmarkEnd w:id="697"/>
      <w:bookmarkEnd w:id="698"/>
      <w:bookmarkEnd w:id="699"/>
      <w:bookmarkEnd w:id="700"/>
      <w:bookmarkEnd w:id="701"/>
      <w:bookmarkEnd w:id="702"/>
      <w:bookmarkEnd w:id="703"/>
      <w:bookmarkEnd w:id="704"/>
      <w:bookmarkEnd w:id="705"/>
      <w:bookmarkEnd w:id="706"/>
      <w:bookmarkEnd w:id="707"/>
    </w:p>
    <w:p>
      <w:pPr>
        <w:tabs>
          <w:tab w:val="left" w:pos="1800"/>
          <w:tab w:val="left" w:pos="5580"/>
        </w:tabs>
        <w:spacing w:line="360" w:lineRule="auto"/>
        <w:jc w:val="left"/>
        <w:rPr>
          <w:i/>
          <w:color w:val="FF0000"/>
          <w:sz w:val="24"/>
        </w:rPr>
      </w:pPr>
    </w:p>
    <w:p>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noWrap w:val="0"/>
            <w:vAlign w:val="center"/>
          </w:tcPr>
          <w:p>
            <w:pPr>
              <w:tabs>
                <w:tab w:val="left" w:pos="5580"/>
              </w:tabs>
              <w:jc w:val="center"/>
              <w:rPr>
                <w:b/>
                <w:sz w:val="24"/>
              </w:rPr>
            </w:pPr>
            <w:r>
              <w:rPr>
                <w:b/>
                <w:sz w:val="24"/>
              </w:rPr>
              <w:t>序号</w:t>
            </w:r>
          </w:p>
        </w:tc>
        <w:tc>
          <w:tcPr>
            <w:tcW w:w="1960" w:type="pct"/>
            <w:vMerge w:val="restart"/>
            <w:noWrap w:val="0"/>
            <w:vAlign w:val="center"/>
          </w:tcPr>
          <w:p>
            <w:pPr>
              <w:tabs>
                <w:tab w:val="left" w:pos="5580"/>
              </w:tabs>
              <w:jc w:val="center"/>
              <w:rPr>
                <w:b/>
                <w:sz w:val="24"/>
              </w:rPr>
            </w:pPr>
            <w:r>
              <w:rPr>
                <w:b/>
                <w:sz w:val="24"/>
              </w:rPr>
              <w:t>供应商名称</w:t>
            </w:r>
          </w:p>
        </w:tc>
        <w:tc>
          <w:tcPr>
            <w:tcW w:w="2543" w:type="pct"/>
            <w:gridSpan w:val="2"/>
            <w:noWrap w:val="0"/>
            <w:vAlign w:val="center"/>
          </w:tcPr>
          <w:p>
            <w:pPr>
              <w:tabs>
                <w:tab w:val="left" w:pos="5580"/>
              </w:tabs>
              <w:jc w:val="center"/>
              <w:rPr>
                <w:b/>
                <w:sz w:val="24"/>
              </w:rPr>
            </w:pPr>
            <w:r>
              <w:rPr>
                <w:b/>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96" w:type="pct"/>
            <w:vMerge w:val="continue"/>
            <w:noWrap w:val="0"/>
            <w:vAlign w:val="center"/>
          </w:tcPr>
          <w:p>
            <w:pPr>
              <w:tabs>
                <w:tab w:val="left" w:pos="5580"/>
              </w:tabs>
              <w:jc w:val="center"/>
              <w:rPr>
                <w:sz w:val="24"/>
              </w:rPr>
            </w:pPr>
          </w:p>
        </w:tc>
        <w:tc>
          <w:tcPr>
            <w:tcW w:w="1960" w:type="pct"/>
            <w:vMerge w:val="continue"/>
            <w:noWrap w:val="0"/>
            <w:vAlign w:val="center"/>
          </w:tcPr>
          <w:p>
            <w:pPr>
              <w:tabs>
                <w:tab w:val="left" w:pos="5580"/>
              </w:tabs>
              <w:jc w:val="center"/>
              <w:rPr>
                <w:sz w:val="24"/>
              </w:rPr>
            </w:pPr>
          </w:p>
        </w:tc>
        <w:tc>
          <w:tcPr>
            <w:tcW w:w="1239" w:type="pct"/>
            <w:noWrap w:val="0"/>
            <w:vAlign w:val="center"/>
          </w:tcPr>
          <w:p>
            <w:pPr>
              <w:tabs>
                <w:tab w:val="left" w:pos="5580"/>
              </w:tabs>
              <w:jc w:val="center"/>
              <w:rPr>
                <w:b/>
                <w:sz w:val="24"/>
              </w:rPr>
            </w:pPr>
            <w:r>
              <w:rPr>
                <w:b/>
                <w:sz w:val="24"/>
              </w:rPr>
              <w:t>大写</w:t>
            </w:r>
          </w:p>
        </w:tc>
        <w:tc>
          <w:tcPr>
            <w:tcW w:w="1304" w:type="pct"/>
            <w:noWrap w:val="0"/>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noWrap w:val="0"/>
            <w:vAlign w:val="center"/>
          </w:tcPr>
          <w:p>
            <w:pPr>
              <w:tabs>
                <w:tab w:val="left" w:pos="5580"/>
              </w:tabs>
              <w:jc w:val="center"/>
              <w:rPr>
                <w:sz w:val="24"/>
              </w:rPr>
            </w:pPr>
          </w:p>
        </w:tc>
        <w:tc>
          <w:tcPr>
            <w:tcW w:w="1960" w:type="pct"/>
            <w:noWrap w:val="0"/>
            <w:vAlign w:val="center"/>
          </w:tcPr>
          <w:p>
            <w:pPr>
              <w:tabs>
                <w:tab w:val="left" w:pos="5580"/>
              </w:tabs>
              <w:jc w:val="center"/>
              <w:rPr>
                <w:sz w:val="24"/>
              </w:rPr>
            </w:pPr>
          </w:p>
        </w:tc>
        <w:tc>
          <w:tcPr>
            <w:tcW w:w="1239" w:type="pct"/>
            <w:noWrap w:val="0"/>
            <w:vAlign w:val="center"/>
          </w:tcPr>
          <w:p>
            <w:pPr>
              <w:tabs>
                <w:tab w:val="left" w:pos="5580"/>
              </w:tabs>
              <w:jc w:val="center"/>
              <w:rPr>
                <w:sz w:val="24"/>
              </w:rPr>
            </w:pPr>
          </w:p>
        </w:tc>
        <w:tc>
          <w:tcPr>
            <w:tcW w:w="1304" w:type="pct"/>
            <w:noWrap w:val="0"/>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widowControl/>
        <w:jc w:val="left"/>
        <w:rPr>
          <w:color w:val="000000"/>
          <w:sz w:val="24"/>
          <w:szCs w:val="20"/>
        </w:rPr>
      </w:pPr>
      <w:bookmarkStart w:id="708" w:name="_Toc226965832"/>
      <w:bookmarkStart w:id="709" w:name="_Toc226337255"/>
      <w:bookmarkStart w:id="710" w:name="_Toc305158901"/>
      <w:bookmarkStart w:id="711" w:name="_Toc142311060"/>
      <w:bookmarkStart w:id="712" w:name="_Toc127151558"/>
      <w:bookmarkStart w:id="713" w:name="_Toc150480796"/>
      <w:bookmarkStart w:id="714" w:name="_Toc264969249"/>
      <w:bookmarkStart w:id="715" w:name="_Toc305158827"/>
      <w:bookmarkStart w:id="716" w:name="_Toc226309803"/>
      <w:bookmarkStart w:id="717" w:name="_Toc226965749"/>
      <w:bookmarkStart w:id="718" w:name="_Toc195842924"/>
      <w:bookmarkStart w:id="719" w:name="_Toc265228397"/>
      <w:bookmarkStart w:id="720" w:name="_Toc150774763"/>
      <w:r>
        <w:rPr>
          <w:color w:val="000000"/>
          <w:sz w:val="24"/>
          <w:szCs w:val="20"/>
        </w:rPr>
        <w:br w:type="page"/>
      </w:r>
    </w:p>
    <w:p>
      <w:pPr>
        <w:spacing w:line="360" w:lineRule="auto"/>
        <w:outlineLvl w:val="2"/>
        <w:rPr>
          <w:color w:val="000000"/>
          <w:sz w:val="24"/>
          <w:szCs w:val="20"/>
        </w:rPr>
      </w:pPr>
      <w:r>
        <w:rPr>
          <w:color w:val="000000"/>
          <w:sz w:val="24"/>
          <w:szCs w:val="20"/>
        </w:rPr>
        <w:t>8</w:t>
      </w:r>
      <w:bookmarkEnd w:id="708"/>
      <w:bookmarkEnd w:id="709"/>
      <w:bookmarkEnd w:id="710"/>
      <w:bookmarkEnd w:id="711"/>
      <w:bookmarkEnd w:id="712"/>
      <w:bookmarkEnd w:id="713"/>
      <w:bookmarkEnd w:id="714"/>
      <w:bookmarkEnd w:id="715"/>
      <w:bookmarkEnd w:id="716"/>
      <w:bookmarkEnd w:id="717"/>
      <w:bookmarkEnd w:id="718"/>
      <w:bookmarkEnd w:id="719"/>
      <w:bookmarkEnd w:id="720"/>
      <w:r>
        <w:rPr>
          <w:color w:val="000000"/>
          <w:sz w:val="24"/>
          <w:szCs w:val="20"/>
        </w:rPr>
        <w:t xml:space="preserve"> 分项报价表</w:t>
      </w:r>
    </w:p>
    <w:p>
      <w:pPr>
        <w:spacing w:line="360" w:lineRule="exact"/>
        <w:jc w:val="center"/>
        <w:rPr>
          <w:color w:val="000000"/>
          <w:sz w:val="36"/>
          <w:szCs w:val="36"/>
        </w:rPr>
      </w:pPr>
    </w:p>
    <w:p>
      <w:pPr>
        <w:spacing w:line="360" w:lineRule="exact"/>
        <w:jc w:val="center"/>
        <w:rPr>
          <w:b/>
          <w:color w:val="000000"/>
          <w:sz w:val="36"/>
          <w:szCs w:val="36"/>
        </w:rPr>
      </w:pPr>
      <w:r>
        <w:rPr>
          <w:b/>
          <w:color w:val="000000"/>
          <w:sz w:val="36"/>
          <w:szCs w:val="36"/>
        </w:rPr>
        <w:t>分项报价表</w:t>
      </w:r>
    </w:p>
    <w:p>
      <w:pPr>
        <w:spacing w:line="260" w:lineRule="exact"/>
        <w:jc w:val="center"/>
        <w:rPr>
          <w:color w:val="000000"/>
          <w:sz w:val="36"/>
          <w:szCs w:val="36"/>
        </w:rPr>
      </w:pPr>
    </w:p>
    <w:p>
      <w:pPr>
        <w:tabs>
          <w:tab w:val="left" w:pos="1800"/>
          <w:tab w:val="left" w:pos="5580"/>
        </w:tabs>
        <w:rPr>
          <w:color w:val="000000"/>
          <w:sz w:val="24"/>
        </w:rPr>
      </w:pPr>
      <w:r>
        <w:rPr>
          <w:color w:val="000000"/>
          <w:sz w:val="24"/>
        </w:rPr>
        <w:t xml:space="preserve">项目编号：___________ </w:t>
      </w:r>
      <w:r>
        <w:rPr>
          <w:rFonts w:hint="eastAsia"/>
          <w:color w:val="000000"/>
          <w:sz w:val="24"/>
        </w:rPr>
        <w:t xml:space="preserve">    </w:t>
      </w:r>
      <w:r>
        <w:rPr>
          <w:color w:val="000000"/>
          <w:sz w:val="24"/>
        </w:rPr>
        <w:t>项目名称：__________</w:t>
      </w:r>
      <w:r>
        <w:rPr>
          <w:rFonts w:hint="eastAsia"/>
          <w:color w:val="000000"/>
          <w:sz w:val="24"/>
        </w:rPr>
        <w:t xml:space="preserve">         </w:t>
      </w:r>
      <w:r>
        <w:rPr>
          <w:color w:val="000000"/>
          <w:sz w:val="24"/>
        </w:rPr>
        <w:t>报价单位：人民币元</w:t>
      </w:r>
    </w:p>
    <w:tbl>
      <w:tblPr>
        <w:tblStyle w:val="43"/>
        <w:tblpPr w:leftFromText="180" w:rightFromText="180" w:vertAnchor="text" w:horzAnchor="page" w:tblpX="1660" w:tblpY="264"/>
        <w:tblOverlap w:val="never"/>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681"/>
        <w:gridCol w:w="2325"/>
        <w:gridCol w:w="1567"/>
        <w:gridCol w:w="1567"/>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b/>
                <w:sz w:val="24"/>
              </w:rPr>
            </w:pPr>
            <w:r>
              <w:rPr>
                <w:b/>
                <w:sz w:val="24"/>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b/>
                <w:sz w:val="24"/>
              </w:rPr>
            </w:pPr>
            <w:r>
              <w:rPr>
                <w:b/>
                <w:sz w:val="24"/>
              </w:rPr>
              <w:t>分项名称</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b/>
                <w:sz w:val="24"/>
              </w:rPr>
            </w:pPr>
            <w:r>
              <w:rPr>
                <w:b/>
                <w:sz w:val="24"/>
              </w:rPr>
              <w:t>单价（</w:t>
            </w:r>
            <w:r>
              <w:rPr>
                <w:rFonts w:hint="eastAsia"/>
                <w:b/>
                <w:sz w:val="24"/>
              </w:rPr>
              <w:t>元</w:t>
            </w:r>
            <w:r>
              <w:rPr>
                <w:b/>
                <w:sz w:val="24"/>
              </w:rPr>
              <w:t>）</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eastAsia="宋体"/>
                <w:b/>
                <w:sz w:val="24"/>
                <w:lang w:val="en-US" w:eastAsia="zh-CN"/>
              </w:rPr>
            </w:pPr>
            <w:r>
              <w:rPr>
                <w:rFonts w:hint="eastAsia"/>
                <w:b/>
                <w:sz w:val="24"/>
                <w:lang w:val="en-US" w:eastAsia="zh-CN"/>
              </w:rPr>
              <w:t>数量</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b/>
                <w:sz w:val="24"/>
              </w:rPr>
            </w:pPr>
            <w:r>
              <w:rPr>
                <w:b/>
                <w:sz w:val="24"/>
              </w:rPr>
              <w:t>合</w:t>
            </w:r>
            <w:r>
              <w:rPr>
                <w:rFonts w:hint="eastAsia"/>
                <w:b/>
                <w:sz w:val="24"/>
                <w:lang w:val="en-US" w:eastAsia="zh-CN"/>
              </w:rPr>
              <w:t>价</w:t>
            </w:r>
            <w:r>
              <w:rPr>
                <w:b/>
                <w:sz w:val="24"/>
              </w:rPr>
              <w:t>（元）</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default" w:eastAsia="宋体"/>
                <w:b/>
                <w:sz w:val="24"/>
                <w:lang w:val="en-US" w:eastAsia="zh-CN"/>
              </w:rPr>
            </w:pPr>
            <w:r>
              <w:rPr>
                <w:rFonts w:hint="eastAsia"/>
                <w:b/>
                <w:sz w:val="24"/>
                <w:lang w:val="en-US" w:eastAsia="zh-CN"/>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r>
              <w:rPr>
                <w:sz w:val="24"/>
              </w:rPr>
              <w:t>1</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sz w:val="24"/>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r>
              <w:rPr>
                <w:sz w:val="24"/>
              </w:rPr>
              <w:t>2</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sz w:val="24"/>
              </w:rPr>
            </w:pPr>
          </w:p>
        </w:tc>
        <w:tc>
          <w:tcPr>
            <w:tcW w:w="23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r>
              <w:rPr>
                <w:sz w:val="24"/>
              </w:rPr>
              <w:t>3</w:t>
            </w:r>
          </w:p>
        </w:tc>
        <w:tc>
          <w:tcPr>
            <w:tcW w:w="16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sz w:val="24"/>
              </w:rPr>
            </w:pPr>
            <w:r>
              <w:rPr>
                <w:sz w:val="24"/>
              </w:rPr>
              <w:t>…</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21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4"/>
              </w:rPr>
            </w:pPr>
            <w:r>
              <w:rPr>
                <w:sz w:val="24"/>
              </w:rPr>
              <w:t>总价（元）</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sz w:val="24"/>
              </w:rPr>
            </w:pPr>
          </w:p>
        </w:tc>
      </w:tr>
    </w:tbl>
    <w:p>
      <w:pPr>
        <w:tabs>
          <w:tab w:val="left" w:pos="1800"/>
          <w:tab w:val="left" w:pos="5580"/>
        </w:tabs>
        <w:jc w:val="left"/>
        <w:rPr>
          <w:color w:val="000000"/>
          <w:sz w:val="24"/>
        </w:rPr>
      </w:pPr>
    </w:p>
    <w:p>
      <w:pPr>
        <w:tabs>
          <w:tab w:val="left" w:pos="1800"/>
          <w:tab w:val="left" w:pos="5580"/>
        </w:tabs>
        <w:ind w:firstLine="480" w:firstLineChars="200"/>
        <w:jc w:val="left"/>
        <w:rPr>
          <w:color w:val="000000"/>
          <w:sz w:val="24"/>
        </w:rPr>
      </w:pPr>
      <w:r>
        <w:rPr>
          <w:color w:val="000000"/>
          <w:sz w:val="24"/>
        </w:rPr>
        <w:t>注：1.上述各项的详细规格（如有），可另页描述。</w:t>
      </w:r>
    </w:p>
    <w:p>
      <w:pPr>
        <w:tabs>
          <w:tab w:val="left" w:pos="1800"/>
          <w:tab w:val="left" w:pos="5580"/>
        </w:tabs>
        <w:ind w:firstLine="480" w:firstLineChars="200"/>
        <w:jc w:val="left"/>
        <w:rPr>
          <w:color w:val="000000"/>
          <w:sz w:val="24"/>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spacing w:line="360" w:lineRule="auto"/>
        <w:outlineLvl w:val="2"/>
        <w:rPr>
          <w:color w:val="000000"/>
          <w:sz w:val="24"/>
          <w:szCs w:val="20"/>
        </w:rPr>
      </w:pPr>
      <w:bookmarkStart w:id="721" w:name="_Toc226309806"/>
      <w:bookmarkStart w:id="722" w:name="_Toc226965752"/>
      <w:bookmarkStart w:id="723" w:name="_Toc226337258"/>
      <w:bookmarkStart w:id="724" w:name="_Toc150774765"/>
      <w:bookmarkStart w:id="725" w:name="_Toc226965835"/>
      <w:bookmarkStart w:id="726" w:name="_Toc264969252"/>
      <w:bookmarkStart w:id="727" w:name="_Toc150480798"/>
      <w:bookmarkStart w:id="728" w:name="_Toc127151562"/>
      <w:bookmarkStart w:id="729" w:name="_Toc142311062"/>
      <w:bookmarkStart w:id="730" w:name="_Toc195842927"/>
      <w:bookmarkStart w:id="731" w:name="_Toc305158830"/>
      <w:bookmarkStart w:id="732" w:name="_Toc305158904"/>
      <w:bookmarkStart w:id="733" w:name="_Toc265228400"/>
      <w:bookmarkStart w:id="734" w:name="_Toc226965751"/>
      <w:bookmarkStart w:id="735" w:name="_Toc305158829"/>
      <w:bookmarkStart w:id="736" w:name="_Toc265228399"/>
      <w:bookmarkStart w:id="737" w:name="_Toc305158903"/>
      <w:bookmarkStart w:id="738" w:name="_Toc195842926"/>
      <w:bookmarkStart w:id="739" w:name="_Toc127151561"/>
      <w:bookmarkStart w:id="740" w:name="_Toc150480797"/>
      <w:bookmarkStart w:id="741" w:name="_Toc264969251"/>
      <w:bookmarkStart w:id="742" w:name="_Toc226337257"/>
      <w:bookmarkStart w:id="743" w:name="_Toc226309805"/>
      <w:bookmarkStart w:id="744" w:name="_Toc226965834"/>
      <w:bookmarkStart w:id="745" w:name="_Toc142311061"/>
      <w:bookmarkStart w:id="746" w:name="_Toc150774764"/>
      <w:r>
        <w:rPr>
          <w:color w:val="000000"/>
          <w:sz w:val="24"/>
          <w:szCs w:val="20"/>
        </w:rPr>
        <w:br w:type="page"/>
      </w:r>
      <w:r>
        <w:rPr>
          <w:color w:val="000000"/>
          <w:sz w:val="24"/>
          <w:szCs w:val="20"/>
        </w:rPr>
        <w:t>9 合同条款偏离表</w:t>
      </w:r>
      <w:bookmarkEnd w:id="721"/>
      <w:bookmarkEnd w:id="722"/>
      <w:bookmarkEnd w:id="723"/>
      <w:bookmarkEnd w:id="724"/>
      <w:bookmarkEnd w:id="725"/>
      <w:bookmarkEnd w:id="726"/>
      <w:bookmarkEnd w:id="727"/>
      <w:bookmarkEnd w:id="728"/>
      <w:bookmarkEnd w:id="729"/>
      <w:bookmarkEnd w:id="730"/>
      <w:bookmarkEnd w:id="731"/>
      <w:bookmarkEnd w:id="732"/>
      <w:bookmarkEnd w:id="733"/>
    </w:p>
    <w:p>
      <w:pPr>
        <w:spacing w:line="360" w:lineRule="auto"/>
        <w:rPr>
          <w:color w:val="000000"/>
          <w:sz w:val="24"/>
          <w:szCs w:val="20"/>
        </w:rPr>
      </w:pPr>
    </w:p>
    <w:p>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jc w:val="left"/>
        <w:rPr>
          <w:color w:val="000000"/>
          <w:sz w:val="24"/>
        </w:rPr>
      </w:pPr>
      <w:r>
        <w:rPr>
          <w:color w:val="000000"/>
          <w:sz w:val="24"/>
        </w:rPr>
        <w:t>项目编号：_____________________     项目名称：________________________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0"/>
        <w:gridCol w:w="1980"/>
        <w:gridCol w:w="1981"/>
        <w:gridCol w:w="2427"/>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adjustRightInd w:val="0"/>
              <w:snapToGrid w:val="0"/>
              <w:jc w:val="center"/>
              <w:rPr>
                <w:color w:val="000000"/>
                <w:sz w:val="24"/>
              </w:rPr>
            </w:pPr>
            <w:r>
              <w:rPr>
                <w:color w:val="000000"/>
                <w:sz w:val="24"/>
              </w:rPr>
              <w:t>序号</w:t>
            </w:r>
          </w:p>
        </w:tc>
        <w:tc>
          <w:tcPr>
            <w:tcW w:w="1290" w:type="dxa"/>
            <w:noWrap w:val="0"/>
            <w:vAlign w:val="center"/>
          </w:tcPr>
          <w:p>
            <w:pPr>
              <w:adjustRightInd w:val="0"/>
              <w:snapToGrid w:val="0"/>
              <w:jc w:val="center"/>
              <w:rPr>
                <w:color w:val="000000"/>
                <w:sz w:val="24"/>
              </w:rPr>
            </w:pPr>
            <w:r>
              <w:rPr>
                <w:color w:val="000000"/>
                <w:sz w:val="24"/>
                <w:szCs w:val="21"/>
              </w:rPr>
              <w:t>单一来源采购文件</w:t>
            </w:r>
            <w:r>
              <w:rPr>
                <w:color w:val="000000"/>
                <w:sz w:val="24"/>
              </w:rPr>
              <w:t>条目号（页码）</w:t>
            </w:r>
          </w:p>
        </w:tc>
        <w:tc>
          <w:tcPr>
            <w:tcW w:w="1980" w:type="dxa"/>
            <w:noWrap w:val="0"/>
            <w:vAlign w:val="center"/>
          </w:tcPr>
          <w:p>
            <w:pPr>
              <w:adjustRightInd w:val="0"/>
              <w:snapToGrid w:val="0"/>
              <w:jc w:val="center"/>
              <w:rPr>
                <w:color w:val="000000"/>
                <w:sz w:val="24"/>
              </w:rPr>
            </w:pPr>
            <w:r>
              <w:rPr>
                <w:color w:val="000000"/>
                <w:sz w:val="24"/>
                <w:szCs w:val="21"/>
              </w:rPr>
              <w:t>单一来源采购文件</w:t>
            </w:r>
            <w:r>
              <w:rPr>
                <w:color w:val="000000"/>
                <w:sz w:val="24"/>
              </w:rPr>
              <w:t>要求</w:t>
            </w:r>
          </w:p>
        </w:tc>
        <w:tc>
          <w:tcPr>
            <w:tcW w:w="1981" w:type="dxa"/>
            <w:noWrap w:val="0"/>
            <w:vAlign w:val="center"/>
          </w:tcPr>
          <w:p>
            <w:pPr>
              <w:adjustRightInd w:val="0"/>
              <w:snapToGrid w:val="0"/>
              <w:jc w:val="center"/>
              <w:rPr>
                <w:color w:val="000000"/>
                <w:sz w:val="24"/>
              </w:rPr>
            </w:pPr>
            <w:r>
              <w:rPr>
                <w:color w:val="000000"/>
                <w:sz w:val="24"/>
              </w:rPr>
              <w:t>响应内容</w:t>
            </w:r>
          </w:p>
        </w:tc>
        <w:tc>
          <w:tcPr>
            <w:tcW w:w="2427" w:type="dxa"/>
            <w:noWrap w:val="0"/>
            <w:vAlign w:val="center"/>
          </w:tcPr>
          <w:p>
            <w:pPr>
              <w:adjustRightInd w:val="0"/>
              <w:snapToGrid w:val="0"/>
              <w:jc w:val="center"/>
              <w:rPr>
                <w:color w:val="000000"/>
                <w:sz w:val="24"/>
              </w:rPr>
            </w:pPr>
            <w:r>
              <w:rPr>
                <w:color w:val="000000"/>
                <w:sz w:val="24"/>
              </w:rPr>
              <w:t>偏离情况</w:t>
            </w:r>
          </w:p>
        </w:tc>
        <w:tc>
          <w:tcPr>
            <w:tcW w:w="782" w:type="dxa"/>
            <w:noWrap w:val="0"/>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pPr>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合同条款的偏离情况（请进行选择）：</w:t>
            </w:r>
          </w:p>
          <w:p>
            <w:pPr>
              <w:adjustRightInd w:val="0"/>
              <w:snapToGrid w:val="0"/>
              <w:jc w:val="left"/>
              <w:rPr>
                <w:b/>
                <w:color w:val="000000"/>
                <w:sz w:val="24"/>
              </w:rPr>
            </w:pPr>
            <w:r>
              <w:rPr>
                <w:b/>
                <w:color w:val="000000"/>
                <w:sz w:val="24"/>
              </w:rPr>
              <w:t>□无偏离</w:t>
            </w:r>
            <w:r>
              <w:rPr>
                <w:color w:val="000000"/>
                <w:sz w:val="24"/>
              </w:rPr>
              <w:t>（</w:t>
            </w:r>
            <w:r>
              <w:rPr>
                <w:color w:val="000000"/>
                <w:sz w:val="24"/>
                <w:szCs w:val="21"/>
              </w:rPr>
              <w:t>如无偏离，仅选择无偏离即可；无偏离即为对合同条款中的所有要求，均视作供应商已对之理解和响应</w:t>
            </w:r>
            <w:r>
              <w:rPr>
                <w:color w:val="000000"/>
                <w:sz w:val="24"/>
              </w:rPr>
              <w:t>）</w:t>
            </w:r>
          </w:p>
          <w:p>
            <w:pPr>
              <w:adjustRightInd w:val="0"/>
              <w:snapToGrid w:val="0"/>
              <w:jc w:val="left"/>
              <w:rPr>
                <w:color w:val="000000"/>
                <w:sz w:val="24"/>
              </w:rPr>
            </w:pPr>
            <w:r>
              <w:rPr>
                <w:b/>
                <w:color w:val="000000"/>
                <w:sz w:val="24"/>
              </w:rPr>
              <w:t>□有偏离</w:t>
            </w:r>
            <w:r>
              <w:rPr>
                <w:color w:val="000000"/>
                <w:sz w:val="24"/>
              </w:rPr>
              <w:t>（</w:t>
            </w:r>
            <w:r>
              <w:rPr>
                <w:color w:val="000000"/>
                <w:sz w:val="24"/>
                <w:szCs w:val="21"/>
              </w:rPr>
              <w:t>如有负偏离，</w:t>
            </w:r>
            <w:r>
              <w:rPr>
                <w:color w:val="000000"/>
                <w:sz w:val="24"/>
              </w:rPr>
              <w:t>则应在本表中对负偏离项逐一列明；对合同条款中的所有要求，除本表列明的偏离外，均视作供应商已对之理解和响应）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adjustRightInd w:val="0"/>
              <w:snapToGrid w:val="0"/>
              <w:jc w:val="center"/>
              <w:rPr>
                <w:color w:val="000000"/>
                <w:sz w:val="24"/>
              </w:rPr>
            </w:pPr>
          </w:p>
        </w:tc>
        <w:tc>
          <w:tcPr>
            <w:tcW w:w="1290" w:type="dxa"/>
            <w:noWrap w:val="0"/>
            <w:vAlign w:val="center"/>
          </w:tcPr>
          <w:p>
            <w:pPr>
              <w:adjustRightInd w:val="0"/>
              <w:snapToGrid w:val="0"/>
              <w:jc w:val="center"/>
              <w:rPr>
                <w:color w:val="000000"/>
                <w:sz w:val="24"/>
              </w:rPr>
            </w:pPr>
          </w:p>
        </w:tc>
        <w:tc>
          <w:tcPr>
            <w:tcW w:w="1980" w:type="dxa"/>
            <w:noWrap w:val="0"/>
            <w:vAlign w:val="center"/>
          </w:tcPr>
          <w:p>
            <w:pPr>
              <w:adjustRightInd w:val="0"/>
              <w:snapToGrid w:val="0"/>
              <w:jc w:val="center"/>
              <w:rPr>
                <w:color w:val="000000"/>
                <w:sz w:val="24"/>
              </w:rPr>
            </w:pPr>
          </w:p>
        </w:tc>
        <w:tc>
          <w:tcPr>
            <w:tcW w:w="1981" w:type="dxa"/>
            <w:noWrap w:val="0"/>
            <w:vAlign w:val="center"/>
          </w:tcPr>
          <w:p>
            <w:pPr>
              <w:adjustRightInd w:val="0"/>
              <w:snapToGrid w:val="0"/>
              <w:jc w:val="center"/>
              <w:rPr>
                <w:color w:val="000000"/>
                <w:sz w:val="24"/>
              </w:rPr>
            </w:pPr>
          </w:p>
        </w:tc>
        <w:tc>
          <w:tcPr>
            <w:tcW w:w="2427" w:type="dxa"/>
            <w:noWrap w:val="0"/>
            <w:vAlign w:val="center"/>
          </w:tcPr>
          <w:p>
            <w:pPr>
              <w:adjustRightInd w:val="0"/>
              <w:snapToGrid w:val="0"/>
              <w:jc w:val="center"/>
              <w:rPr>
                <w:color w:val="000000"/>
                <w:sz w:val="24"/>
              </w:rPr>
            </w:pPr>
          </w:p>
        </w:tc>
        <w:tc>
          <w:tcPr>
            <w:tcW w:w="782"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adjustRightInd w:val="0"/>
              <w:snapToGrid w:val="0"/>
              <w:jc w:val="center"/>
              <w:rPr>
                <w:color w:val="000000"/>
                <w:sz w:val="24"/>
              </w:rPr>
            </w:pPr>
          </w:p>
        </w:tc>
        <w:tc>
          <w:tcPr>
            <w:tcW w:w="1290" w:type="dxa"/>
            <w:noWrap w:val="0"/>
            <w:vAlign w:val="center"/>
          </w:tcPr>
          <w:p>
            <w:pPr>
              <w:adjustRightInd w:val="0"/>
              <w:snapToGrid w:val="0"/>
              <w:jc w:val="center"/>
              <w:rPr>
                <w:color w:val="000000"/>
                <w:sz w:val="24"/>
              </w:rPr>
            </w:pPr>
          </w:p>
        </w:tc>
        <w:tc>
          <w:tcPr>
            <w:tcW w:w="1980" w:type="dxa"/>
            <w:noWrap w:val="0"/>
            <w:vAlign w:val="center"/>
          </w:tcPr>
          <w:p>
            <w:pPr>
              <w:adjustRightInd w:val="0"/>
              <w:snapToGrid w:val="0"/>
              <w:jc w:val="center"/>
              <w:rPr>
                <w:color w:val="000000"/>
                <w:sz w:val="24"/>
              </w:rPr>
            </w:pPr>
          </w:p>
        </w:tc>
        <w:tc>
          <w:tcPr>
            <w:tcW w:w="1981" w:type="dxa"/>
            <w:noWrap w:val="0"/>
            <w:vAlign w:val="center"/>
          </w:tcPr>
          <w:p>
            <w:pPr>
              <w:adjustRightInd w:val="0"/>
              <w:snapToGrid w:val="0"/>
              <w:jc w:val="center"/>
              <w:rPr>
                <w:color w:val="000000"/>
                <w:sz w:val="24"/>
              </w:rPr>
            </w:pPr>
          </w:p>
        </w:tc>
        <w:tc>
          <w:tcPr>
            <w:tcW w:w="2427" w:type="dxa"/>
            <w:noWrap w:val="0"/>
            <w:vAlign w:val="center"/>
          </w:tcPr>
          <w:p>
            <w:pPr>
              <w:adjustRightInd w:val="0"/>
              <w:snapToGrid w:val="0"/>
              <w:jc w:val="center"/>
              <w:rPr>
                <w:color w:val="000000"/>
                <w:sz w:val="24"/>
              </w:rPr>
            </w:pPr>
          </w:p>
        </w:tc>
        <w:tc>
          <w:tcPr>
            <w:tcW w:w="782"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adjustRightInd w:val="0"/>
              <w:snapToGrid w:val="0"/>
              <w:jc w:val="center"/>
              <w:rPr>
                <w:color w:val="000000"/>
                <w:sz w:val="24"/>
              </w:rPr>
            </w:pPr>
          </w:p>
        </w:tc>
        <w:tc>
          <w:tcPr>
            <w:tcW w:w="1290" w:type="dxa"/>
            <w:noWrap w:val="0"/>
            <w:vAlign w:val="center"/>
          </w:tcPr>
          <w:p>
            <w:pPr>
              <w:adjustRightInd w:val="0"/>
              <w:snapToGrid w:val="0"/>
              <w:jc w:val="center"/>
              <w:rPr>
                <w:color w:val="000000"/>
                <w:sz w:val="24"/>
              </w:rPr>
            </w:pPr>
          </w:p>
        </w:tc>
        <w:tc>
          <w:tcPr>
            <w:tcW w:w="1980" w:type="dxa"/>
            <w:noWrap w:val="0"/>
            <w:vAlign w:val="center"/>
          </w:tcPr>
          <w:p>
            <w:pPr>
              <w:adjustRightInd w:val="0"/>
              <w:snapToGrid w:val="0"/>
              <w:jc w:val="center"/>
              <w:rPr>
                <w:color w:val="000000"/>
                <w:sz w:val="24"/>
              </w:rPr>
            </w:pPr>
          </w:p>
        </w:tc>
        <w:tc>
          <w:tcPr>
            <w:tcW w:w="1981" w:type="dxa"/>
            <w:noWrap w:val="0"/>
            <w:vAlign w:val="center"/>
          </w:tcPr>
          <w:p>
            <w:pPr>
              <w:adjustRightInd w:val="0"/>
              <w:snapToGrid w:val="0"/>
              <w:jc w:val="center"/>
              <w:rPr>
                <w:color w:val="000000"/>
                <w:sz w:val="24"/>
              </w:rPr>
            </w:pPr>
          </w:p>
        </w:tc>
        <w:tc>
          <w:tcPr>
            <w:tcW w:w="2427" w:type="dxa"/>
            <w:noWrap w:val="0"/>
            <w:vAlign w:val="center"/>
          </w:tcPr>
          <w:p>
            <w:pPr>
              <w:adjustRightInd w:val="0"/>
              <w:snapToGrid w:val="0"/>
              <w:jc w:val="center"/>
              <w:rPr>
                <w:color w:val="000000"/>
                <w:sz w:val="24"/>
              </w:rPr>
            </w:pPr>
          </w:p>
        </w:tc>
        <w:tc>
          <w:tcPr>
            <w:tcW w:w="782"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adjustRightInd w:val="0"/>
              <w:snapToGrid w:val="0"/>
              <w:jc w:val="center"/>
              <w:rPr>
                <w:color w:val="000000"/>
                <w:sz w:val="24"/>
              </w:rPr>
            </w:pPr>
          </w:p>
        </w:tc>
        <w:tc>
          <w:tcPr>
            <w:tcW w:w="1290" w:type="dxa"/>
            <w:noWrap w:val="0"/>
            <w:vAlign w:val="center"/>
          </w:tcPr>
          <w:p>
            <w:pPr>
              <w:adjustRightInd w:val="0"/>
              <w:snapToGrid w:val="0"/>
              <w:jc w:val="center"/>
              <w:rPr>
                <w:color w:val="000000"/>
                <w:sz w:val="24"/>
              </w:rPr>
            </w:pPr>
          </w:p>
        </w:tc>
        <w:tc>
          <w:tcPr>
            <w:tcW w:w="1980" w:type="dxa"/>
            <w:noWrap w:val="0"/>
            <w:vAlign w:val="center"/>
          </w:tcPr>
          <w:p>
            <w:pPr>
              <w:adjustRightInd w:val="0"/>
              <w:snapToGrid w:val="0"/>
              <w:jc w:val="center"/>
              <w:rPr>
                <w:color w:val="000000"/>
                <w:sz w:val="24"/>
              </w:rPr>
            </w:pPr>
          </w:p>
        </w:tc>
        <w:tc>
          <w:tcPr>
            <w:tcW w:w="1981" w:type="dxa"/>
            <w:noWrap w:val="0"/>
            <w:vAlign w:val="center"/>
          </w:tcPr>
          <w:p>
            <w:pPr>
              <w:adjustRightInd w:val="0"/>
              <w:snapToGrid w:val="0"/>
              <w:jc w:val="center"/>
              <w:rPr>
                <w:color w:val="000000"/>
                <w:sz w:val="24"/>
              </w:rPr>
            </w:pPr>
          </w:p>
        </w:tc>
        <w:tc>
          <w:tcPr>
            <w:tcW w:w="2427" w:type="dxa"/>
            <w:noWrap w:val="0"/>
            <w:vAlign w:val="center"/>
          </w:tcPr>
          <w:p>
            <w:pPr>
              <w:adjustRightInd w:val="0"/>
              <w:snapToGrid w:val="0"/>
              <w:jc w:val="center"/>
              <w:rPr>
                <w:color w:val="000000"/>
                <w:sz w:val="24"/>
              </w:rPr>
            </w:pPr>
          </w:p>
        </w:tc>
        <w:tc>
          <w:tcPr>
            <w:tcW w:w="782" w:type="dxa"/>
            <w:noWrap w:val="0"/>
            <w:vAlign w:val="center"/>
          </w:tcPr>
          <w:p>
            <w:pPr>
              <w:adjustRightInd w:val="0"/>
              <w:snapToGrid w:val="0"/>
              <w:jc w:val="center"/>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r>
        <w:rPr>
          <w:sz w:val="24"/>
        </w:rPr>
        <w:t xml:space="preserve"> </w:t>
      </w:r>
      <w:r>
        <w:rPr>
          <w:rFonts w:hint="eastAsia"/>
          <w:sz w:val="24"/>
        </w:rPr>
        <w:t>“偏离情况”列应</w:t>
      </w:r>
      <w:r>
        <w:rPr>
          <w:color w:val="000000"/>
          <w:sz w:val="24"/>
        </w:rPr>
        <w:t>据实</w:t>
      </w:r>
      <w:r>
        <w:rPr>
          <w:rFonts w:hint="eastAsia"/>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spacing w:line="360" w:lineRule="auto"/>
        <w:outlineLvl w:val="2"/>
        <w:rPr>
          <w:color w:val="000000"/>
          <w:sz w:val="24"/>
          <w:szCs w:val="20"/>
        </w:rPr>
      </w:pPr>
      <w:r>
        <w:rPr>
          <w:color w:val="000000"/>
          <w:sz w:val="24"/>
          <w:szCs w:val="20"/>
        </w:rPr>
        <w:br w:type="page"/>
      </w:r>
      <w:r>
        <w:rPr>
          <w:color w:val="000000"/>
          <w:sz w:val="24"/>
          <w:szCs w:val="20"/>
        </w:rPr>
        <w:t>10</w:t>
      </w:r>
      <w:bookmarkEnd w:id="734"/>
      <w:bookmarkEnd w:id="735"/>
      <w:bookmarkEnd w:id="736"/>
      <w:bookmarkEnd w:id="737"/>
      <w:bookmarkEnd w:id="738"/>
      <w:bookmarkEnd w:id="739"/>
      <w:bookmarkEnd w:id="740"/>
      <w:bookmarkEnd w:id="741"/>
      <w:bookmarkEnd w:id="742"/>
      <w:bookmarkEnd w:id="743"/>
      <w:bookmarkEnd w:id="744"/>
      <w:bookmarkEnd w:id="745"/>
      <w:bookmarkEnd w:id="746"/>
      <w:r>
        <w:rPr>
          <w:color w:val="000000"/>
          <w:sz w:val="24"/>
          <w:szCs w:val="20"/>
        </w:rPr>
        <w:t xml:space="preserve"> 采购需求偏离表</w:t>
      </w:r>
    </w:p>
    <w:p>
      <w:pPr>
        <w:autoSpaceDE w:val="0"/>
        <w:autoSpaceDN w:val="0"/>
        <w:adjustRightInd w:val="0"/>
        <w:spacing w:line="360" w:lineRule="auto"/>
        <w:jc w:val="center"/>
        <w:rPr>
          <w:b/>
          <w:color w:val="000000"/>
          <w:sz w:val="36"/>
          <w:szCs w:val="36"/>
        </w:rPr>
      </w:pPr>
      <w:r>
        <w:rPr>
          <w:b/>
          <w:color w:val="000000"/>
          <w:sz w:val="36"/>
          <w:szCs w:val="36"/>
        </w:rPr>
        <w:t>采购需求偏离表</w:t>
      </w:r>
    </w:p>
    <w:p>
      <w:pPr>
        <w:tabs>
          <w:tab w:val="left" w:pos="1800"/>
          <w:tab w:val="left" w:pos="5580"/>
        </w:tabs>
        <w:spacing w:line="360" w:lineRule="auto"/>
        <w:ind w:firstLine="360" w:firstLineChars="150"/>
        <w:jc w:val="left"/>
        <w:rPr>
          <w:color w:val="000000"/>
          <w:sz w:val="24"/>
          <w:u w:val="single"/>
        </w:rPr>
      </w:pPr>
      <w:r>
        <w:rPr>
          <w:color w:val="000000"/>
          <w:sz w:val="24"/>
        </w:rPr>
        <w:t>项目编号：_____________________     项目名称：_______________________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700"/>
        <w:gridCol w:w="1810"/>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pPr>
              <w:adjustRightInd w:val="0"/>
              <w:snapToGrid w:val="0"/>
              <w:jc w:val="center"/>
              <w:rPr>
                <w:color w:val="000000"/>
                <w:sz w:val="24"/>
              </w:rPr>
            </w:pPr>
            <w:r>
              <w:rPr>
                <w:color w:val="000000"/>
                <w:sz w:val="24"/>
              </w:rPr>
              <w:t>序号</w:t>
            </w:r>
          </w:p>
        </w:tc>
        <w:tc>
          <w:tcPr>
            <w:tcW w:w="1482" w:type="dxa"/>
            <w:noWrap w:val="0"/>
            <w:vAlign w:val="center"/>
          </w:tcPr>
          <w:p>
            <w:pPr>
              <w:adjustRightInd w:val="0"/>
              <w:snapToGrid w:val="0"/>
              <w:jc w:val="center"/>
              <w:rPr>
                <w:color w:val="000000"/>
                <w:sz w:val="24"/>
              </w:rPr>
            </w:pPr>
            <w:r>
              <w:rPr>
                <w:color w:val="000000"/>
                <w:sz w:val="24"/>
              </w:rPr>
              <w:t>单一来源采购文件条目号(页码)</w:t>
            </w:r>
          </w:p>
        </w:tc>
        <w:tc>
          <w:tcPr>
            <w:tcW w:w="2700" w:type="dxa"/>
            <w:noWrap w:val="0"/>
            <w:vAlign w:val="center"/>
          </w:tcPr>
          <w:p>
            <w:pPr>
              <w:adjustRightInd w:val="0"/>
              <w:snapToGrid w:val="0"/>
              <w:jc w:val="center"/>
              <w:rPr>
                <w:color w:val="000000"/>
                <w:sz w:val="24"/>
              </w:rPr>
            </w:pPr>
            <w:r>
              <w:rPr>
                <w:color w:val="000000"/>
                <w:sz w:val="24"/>
              </w:rPr>
              <w:t>单一来源采购文件要求</w:t>
            </w:r>
          </w:p>
        </w:tc>
        <w:tc>
          <w:tcPr>
            <w:tcW w:w="1810" w:type="dxa"/>
            <w:noWrap w:val="0"/>
            <w:vAlign w:val="center"/>
          </w:tcPr>
          <w:p>
            <w:pPr>
              <w:adjustRightInd w:val="0"/>
              <w:snapToGrid w:val="0"/>
              <w:jc w:val="center"/>
              <w:rPr>
                <w:color w:val="000000"/>
                <w:sz w:val="24"/>
              </w:rPr>
            </w:pPr>
            <w:r>
              <w:rPr>
                <w:color w:val="000000"/>
                <w:sz w:val="24"/>
              </w:rPr>
              <w:t>响应内容</w:t>
            </w:r>
          </w:p>
        </w:tc>
        <w:tc>
          <w:tcPr>
            <w:tcW w:w="1875" w:type="dxa"/>
            <w:noWrap w:val="0"/>
            <w:vAlign w:val="center"/>
          </w:tcPr>
          <w:p>
            <w:pPr>
              <w:adjustRightInd w:val="0"/>
              <w:snapToGrid w:val="0"/>
              <w:jc w:val="center"/>
              <w:rPr>
                <w:color w:val="000000"/>
                <w:sz w:val="24"/>
              </w:rPr>
            </w:pPr>
            <w:r>
              <w:rPr>
                <w:color w:val="000000"/>
                <w:sz w:val="24"/>
              </w:rPr>
              <w:t>偏离情况</w:t>
            </w:r>
          </w:p>
        </w:tc>
        <w:tc>
          <w:tcPr>
            <w:tcW w:w="1009" w:type="dxa"/>
            <w:noWrap w:val="0"/>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color w:val="000000"/>
                <w:sz w:val="24"/>
              </w:rPr>
            </w:pPr>
          </w:p>
        </w:tc>
        <w:tc>
          <w:tcPr>
            <w:tcW w:w="1482" w:type="dxa"/>
            <w:noWrap w:val="0"/>
            <w:vAlign w:val="center"/>
          </w:tcPr>
          <w:p>
            <w:pPr>
              <w:adjustRightInd w:val="0"/>
              <w:snapToGrid w:val="0"/>
              <w:jc w:val="center"/>
              <w:rPr>
                <w:color w:val="000000"/>
                <w:sz w:val="24"/>
              </w:rPr>
            </w:pPr>
          </w:p>
        </w:tc>
        <w:tc>
          <w:tcPr>
            <w:tcW w:w="2700" w:type="dxa"/>
            <w:noWrap w:val="0"/>
            <w:vAlign w:val="center"/>
          </w:tcPr>
          <w:p>
            <w:pPr>
              <w:adjustRightInd w:val="0"/>
              <w:snapToGrid w:val="0"/>
              <w:jc w:val="center"/>
              <w:rPr>
                <w:color w:val="000000"/>
                <w:sz w:val="24"/>
              </w:rPr>
            </w:pPr>
          </w:p>
        </w:tc>
        <w:tc>
          <w:tcPr>
            <w:tcW w:w="1810" w:type="dxa"/>
            <w:noWrap w:val="0"/>
            <w:vAlign w:val="center"/>
          </w:tcPr>
          <w:p>
            <w:pPr>
              <w:adjustRightInd w:val="0"/>
              <w:snapToGrid w:val="0"/>
              <w:jc w:val="center"/>
              <w:rPr>
                <w:color w:val="000000"/>
                <w:sz w:val="24"/>
              </w:rPr>
            </w:pPr>
          </w:p>
        </w:tc>
        <w:tc>
          <w:tcPr>
            <w:tcW w:w="1875" w:type="dxa"/>
            <w:noWrap w:val="0"/>
            <w:vAlign w:val="center"/>
          </w:tcPr>
          <w:p>
            <w:pPr>
              <w:adjustRightInd w:val="0"/>
              <w:snapToGrid w:val="0"/>
              <w:jc w:val="center"/>
              <w:rPr>
                <w:color w:val="000000"/>
                <w:sz w:val="24"/>
              </w:rPr>
            </w:pPr>
          </w:p>
        </w:tc>
        <w:tc>
          <w:tcPr>
            <w:tcW w:w="1009"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color w:val="000000"/>
                <w:sz w:val="24"/>
              </w:rPr>
            </w:pPr>
          </w:p>
        </w:tc>
        <w:tc>
          <w:tcPr>
            <w:tcW w:w="1482" w:type="dxa"/>
            <w:noWrap w:val="0"/>
            <w:vAlign w:val="center"/>
          </w:tcPr>
          <w:p>
            <w:pPr>
              <w:adjustRightInd w:val="0"/>
              <w:snapToGrid w:val="0"/>
              <w:jc w:val="center"/>
              <w:rPr>
                <w:color w:val="000000"/>
                <w:sz w:val="24"/>
              </w:rPr>
            </w:pPr>
          </w:p>
        </w:tc>
        <w:tc>
          <w:tcPr>
            <w:tcW w:w="2700" w:type="dxa"/>
            <w:noWrap w:val="0"/>
            <w:vAlign w:val="center"/>
          </w:tcPr>
          <w:p>
            <w:pPr>
              <w:adjustRightInd w:val="0"/>
              <w:snapToGrid w:val="0"/>
              <w:jc w:val="center"/>
              <w:rPr>
                <w:color w:val="000000"/>
                <w:sz w:val="24"/>
              </w:rPr>
            </w:pPr>
          </w:p>
        </w:tc>
        <w:tc>
          <w:tcPr>
            <w:tcW w:w="1810" w:type="dxa"/>
            <w:noWrap w:val="0"/>
            <w:vAlign w:val="center"/>
          </w:tcPr>
          <w:p>
            <w:pPr>
              <w:adjustRightInd w:val="0"/>
              <w:snapToGrid w:val="0"/>
              <w:jc w:val="center"/>
              <w:rPr>
                <w:color w:val="000000"/>
                <w:sz w:val="24"/>
              </w:rPr>
            </w:pPr>
          </w:p>
        </w:tc>
        <w:tc>
          <w:tcPr>
            <w:tcW w:w="1875" w:type="dxa"/>
            <w:noWrap w:val="0"/>
            <w:vAlign w:val="center"/>
          </w:tcPr>
          <w:p>
            <w:pPr>
              <w:adjustRightInd w:val="0"/>
              <w:snapToGrid w:val="0"/>
              <w:jc w:val="center"/>
              <w:rPr>
                <w:color w:val="000000"/>
                <w:sz w:val="24"/>
              </w:rPr>
            </w:pPr>
          </w:p>
        </w:tc>
        <w:tc>
          <w:tcPr>
            <w:tcW w:w="1009"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color w:val="000000"/>
                <w:sz w:val="24"/>
              </w:rPr>
            </w:pPr>
          </w:p>
        </w:tc>
        <w:tc>
          <w:tcPr>
            <w:tcW w:w="1482" w:type="dxa"/>
            <w:noWrap w:val="0"/>
            <w:vAlign w:val="center"/>
          </w:tcPr>
          <w:p>
            <w:pPr>
              <w:adjustRightInd w:val="0"/>
              <w:snapToGrid w:val="0"/>
              <w:jc w:val="center"/>
              <w:rPr>
                <w:color w:val="000000"/>
                <w:sz w:val="24"/>
              </w:rPr>
            </w:pPr>
          </w:p>
        </w:tc>
        <w:tc>
          <w:tcPr>
            <w:tcW w:w="2700" w:type="dxa"/>
            <w:noWrap w:val="0"/>
            <w:vAlign w:val="center"/>
          </w:tcPr>
          <w:p>
            <w:pPr>
              <w:adjustRightInd w:val="0"/>
              <w:snapToGrid w:val="0"/>
              <w:jc w:val="center"/>
              <w:rPr>
                <w:color w:val="000000"/>
                <w:sz w:val="24"/>
              </w:rPr>
            </w:pPr>
          </w:p>
        </w:tc>
        <w:tc>
          <w:tcPr>
            <w:tcW w:w="1810" w:type="dxa"/>
            <w:noWrap w:val="0"/>
            <w:vAlign w:val="center"/>
          </w:tcPr>
          <w:p>
            <w:pPr>
              <w:adjustRightInd w:val="0"/>
              <w:snapToGrid w:val="0"/>
              <w:jc w:val="center"/>
              <w:rPr>
                <w:color w:val="000000"/>
                <w:sz w:val="24"/>
              </w:rPr>
            </w:pPr>
          </w:p>
        </w:tc>
        <w:tc>
          <w:tcPr>
            <w:tcW w:w="1875" w:type="dxa"/>
            <w:noWrap w:val="0"/>
            <w:vAlign w:val="center"/>
          </w:tcPr>
          <w:p>
            <w:pPr>
              <w:adjustRightInd w:val="0"/>
              <w:snapToGrid w:val="0"/>
              <w:jc w:val="center"/>
              <w:rPr>
                <w:color w:val="000000"/>
                <w:sz w:val="24"/>
              </w:rPr>
            </w:pPr>
          </w:p>
        </w:tc>
        <w:tc>
          <w:tcPr>
            <w:tcW w:w="1009"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color w:val="000000"/>
                <w:sz w:val="24"/>
              </w:rPr>
            </w:pPr>
          </w:p>
        </w:tc>
        <w:tc>
          <w:tcPr>
            <w:tcW w:w="1482" w:type="dxa"/>
            <w:noWrap w:val="0"/>
            <w:vAlign w:val="center"/>
          </w:tcPr>
          <w:p>
            <w:pPr>
              <w:adjustRightInd w:val="0"/>
              <w:snapToGrid w:val="0"/>
              <w:jc w:val="center"/>
              <w:rPr>
                <w:color w:val="000000"/>
                <w:sz w:val="24"/>
              </w:rPr>
            </w:pPr>
          </w:p>
        </w:tc>
        <w:tc>
          <w:tcPr>
            <w:tcW w:w="2700" w:type="dxa"/>
            <w:noWrap w:val="0"/>
            <w:vAlign w:val="center"/>
          </w:tcPr>
          <w:p>
            <w:pPr>
              <w:adjustRightInd w:val="0"/>
              <w:snapToGrid w:val="0"/>
              <w:jc w:val="center"/>
              <w:rPr>
                <w:color w:val="000000"/>
                <w:sz w:val="24"/>
              </w:rPr>
            </w:pPr>
          </w:p>
        </w:tc>
        <w:tc>
          <w:tcPr>
            <w:tcW w:w="1810" w:type="dxa"/>
            <w:noWrap w:val="0"/>
            <w:vAlign w:val="center"/>
          </w:tcPr>
          <w:p>
            <w:pPr>
              <w:adjustRightInd w:val="0"/>
              <w:snapToGrid w:val="0"/>
              <w:jc w:val="center"/>
              <w:rPr>
                <w:color w:val="000000"/>
                <w:sz w:val="24"/>
              </w:rPr>
            </w:pPr>
          </w:p>
        </w:tc>
        <w:tc>
          <w:tcPr>
            <w:tcW w:w="1875" w:type="dxa"/>
            <w:noWrap w:val="0"/>
            <w:vAlign w:val="center"/>
          </w:tcPr>
          <w:p>
            <w:pPr>
              <w:adjustRightInd w:val="0"/>
              <w:snapToGrid w:val="0"/>
              <w:jc w:val="center"/>
              <w:rPr>
                <w:color w:val="000000"/>
                <w:sz w:val="24"/>
              </w:rPr>
            </w:pPr>
          </w:p>
        </w:tc>
        <w:tc>
          <w:tcPr>
            <w:tcW w:w="1009"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color w:val="000000"/>
                <w:sz w:val="24"/>
              </w:rPr>
            </w:pPr>
          </w:p>
        </w:tc>
        <w:tc>
          <w:tcPr>
            <w:tcW w:w="1482" w:type="dxa"/>
            <w:noWrap w:val="0"/>
            <w:vAlign w:val="center"/>
          </w:tcPr>
          <w:p>
            <w:pPr>
              <w:adjustRightInd w:val="0"/>
              <w:snapToGrid w:val="0"/>
              <w:jc w:val="center"/>
              <w:rPr>
                <w:color w:val="000000"/>
                <w:sz w:val="24"/>
              </w:rPr>
            </w:pPr>
          </w:p>
        </w:tc>
        <w:tc>
          <w:tcPr>
            <w:tcW w:w="2700" w:type="dxa"/>
            <w:noWrap w:val="0"/>
            <w:vAlign w:val="center"/>
          </w:tcPr>
          <w:p>
            <w:pPr>
              <w:adjustRightInd w:val="0"/>
              <w:snapToGrid w:val="0"/>
              <w:jc w:val="center"/>
              <w:rPr>
                <w:color w:val="000000"/>
                <w:sz w:val="24"/>
              </w:rPr>
            </w:pPr>
          </w:p>
        </w:tc>
        <w:tc>
          <w:tcPr>
            <w:tcW w:w="1810" w:type="dxa"/>
            <w:noWrap w:val="0"/>
            <w:vAlign w:val="center"/>
          </w:tcPr>
          <w:p>
            <w:pPr>
              <w:adjustRightInd w:val="0"/>
              <w:snapToGrid w:val="0"/>
              <w:jc w:val="center"/>
              <w:rPr>
                <w:color w:val="000000"/>
                <w:sz w:val="24"/>
              </w:rPr>
            </w:pPr>
          </w:p>
        </w:tc>
        <w:tc>
          <w:tcPr>
            <w:tcW w:w="1875" w:type="dxa"/>
            <w:noWrap w:val="0"/>
            <w:vAlign w:val="center"/>
          </w:tcPr>
          <w:p>
            <w:pPr>
              <w:adjustRightInd w:val="0"/>
              <w:snapToGrid w:val="0"/>
              <w:jc w:val="center"/>
              <w:rPr>
                <w:color w:val="000000"/>
                <w:sz w:val="24"/>
              </w:rPr>
            </w:pPr>
          </w:p>
        </w:tc>
        <w:tc>
          <w:tcPr>
            <w:tcW w:w="1009" w:type="dxa"/>
            <w:noWrap w:val="0"/>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pPr>
              <w:adjustRightInd w:val="0"/>
              <w:snapToGrid w:val="0"/>
              <w:jc w:val="center"/>
              <w:rPr>
                <w:color w:val="000000"/>
                <w:sz w:val="24"/>
              </w:rPr>
            </w:pPr>
          </w:p>
        </w:tc>
        <w:tc>
          <w:tcPr>
            <w:tcW w:w="1482" w:type="dxa"/>
            <w:noWrap w:val="0"/>
            <w:vAlign w:val="center"/>
          </w:tcPr>
          <w:p>
            <w:pPr>
              <w:adjustRightInd w:val="0"/>
              <w:snapToGrid w:val="0"/>
              <w:jc w:val="center"/>
              <w:rPr>
                <w:color w:val="000000"/>
                <w:sz w:val="24"/>
              </w:rPr>
            </w:pPr>
          </w:p>
        </w:tc>
        <w:tc>
          <w:tcPr>
            <w:tcW w:w="2700" w:type="dxa"/>
            <w:noWrap w:val="0"/>
            <w:vAlign w:val="center"/>
          </w:tcPr>
          <w:p>
            <w:pPr>
              <w:adjustRightInd w:val="0"/>
              <w:snapToGrid w:val="0"/>
              <w:jc w:val="center"/>
              <w:rPr>
                <w:color w:val="000000"/>
                <w:sz w:val="24"/>
              </w:rPr>
            </w:pPr>
          </w:p>
        </w:tc>
        <w:tc>
          <w:tcPr>
            <w:tcW w:w="1810" w:type="dxa"/>
            <w:noWrap w:val="0"/>
            <w:vAlign w:val="center"/>
          </w:tcPr>
          <w:p>
            <w:pPr>
              <w:adjustRightInd w:val="0"/>
              <w:snapToGrid w:val="0"/>
              <w:jc w:val="center"/>
              <w:rPr>
                <w:color w:val="000000"/>
                <w:sz w:val="24"/>
              </w:rPr>
            </w:pPr>
          </w:p>
        </w:tc>
        <w:tc>
          <w:tcPr>
            <w:tcW w:w="1875" w:type="dxa"/>
            <w:noWrap w:val="0"/>
            <w:vAlign w:val="center"/>
          </w:tcPr>
          <w:p>
            <w:pPr>
              <w:adjustRightInd w:val="0"/>
              <w:snapToGrid w:val="0"/>
              <w:jc w:val="center"/>
              <w:rPr>
                <w:color w:val="000000"/>
                <w:sz w:val="24"/>
              </w:rPr>
            </w:pPr>
          </w:p>
        </w:tc>
        <w:tc>
          <w:tcPr>
            <w:tcW w:w="1009" w:type="dxa"/>
            <w:noWrap w:val="0"/>
            <w:vAlign w:val="center"/>
          </w:tcPr>
          <w:p>
            <w:pPr>
              <w:adjustRightInd w:val="0"/>
              <w:snapToGrid w:val="0"/>
              <w:jc w:val="center"/>
              <w:rPr>
                <w:color w:val="000000"/>
                <w:sz w:val="24"/>
              </w:rPr>
            </w:pPr>
          </w:p>
        </w:tc>
      </w:tr>
    </w:tbl>
    <w:p>
      <w:pPr>
        <w:tabs>
          <w:tab w:val="left" w:pos="1800"/>
          <w:tab w:val="left" w:pos="5580"/>
        </w:tabs>
        <w:spacing w:line="360" w:lineRule="auto"/>
        <w:ind w:firstLine="360" w:firstLineChars="150"/>
        <w:jc w:val="left"/>
        <w:rPr>
          <w:color w:val="000000"/>
          <w:sz w:val="24"/>
          <w:u w:val="single"/>
        </w:rPr>
      </w:pPr>
    </w:p>
    <w:p>
      <w:pPr>
        <w:tabs>
          <w:tab w:val="left" w:pos="1800"/>
          <w:tab w:val="left" w:pos="5580"/>
        </w:tabs>
        <w:spacing w:line="360" w:lineRule="auto"/>
        <w:ind w:firstLine="360" w:firstLineChars="150"/>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rFonts w:hint="eastAsia"/>
          <w:color w:val="000000"/>
          <w:sz w:val="24"/>
        </w:rPr>
        <w:t>1</w:t>
      </w:r>
      <w:r>
        <w:rPr>
          <w:color w:val="000000"/>
          <w:sz w:val="24"/>
        </w:rPr>
        <w:t xml:space="preserve">. </w:t>
      </w:r>
      <w:r>
        <w:rPr>
          <w:sz w:val="24"/>
        </w:rPr>
        <w:t>对单一来源采购文件中的所有商务、技术要求，除本表所列明的所有偏离外，均视作供应商已对之理解和响应。此表中若无任何文字说明，内容为空白，则</w:t>
      </w:r>
      <w:r>
        <w:rPr>
          <w:b/>
          <w:sz w:val="24"/>
        </w:rPr>
        <w:t>响应无效</w:t>
      </w:r>
      <w:r>
        <w:rPr>
          <w:sz w:val="24"/>
        </w:rPr>
        <w:t>。</w:t>
      </w:r>
    </w:p>
    <w:p>
      <w:pPr>
        <w:tabs>
          <w:tab w:val="left" w:pos="1800"/>
          <w:tab w:val="left" w:pos="5580"/>
        </w:tabs>
        <w:jc w:val="left"/>
        <w:rPr>
          <w:color w:val="000000"/>
          <w:sz w:val="24"/>
        </w:rPr>
      </w:pPr>
      <w:r>
        <w:rPr>
          <w:sz w:val="24"/>
        </w:rPr>
        <w:t>2.</w:t>
      </w:r>
      <w:r>
        <w:rPr>
          <w:rFonts w:hint="eastAsia"/>
          <w:sz w:val="24"/>
        </w:rPr>
        <w:t>“偏离情况”列应</w:t>
      </w:r>
      <w:r>
        <w:rPr>
          <w:color w:val="000000"/>
          <w:sz w:val="24"/>
        </w:rPr>
        <w:t>据实</w:t>
      </w:r>
      <w:r>
        <w:rPr>
          <w:rFonts w:hint="eastAsia"/>
          <w:sz w:val="24"/>
        </w:rPr>
        <w:t>填写“无偏离”、“正偏离”或“负偏离”。</w:t>
      </w:r>
    </w:p>
    <w:p>
      <w:pPr>
        <w:tabs>
          <w:tab w:val="left" w:pos="1800"/>
          <w:tab w:val="left" w:pos="5580"/>
        </w:tabs>
        <w:jc w:val="left"/>
        <w:rPr>
          <w:color w:val="000000"/>
          <w:sz w:val="24"/>
        </w:rPr>
      </w:pPr>
    </w:p>
    <w:p>
      <w:pPr>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pPr>
        <w:autoSpaceDE w:val="0"/>
        <w:autoSpaceDN w:val="0"/>
        <w:adjustRightInd w:val="0"/>
        <w:snapToGrid w:val="0"/>
        <w:spacing w:before="25" w:after="25" w:line="360" w:lineRule="auto"/>
        <w:rPr>
          <w:color w:val="000000"/>
          <w:sz w:val="24"/>
        </w:rPr>
      </w:pPr>
      <w:r>
        <w:rPr>
          <w:color w:val="000000"/>
          <w:sz w:val="24"/>
          <w:szCs w:val="20"/>
        </w:rPr>
        <w:t xml:space="preserve">日期：_____年______月______日   </w:t>
      </w:r>
    </w:p>
    <w:p>
      <w:pPr>
        <w:spacing w:line="360" w:lineRule="auto"/>
        <w:outlineLvl w:val="2"/>
        <w:rPr>
          <w:rFonts w:hint="eastAsia"/>
          <w:color w:val="000000"/>
          <w:sz w:val="24"/>
          <w:szCs w:val="20"/>
        </w:rPr>
      </w:pPr>
      <w:r>
        <w:rPr>
          <w:color w:val="000000"/>
          <w:sz w:val="24"/>
          <w:szCs w:val="20"/>
        </w:rPr>
        <w:br w:type="page"/>
      </w:r>
      <w:r>
        <w:rPr>
          <w:color w:val="000000"/>
          <w:sz w:val="24"/>
          <w:szCs w:val="20"/>
        </w:rPr>
        <w:t>11 采购标的的成本说明</w:t>
      </w:r>
    </w:p>
    <w:p>
      <w:pPr>
        <w:spacing w:line="360" w:lineRule="auto"/>
        <w:outlineLvl w:val="2"/>
        <w:rPr>
          <w:color w:val="000000"/>
          <w:sz w:val="24"/>
          <w:szCs w:val="20"/>
        </w:rPr>
      </w:pPr>
      <w:r>
        <w:rPr>
          <w:rFonts w:hint="eastAsia"/>
          <w:color w:val="000000"/>
          <w:sz w:val="24"/>
          <w:szCs w:val="20"/>
        </w:rPr>
        <w:t>格式自拟</w:t>
      </w:r>
    </w:p>
    <w:p>
      <w:pPr>
        <w:autoSpaceDE w:val="0"/>
        <w:autoSpaceDN w:val="0"/>
        <w:adjustRightInd w:val="0"/>
        <w:jc w:val="center"/>
        <w:rPr>
          <w:color w:val="000000"/>
          <w:sz w:val="30"/>
          <w:szCs w:val="30"/>
        </w:rPr>
      </w:pPr>
    </w:p>
    <w:p>
      <w:pPr>
        <w:widowControl/>
        <w:jc w:val="left"/>
        <w:rPr>
          <w:color w:val="000000"/>
          <w:sz w:val="24"/>
          <w:szCs w:val="20"/>
        </w:rPr>
      </w:pPr>
      <w:bookmarkStart w:id="747" w:name="_Toc87538864"/>
    </w:p>
    <w:p>
      <w:pPr>
        <w:spacing w:line="360" w:lineRule="auto"/>
        <w:outlineLvl w:val="2"/>
        <w:rPr>
          <w:color w:val="000000"/>
        </w:rPr>
      </w:pPr>
      <w:r>
        <w:rPr>
          <w:color w:val="000000"/>
          <w:sz w:val="24"/>
          <w:szCs w:val="20"/>
        </w:rPr>
        <w:br w:type="page"/>
      </w:r>
      <w:r>
        <w:rPr>
          <w:color w:val="000000"/>
          <w:sz w:val="24"/>
          <w:szCs w:val="20"/>
        </w:rPr>
        <w:t>1</w:t>
      </w:r>
      <w:r>
        <w:rPr>
          <w:rFonts w:hint="eastAsia"/>
          <w:color w:val="000000"/>
          <w:sz w:val="24"/>
          <w:szCs w:val="20"/>
        </w:rPr>
        <w:t>2</w:t>
      </w:r>
      <w:r>
        <w:rPr>
          <w:color w:val="000000"/>
          <w:sz w:val="24"/>
          <w:szCs w:val="20"/>
        </w:rPr>
        <w:t xml:space="preserve"> 同类项目合同价格</w:t>
      </w:r>
    </w:p>
    <w:p>
      <w:pPr>
        <w:rPr>
          <w:color w:val="000000"/>
        </w:rPr>
      </w:pPr>
      <w:r>
        <w:rPr>
          <w:color w:val="000000"/>
          <w:sz w:val="24"/>
          <w:szCs w:val="20"/>
        </w:rPr>
        <w:t>格式自拟</w:t>
      </w:r>
    </w:p>
    <w:p>
      <w:pPr>
        <w:spacing w:line="360" w:lineRule="auto"/>
        <w:outlineLvl w:val="2"/>
        <w:rPr>
          <w:color w:val="000000"/>
        </w:rPr>
      </w:pPr>
      <w:r>
        <w:rPr>
          <w:color w:val="000000"/>
          <w:sz w:val="24"/>
          <w:szCs w:val="20"/>
        </w:rPr>
        <w:br w:type="page"/>
      </w:r>
      <w:r>
        <w:rPr>
          <w:color w:val="000000"/>
          <w:sz w:val="24"/>
          <w:szCs w:val="20"/>
        </w:rPr>
        <w:t>1</w:t>
      </w:r>
      <w:r>
        <w:rPr>
          <w:rFonts w:hint="eastAsia"/>
          <w:color w:val="000000"/>
          <w:sz w:val="24"/>
          <w:szCs w:val="20"/>
        </w:rPr>
        <w:t>3</w:t>
      </w:r>
      <w:r>
        <w:rPr>
          <w:color w:val="000000"/>
          <w:sz w:val="24"/>
          <w:szCs w:val="20"/>
        </w:rPr>
        <w:t xml:space="preserve"> 相关专利、专有技术等情况说明</w:t>
      </w:r>
      <w:bookmarkEnd w:id="747"/>
    </w:p>
    <w:p>
      <w:pPr>
        <w:rPr>
          <w:color w:val="000000"/>
        </w:rPr>
      </w:pPr>
      <w:r>
        <w:rPr>
          <w:color w:val="000000"/>
          <w:sz w:val="24"/>
          <w:szCs w:val="20"/>
        </w:rPr>
        <w:t>格式自拟</w:t>
      </w:r>
    </w:p>
    <w:p>
      <w:pPr>
        <w:widowControl/>
        <w:jc w:val="left"/>
        <w:rPr>
          <w:color w:val="000000"/>
          <w:sz w:val="24"/>
          <w:szCs w:val="20"/>
        </w:rPr>
      </w:pPr>
      <w:r>
        <w:rPr>
          <w:color w:val="000000"/>
          <w:sz w:val="24"/>
          <w:szCs w:val="20"/>
        </w:rPr>
        <w:br w:type="page"/>
      </w:r>
    </w:p>
    <w:p>
      <w:pPr>
        <w:spacing w:line="360" w:lineRule="auto"/>
        <w:outlineLvl w:val="2"/>
        <w:rPr>
          <w:rFonts w:hint="eastAsia"/>
          <w:color w:val="000000"/>
          <w:sz w:val="24"/>
          <w:szCs w:val="20"/>
        </w:rPr>
      </w:pPr>
      <w:r>
        <w:rPr>
          <w:color w:val="000000"/>
          <w:sz w:val="24"/>
          <w:szCs w:val="20"/>
        </w:rPr>
        <w:t>1</w:t>
      </w:r>
      <w:r>
        <w:rPr>
          <w:rFonts w:hint="eastAsia"/>
          <w:color w:val="000000"/>
          <w:sz w:val="24"/>
          <w:szCs w:val="20"/>
        </w:rPr>
        <w:t>4</w:t>
      </w:r>
      <w:r>
        <w:rPr>
          <w:color w:val="000000"/>
          <w:sz w:val="24"/>
          <w:szCs w:val="20"/>
        </w:rPr>
        <w:t xml:space="preserve"> 单一来源采购文件要求提供或供应商认为应附的其他材料</w:t>
      </w:r>
    </w:p>
    <w:p>
      <w:pPr>
        <w:autoSpaceDE w:val="0"/>
        <w:autoSpaceDN w:val="0"/>
        <w:adjustRightInd w:val="0"/>
        <w:jc w:val="left"/>
        <w:rPr>
          <w:rFonts w:ascii="宋体" w:hAnsi="宋体" w:eastAsia="宋体" w:cs="FZSSK--GBK1-0"/>
          <w:kern w:val="0"/>
          <w:sz w:val="24"/>
        </w:rPr>
      </w:pPr>
      <w:r>
        <w:rPr>
          <w:rFonts w:ascii="宋体" w:hAnsi="宋体" w:eastAsia="宋体" w:cs="DejaVuSans"/>
          <w:kern w:val="0"/>
          <w:sz w:val="24"/>
        </w:rPr>
        <w:t xml:space="preserve">14-1 </w:t>
      </w:r>
      <w:r>
        <w:rPr>
          <w:rFonts w:hint="eastAsia" w:ascii="宋体" w:hAnsi="宋体" w:eastAsia="宋体" w:cs="FZSSK--GBK1-0"/>
          <w:kern w:val="0"/>
          <w:sz w:val="24"/>
        </w:rPr>
        <w:t>供应商信息采集表</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6"/>
        <w:gridCol w:w="3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6" w:type="dxa"/>
            <w:noWrap w:val="0"/>
            <w:vAlign w:val="top"/>
          </w:tcPr>
          <w:p>
            <w:pPr>
              <w:autoSpaceDE w:val="0"/>
              <w:autoSpaceDN w:val="0"/>
              <w:adjustRightInd w:val="0"/>
              <w:jc w:val="left"/>
              <w:rPr>
                <w:rFonts w:ascii="宋体" w:hAnsi="宋体" w:eastAsia="宋体" w:cs="FZSSK--GBK1-0"/>
                <w:kern w:val="0"/>
                <w:sz w:val="24"/>
              </w:rPr>
            </w:pPr>
            <w:r>
              <w:rPr>
                <w:rFonts w:hint="eastAsia" w:ascii="宋体" w:hAnsi="宋体" w:eastAsia="宋体" w:cs="FZSSK--GBK1-0"/>
                <w:kern w:val="0"/>
                <w:sz w:val="24"/>
              </w:rPr>
              <w:t>供应商名称</w:t>
            </w:r>
          </w:p>
        </w:tc>
        <w:tc>
          <w:tcPr>
            <w:tcW w:w="3096" w:type="dxa"/>
            <w:noWrap w:val="0"/>
            <w:vAlign w:val="top"/>
          </w:tcPr>
          <w:p>
            <w:pPr>
              <w:autoSpaceDE w:val="0"/>
              <w:autoSpaceDN w:val="0"/>
              <w:adjustRightInd w:val="0"/>
              <w:jc w:val="left"/>
              <w:rPr>
                <w:rFonts w:ascii="宋体" w:hAnsi="宋体" w:eastAsia="宋体" w:cs="FZSSK--GBK1-0"/>
                <w:kern w:val="0"/>
                <w:sz w:val="24"/>
              </w:rPr>
            </w:pPr>
            <w:r>
              <w:rPr>
                <w:rFonts w:hint="eastAsia" w:ascii="宋体" w:hAnsi="宋体" w:eastAsia="宋体" w:cs="FZSSK--GBK1-0"/>
                <w:kern w:val="0"/>
                <w:sz w:val="24"/>
              </w:rPr>
              <w:t>供应商所属性别</w:t>
            </w:r>
          </w:p>
        </w:tc>
        <w:tc>
          <w:tcPr>
            <w:tcW w:w="3096" w:type="dxa"/>
            <w:noWrap w:val="0"/>
            <w:vAlign w:val="top"/>
          </w:tcPr>
          <w:p>
            <w:pPr>
              <w:autoSpaceDE w:val="0"/>
              <w:autoSpaceDN w:val="0"/>
              <w:adjustRightInd w:val="0"/>
              <w:jc w:val="left"/>
              <w:rPr>
                <w:rFonts w:ascii="宋体" w:hAnsi="宋体" w:eastAsia="宋体" w:cs="FZSSK--GBK1-0"/>
                <w:kern w:val="0"/>
                <w:sz w:val="24"/>
              </w:rPr>
            </w:pPr>
            <w:r>
              <w:rPr>
                <w:rFonts w:hint="eastAsia" w:ascii="宋体" w:hAnsi="宋体" w:eastAsia="宋体" w:cs="FZSSK--GBK1-0"/>
                <w:kern w:val="0"/>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6" w:type="dxa"/>
            <w:noWrap w:val="0"/>
            <w:vAlign w:val="top"/>
          </w:tcPr>
          <w:p>
            <w:pPr>
              <w:autoSpaceDE w:val="0"/>
              <w:autoSpaceDN w:val="0"/>
              <w:adjustRightInd w:val="0"/>
              <w:jc w:val="left"/>
              <w:rPr>
                <w:rFonts w:ascii="宋体" w:hAnsi="宋体" w:eastAsia="宋体" w:cs="FZSSK--GBK1-0"/>
                <w:kern w:val="0"/>
                <w:sz w:val="24"/>
              </w:rPr>
            </w:pPr>
          </w:p>
        </w:tc>
        <w:tc>
          <w:tcPr>
            <w:tcW w:w="3096" w:type="dxa"/>
            <w:noWrap w:val="0"/>
            <w:vAlign w:val="top"/>
          </w:tcPr>
          <w:p>
            <w:pPr>
              <w:autoSpaceDE w:val="0"/>
              <w:autoSpaceDN w:val="0"/>
              <w:adjustRightInd w:val="0"/>
              <w:jc w:val="left"/>
              <w:rPr>
                <w:rFonts w:ascii="宋体" w:hAnsi="宋体" w:eastAsia="宋体" w:cs="FZSSK--GBK1-0"/>
                <w:kern w:val="0"/>
                <w:sz w:val="24"/>
              </w:rPr>
            </w:pPr>
          </w:p>
        </w:tc>
        <w:tc>
          <w:tcPr>
            <w:tcW w:w="3096" w:type="dxa"/>
            <w:noWrap w:val="0"/>
            <w:vAlign w:val="top"/>
          </w:tcPr>
          <w:p>
            <w:pPr>
              <w:autoSpaceDE w:val="0"/>
              <w:autoSpaceDN w:val="0"/>
              <w:adjustRightInd w:val="0"/>
              <w:jc w:val="left"/>
              <w:rPr>
                <w:rFonts w:ascii="宋体" w:hAnsi="宋体" w:eastAsia="宋体" w:cs="FZSSK--GBK1-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6" w:type="dxa"/>
            <w:noWrap w:val="0"/>
            <w:vAlign w:val="top"/>
          </w:tcPr>
          <w:p>
            <w:pPr>
              <w:autoSpaceDE w:val="0"/>
              <w:autoSpaceDN w:val="0"/>
              <w:adjustRightInd w:val="0"/>
              <w:jc w:val="left"/>
              <w:rPr>
                <w:rFonts w:ascii="宋体" w:hAnsi="宋体" w:eastAsia="宋体" w:cs="FZSSK--GBK1-0"/>
                <w:kern w:val="0"/>
                <w:sz w:val="24"/>
              </w:rPr>
            </w:pPr>
          </w:p>
        </w:tc>
        <w:tc>
          <w:tcPr>
            <w:tcW w:w="3096" w:type="dxa"/>
            <w:noWrap w:val="0"/>
            <w:vAlign w:val="top"/>
          </w:tcPr>
          <w:p>
            <w:pPr>
              <w:autoSpaceDE w:val="0"/>
              <w:autoSpaceDN w:val="0"/>
              <w:adjustRightInd w:val="0"/>
              <w:jc w:val="left"/>
              <w:rPr>
                <w:rFonts w:ascii="宋体" w:hAnsi="宋体" w:eastAsia="宋体" w:cs="FZSSK--GBK1-0"/>
                <w:kern w:val="0"/>
                <w:sz w:val="24"/>
              </w:rPr>
            </w:pPr>
          </w:p>
        </w:tc>
        <w:tc>
          <w:tcPr>
            <w:tcW w:w="3096" w:type="dxa"/>
            <w:noWrap w:val="0"/>
            <w:vAlign w:val="top"/>
          </w:tcPr>
          <w:p>
            <w:pPr>
              <w:autoSpaceDE w:val="0"/>
              <w:autoSpaceDN w:val="0"/>
              <w:adjustRightInd w:val="0"/>
              <w:jc w:val="left"/>
              <w:rPr>
                <w:rFonts w:ascii="宋体" w:hAnsi="宋体" w:eastAsia="宋体" w:cs="FZSSK--GBK1-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96" w:type="dxa"/>
            <w:noWrap w:val="0"/>
            <w:vAlign w:val="top"/>
          </w:tcPr>
          <w:p>
            <w:pPr>
              <w:autoSpaceDE w:val="0"/>
              <w:autoSpaceDN w:val="0"/>
              <w:adjustRightInd w:val="0"/>
              <w:jc w:val="left"/>
              <w:rPr>
                <w:rFonts w:ascii="宋体" w:hAnsi="宋体" w:eastAsia="宋体" w:cs="FZSSK--GBK1-0"/>
                <w:kern w:val="0"/>
                <w:sz w:val="24"/>
              </w:rPr>
            </w:pPr>
          </w:p>
        </w:tc>
        <w:tc>
          <w:tcPr>
            <w:tcW w:w="3096" w:type="dxa"/>
            <w:noWrap w:val="0"/>
            <w:vAlign w:val="top"/>
          </w:tcPr>
          <w:p>
            <w:pPr>
              <w:autoSpaceDE w:val="0"/>
              <w:autoSpaceDN w:val="0"/>
              <w:adjustRightInd w:val="0"/>
              <w:jc w:val="left"/>
              <w:rPr>
                <w:rFonts w:ascii="宋体" w:hAnsi="宋体" w:eastAsia="宋体" w:cs="FZSSK--GBK1-0"/>
                <w:kern w:val="0"/>
                <w:sz w:val="24"/>
              </w:rPr>
            </w:pPr>
          </w:p>
        </w:tc>
        <w:tc>
          <w:tcPr>
            <w:tcW w:w="3096" w:type="dxa"/>
            <w:noWrap w:val="0"/>
            <w:vAlign w:val="top"/>
          </w:tcPr>
          <w:p>
            <w:pPr>
              <w:autoSpaceDE w:val="0"/>
              <w:autoSpaceDN w:val="0"/>
              <w:adjustRightInd w:val="0"/>
              <w:jc w:val="left"/>
              <w:rPr>
                <w:rFonts w:ascii="宋体" w:hAnsi="宋体" w:eastAsia="宋体" w:cs="FZSSK--GBK1-0"/>
                <w:kern w:val="0"/>
                <w:sz w:val="24"/>
              </w:rPr>
            </w:pPr>
          </w:p>
        </w:tc>
      </w:tr>
    </w:tbl>
    <w:p>
      <w:pPr>
        <w:autoSpaceDE w:val="0"/>
        <w:autoSpaceDN w:val="0"/>
        <w:adjustRightInd w:val="0"/>
        <w:jc w:val="left"/>
        <w:rPr>
          <w:rFonts w:ascii="宋体" w:hAnsi="宋体" w:eastAsia="宋体" w:cs="FZSSK--GBK1-0"/>
          <w:kern w:val="0"/>
          <w:sz w:val="24"/>
        </w:rPr>
      </w:pPr>
    </w:p>
    <w:p>
      <w:pPr>
        <w:autoSpaceDE w:val="0"/>
        <w:autoSpaceDN w:val="0"/>
        <w:adjustRightInd w:val="0"/>
        <w:jc w:val="left"/>
        <w:rPr>
          <w:rFonts w:ascii="宋体" w:hAnsi="宋体" w:eastAsia="宋体" w:cs="FZSSK--GBK1-0"/>
          <w:kern w:val="0"/>
          <w:sz w:val="24"/>
        </w:rPr>
      </w:pPr>
      <w:r>
        <w:rPr>
          <w:rFonts w:hint="eastAsia" w:ascii="宋体" w:hAnsi="宋体" w:eastAsia="宋体" w:cs="FZSSK--GBK1-0"/>
          <w:kern w:val="0"/>
          <w:sz w:val="24"/>
        </w:rPr>
        <w:t>注：</w:t>
      </w:r>
      <w:r>
        <w:rPr>
          <w:rFonts w:ascii="宋体" w:hAnsi="宋体" w:eastAsia="宋体" w:cs="DejaVuSans"/>
          <w:kern w:val="0"/>
          <w:sz w:val="24"/>
        </w:rPr>
        <w:t>1.</w:t>
      </w:r>
      <w:r>
        <w:rPr>
          <w:rFonts w:hint="eastAsia" w:ascii="宋体" w:hAnsi="宋体" w:eastAsia="宋体" w:cs="FZSSK--GBK1-0"/>
          <w:kern w:val="0"/>
          <w:sz w:val="24"/>
        </w:rPr>
        <w:t>供应商如为联合体，则应填写联合体各成员信息。</w:t>
      </w:r>
    </w:p>
    <w:p>
      <w:pPr>
        <w:autoSpaceDE w:val="0"/>
        <w:autoSpaceDN w:val="0"/>
        <w:adjustRightInd w:val="0"/>
        <w:ind w:firstLine="480" w:firstLineChars="200"/>
        <w:jc w:val="left"/>
        <w:rPr>
          <w:rFonts w:ascii="宋体" w:hAnsi="宋体" w:eastAsia="宋体" w:cs="FZSSK--GBK1-0"/>
          <w:kern w:val="0"/>
          <w:sz w:val="24"/>
        </w:rPr>
      </w:pPr>
      <w:r>
        <w:rPr>
          <w:rFonts w:ascii="宋体" w:hAnsi="宋体" w:eastAsia="宋体" w:cs="DejaVuSans"/>
          <w:kern w:val="0"/>
          <w:sz w:val="24"/>
        </w:rPr>
        <w:t>2.</w:t>
      </w:r>
      <w:r>
        <w:rPr>
          <w:rFonts w:hint="eastAsia" w:ascii="宋体" w:hAnsi="宋体" w:eastAsia="宋体" w:cs="FZSSK--GBK1-0"/>
          <w:kern w:val="0"/>
          <w:sz w:val="24"/>
        </w:rPr>
        <w:t>供应商所属性别请填写“男”或“女”，指拥有供应商</w:t>
      </w:r>
      <w:r>
        <w:rPr>
          <w:rFonts w:ascii="宋体" w:hAnsi="宋体" w:eastAsia="宋体" w:cs="DejaVuSans"/>
          <w:kern w:val="0"/>
          <w:sz w:val="24"/>
        </w:rPr>
        <w:t>51%</w:t>
      </w:r>
      <w:r>
        <w:rPr>
          <w:rFonts w:hint="eastAsia" w:ascii="宋体" w:hAnsi="宋体" w:eastAsia="宋体" w:cs="FZSSK--GBK1-0"/>
          <w:kern w:val="0"/>
          <w:sz w:val="24"/>
        </w:rPr>
        <w:t>以上绝对所有权的性别；绝对所有权拥有者可以是一个人，也可以是多人合计计算。</w:t>
      </w:r>
    </w:p>
    <w:p>
      <w:pPr>
        <w:spacing w:line="360" w:lineRule="auto"/>
        <w:ind w:firstLine="480" w:firstLineChars="200"/>
        <w:outlineLvl w:val="2"/>
        <w:rPr>
          <w:rFonts w:hint="eastAsia" w:ascii="宋体" w:hAnsi="宋体" w:eastAsia="宋体" w:cs="FZSSK--GBK1-0"/>
          <w:kern w:val="0"/>
          <w:sz w:val="24"/>
        </w:rPr>
      </w:pPr>
      <w:r>
        <w:rPr>
          <w:rFonts w:ascii="宋体" w:hAnsi="宋体" w:eastAsia="宋体" w:cs="DejaVuSans"/>
          <w:kern w:val="0"/>
          <w:sz w:val="24"/>
        </w:rPr>
        <w:t>3.</w:t>
      </w:r>
      <w:r>
        <w:rPr>
          <w:rFonts w:hint="eastAsia" w:ascii="宋体" w:hAnsi="宋体" w:eastAsia="宋体" w:cs="FZSSK--GBK1-0"/>
          <w:kern w:val="0"/>
          <w:sz w:val="24"/>
        </w:rPr>
        <w:t>外商投资类型请填写“外商单独投资”、“外商部分投资”或“内资”。</w:t>
      </w:r>
    </w:p>
    <w:p>
      <w:pPr>
        <w:pStyle w:val="5"/>
        <w:ind w:left="720" w:hanging="720"/>
        <w:rPr>
          <w:rFonts w:ascii="宋体" w:hAnsi="宋体" w:eastAsia="宋体" w:cs="宋体"/>
          <w:bCs/>
          <w:color w:val="000000"/>
          <w:kern w:val="2"/>
          <w:szCs w:val="24"/>
        </w:rPr>
      </w:pPr>
      <w:r>
        <w:rPr>
          <w:rFonts w:hint="eastAsia" w:ascii="宋体" w:hAnsi="宋体" w:eastAsia="宋体" w:cs="FZSSK--GBK1-0"/>
          <w:kern w:val="0"/>
          <w:sz w:val="24"/>
        </w:rPr>
        <w:br w:type="page"/>
      </w:r>
      <w:bookmarkStart w:id="748" w:name="_Toc188382302"/>
      <w:bookmarkStart w:id="749" w:name="_Toc6758"/>
      <w:r>
        <w:rPr>
          <w:rFonts w:hint="eastAsia" w:ascii="宋体" w:hAnsi="宋体" w:eastAsia="宋体" w:cs="宋体"/>
          <w:bCs/>
          <w:color w:val="000000"/>
          <w:kern w:val="2"/>
          <w:szCs w:val="24"/>
        </w:rPr>
        <w:t>附录1：政府采购促进中小企业发展管理办法</w:t>
      </w:r>
      <w:bookmarkEnd w:id="748"/>
      <w:bookmarkEnd w:id="749"/>
    </w:p>
    <w:p>
      <w:pPr>
        <w:widowControl/>
        <w:adjustRightInd w:val="0"/>
        <w:snapToGrid w:val="0"/>
        <w:spacing w:line="360" w:lineRule="auto"/>
        <w:jc w:val="center"/>
        <w:rPr>
          <w:rFonts w:ascii="宋体" w:hAnsi="宋体" w:eastAsia="宋体" w:cs="宋体"/>
          <w:bCs/>
          <w:color w:val="000000"/>
          <w:sz w:val="24"/>
        </w:rPr>
      </w:pPr>
      <w:r>
        <w:rPr>
          <w:rFonts w:hint="eastAsia" w:ascii="宋体" w:hAnsi="宋体" w:eastAsia="宋体" w:cs="宋体"/>
          <w:bCs/>
          <w:color w:val="000000"/>
          <w:sz w:val="24"/>
        </w:rPr>
        <w:t>政府采购促进中小企业发展管理办法</w:t>
      </w:r>
    </w:p>
    <w:p>
      <w:pPr>
        <w:spacing w:line="360" w:lineRule="auto"/>
        <w:jc w:val="center"/>
        <w:rPr>
          <w:rFonts w:ascii="宋体" w:hAnsi="宋体" w:eastAsia="宋体" w:cs="宋体"/>
          <w:bCs/>
          <w:color w:val="000000"/>
          <w:sz w:val="24"/>
        </w:rPr>
      </w:pPr>
      <w:r>
        <w:rPr>
          <w:rFonts w:hint="eastAsia" w:ascii="宋体" w:hAnsi="宋体" w:eastAsia="宋体" w:cs="宋体"/>
          <w:bCs/>
          <w:color w:val="000000"/>
          <w:sz w:val="24"/>
        </w:rPr>
        <w:t>财库[2020]46号</w:t>
      </w:r>
    </w:p>
    <w:p>
      <w:pPr>
        <w:spacing w:line="360" w:lineRule="auto"/>
        <w:jc w:val="center"/>
        <w:rPr>
          <w:rFonts w:ascii="宋体" w:hAnsi="宋体" w:eastAsia="宋体"/>
          <w:color w:val="000000"/>
        </w:rPr>
      </w:pP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第一条 为了发挥政府采购的政策功能，促进中小企业健康发展，根据《中华人民共和国政府采购法》、《中华人民共和国中小企业促进法》等有关法律法规，制定本办法。</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符合中小企业划分标准的个体工商户，在政府采购活动中视同中小企业。</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第三条 采购人在政府采购活动中应当通过加强采购需求管理，落实预留采购份额、价格评审优惠、优先采购等措施，提高中小企业在政府采购中的份额，支持中小企业发展。</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第四条 在政府采购活动中，供应商提供的货物、工程或者服务符合下列情形的，享受本办法规定的中小企业扶持政策：</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（一）在货物采购项目中，货物由中小企业制造，即货物由中小企业生产且使用该中小企业商号或者注册商标；</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（二）在工程采购项目中，工程由中小企业承建，即工程施工单位为中小企业；</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（三）在服务采购项目中，服务由中小企业承接，即提</w:t>
      </w:r>
      <w:bookmarkStart w:id="750" w:name="page2"/>
      <w:bookmarkEnd w:id="750"/>
      <w:r>
        <w:rPr>
          <w:rFonts w:hint="eastAsia" w:ascii="宋体" w:hAnsi="宋体" w:eastAsia="宋体" w:cs="宋体"/>
          <w:bCs/>
          <w:color w:val="000000"/>
          <w:sz w:val="24"/>
        </w:rPr>
        <w:t>供服务的人员为中小企业依照《中华人民共和国劳动合同法》订立劳动合同的从业人员。</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符合下列情形之一的，可不专门面向中小企业预留采购份额：</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（一）法律法规和国家有关政策明确规定优先或者应当面向事业单位、社会组织等非企业主体采购的；</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（二）因确需使用不可替代的专利、专有技术，基础设施限制，或者提供特定公共服务等原因，只能从中小企业之外的供应商处采购的；</w:t>
      </w:r>
      <w:bookmarkStart w:id="751" w:name="page3"/>
      <w:bookmarkEnd w:id="751"/>
    </w:p>
    <w:p>
      <w:pPr>
        <w:spacing w:line="360" w:lineRule="auto"/>
        <w:rPr>
          <w:rFonts w:ascii="宋体" w:hAnsi="宋体" w:eastAsia="宋体" w:cs="宋体"/>
          <w:bCs/>
          <w:color w:val="000000"/>
          <w:sz w:val="24"/>
        </w:rPr>
      </w:pPr>
      <w:r>
        <w:rPr>
          <w:rFonts w:hint="eastAsia" w:ascii="宋体" w:hAnsi="宋体" w:eastAsia="宋体" w:cs="宋体"/>
          <w:bCs/>
          <w:color w:val="000000"/>
          <w:sz w:val="24"/>
        </w:rPr>
        <w:t>（三）按照本办法规定预留采购份额无法确保充分供应、充分竞争，或者存在可能影响政府采购目标实现的情形；</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（四）框架协议采购项目；</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（五）省级以上人民政府财政部门规定的其他情形。</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除上述情形外，其他均为适宜由中小企业提供的情形。</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第七条 采购限额标准以上，200万元以下的货物和服务采购项目、400万元以下的工程采购项目，适宜由中小企业提供的，采购人应当专门面向中小企业采购。</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（一）将采购项目整体或者设置采购包专门面向中小企业采购；</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（二）要求供应商以联合体形式参加采购活动，且联合体中中小企业承担的部分达到一定比例；</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（三）要求获得采购合同的供应商将采购项目中的一定比例分包给一家或者多家中小企业。组成联合体或者接受分包合同的中小企业与联合体内其他企业、分包企业之间不得存在直接控股、管理关系。</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3%—5%）的扣</w:t>
      </w:r>
      <w:bookmarkStart w:id="752" w:name="page4"/>
      <w:bookmarkEnd w:id="752"/>
      <w:r>
        <w:rPr>
          <w:rFonts w:hint="eastAsia" w:ascii="宋体" w:hAnsi="宋体" w:eastAsia="宋体" w:cs="宋体"/>
          <w:bCs/>
          <w:color w:val="000000"/>
          <w:sz w:val="24"/>
        </w:rPr>
        <w:t>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w:t>
      </w:r>
      <w:bookmarkStart w:id="753" w:name="page5"/>
      <w:bookmarkEnd w:id="753"/>
      <w:r>
        <w:rPr>
          <w:rFonts w:hint="eastAsia" w:ascii="宋体" w:hAnsi="宋体" w:eastAsia="宋体" w:cs="宋体"/>
          <w:bCs/>
          <w:color w:val="000000"/>
          <w:sz w:val="24"/>
        </w:rPr>
        <w:t>九条有关规定重新组织采购活动。</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第十二条 采购项目涉及中小企业采购的，采购文件应当明确以下内容：</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（一）预留份额的采购项目或者采购包，明确该项目或相关采购包专门面向中小企业采购，以及相关标的及预算金额；</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（二）要求以联合体形式参加或者合同分包的，明确联合协议或者分包意向协议中中小企业合同金额应当达到的比例，并作为供应商资格条件；</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（三）非预留份额的采购项目或者采购包，明确有关价格扣除比例或者价格分加分比例；</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（四）规定依据本办法规定享受扶持政策获得政府采购合同的，小微企业不得将合同分包给大中型企业，中型企业不得将合同分包给大型企业；</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（五）采购人认为具备相关条件的，明确对中小企业在资金支付期限、预付款比例等方面的优惠措施；</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（六）明确采购标的对应的中小企业划分标准所属行业；</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（七）法律法规和省级以上人民政府财政部门规定的其他事项。</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第十三条 中标、成交供应商享受本办法规定的中小企</w:t>
      </w:r>
      <w:bookmarkStart w:id="754" w:name="page6"/>
      <w:bookmarkEnd w:id="754"/>
      <w:r>
        <w:rPr>
          <w:rFonts w:hint="eastAsia" w:ascii="宋体" w:hAnsi="宋体" w:eastAsia="宋体" w:cs="宋体"/>
          <w:bCs/>
          <w:color w:val="000000"/>
          <w:sz w:val="24"/>
        </w:rPr>
        <w:t>业扶持政策的，采购人、采购代理机构应当随中标、成交结果公开中标、成交供应商的《中小企业声明函》。适用招标投标法的政府采购工程建设项目，应当在公示中标候选人时公开中标候选人的《中小企业声明函》。</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第十五条 鼓励各地区、各部门在采购活动中允许中小企业引入信用担保手段，为中小企业在投标（响应）保证、履约保证等方面提供专业化服务。鼓励中小企业依法合规通过政府采购合同融资。</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第十六条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10个工作日内做出书面答复。</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第十七条 各地区、各部门应当对涉及中小企业采购的预算项目实施全过程绩效管理，合理设置绩效目标和指标，落实扶持中小企业有关政策要求，定期开展绩效监控和评价，强化绩效评价结果应用。</w:t>
      </w:r>
      <w:bookmarkStart w:id="755" w:name="page7"/>
      <w:bookmarkEnd w:id="755"/>
    </w:p>
    <w:p>
      <w:pPr>
        <w:spacing w:line="360" w:lineRule="auto"/>
        <w:rPr>
          <w:rFonts w:ascii="宋体" w:hAnsi="宋体" w:eastAsia="宋体" w:cs="宋体"/>
          <w:bCs/>
          <w:color w:val="000000"/>
          <w:sz w:val="24"/>
        </w:rPr>
      </w:pPr>
      <w:r>
        <w:rPr>
          <w:rFonts w:hint="eastAsia" w:ascii="宋体" w:hAnsi="宋体" w:eastAsia="宋体" w:cs="宋体"/>
          <w:bCs/>
          <w:color w:val="000000"/>
          <w:sz w:val="24"/>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第二十条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第二十二条 对外援助项目、国家相关资格或者资质管理制度另有规定的项目，不适用本办法。</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第二十三条</w:t>
      </w:r>
      <w:r>
        <w:rPr>
          <w:rFonts w:ascii="宋体" w:hAnsi="宋体" w:eastAsia="宋体" w:cs="宋体"/>
          <w:bCs/>
          <w:color w:val="000000"/>
          <w:sz w:val="24"/>
        </w:rPr>
        <w:tab/>
      </w:r>
      <w:r>
        <w:rPr>
          <w:rFonts w:hint="eastAsia" w:ascii="宋体" w:hAnsi="宋体" w:eastAsia="宋体" w:cs="宋体"/>
          <w:bCs/>
          <w:color w:val="000000"/>
          <w:sz w:val="24"/>
        </w:rPr>
        <w:t>关于视同中小企业的其他主体的政府采购扶持政策，由财政部会同有关部门另行规定。</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第二十四条</w:t>
      </w:r>
      <w:r>
        <w:rPr>
          <w:rFonts w:ascii="宋体" w:hAnsi="宋体" w:eastAsia="宋体" w:cs="宋体"/>
          <w:bCs/>
          <w:color w:val="000000"/>
          <w:sz w:val="24"/>
        </w:rPr>
        <w:tab/>
      </w:r>
      <w:r>
        <w:rPr>
          <w:rFonts w:hint="eastAsia" w:ascii="宋体" w:hAnsi="宋体" w:eastAsia="宋体" w:cs="宋体"/>
          <w:bCs/>
          <w:color w:val="000000"/>
          <w:sz w:val="24"/>
        </w:rPr>
        <w:t>省级财政部门可以会同中小企业主管部门根据本办法的规定制定具体实施办法。</w:t>
      </w:r>
    </w:p>
    <w:p>
      <w:pPr>
        <w:pStyle w:val="17"/>
        <w:adjustRightInd w:val="0"/>
        <w:snapToGrid w:val="0"/>
        <w:spacing w:line="360" w:lineRule="auto"/>
        <w:ind w:right="-45"/>
        <w:jc w:val="left"/>
        <w:rPr>
          <w:rFonts w:ascii="宋体" w:hAnsi="宋体" w:eastAsia="宋体" w:cs="仿宋_GB2312"/>
          <w:color w:val="000000"/>
          <w:kern w:val="0"/>
        </w:rPr>
      </w:pPr>
      <w:r>
        <w:rPr>
          <w:rFonts w:hint="eastAsia" w:ascii="宋体" w:hAnsi="宋体" w:eastAsia="宋体" w:cs="宋体"/>
          <w:bCs/>
          <w:color w:val="000000"/>
        </w:rPr>
        <w:t>第二十五条 本办法自 2021 年 1 月 1 日起施行。《财政部 工业和信息化部关于印发〈政府采购促进中小企业发展暂行办法〉的通知》（财库﹝2011﹞181 号）同时废止。</w:t>
      </w:r>
    </w:p>
    <w:p>
      <w:pPr>
        <w:spacing w:line="360" w:lineRule="auto"/>
        <w:rPr>
          <w:rFonts w:ascii="宋体" w:hAnsi="宋体" w:eastAsia="宋体" w:cs="仿宋_GB2312"/>
          <w:bCs/>
          <w:color w:val="000000"/>
          <w:sz w:val="24"/>
        </w:rPr>
      </w:pPr>
      <w:bookmarkStart w:id="756" w:name="_Toc445916627"/>
      <w:bookmarkStart w:id="757" w:name="_Toc12674"/>
      <w:bookmarkStart w:id="758" w:name="_Toc445984998"/>
      <w:bookmarkStart w:id="759" w:name="_Toc21554"/>
      <w:bookmarkStart w:id="760" w:name="_Toc447223799"/>
      <w:bookmarkStart w:id="761" w:name="_Toc497489391"/>
      <w:bookmarkStart w:id="762" w:name="_Toc20829"/>
      <w:r>
        <w:rPr>
          <w:rFonts w:hint="eastAsia" w:ascii="宋体" w:hAnsi="宋体" w:eastAsia="宋体" w:cs="仿宋_GB2312"/>
          <w:bCs/>
          <w:color w:val="000000"/>
          <w:sz w:val="24"/>
        </w:rPr>
        <w:br w:type="page"/>
      </w:r>
    </w:p>
    <w:p>
      <w:pPr>
        <w:pStyle w:val="5"/>
        <w:ind w:left="720" w:hanging="720"/>
        <w:rPr>
          <w:rFonts w:ascii="宋体" w:hAnsi="宋体" w:eastAsia="宋体" w:cs="仿宋_GB2312"/>
          <w:bCs/>
          <w:color w:val="000000"/>
          <w:kern w:val="2"/>
          <w:szCs w:val="24"/>
        </w:rPr>
      </w:pPr>
      <w:bookmarkStart w:id="763" w:name="_Toc85461450"/>
      <w:bookmarkStart w:id="764" w:name="_Toc188382303"/>
      <w:bookmarkStart w:id="765" w:name="_Toc101191899"/>
      <w:bookmarkStart w:id="766" w:name="_Toc17167"/>
      <w:bookmarkStart w:id="767" w:name="_Toc83722638"/>
      <w:bookmarkStart w:id="768" w:name="_Toc92789350"/>
      <w:bookmarkStart w:id="769" w:name="_Toc15435094"/>
      <w:bookmarkStart w:id="770" w:name="_Toc50760979"/>
      <w:bookmarkStart w:id="771" w:name="_Toc8999377"/>
      <w:r>
        <w:rPr>
          <w:rFonts w:hint="eastAsia" w:ascii="宋体" w:hAnsi="宋体" w:eastAsia="宋体" w:cs="仿宋_GB2312"/>
          <w:bCs/>
          <w:color w:val="000000"/>
          <w:kern w:val="2"/>
          <w:szCs w:val="24"/>
        </w:rPr>
        <w:t>附录2：关于印发中小企业划型标准规定的通知</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rPr>
          <w:rFonts w:ascii="宋体" w:hAnsi="宋体" w:eastAsia="宋体"/>
        </w:rPr>
      </w:pPr>
    </w:p>
    <w:p>
      <w:pPr>
        <w:spacing w:line="360" w:lineRule="auto"/>
        <w:jc w:val="center"/>
        <w:rPr>
          <w:rFonts w:ascii="宋体" w:hAnsi="宋体" w:eastAsia="宋体" w:cs="仿宋_GB2312"/>
          <w:color w:val="000000"/>
          <w:spacing w:val="6"/>
          <w:sz w:val="24"/>
        </w:rPr>
      </w:pPr>
      <w:r>
        <w:rPr>
          <w:rFonts w:hint="eastAsia" w:ascii="宋体" w:hAnsi="宋体" w:eastAsia="宋体" w:cs="仿宋_GB2312"/>
          <w:color w:val="000000"/>
          <w:spacing w:val="6"/>
          <w:sz w:val="24"/>
        </w:rPr>
        <w:t>工信部联企业〔2011〕300号</w:t>
      </w:r>
    </w:p>
    <w:p>
      <w:pPr>
        <w:pStyle w:val="38"/>
        <w:spacing w:line="360" w:lineRule="auto"/>
        <w:ind w:firstLine="480"/>
        <w:rPr>
          <w:rFonts w:ascii="宋体" w:hAnsi="宋体" w:eastAsia="宋体" w:cs="仿宋_GB2312"/>
          <w:color w:val="000000"/>
        </w:rPr>
      </w:pPr>
      <w:r>
        <w:rPr>
          <w:rFonts w:hint="eastAsia" w:ascii="宋体" w:hAnsi="宋体" w:eastAsia="宋体" w:cs="仿宋_GB2312"/>
          <w:color w:val="000000"/>
        </w:rPr>
        <w:t>各省、自治区、直辖市人民政府，国务院各部委、各直属机构及有关单位：</w:t>
      </w:r>
    </w:p>
    <w:p>
      <w:pPr>
        <w:pStyle w:val="38"/>
        <w:spacing w:line="360" w:lineRule="auto"/>
        <w:ind w:firstLine="480"/>
        <w:rPr>
          <w:rFonts w:ascii="宋体" w:hAnsi="宋体" w:eastAsia="宋体" w:cs="仿宋_GB2312"/>
          <w:color w:val="000000"/>
        </w:rPr>
      </w:pPr>
      <w:r>
        <w:rPr>
          <w:rFonts w:hint="eastAsia" w:ascii="宋体" w:hAnsi="宋体" w:eastAsia="宋体" w:cs="仿宋_GB2312"/>
          <w:color w:val="000000"/>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38"/>
        <w:spacing w:line="360" w:lineRule="auto"/>
        <w:ind w:firstLine="480"/>
        <w:rPr>
          <w:rFonts w:ascii="宋体" w:hAnsi="宋体" w:eastAsia="宋体" w:cs="仿宋_GB2312"/>
          <w:color w:val="000000"/>
        </w:rPr>
      </w:pPr>
      <w:r>
        <w:rPr>
          <w:rFonts w:hint="eastAsia" w:ascii="宋体" w:hAnsi="宋体" w:eastAsia="宋体" w:cs="仿宋_GB2312"/>
          <w:color w:val="000000"/>
        </w:rPr>
        <w:t>　　　　　　　　　　　　　　　　　　　 工业和信息化部　国家统计局</w:t>
      </w:r>
    </w:p>
    <w:p>
      <w:pPr>
        <w:pStyle w:val="38"/>
        <w:spacing w:line="360" w:lineRule="auto"/>
        <w:ind w:firstLine="480"/>
        <w:rPr>
          <w:rFonts w:ascii="宋体" w:hAnsi="宋体" w:eastAsia="宋体" w:cs="仿宋_GB2312"/>
          <w:color w:val="000000"/>
        </w:rPr>
      </w:pPr>
      <w:r>
        <w:rPr>
          <w:rFonts w:hint="eastAsia" w:ascii="宋体" w:hAnsi="宋体" w:eastAsia="宋体" w:cs="仿宋_GB2312"/>
          <w:color w:val="000000"/>
        </w:rPr>
        <w:t>　　　　　　　　　　　　　　　　　　国家发展和改革委员会　财政部</w:t>
      </w:r>
    </w:p>
    <w:p>
      <w:pPr>
        <w:pStyle w:val="38"/>
        <w:spacing w:line="360" w:lineRule="auto"/>
        <w:ind w:firstLine="480"/>
        <w:rPr>
          <w:rFonts w:ascii="宋体" w:hAnsi="宋体" w:eastAsia="宋体" w:cs="仿宋_GB2312"/>
          <w:color w:val="000000"/>
        </w:rPr>
      </w:pPr>
      <w:r>
        <w:rPr>
          <w:rFonts w:hint="eastAsia" w:ascii="宋体" w:hAnsi="宋体" w:eastAsia="宋体" w:cs="仿宋_GB2312"/>
          <w:color w:val="000000"/>
        </w:rPr>
        <w:t>　　　　　　　　　　　　　　　　　　　　　　二○一一年六月十八日</w:t>
      </w:r>
    </w:p>
    <w:p>
      <w:pPr>
        <w:pStyle w:val="38"/>
        <w:spacing w:line="360" w:lineRule="auto"/>
        <w:ind w:firstLine="480"/>
        <w:jc w:val="center"/>
        <w:rPr>
          <w:rFonts w:ascii="宋体" w:hAnsi="宋体" w:eastAsia="宋体" w:cs="仿宋_GB2312"/>
          <w:color w:val="000000"/>
        </w:rPr>
      </w:pPr>
      <w:r>
        <w:rPr>
          <w:rStyle w:val="47"/>
          <w:rFonts w:hint="eastAsia" w:ascii="宋体" w:hAnsi="宋体" w:eastAsia="宋体" w:cs="仿宋_GB2312"/>
          <w:color w:val="000000"/>
        </w:rPr>
        <w:t>中小企业划型标准规定</w:t>
      </w:r>
    </w:p>
    <w:p>
      <w:pPr>
        <w:numPr>
          <w:ilvl w:val="0"/>
          <w:numId w:val="19"/>
        </w:numPr>
        <w:spacing w:line="360" w:lineRule="auto"/>
        <w:ind w:firstLine="480" w:firstLineChars="200"/>
        <w:rPr>
          <w:rFonts w:ascii="宋体" w:hAnsi="宋体" w:eastAsia="宋体" w:cs="仿宋_GB2312"/>
          <w:color w:val="000000"/>
          <w:sz w:val="24"/>
        </w:rPr>
      </w:pPr>
      <w:r>
        <w:rPr>
          <w:rFonts w:hint="eastAsia" w:ascii="宋体" w:hAnsi="宋体" w:eastAsia="宋体" w:cs="仿宋_GB2312"/>
          <w:color w:val="000000"/>
          <w:sz w:val="24"/>
        </w:rPr>
        <w:t>根据《中华人民共和国中小企业促进法》和《国务院关于进一步促进中小企业发展的若干意见》(国发〔2009〕36号)，制定本规定。</w:t>
      </w:r>
    </w:p>
    <w:p>
      <w:pPr>
        <w:numPr>
          <w:ilvl w:val="0"/>
          <w:numId w:val="19"/>
        </w:numPr>
        <w:spacing w:line="360" w:lineRule="auto"/>
        <w:ind w:firstLine="480" w:firstLineChars="200"/>
        <w:rPr>
          <w:rFonts w:ascii="宋体" w:hAnsi="宋体" w:eastAsia="宋体" w:cs="仿宋_GB2312"/>
          <w:color w:val="000000"/>
          <w:sz w:val="24"/>
        </w:rPr>
      </w:pPr>
      <w:r>
        <w:rPr>
          <w:rFonts w:hint="eastAsia" w:ascii="宋体" w:hAnsi="宋体" w:eastAsia="宋体" w:cs="仿宋_GB2312"/>
          <w:color w:val="000000"/>
          <w:sz w:val="24"/>
        </w:rPr>
        <w:t>中小企业划分为中型、小型、微型三种类型，具体标准根据企业从业人员、营业收入、资产总额等指标，结合行业特点制定。</w:t>
      </w:r>
    </w:p>
    <w:p>
      <w:pPr>
        <w:numPr>
          <w:ilvl w:val="0"/>
          <w:numId w:val="19"/>
        </w:numPr>
        <w:spacing w:line="360" w:lineRule="auto"/>
        <w:ind w:firstLine="480" w:firstLineChars="200"/>
        <w:rPr>
          <w:rFonts w:ascii="宋体" w:hAnsi="宋体" w:eastAsia="宋体" w:cs="仿宋_GB2312"/>
          <w:color w:val="000000"/>
          <w:sz w:val="24"/>
        </w:rPr>
      </w:pPr>
      <w:r>
        <w:rPr>
          <w:rFonts w:hint="eastAsia" w:ascii="宋体" w:hAnsi="宋体" w:eastAsia="宋体" w:cs="仿宋_GB2312"/>
          <w:color w:val="000000"/>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numPr>
          <w:ilvl w:val="0"/>
          <w:numId w:val="19"/>
        </w:numPr>
        <w:spacing w:line="360" w:lineRule="auto"/>
        <w:ind w:firstLine="480" w:firstLineChars="200"/>
        <w:rPr>
          <w:rFonts w:ascii="宋体" w:hAnsi="宋体" w:eastAsia="宋体" w:cs="仿宋_GB2312"/>
          <w:color w:val="000000"/>
          <w:sz w:val="24"/>
        </w:rPr>
      </w:pPr>
      <w:r>
        <w:rPr>
          <w:rFonts w:hint="eastAsia" w:ascii="宋体" w:hAnsi="宋体" w:eastAsia="宋体" w:cs="仿宋_GB2312"/>
          <w:color w:val="000000"/>
          <w:sz w:val="24"/>
        </w:rPr>
        <w:t>各行业划型标准为：</w:t>
      </w:r>
    </w:p>
    <w:p>
      <w:pPr>
        <w:spacing w:line="360" w:lineRule="auto"/>
        <w:rPr>
          <w:rFonts w:ascii="宋体" w:hAnsi="宋体" w:eastAsia="宋体" w:cs="仿宋_GB2312"/>
          <w:color w:val="000000"/>
          <w:sz w:val="24"/>
        </w:rPr>
      </w:pPr>
      <w:r>
        <w:rPr>
          <w:rFonts w:hint="eastAsia" w:ascii="宋体" w:hAnsi="宋体" w:eastAsia="宋体" w:cs="仿宋_GB2312"/>
          <w:color w:val="000000"/>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rPr>
          <w:rFonts w:ascii="宋体" w:hAnsi="宋体" w:eastAsia="宋体" w:cs="仿宋_GB2312"/>
          <w:color w:val="000000"/>
          <w:sz w:val="24"/>
        </w:rPr>
      </w:pPr>
      <w:r>
        <w:rPr>
          <w:rFonts w:hint="eastAsia" w:ascii="宋体" w:hAnsi="宋体" w:eastAsia="宋体" w:cs="仿宋_GB2312"/>
          <w:color w:val="000000"/>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rPr>
          <w:rFonts w:ascii="宋体" w:hAnsi="宋体" w:eastAsia="宋体" w:cs="仿宋_GB2312"/>
          <w:color w:val="000000"/>
          <w:sz w:val="24"/>
        </w:rPr>
      </w:pPr>
      <w:r>
        <w:rPr>
          <w:rFonts w:hint="eastAsia" w:ascii="宋体" w:hAnsi="宋体" w:eastAsia="宋体" w:cs="仿宋_GB2312"/>
          <w:color w:val="000000"/>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rPr>
          <w:rFonts w:ascii="宋体" w:hAnsi="宋体" w:eastAsia="宋体" w:cs="仿宋_GB2312"/>
          <w:color w:val="000000"/>
          <w:sz w:val="24"/>
        </w:rPr>
      </w:pPr>
      <w:r>
        <w:rPr>
          <w:rFonts w:hint="eastAsia" w:ascii="宋体" w:hAnsi="宋体" w:eastAsia="宋体" w:cs="仿宋_GB2312"/>
          <w:color w:val="000000"/>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rPr>
          <w:rFonts w:ascii="宋体" w:hAnsi="宋体" w:eastAsia="宋体" w:cs="仿宋_GB2312"/>
          <w:color w:val="000000"/>
          <w:sz w:val="24"/>
        </w:rPr>
      </w:pPr>
      <w:r>
        <w:rPr>
          <w:rFonts w:hint="eastAsia" w:ascii="宋体" w:hAnsi="宋体" w:eastAsia="宋体" w:cs="仿宋_GB2312"/>
          <w:color w:val="000000"/>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rPr>
          <w:rFonts w:ascii="宋体" w:hAnsi="宋体" w:eastAsia="宋体" w:cs="仿宋_GB2312"/>
          <w:color w:val="000000"/>
          <w:sz w:val="24"/>
        </w:rPr>
      </w:pPr>
      <w:r>
        <w:rPr>
          <w:rFonts w:hint="eastAsia" w:ascii="宋体" w:hAnsi="宋体" w:eastAsia="宋体" w:cs="仿宋_GB2312"/>
          <w:color w:val="000000"/>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rPr>
          <w:rFonts w:ascii="宋体" w:hAnsi="宋体" w:eastAsia="宋体" w:cs="仿宋_GB2312"/>
          <w:color w:val="000000"/>
          <w:sz w:val="24"/>
        </w:rPr>
      </w:pPr>
      <w:r>
        <w:rPr>
          <w:rFonts w:hint="eastAsia" w:ascii="宋体" w:hAnsi="宋体" w:eastAsia="宋体" w:cs="仿宋_GB2312"/>
          <w:color w:val="000000"/>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rPr>
          <w:rFonts w:ascii="宋体" w:hAnsi="宋体" w:eastAsia="宋体" w:cs="仿宋_GB2312"/>
          <w:color w:val="000000"/>
          <w:sz w:val="24"/>
        </w:rPr>
      </w:pPr>
      <w:r>
        <w:rPr>
          <w:rFonts w:hint="eastAsia" w:ascii="宋体" w:hAnsi="宋体" w:eastAsia="宋体" w:cs="仿宋_GB2312"/>
          <w:color w:val="000000"/>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rPr>
          <w:rFonts w:ascii="宋体" w:hAnsi="宋体" w:eastAsia="宋体" w:cs="仿宋_GB2312"/>
          <w:color w:val="000000"/>
          <w:sz w:val="24"/>
        </w:rPr>
      </w:pPr>
      <w:r>
        <w:rPr>
          <w:rFonts w:hint="eastAsia" w:ascii="宋体" w:hAnsi="宋体" w:eastAsia="宋体" w:cs="仿宋_GB2312"/>
          <w:color w:val="000000"/>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eastAsia="宋体" w:cs="仿宋_GB2312"/>
          <w:color w:val="000000"/>
          <w:sz w:val="24"/>
        </w:rPr>
      </w:pPr>
      <w:r>
        <w:rPr>
          <w:rFonts w:hint="eastAsia" w:ascii="宋体" w:hAnsi="宋体" w:eastAsia="宋体" w:cs="仿宋_GB2312"/>
          <w:color w:val="000000"/>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eastAsia="宋体" w:cs="仿宋_GB2312"/>
          <w:color w:val="000000"/>
          <w:sz w:val="24"/>
        </w:rPr>
      </w:pPr>
      <w:r>
        <w:rPr>
          <w:rFonts w:hint="eastAsia" w:ascii="宋体" w:hAnsi="宋体" w:eastAsia="宋体" w:cs="仿宋_GB2312"/>
          <w:color w:val="000000"/>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rPr>
          <w:rFonts w:ascii="宋体" w:hAnsi="宋体" w:eastAsia="宋体" w:cs="仿宋_GB2312"/>
          <w:color w:val="000000"/>
          <w:sz w:val="24"/>
        </w:rPr>
      </w:pPr>
      <w:r>
        <w:rPr>
          <w:rFonts w:hint="eastAsia" w:ascii="宋体" w:hAnsi="宋体" w:eastAsia="宋体" w:cs="仿宋_GB2312"/>
          <w:color w:val="000000"/>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rPr>
          <w:rFonts w:ascii="宋体" w:hAnsi="宋体" w:eastAsia="宋体" w:cs="仿宋_GB2312"/>
          <w:color w:val="000000"/>
          <w:sz w:val="24"/>
        </w:rPr>
      </w:pPr>
      <w:r>
        <w:rPr>
          <w:rFonts w:hint="eastAsia" w:ascii="宋体" w:hAnsi="宋体" w:eastAsia="宋体" w:cs="仿宋_GB2312"/>
          <w:color w:val="000000"/>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rPr>
          <w:rFonts w:ascii="宋体" w:hAnsi="宋体" w:eastAsia="宋体" w:cs="仿宋_GB2312"/>
          <w:color w:val="000000"/>
          <w:sz w:val="24"/>
        </w:rPr>
      </w:pPr>
      <w:r>
        <w:rPr>
          <w:rFonts w:hint="eastAsia" w:ascii="宋体" w:hAnsi="宋体" w:eastAsia="宋体" w:cs="仿宋_GB2312"/>
          <w:color w:val="000000"/>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rPr>
          <w:rFonts w:ascii="宋体" w:hAnsi="宋体" w:eastAsia="宋体" w:cs="仿宋_GB2312"/>
          <w:color w:val="000000"/>
          <w:sz w:val="24"/>
        </w:rPr>
      </w:pPr>
      <w:r>
        <w:rPr>
          <w:rFonts w:hint="eastAsia" w:ascii="宋体" w:hAnsi="宋体" w:eastAsia="宋体" w:cs="仿宋_GB2312"/>
          <w:color w:val="000000"/>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rPr>
          <w:rFonts w:ascii="宋体" w:hAnsi="宋体" w:eastAsia="宋体" w:cs="仿宋_GB2312"/>
          <w:color w:val="000000"/>
          <w:sz w:val="24"/>
        </w:rPr>
      </w:pPr>
      <w:r>
        <w:rPr>
          <w:rFonts w:hint="eastAsia" w:ascii="宋体" w:hAnsi="宋体" w:eastAsia="宋体" w:cs="仿宋_GB2312"/>
          <w:color w:val="000000"/>
          <w:sz w:val="24"/>
        </w:rPr>
        <w:t>（十六）其他未列明行业。从业人员300人以下的为中小微型企业。其中，从业人员100人及以上的为中型企业；从业人员10人及以上的为小型企业；从业人员10人以下的为微型企业。</w:t>
      </w:r>
    </w:p>
    <w:p>
      <w:pPr>
        <w:numPr>
          <w:ilvl w:val="0"/>
          <w:numId w:val="19"/>
        </w:numPr>
        <w:spacing w:line="360" w:lineRule="auto"/>
        <w:ind w:firstLine="480" w:firstLineChars="200"/>
        <w:rPr>
          <w:rFonts w:ascii="宋体" w:hAnsi="宋体" w:eastAsia="宋体" w:cs="仿宋_GB2312"/>
          <w:color w:val="000000"/>
          <w:sz w:val="24"/>
        </w:rPr>
      </w:pPr>
      <w:r>
        <w:rPr>
          <w:rFonts w:hint="eastAsia" w:ascii="宋体" w:hAnsi="宋体" w:eastAsia="宋体" w:cs="仿宋_GB2312"/>
          <w:color w:val="000000"/>
          <w:sz w:val="24"/>
        </w:rPr>
        <w:t>企业类型的划分以统计部门的统计数据为依据。</w:t>
      </w:r>
    </w:p>
    <w:p>
      <w:pPr>
        <w:numPr>
          <w:ilvl w:val="0"/>
          <w:numId w:val="19"/>
        </w:numPr>
        <w:spacing w:line="360" w:lineRule="auto"/>
        <w:ind w:firstLine="480" w:firstLineChars="200"/>
        <w:rPr>
          <w:rFonts w:ascii="宋体" w:hAnsi="宋体" w:eastAsia="宋体" w:cs="仿宋_GB2312"/>
          <w:color w:val="000000"/>
          <w:sz w:val="24"/>
        </w:rPr>
      </w:pPr>
      <w:r>
        <w:rPr>
          <w:rFonts w:hint="eastAsia" w:ascii="宋体" w:hAnsi="宋体" w:eastAsia="宋体" w:cs="仿宋_GB2312"/>
          <w:color w:val="000000"/>
          <w:sz w:val="24"/>
        </w:rPr>
        <w:t>本规定适用于在中华人民共和国境内依法设立的各类所有制和各种组织形式的企业。个体工商户和本规定以外的行业，参照本规定进行划型。</w:t>
      </w:r>
    </w:p>
    <w:p>
      <w:pPr>
        <w:numPr>
          <w:ilvl w:val="0"/>
          <w:numId w:val="19"/>
        </w:numPr>
        <w:spacing w:line="360" w:lineRule="auto"/>
        <w:ind w:firstLine="480" w:firstLineChars="200"/>
        <w:rPr>
          <w:rFonts w:ascii="宋体" w:hAnsi="宋体" w:eastAsia="宋体" w:cs="仿宋_GB2312"/>
          <w:color w:val="000000"/>
          <w:sz w:val="24"/>
        </w:rPr>
      </w:pPr>
      <w:r>
        <w:rPr>
          <w:rFonts w:hint="eastAsia" w:ascii="宋体" w:hAnsi="宋体" w:eastAsia="宋体" w:cs="仿宋_GB2312"/>
          <w:color w:val="000000"/>
          <w:sz w:val="24"/>
        </w:rPr>
        <w:t>本规定的中型企业标准上限即为大型企业标准的下限，国家统计部门据此制定大中小微型企业的统计分类。国务院有关部门据此进行相关数据分析，不得制定与本规定不一致的企业划型标准。</w:t>
      </w:r>
    </w:p>
    <w:p>
      <w:pPr>
        <w:numPr>
          <w:ilvl w:val="0"/>
          <w:numId w:val="19"/>
        </w:numPr>
        <w:spacing w:line="360" w:lineRule="auto"/>
        <w:ind w:firstLine="480" w:firstLineChars="200"/>
        <w:rPr>
          <w:rFonts w:ascii="宋体" w:hAnsi="宋体" w:eastAsia="宋体" w:cs="仿宋_GB2312"/>
          <w:color w:val="000000"/>
          <w:sz w:val="24"/>
        </w:rPr>
      </w:pPr>
      <w:r>
        <w:rPr>
          <w:rFonts w:hint="eastAsia" w:ascii="宋体" w:hAnsi="宋体" w:eastAsia="宋体" w:cs="仿宋_GB2312"/>
          <w:color w:val="000000"/>
          <w:sz w:val="24"/>
        </w:rPr>
        <w:t>本规定由工业和信息化部、国家统计局会同有关部门根据《国民经济行业分类》修订情况和企业发展变化情况适时修订。</w:t>
      </w:r>
    </w:p>
    <w:p>
      <w:pPr>
        <w:numPr>
          <w:ilvl w:val="0"/>
          <w:numId w:val="19"/>
        </w:numPr>
        <w:spacing w:line="360" w:lineRule="auto"/>
        <w:ind w:firstLine="480" w:firstLineChars="200"/>
        <w:rPr>
          <w:rFonts w:ascii="宋体" w:hAnsi="宋体" w:eastAsia="宋体" w:cs="仿宋_GB2312"/>
          <w:color w:val="000000"/>
          <w:sz w:val="24"/>
        </w:rPr>
      </w:pPr>
      <w:r>
        <w:rPr>
          <w:rFonts w:hint="eastAsia" w:ascii="宋体" w:hAnsi="宋体" w:eastAsia="宋体" w:cs="仿宋_GB2312"/>
          <w:color w:val="000000"/>
          <w:sz w:val="24"/>
        </w:rPr>
        <w:t>本规定由工业和信息化部、国家统计局会同有关部门负责解释。</w:t>
      </w:r>
    </w:p>
    <w:p>
      <w:pPr>
        <w:numPr>
          <w:ilvl w:val="0"/>
          <w:numId w:val="19"/>
        </w:numPr>
        <w:spacing w:line="360" w:lineRule="auto"/>
        <w:ind w:firstLine="480" w:firstLineChars="200"/>
        <w:rPr>
          <w:rFonts w:ascii="宋体" w:hAnsi="宋体" w:eastAsia="宋体" w:cs="仿宋_GB2312"/>
          <w:color w:val="000000"/>
          <w:sz w:val="24"/>
        </w:rPr>
      </w:pPr>
      <w:r>
        <w:rPr>
          <w:rFonts w:hint="eastAsia" w:ascii="宋体" w:hAnsi="宋体" w:eastAsia="宋体" w:cs="仿宋_GB2312"/>
          <w:color w:val="000000"/>
          <w:sz w:val="24"/>
        </w:rPr>
        <w:t>本规定自发布之日起执行，原国家经贸委、原国家计委、财政部和国家统计局2003年颁布的《中小企业标准暂行规定》同时废止。</w:t>
      </w:r>
    </w:p>
    <w:p>
      <w:pPr>
        <w:numPr>
          <w:ilvl w:val="0"/>
          <w:numId w:val="19"/>
        </w:numPr>
        <w:spacing w:line="360" w:lineRule="auto"/>
        <w:ind w:firstLine="480" w:firstLineChars="200"/>
        <w:rPr>
          <w:rFonts w:ascii="宋体" w:hAnsi="宋体" w:eastAsia="宋体" w:cs="仿宋_GB2312"/>
          <w:color w:val="000000"/>
          <w:sz w:val="24"/>
        </w:rPr>
      </w:pPr>
      <w:r>
        <w:rPr>
          <w:rFonts w:hint="eastAsia" w:ascii="宋体" w:hAnsi="宋体" w:eastAsia="宋体" w:cs="仿宋_GB2312"/>
          <w:color w:val="000000"/>
          <w:sz w:val="24"/>
        </w:rPr>
        <w:br w:type="page"/>
      </w:r>
    </w:p>
    <w:p>
      <w:pPr>
        <w:pStyle w:val="5"/>
        <w:widowControl/>
        <w:numPr>
          <w:ilvl w:val="2"/>
          <w:numId w:val="0"/>
        </w:numPr>
        <w:tabs>
          <w:tab w:val="left" w:pos="0"/>
          <w:tab w:val="left" w:pos="432"/>
        </w:tabs>
        <w:autoSpaceDE/>
        <w:autoSpaceDN/>
        <w:adjustRightInd/>
        <w:spacing w:before="120" w:line="360" w:lineRule="auto"/>
        <w:rPr>
          <w:rFonts w:ascii="宋体" w:hAnsi="宋体" w:eastAsia="宋体" w:cs="仿宋_GB2312"/>
          <w:color w:val="000000"/>
          <w:szCs w:val="24"/>
        </w:rPr>
      </w:pPr>
      <w:bookmarkStart w:id="772" w:name="_Toc101191900"/>
      <w:bookmarkStart w:id="773" w:name="_Toc29972"/>
      <w:bookmarkStart w:id="774" w:name="_Toc188382304"/>
      <w:bookmarkStart w:id="775" w:name="_Toc8999378"/>
      <w:bookmarkStart w:id="776" w:name="_Toc50760980"/>
      <w:bookmarkStart w:id="777" w:name="_Toc92789351"/>
      <w:bookmarkStart w:id="778" w:name="_Toc85461451"/>
      <w:bookmarkStart w:id="779" w:name="_Toc15435095"/>
      <w:bookmarkStart w:id="780" w:name="_Toc8212"/>
      <w:bookmarkStart w:id="781" w:name="_Toc83722639"/>
      <w:bookmarkStart w:id="782" w:name="_Toc497489392"/>
      <w:r>
        <w:rPr>
          <w:rFonts w:hint="eastAsia" w:ascii="宋体" w:hAnsi="宋体" w:eastAsia="宋体" w:cs="仿宋_GB2312"/>
          <w:color w:val="000000"/>
          <w:szCs w:val="24"/>
        </w:rPr>
        <w:t>附录3：财政部 民政部 中国残疾人联合会关于促进残疾人就业政府采购政策的通知</w:t>
      </w:r>
      <w:bookmarkEnd w:id="772"/>
      <w:bookmarkEnd w:id="773"/>
      <w:bookmarkEnd w:id="774"/>
      <w:bookmarkEnd w:id="775"/>
      <w:bookmarkEnd w:id="776"/>
      <w:bookmarkEnd w:id="777"/>
      <w:bookmarkEnd w:id="778"/>
      <w:bookmarkEnd w:id="779"/>
      <w:bookmarkEnd w:id="780"/>
      <w:bookmarkEnd w:id="781"/>
      <w:bookmarkEnd w:id="782"/>
    </w:p>
    <w:p>
      <w:pPr>
        <w:spacing w:line="360" w:lineRule="auto"/>
        <w:jc w:val="center"/>
        <w:rPr>
          <w:rFonts w:ascii="宋体" w:hAnsi="宋体" w:eastAsia="宋体" w:cs="仿宋_GB2312"/>
          <w:b/>
          <w:bCs/>
          <w:color w:val="000000"/>
          <w:sz w:val="24"/>
        </w:rPr>
      </w:pPr>
      <w:r>
        <w:rPr>
          <w:rFonts w:hint="eastAsia" w:ascii="宋体" w:hAnsi="宋体" w:eastAsia="宋体" w:cs="仿宋_GB2312"/>
          <w:color w:val="000000"/>
          <w:spacing w:val="6"/>
          <w:sz w:val="24"/>
        </w:rPr>
        <w:t>财库</w:t>
      </w:r>
      <w:r>
        <w:rPr>
          <w:rFonts w:hint="eastAsia" w:ascii="宋体" w:hAnsi="宋体" w:eastAsia="宋体" w:cs="仿宋_GB2312"/>
          <w:color w:val="000000"/>
          <w:sz w:val="24"/>
        </w:rPr>
        <w:t>〔2017〕 141</w:t>
      </w:r>
      <w:r>
        <w:rPr>
          <w:rFonts w:hint="eastAsia" w:ascii="宋体" w:hAnsi="宋体" w:eastAsia="宋体" w:cs="仿宋_GB2312"/>
          <w:color w:val="000000"/>
          <w:spacing w:val="6"/>
          <w:sz w:val="24"/>
        </w:rPr>
        <w:t>号</w:t>
      </w:r>
    </w:p>
    <w:p>
      <w:pPr>
        <w:pStyle w:val="38"/>
        <w:shd w:val="clear" w:color="auto" w:fill="FFFFFF"/>
        <w:spacing w:before="0" w:beforeAutospacing="0" w:after="0" w:afterAutospacing="0" w:line="360" w:lineRule="auto"/>
        <w:ind w:firstLine="480"/>
        <w:jc w:val="both"/>
        <w:rPr>
          <w:rFonts w:ascii="宋体" w:hAnsi="宋体" w:eastAsia="宋体" w:cs="仿宋_GB2312"/>
          <w:color w:val="000000"/>
        </w:rPr>
      </w:pPr>
      <w:bookmarkStart w:id="783" w:name="toDeptId"/>
      <w:r>
        <w:rPr>
          <w:rFonts w:hint="eastAsia" w:ascii="宋体" w:hAnsi="宋体" w:eastAsia="宋体" w:cs="仿宋_GB2312"/>
          <w:color w:val="000000"/>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783"/>
      <w:r>
        <w:rPr>
          <w:rFonts w:hint="eastAsia" w:ascii="宋体" w:hAnsi="宋体" w:eastAsia="宋体" w:cs="仿宋_GB2312"/>
          <w:color w:val="000000"/>
        </w:rPr>
        <w:t>：</w:t>
      </w:r>
    </w:p>
    <w:p>
      <w:pPr>
        <w:pStyle w:val="38"/>
        <w:shd w:val="clear" w:color="auto" w:fill="FFFFFF"/>
        <w:spacing w:before="0" w:beforeAutospacing="0" w:after="0" w:afterAutospacing="0" w:line="360" w:lineRule="auto"/>
        <w:ind w:firstLine="480"/>
        <w:jc w:val="both"/>
        <w:rPr>
          <w:rFonts w:ascii="宋体" w:hAnsi="宋体" w:eastAsia="宋体" w:cs="仿宋_GB2312"/>
          <w:color w:val="000000"/>
        </w:rPr>
      </w:pPr>
      <w:r>
        <w:rPr>
          <w:rFonts w:hint="eastAsia" w:ascii="宋体" w:hAnsi="宋体" w:eastAsia="宋体" w:cs="仿宋_GB2312"/>
          <w:color w:val="000000"/>
        </w:rPr>
        <w:t>　　为了发挥政府采购促进残疾人就业的作用，进一步保障残疾人权益，依照《政府采购法》、《残疾人保障法》等法律法规及相关规定，现就促进残疾人就业政府采购政策通知如下：</w:t>
      </w:r>
    </w:p>
    <w:p>
      <w:pPr>
        <w:pStyle w:val="38"/>
        <w:shd w:val="clear" w:color="auto" w:fill="FFFFFF"/>
        <w:spacing w:before="0" w:beforeAutospacing="0" w:after="0" w:afterAutospacing="0" w:line="360" w:lineRule="auto"/>
        <w:ind w:firstLine="480"/>
        <w:jc w:val="both"/>
        <w:rPr>
          <w:rFonts w:ascii="宋体" w:hAnsi="宋体" w:eastAsia="宋体" w:cs="仿宋_GB2312"/>
          <w:color w:val="000000"/>
        </w:rPr>
      </w:pPr>
      <w:r>
        <w:rPr>
          <w:rFonts w:hint="eastAsia" w:ascii="宋体" w:hAnsi="宋体" w:eastAsia="宋体" w:cs="仿宋_GB2312"/>
          <w:color w:val="000000"/>
        </w:rPr>
        <w:t>　　一、享受政府采购支持政策的残疾人福利性单位应当同时满足以下条件：</w:t>
      </w:r>
    </w:p>
    <w:p>
      <w:pPr>
        <w:pStyle w:val="38"/>
        <w:shd w:val="clear" w:color="auto" w:fill="FFFFFF"/>
        <w:spacing w:before="0" w:beforeAutospacing="0" w:after="0" w:afterAutospacing="0" w:line="360" w:lineRule="auto"/>
        <w:ind w:firstLine="480"/>
        <w:jc w:val="both"/>
        <w:rPr>
          <w:rFonts w:ascii="宋体" w:hAnsi="宋体" w:eastAsia="宋体" w:cs="仿宋_GB2312"/>
          <w:color w:val="000000"/>
        </w:rPr>
      </w:pPr>
      <w:r>
        <w:rPr>
          <w:rFonts w:hint="eastAsia" w:ascii="宋体" w:hAnsi="宋体" w:eastAsia="宋体" w:cs="仿宋_GB2312"/>
          <w:color w:val="000000"/>
        </w:rPr>
        <w:t>　　（一）安置的残疾人占本单位在职职工人数的比例不低于25%（含25%），并且安置的残疾人人数不少于10人（含10人）；</w:t>
      </w:r>
    </w:p>
    <w:p>
      <w:pPr>
        <w:pStyle w:val="38"/>
        <w:shd w:val="clear" w:color="auto" w:fill="FFFFFF"/>
        <w:spacing w:before="0" w:beforeAutospacing="0" w:after="0" w:afterAutospacing="0" w:line="360" w:lineRule="auto"/>
        <w:ind w:firstLine="480"/>
        <w:jc w:val="both"/>
        <w:rPr>
          <w:rFonts w:ascii="宋体" w:hAnsi="宋体" w:eastAsia="宋体" w:cs="仿宋_GB2312"/>
          <w:color w:val="000000"/>
        </w:rPr>
      </w:pPr>
      <w:r>
        <w:rPr>
          <w:rFonts w:hint="eastAsia" w:ascii="宋体" w:hAnsi="宋体" w:eastAsia="宋体" w:cs="仿宋_GB2312"/>
          <w:color w:val="000000"/>
        </w:rPr>
        <w:t>　　（二）依法与安置的每位残疾人签订了一年以上（含一年）的劳动合同或服务协议；</w:t>
      </w:r>
    </w:p>
    <w:p>
      <w:pPr>
        <w:pStyle w:val="38"/>
        <w:shd w:val="clear" w:color="auto" w:fill="FFFFFF"/>
        <w:spacing w:before="0" w:beforeAutospacing="0" w:after="0" w:afterAutospacing="0" w:line="360" w:lineRule="auto"/>
        <w:ind w:firstLine="480"/>
        <w:jc w:val="both"/>
        <w:rPr>
          <w:rFonts w:ascii="宋体" w:hAnsi="宋体" w:eastAsia="宋体" w:cs="仿宋_GB2312"/>
          <w:color w:val="000000"/>
        </w:rPr>
      </w:pPr>
      <w:r>
        <w:rPr>
          <w:rFonts w:hint="eastAsia" w:ascii="宋体" w:hAnsi="宋体" w:eastAsia="宋体" w:cs="仿宋_GB2312"/>
          <w:color w:val="000000"/>
        </w:rPr>
        <w:t>　　（三）为安置的每位残疾人按月足额缴纳了基本养老保险、基本医疗保险、失业保险、工伤保险和生育保险等社会保险费；</w:t>
      </w:r>
    </w:p>
    <w:p>
      <w:pPr>
        <w:pStyle w:val="38"/>
        <w:shd w:val="clear" w:color="auto" w:fill="FFFFFF"/>
        <w:spacing w:before="0" w:beforeAutospacing="0" w:after="0" w:afterAutospacing="0" w:line="360" w:lineRule="auto"/>
        <w:ind w:firstLine="480"/>
        <w:jc w:val="both"/>
        <w:rPr>
          <w:rFonts w:ascii="宋体" w:hAnsi="宋体" w:eastAsia="宋体" w:cs="仿宋_GB2312"/>
          <w:color w:val="000000"/>
        </w:rPr>
      </w:pPr>
      <w:r>
        <w:rPr>
          <w:rFonts w:hint="eastAsia" w:ascii="宋体" w:hAnsi="宋体" w:eastAsia="宋体" w:cs="仿宋_GB2312"/>
          <w:color w:val="000000"/>
        </w:rPr>
        <w:t>　　（四）通过银行等金融机构向安置的每位残疾人，按月支付了不低于单位所在区县适用的经省级人民政府批准的月最低工资标准的工资；</w:t>
      </w:r>
    </w:p>
    <w:p>
      <w:pPr>
        <w:pStyle w:val="38"/>
        <w:shd w:val="clear" w:color="auto" w:fill="FFFFFF"/>
        <w:spacing w:before="0" w:beforeAutospacing="0" w:after="0" w:afterAutospacing="0" w:line="360" w:lineRule="auto"/>
        <w:ind w:firstLine="480"/>
        <w:jc w:val="both"/>
        <w:rPr>
          <w:rFonts w:ascii="宋体" w:hAnsi="宋体" w:eastAsia="宋体" w:cs="仿宋_GB2312"/>
          <w:color w:val="000000"/>
        </w:rPr>
      </w:pPr>
      <w:r>
        <w:rPr>
          <w:rFonts w:hint="eastAsia" w:ascii="宋体" w:hAnsi="宋体" w:eastAsia="宋体" w:cs="仿宋_GB2312"/>
          <w:color w:val="000000"/>
        </w:rPr>
        <w:t>　　（五）提供本单位制造的货物、承担的工程或者服务（以下简称产品），或者提供其他残疾人福利性单位制造的货物（不包括使用非残疾人福利性单位注册商标的货物）。</w:t>
      </w:r>
    </w:p>
    <w:p>
      <w:pPr>
        <w:pStyle w:val="38"/>
        <w:shd w:val="clear" w:color="auto" w:fill="FFFFFF"/>
        <w:spacing w:before="0" w:beforeAutospacing="0" w:after="0" w:afterAutospacing="0" w:line="360" w:lineRule="auto"/>
        <w:ind w:firstLine="480"/>
        <w:jc w:val="both"/>
        <w:rPr>
          <w:rFonts w:ascii="宋体" w:hAnsi="宋体" w:eastAsia="宋体" w:cs="仿宋_GB2312"/>
          <w:color w:val="000000"/>
        </w:rPr>
      </w:pPr>
      <w:r>
        <w:rPr>
          <w:rFonts w:hint="eastAsia" w:ascii="宋体" w:hAnsi="宋体" w:eastAsia="宋体" w:cs="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8"/>
        <w:shd w:val="clear" w:color="auto" w:fill="FFFFFF"/>
        <w:spacing w:before="0" w:beforeAutospacing="0" w:after="0" w:afterAutospacing="0" w:line="360" w:lineRule="auto"/>
        <w:ind w:firstLine="480"/>
        <w:jc w:val="both"/>
        <w:rPr>
          <w:rFonts w:ascii="宋体" w:hAnsi="宋体" w:eastAsia="宋体" w:cs="仿宋_GB2312"/>
          <w:color w:val="000000"/>
        </w:rPr>
      </w:pPr>
      <w:r>
        <w:rPr>
          <w:rFonts w:hint="eastAsia" w:ascii="宋体" w:hAnsi="宋体" w:eastAsia="宋体" w:cs="仿宋_GB2312"/>
          <w:color w:val="000000"/>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38"/>
        <w:shd w:val="clear" w:color="auto" w:fill="FFFFFF"/>
        <w:spacing w:before="0" w:beforeAutospacing="0" w:after="0" w:afterAutospacing="0" w:line="360" w:lineRule="auto"/>
        <w:ind w:firstLine="480"/>
        <w:jc w:val="both"/>
        <w:rPr>
          <w:rFonts w:ascii="宋体" w:hAnsi="宋体" w:eastAsia="宋体" w:cs="仿宋_GB2312"/>
          <w:color w:val="000000"/>
        </w:rPr>
      </w:pPr>
      <w:r>
        <w:rPr>
          <w:rFonts w:hint="eastAsia" w:ascii="宋体" w:hAnsi="宋体" w:eastAsia="宋体" w:cs="仿宋_GB2312"/>
          <w:color w:val="000000"/>
        </w:rPr>
        <w:t>　　中标、成交供应商为残疾人福利性单位的，采购人或者其委托的采购代理机构应当随中标、成交结果同时公告其《残疾人福利性单位声明函》，接受社会监督。</w:t>
      </w:r>
    </w:p>
    <w:p>
      <w:pPr>
        <w:pStyle w:val="38"/>
        <w:shd w:val="clear" w:color="auto" w:fill="FFFFFF"/>
        <w:spacing w:before="0" w:beforeAutospacing="0" w:after="0" w:afterAutospacing="0" w:line="360" w:lineRule="auto"/>
        <w:ind w:firstLine="480"/>
        <w:jc w:val="both"/>
        <w:rPr>
          <w:rFonts w:ascii="宋体" w:hAnsi="宋体" w:eastAsia="宋体" w:cs="仿宋_GB2312"/>
          <w:color w:val="000000"/>
        </w:rPr>
      </w:pPr>
      <w:r>
        <w:rPr>
          <w:rFonts w:hint="eastAsia" w:ascii="宋体" w:hAnsi="宋体" w:eastAsia="宋体" w:cs="仿宋_GB2312"/>
          <w:color w:val="000000"/>
        </w:rPr>
        <w:t>　　供应商提供的《残疾人福利性单位声明函》与事实不符的，依照《政府采购法》第七十七条第一款的规定追究法律责任。</w:t>
      </w:r>
    </w:p>
    <w:p>
      <w:pPr>
        <w:pStyle w:val="38"/>
        <w:shd w:val="clear" w:color="auto" w:fill="FFFFFF"/>
        <w:spacing w:before="0" w:beforeAutospacing="0" w:after="0" w:afterAutospacing="0" w:line="360" w:lineRule="auto"/>
        <w:ind w:firstLine="480"/>
        <w:jc w:val="both"/>
        <w:rPr>
          <w:rFonts w:ascii="宋体" w:hAnsi="宋体" w:eastAsia="宋体" w:cs="仿宋_GB2312"/>
          <w:color w:val="000000"/>
        </w:rPr>
      </w:pPr>
      <w:r>
        <w:rPr>
          <w:rFonts w:hint="eastAsia" w:ascii="宋体" w:hAnsi="宋体" w:eastAsia="宋体" w:cs="仿宋_GB2312"/>
          <w:color w:val="000000"/>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38"/>
        <w:shd w:val="clear" w:color="auto" w:fill="FFFFFF"/>
        <w:spacing w:before="0" w:beforeAutospacing="0" w:after="0" w:afterAutospacing="0" w:line="360" w:lineRule="auto"/>
        <w:ind w:firstLine="480"/>
        <w:jc w:val="both"/>
        <w:rPr>
          <w:rFonts w:ascii="宋体" w:hAnsi="宋体" w:eastAsia="宋体" w:cs="仿宋_GB2312"/>
          <w:color w:val="000000"/>
        </w:rPr>
      </w:pPr>
      <w:r>
        <w:rPr>
          <w:rFonts w:hint="eastAsia" w:ascii="宋体" w:hAnsi="宋体" w:eastAsia="宋体" w:cs="仿宋_GB2312"/>
          <w:color w:val="000000"/>
        </w:rPr>
        <w:t>　　四、采购人采购公开招标数额标准以上的货物或者服务，因落实促进残疾人就业政策的需要，依法履行有关报批程序后，可采用公开招标以外的采购人式。</w:t>
      </w:r>
    </w:p>
    <w:p>
      <w:pPr>
        <w:pStyle w:val="38"/>
        <w:shd w:val="clear" w:color="auto" w:fill="FFFFFF"/>
        <w:spacing w:before="0" w:beforeAutospacing="0" w:after="0" w:afterAutospacing="0" w:line="360" w:lineRule="auto"/>
        <w:ind w:firstLine="480"/>
        <w:jc w:val="both"/>
        <w:rPr>
          <w:rFonts w:ascii="宋体" w:hAnsi="宋体" w:eastAsia="宋体" w:cs="仿宋_GB2312"/>
          <w:color w:val="000000"/>
        </w:rPr>
      </w:pPr>
      <w:r>
        <w:rPr>
          <w:rFonts w:hint="eastAsia" w:ascii="宋体" w:hAnsi="宋体" w:eastAsia="宋体" w:cs="仿宋_GB2312"/>
          <w:color w:val="000000"/>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38"/>
        <w:shd w:val="clear" w:color="auto" w:fill="FFFFFF"/>
        <w:spacing w:before="0" w:beforeAutospacing="0" w:after="0" w:afterAutospacing="0" w:line="360" w:lineRule="auto"/>
        <w:ind w:firstLine="480"/>
        <w:jc w:val="both"/>
        <w:rPr>
          <w:rFonts w:ascii="宋体" w:hAnsi="宋体" w:eastAsia="宋体" w:cs="仿宋_GB2312"/>
          <w:color w:val="000000"/>
        </w:rPr>
      </w:pPr>
      <w:r>
        <w:rPr>
          <w:rFonts w:hint="eastAsia" w:ascii="宋体" w:hAnsi="宋体" w:eastAsia="宋体" w:cs="仿宋_GB2312"/>
          <w:color w:val="000000"/>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38"/>
        <w:shd w:val="clear" w:color="auto" w:fill="FFFFFF"/>
        <w:spacing w:before="0" w:beforeAutospacing="0" w:after="0" w:afterAutospacing="0" w:line="360" w:lineRule="auto"/>
        <w:ind w:firstLine="480"/>
        <w:jc w:val="both"/>
        <w:rPr>
          <w:rFonts w:ascii="宋体" w:hAnsi="宋体" w:eastAsia="宋体" w:cs="仿宋_GB2312"/>
          <w:color w:val="000000"/>
        </w:rPr>
      </w:pPr>
      <w:r>
        <w:rPr>
          <w:rFonts w:hint="eastAsia" w:ascii="宋体" w:hAnsi="宋体" w:eastAsia="宋体" w:cs="仿宋_GB2312"/>
          <w:color w:val="000000"/>
        </w:rPr>
        <w:t>　　七、本通知自2017年10月1日起执行。</w:t>
      </w:r>
    </w:p>
    <w:p>
      <w:pPr>
        <w:pStyle w:val="38"/>
        <w:shd w:val="clear" w:color="auto" w:fill="FFFFFF"/>
        <w:spacing w:before="0" w:beforeAutospacing="0" w:after="0" w:afterAutospacing="0" w:line="360" w:lineRule="auto"/>
        <w:ind w:firstLine="480"/>
        <w:jc w:val="right"/>
        <w:rPr>
          <w:rFonts w:ascii="宋体" w:hAnsi="宋体" w:eastAsia="宋体" w:cs="仿宋_GB2312"/>
          <w:color w:val="000000"/>
        </w:rPr>
      </w:pPr>
      <w:r>
        <w:rPr>
          <w:rFonts w:hint="eastAsia" w:ascii="宋体" w:hAnsi="宋体" w:eastAsia="宋体" w:cs="仿宋_GB2312"/>
          <w:color w:val="000000"/>
        </w:rPr>
        <w:t>　　财政部 民政部 中国残疾人联合会</w:t>
      </w:r>
    </w:p>
    <w:p>
      <w:pPr>
        <w:pStyle w:val="38"/>
        <w:shd w:val="clear" w:color="auto" w:fill="FFFFFF"/>
        <w:spacing w:before="0" w:beforeAutospacing="0" w:after="0" w:afterAutospacing="0" w:line="360" w:lineRule="auto"/>
        <w:ind w:firstLine="480"/>
        <w:jc w:val="right"/>
        <w:rPr>
          <w:rFonts w:ascii="宋体" w:hAnsi="宋体" w:eastAsia="宋体" w:cs="仿宋_GB2312"/>
          <w:color w:val="000000"/>
        </w:rPr>
      </w:pPr>
      <w:r>
        <w:rPr>
          <w:rFonts w:hint="eastAsia" w:ascii="宋体" w:hAnsi="宋体" w:eastAsia="宋体" w:cs="仿宋_GB2312"/>
          <w:color w:val="000000"/>
        </w:rPr>
        <w:t>　　2017年8月22日</w:t>
      </w:r>
    </w:p>
    <w:p>
      <w:pPr>
        <w:spacing w:line="360" w:lineRule="auto"/>
        <w:rPr>
          <w:rFonts w:ascii="宋体" w:hAnsi="宋体" w:eastAsia="宋体" w:cs="仿宋_GB2312"/>
          <w:color w:val="000000"/>
        </w:rPr>
      </w:pPr>
      <w:r>
        <w:rPr>
          <w:rFonts w:hint="eastAsia" w:ascii="宋体" w:hAnsi="宋体" w:eastAsia="宋体" w:cs="仿宋_GB2312"/>
          <w:color w:val="000000"/>
        </w:rPr>
        <w:br w:type="page"/>
      </w:r>
    </w:p>
    <w:p>
      <w:pPr>
        <w:pStyle w:val="5"/>
        <w:widowControl/>
        <w:numPr>
          <w:ilvl w:val="2"/>
          <w:numId w:val="0"/>
        </w:numPr>
        <w:tabs>
          <w:tab w:val="left" w:pos="0"/>
          <w:tab w:val="left" w:pos="432"/>
        </w:tabs>
        <w:autoSpaceDE/>
        <w:autoSpaceDN/>
        <w:adjustRightInd/>
        <w:spacing w:before="120" w:line="360" w:lineRule="auto"/>
        <w:rPr>
          <w:rFonts w:ascii="宋体" w:hAnsi="宋体" w:eastAsia="宋体" w:cs="仿宋_GB2312"/>
          <w:color w:val="000000"/>
          <w:szCs w:val="24"/>
        </w:rPr>
      </w:pPr>
      <w:bookmarkStart w:id="784" w:name="_Toc92789352"/>
      <w:bookmarkStart w:id="785" w:name="_Toc83722640"/>
      <w:bookmarkStart w:id="786" w:name="_Toc85461452"/>
      <w:bookmarkStart w:id="787" w:name="_Toc27960"/>
      <w:bookmarkStart w:id="788" w:name="_Toc188382305"/>
      <w:bookmarkStart w:id="789" w:name="_Toc101191901"/>
      <w:r>
        <w:rPr>
          <w:rFonts w:hint="eastAsia" w:ascii="宋体" w:hAnsi="宋体" w:eastAsia="宋体" w:cs="仿宋_GB2312"/>
          <w:color w:val="000000"/>
          <w:szCs w:val="24"/>
        </w:rPr>
        <w:t>附录4：</w:t>
      </w:r>
      <w:bookmarkEnd w:id="784"/>
      <w:bookmarkEnd w:id="785"/>
      <w:bookmarkEnd w:id="786"/>
      <w:r>
        <w:rPr>
          <w:rFonts w:hint="eastAsia" w:ascii="宋体" w:hAnsi="宋体" w:eastAsia="宋体" w:cs="仿宋_GB2312"/>
          <w:color w:val="000000"/>
          <w:szCs w:val="24"/>
        </w:rPr>
        <w:t>市场监管总局关于发布参与实施政府采购节能产品、环境</w:t>
      </w:r>
      <w:bookmarkEnd w:id="787"/>
      <w:bookmarkStart w:id="790" w:name="_Toc25506"/>
      <w:r>
        <w:rPr>
          <w:rFonts w:hint="eastAsia" w:ascii="宋体" w:hAnsi="宋体" w:eastAsia="宋体" w:cs="仿宋_GB2312"/>
          <w:color w:val="000000"/>
          <w:szCs w:val="24"/>
        </w:rPr>
        <w:t>标志产品认证机构名录的公告</w:t>
      </w:r>
      <w:bookmarkEnd w:id="788"/>
      <w:bookmarkEnd w:id="789"/>
      <w:bookmarkEnd w:id="790"/>
    </w:p>
    <w:p>
      <w:pPr>
        <w:spacing w:line="360" w:lineRule="auto"/>
        <w:jc w:val="center"/>
        <w:rPr>
          <w:rFonts w:ascii="宋体" w:hAnsi="宋体" w:eastAsia="宋体"/>
          <w:sz w:val="24"/>
        </w:rPr>
      </w:pPr>
      <w:r>
        <w:rPr>
          <w:rFonts w:hint="eastAsia" w:ascii="宋体" w:hAnsi="宋体" w:eastAsia="宋体"/>
          <w:sz w:val="24"/>
        </w:rPr>
        <w:t>市场监管总局关于发布参与实施政府采购节能产品、</w:t>
      </w:r>
    </w:p>
    <w:p>
      <w:pPr>
        <w:spacing w:line="360" w:lineRule="auto"/>
        <w:jc w:val="center"/>
        <w:rPr>
          <w:rFonts w:ascii="宋体" w:hAnsi="宋体" w:eastAsia="宋体"/>
          <w:sz w:val="24"/>
        </w:rPr>
      </w:pPr>
      <w:r>
        <w:rPr>
          <w:rFonts w:hint="eastAsia" w:ascii="宋体" w:hAnsi="宋体" w:eastAsia="宋体"/>
          <w:sz w:val="24"/>
        </w:rPr>
        <w:t>环境标志产品认证机构名录的公告</w:t>
      </w:r>
    </w:p>
    <w:p>
      <w:pPr>
        <w:spacing w:line="360" w:lineRule="auto"/>
        <w:jc w:val="center"/>
        <w:rPr>
          <w:rFonts w:ascii="宋体" w:hAnsi="宋体" w:eastAsia="宋体"/>
          <w:sz w:val="24"/>
        </w:rPr>
      </w:pPr>
      <w:r>
        <w:rPr>
          <w:rFonts w:hint="eastAsia" w:ascii="宋体" w:hAnsi="宋体" w:eastAsia="宋体"/>
          <w:sz w:val="24"/>
        </w:rPr>
        <w:t>2019年第16号</w:t>
      </w:r>
    </w:p>
    <w:p>
      <w:pPr>
        <w:pStyle w:val="38"/>
        <w:spacing w:before="680" w:beforeAutospacing="0" w:after="632" w:afterAutospacing="0" w:line="360" w:lineRule="auto"/>
        <w:ind w:left="302" w:right="226" w:firstLine="480"/>
        <w:rPr>
          <w:rFonts w:ascii="宋体" w:hAnsi="宋体" w:eastAsia="宋体" w:cs="仿宋_GB2312"/>
          <w:color w:val="000000"/>
        </w:rPr>
      </w:pPr>
      <w:r>
        <w:rPr>
          <w:rFonts w:hint="eastAsia" w:ascii="宋体" w:hAnsi="宋体" w:eastAsia="宋体" w:cs="仿宋_GB2312"/>
          <w:color w:val="000000"/>
        </w:rPr>
        <w:t>　　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pPr>
        <w:pStyle w:val="38"/>
        <w:spacing w:before="680" w:beforeAutospacing="0" w:after="632" w:afterAutospacing="0" w:line="360" w:lineRule="auto"/>
        <w:ind w:left="302" w:right="226" w:firstLine="480"/>
        <w:rPr>
          <w:rFonts w:ascii="宋体" w:hAnsi="宋体" w:eastAsia="宋体" w:cs="仿宋_GB2312"/>
          <w:color w:val="000000"/>
        </w:rPr>
      </w:pPr>
    </w:p>
    <w:p>
      <w:pPr>
        <w:pStyle w:val="38"/>
        <w:spacing w:before="680" w:beforeAutospacing="0" w:after="632" w:afterAutospacing="0" w:line="360" w:lineRule="auto"/>
        <w:ind w:left="302" w:right="226" w:firstLine="480"/>
        <w:rPr>
          <w:rFonts w:ascii="宋体" w:hAnsi="宋体" w:eastAsia="宋体" w:cs="仿宋_GB2312"/>
          <w:color w:val="000000"/>
        </w:rPr>
      </w:pPr>
      <w:r>
        <w:rPr>
          <w:rFonts w:hint="eastAsia" w:ascii="宋体" w:hAnsi="宋体" w:eastAsia="宋体" w:cs="仿宋_GB2312"/>
          <w:color w:val="000000"/>
        </w:rPr>
        <w:t>　　自本公告发布后，新增认证机构应尽快完成政府采购认证信息系统对接，对接完成后方可开展相关认证工作。</w:t>
      </w:r>
    </w:p>
    <w:p>
      <w:pPr>
        <w:pStyle w:val="38"/>
        <w:spacing w:before="680" w:beforeAutospacing="0" w:after="632" w:afterAutospacing="0" w:line="360" w:lineRule="auto"/>
        <w:ind w:left="302" w:right="226" w:firstLine="480"/>
        <w:jc w:val="right"/>
        <w:rPr>
          <w:rFonts w:ascii="宋体" w:hAnsi="宋体" w:eastAsia="宋体" w:cs="仿宋_GB2312"/>
          <w:color w:val="000000"/>
        </w:rPr>
      </w:pPr>
      <w:r>
        <w:rPr>
          <w:rFonts w:hint="eastAsia" w:ascii="宋体" w:hAnsi="宋体" w:eastAsia="宋体" w:cs="仿宋_GB2312"/>
          <w:color w:val="000000"/>
        </w:rPr>
        <w:t>市场监管总局</w:t>
      </w:r>
    </w:p>
    <w:p>
      <w:pPr>
        <w:pStyle w:val="38"/>
        <w:spacing w:before="680" w:beforeAutospacing="0" w:after="632" w:afterAutospacing="0" w:line="360" w:lineRule="auto"/>
        <w:ind w:left="302" w:right="226" w:firstLine="480"/>
        <w:jc w:val="right"/>
        <w:rPr>
          <w:rFonts w:ascii="宋体" w:hAnsi="宋体" w:eastAsia="宋体" w:cs="仿宋_GB2312"/>
          <w:color w:val="000000"/>
        </w:rPr>
      </w:pPr>
      <w:r>
        <w:rPr>
          <w:rFonts w:hint="eastAsia" w:ascii="宋体" w:hAnsi="宋体" w:eastAsia="宋体" w:cs="仿宋_GB2312"/>
          <w:color w:val="000000"/>
        </w:rPr>
        <w:t>2019年4月3日</w:t>
      </w:r>
    </w:p>
    <w:p>
      <w:pPr>
        <w:widowControl/>
        <w:tabs>
          <w:tab w:val="left" w:pos="7088"/>
        </w:tabs>
        <w:spacing w:before="602" w:after="302" w:line="360" w:lineRule="auto"/>
        <w:ind w:left="302" w:right="226" w:firstLine="480" w:firstLineChars="200"/>
        <w:jc w:val="left"/>
        <w:rPr>
          <w:rFonts w:ascii="宋体" w:hAnsi="宋体" w:eastAsia="宋体" w:cs="仿宋_GB2312"/>
          <w:color w:val="000000"/>
          <w:sz w:val="24"/>
        </w:rPr>
      </w:pPr>
      <w:r>
        <w:rPr>
          <w:rFonts w:hint="eastAsia" w:ascii="宋体" w:hAnsi="宋体" w:eastAsia="宋体" w:cs="仿宋_GB2312"/>
          <w:color w:val="000000"/>
          <w:kern w:val="0"/>
          <w:sz w:val="24"/>
        </w:rPr>
        <w:t>（此件公开发布）</w:t>
      </w:r>
    </w:p>
    <w:p>
      <w:pPr>
        <w:widowControl/>
        <w:jc w:val="left"/>
        <w:rPr>
          <w:rFonts w:ascii="宋体" w:hAnsi="宋体" w:eastAsia="宋体" w:cs="仿宋_GB2312"/>
          <w:color w:val="000000"/>
          <w:kern w:val="0"/>
          <w:sz w:val="28"/>
          <w:szCs w:val="28"/>
        </w:rPr>
      </w:pPr>
      <w:r>
        <w:rPr>
          <w:rFonts w:ascii="宋体" w:hAnsi="宋体" w:eastAsia="宋体"/>
          <w:shd w:val="clear" w:color="auto" w:fill="FFFFFF"/>
          <w:lang w:bidi="ar"/>
        </w:rPr>
        <w:br w:type="page"/>
      </w:r>
      <w:r>
        <w:rPr>
          <w:rFonts w:ascii="宋体" w:hAnsi="宋体" w:eastAsia="宋体" w:cs="仿宋_GB2312"/>
        </w:rPr>
        <w:drawing>
          <wp:inline distT="0" distB="0" distL="114300" distR="114300">
            <wp:extent cx="5281930" cy="6796405"/>
            <wp:effectExtent l="0" t="0" r="13970" b="4445"/>
            <wp:docPr id="3" name="图片 5" descr="D:\传输文件\WeChat Files\wxid_9890248905412\FileStorage\Temp\1666628018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D:\传输文件\WeChat Files\wxid_9890248905412\FileStorage\Temp\1666628018257.png"/>
                    <pic:cNvPicPr>
                      <a:picLocks noChangeAspect="1"/>
                    </pic:cNvPicPr>
                  </pic:nvPicPr>
                  <pic:blipFill>
                    <a:blip r:embed="rId24"/>
                    <a:stretch>
                      <a:fillRect/>
                    </a:stretch>
                  </pic:blipFill>
                  <pic:spPr>
                    <a:xfrm>
                      <a:off x="0" y="0"/>
                      <a:ext cx="5281930" cy="6796405"/>
                    </a:xfrm>
                    <a:prstGeom prst="rect">
                      <a:avLst/>
                    </a:prstGeom>
                    <a:noFill/>
                    <a:ln>
                      <a:noFill/>
                    </a:ln>
                  </pic:spPr>
                </pic:pic>
              </a:graphicData>
            </a:graphic>
          </wp:inline>
        </w:drawing>
      </w:r>
      <w:r>
        <w:rPr>
          <w:rFonts w:ascii="宋体" w:hAnsi="宋体" w:eastAsia="宋体" w:cs="仿宋_GB2312"/>
        </w:rPr>
        <w:drawing>
          <wp:inline distT="0" distB="0" distL="114300" distR="114300">
            <wp:extent cx="5391150" cy="7410450"/>
            <wp:effectExtent l="0" t="0" r="0" b="0"/>
            <wp:docPr id="4" name="图片 4" descr="D:\传输文件\WeChat Files\wxid_9890248905412\FileStorage\Temp\1666628028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传输文件\WeChat Files\wxid_9890248905412\FileStorage\Temp\1666628028421.png"/>
                    <pic:cNvPicPr>
                      <a:picLocks noChangeAspect="1"/>
                    </pic:cNvPicPr>
                  </pic:nvPicPr>
                  <pic:blipFill>
                    <a:blip r:embed="rId25"/>
                    <a:stretch>
                      <a:fillRect/>
                    </a:stretch>
                  </pic:blipFill>
                  <pic:spPr>
                    <a:xfrm>
                      <a:off x="0" y="0"/>
                      <a:ext cx="5391150" cy="7410450"/>
                    </a:xfrm>
                    <a:prstGeom prst="rect">
                      <a:avLst/>
                    </a:prstGeom>
                    <a:noFill/>
                    <a:ln>
                      <a:noFill/>
                    </a:ln>
                  </pic:spPr>
                </pic:pic>
              </a:graphicData>
            </a:graphic>
          </wp:inline>
        </w:drawing>
      </w:r>
      <w:r>
        <w:rPr>
          <w:rFonts w:ascii="宋体" w:hAnsi="宋体" w:eastAsia="宋体" w:cs="微软雅黑"/>
        </w:rPr>
        <w:drawing>
          <wp:inline distT="0" distB="0" distL="114300" distR="114300">
            <wp:extent cx="5349875" cy="7301865"/>
            <wp:effectExtent l="0" t="0" r="3175" b="13335"/>
            <wp:docPr id="5" name="图片 2" descr="D:\传输文件\WeChat Files\wxid_9890248905412\FileStorage\Temp\1666628035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D:\传输文件\WeChat Files\wxid_9890248905412\FileStorage\Temp\1666628035161.png"/>
                    <pic:cNvPicPr>
                      <a:picLocks noChangeAspect="1"/>
                    </pic:cNvPicPr>
                  </pic:nvPicPr>
                  <pic:blipFill>
                    <a:blip r:embed="rId26"/>
                    <a:stretch>
                      <a:fillRect/>
                    </a:stretch>
                  </pic:blipFill>
                  <pic:spPr>
                    <a:xfrm>
                      <a:off x="0" y="0"/>
                      <a:ext cx="5349875" cy="7301865"/>
                    </a:xfrm>
                    <a:prstGeom prst="rect">
                      <a:avLst/>
                    </a:prstGeom>
                    <a:noFill/>
                    <a:ln>
                      <a:noFill/>
                    </a:ln>
                  </pic:spPr>
                </pic:pic>
              </a:graphicData>
            </a:graphic>
          </wp:inline>
        </w:drawing>
      </w:r>
      <w:r>
        <w:rPr>
          <w:rFonts w:ascii="宋体" w:hAnsi="宋体" w:eastAsia="宋体" w:cs="微软雅黑"/>
        </w:rPr>
        <w:drawing>
          <wp:inline distT="0" distB="0" distL="114300" distR="114300">
            <wp:extent cx="5076825" cy="7628890"/>
            <wp:effectExtent l="0" t="0" r="9525" b="10160"/>
            <wp:docPr id="6" name="图片 1" descr="D:\传输文件\WeChat Files\wxid_9890248905412\FileStorage\Temp\1666628055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D:\传输文件\WeChat Files\wxid_9890248905412\FileStorage\Temp\1666628055209.png"/>
                    <pic:cNvPicPr>
                      <a:picLocks noChangeAspect="1"/>
                    </pic:cNvPicPr>
                  </pic:nvPicPr>
                  <pic:blipFill>
                    <a:blip r:embed="rId27"/>
                    <a:stretch>
                      <a:fillRect/>
                    </a:stretch>
                  </pic:blipFill>
                  <pic:spPr>
                    <a:xfrm>
                      <a:off x="0" y="0"/>
                      <a:ext cx="5076825" cy="7628890"/>
                    </a:xfrm>
                    <a:prstGeom prst="rect">
                      <a:avLst/>
                    </a:prstGeom>
                    <a:noFill/>
                    <a:ln>
                      <a:noFill/>
                    </a:ln>
                  </pic:spPr>
                </pic:pic>
              </a:graphicData>
            </a:graphic>
          </wp:inline>
        </w:drawing>
      </w:r>
    </w:p>
    <w:p>
      <w:pPr>
        <w:widowControl/>
        <w:jc w:val="left"/>
        <w:rPr>
          <w:rFonts w:ascii="宋体" w:hAnsi="宋体" w:eastAsia="宋体" w:cs="仿宋_GB2312"/>
          <w:color w:val="000000"/>
          <w:kern w:val="0"/>
          <w:sz w:val="28"/>
          <w:szCs w:val="28"/>
        </w:rPr>
      </w:pPr>
      <w:r>
        <w:rPr>
          <w:rFonts w:ascii="宋体" w:hAnsi="宋体" w:eastAsia="宋体" w:cs="仿宋_GB2312"/>
          <w:color w:val="000000"/>
          <w:kern w:val="0"/>
          <w:sz w:val="28"/>
          <w:szCs w:val="28"/>
        </w:rPr>
        <w:br w:type="page"/>
      </w:r>
    </w:p>
    <w:p>
      <w:pPr>
        <w:widowControl/>
        <w:spacing w:before="602" w:after="302" w:line="360" w:lineRule="auto"/>
        <w:ind w:left="302" w:right="226"/>
        <w:jc w:val="center"/>
        <w:rPr>
          <w:rFonts w:ascii="宋体" w:hAnsi="宋体" w:eastAsia="宋体" w:cs="仿宋_GB2312"/>
          <w:color w:val="000000"/>
        </w:rPr>
      </w:pPr>
      <w:r>
        <w:rPr>
          <w:rFonts w:hint="eastAsia" w:ascii="宋体" w:hAnsi="宋体" w:eastAsia="宋体" w:cs="仿宋_GB2312"/>
          <w:color w:val="000000"/>
          <w:kern w:val="0"/>
          <w:sz w:val="28"/>
          <w:szCs w:val="28"/>
        </w:rPr>
        <w:t>参与实施政府采购节能产品认证机构名录</w:t>
      </w:r>
    </w:p>
    <w:tbl>
      <w:tblPr>
        <w:tblStyle w:val="43"/>
        <w:tblW w:w="8076"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215"/>
        <w:gridCol w:w="1064"/>
        <w:gridCol w:w="1599"/>
        <w:gridCol w:w="1399"/>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序号</w:t>
            </w:r>
          </w:p>
        </w:tc>
        <w:tc>
          <w:tcPr>
            <w:tcW w:w="227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一级目录</w:t>
            </w:r>
          </w:p>
        </w:tc>
        <w:tc>
          <w:tcPr>
            <w:tcW w:w="299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二级目录</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产品代码</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产品名称</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产品代码</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产品名称</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1</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A020101</w:t>
            </w:r>
          </w:p>
        </w:tc>
        <w:tc>
          <w:tcPr>
            <w:tcW w:w="106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计算机设备</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A02010104</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台式计算机</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中国质量认证中心</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北京赛西认证有限责任公司</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中国网络安全审查技术与认证中心</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A02010105</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便携式计算机</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A02010107</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平板式微型计算机</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2</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A020106</w:t>
            </w:r>
          </w:p>
        </w:tc>
        <w:tc>
          <w:tcPr>
            <w:tcW w:w="106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输入输出设备</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A02010601</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打印设备</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A02010604</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显示设备</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A02010609</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图形图像输入设备</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3</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A020202</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投影仪</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4</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A020204</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多功能一体机</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5</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A020519</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泵</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A02051901</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离心泵</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中国质量认证中心</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电能（北京）认证中心有限公司</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6</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A020523</w:t>
            </w:r>
          </w:p>
        </w:tc>
        <w:tc>
          <w:tcPr>
            <w:tcW w:w="106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制冷空调设备</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A02052301</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制冷压缩机</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中国质量认证中心</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威凯认证检测有限公司</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合肥通用机械产品认证有限公司</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北京中冷通质量认证中心有限公司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A02052305</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空调机组</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A02052309</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专用制冷、空调设备</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A02052399</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其他制冷空调设备</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7</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A020601</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电机</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中国质量认证中心</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威凯认证检测有限公司</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电能（北京）认证中心有限公司</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中国船级社质量认证公司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8</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A020602</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变压器</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中国质量认证中心</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电能（北京）认证中心有限公司</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9</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A020609</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镇流器</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中国质量认证中心</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深圳市计量质量检测研究院</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10</w:t>
            </w:r>
          </w:p>
        </w:tc>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A020618</w:t>
            </w:r>
          </w:p>
        </w:tc>
        <w:tc>
          <w:tcPr>
            <w:tcW w:w="106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生活用电器</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A0206180101</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电冰箱</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中国质量认证中心</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威凯认证检测有限公司</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A0206180203</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空调机</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中国质量认证中心</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威凯认证检测有限公司</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中家院（北京）检测认证有限公司</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合肥通用机械产品认证有限公司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A0206180301</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洗衣机</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中国质量认证中心</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威凯认证检测有限公司</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06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A02061808</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热水器</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中国质量认证中心</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威凯认证检测有限公司</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中家院（北京）检测认证有限公司</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合肥通用机械产品认证有限公司(范围仅限于“热泵热水器”)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11</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A020619</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照明设备</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中国质量认证中心</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深圳市计量质量检测研究院</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12</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A020910</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电视设备</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A02091001</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普通电视设备（电视机）</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中国质量认证中心</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北京泰瑞特认证有限责任公司</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13</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A020911</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视频设备</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A02091107</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视频监控设备</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14</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A031210</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饮食炊事机械</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2170"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中国质量认证中心</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北京鉴衡认证中心</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中国市政工程华北设计研究总院有限公司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15</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A060805</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便器</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21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中国质量认证中心</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北京新华节水产品认证有限公司</w:t>
            </w:r>
          </w:p>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16</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A060806</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水嘴</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17</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A060807</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便器冲洗阀</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18</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A060810</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淋浴器</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left"/>
              <w:rPr>
                <w:rFonts w:ascii="宋体" w:hAnsi="宋体" w:eastAsia="宋体" w:cs="仿宋_GB2312"/>
                <w:color w:val="000000"/>
                <w:sz w:val="24"/>
              </w:rPr>
            </w:pPr>
            <w:r>
              <w:rPr>
                <w:rFonts w:hint="eastAsia" w:ascii="宋体" w:hAnsi="宋体" w:eastAsia="宋体" w:cs="仿宋_GB2312"/>
                <w:color w:val="000000"/>
                <w:kern w:val="0"/>
                <w:sz w:val="24"/>
              </w:rPr>
              <w:t>　</w:t>
            </w:r>
          </w:p>
        </w:tc>
        <w:tc>
          <w:tcPr>
            <w:tcW w:w="21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eastAsia="宋体" w:cs="仿宋_GB2312"/>
                <w:color w:val="000000"/>
                <w:sz w:val="24"/>
              </w:rPr>
            </w:pPr>
          </w:p>
        </w:tc>
      </w:tr>
    </w:tbl>
    <w:p>
      <w:pPr>
        <w:widowControl/>
        <w:spacing w:before="602" w:after="302" w:line="360" w:lineRule="auto"/>
        <w:ind w:left="302" w:right="226"/>
        <w:jc w:val="center"/>
        <w:rPr>
          <w:rFonts w:ascii="宋体" w:hAnsi="宋体" w:eastAsia="宋体"/>
          <w:color w:val="000000"/>
        </w:rPr>
      </w:pPr>
      <w:r>
        <w:rPr>
          <w:rFonts w:hint="eastAsia" w:ascii="宋体" w:hAnsi="宋体" w:eastAsia="宋体" w:cs="微软雅黑"/>
          <w:color w:val="000000"/>
          <w:kern w:val="0"/>
          <w:sz w:val="24"/>
        </w:rPr>
        <w:t> </w:t>
      </w:r>
    </w:p>
    <w:p>
      <w:pPr>
        <w:widowControl/>
        <w:spacing w:before="602" w:after="302" w:line="360" w:lineRule="auto"/>
        <w:ind w:left="302" w:right="226"/>
        <w:jc w:val="center"/>
        <w:rPr>
          <w:rFonts w:ascii="宋体" w:hAnsi="宋体" w:eastAsia="宋体" w:cs="仿宋_GB2312"/>
          <w:color w:val="000000"/>
          <w:sz w:val="28"/>
          <w:szCs w:val="28"/>
        </w:rPr>
      </w:pPr>
      <w:r>
        <w:rPr>
          <w:rFonts w:hint="eastAsia" w:ascii="宋体" w:hAnsi="宋体" w:eastAsia="宋体" w:cs="仿宋_GB2312"/>
          <w:color w:val="000000"/>
          <w:kern w:val="0"/>
          <w:sz w:val="28"/>
          <w:szCs w:val="28"/>
        </w:rPr>
        <w:t>参与实施政府采购环境标志产品认证机构名录 </w:t>
      </w:r>
    </w:p>
    <w:tbl>
      <w:tblPr>
        <w:tblStyle w:val="43"/>
        <w:tblW w:w="8847"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122"/>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序号</w:t>
            </w:r>
          </w:p>
        </w:tc>
        <w:tc>
          <w:tcPr>
            <w:tcW w:w="2122"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目录</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1</w:t>
            </w:r>
          </w:p>
        </w:tc>
        <w:tc>
          <w:tcPr>
            <w:tcW w:w="2122"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环境标志产品</w:t>
            </w:r>
          </w:p>
        </w:tc>
        <w:tc>
          <w:tcPr>
            <w:tcW w:w="6031" w:type="dxa"/>
            <w:tcBorders>
              <w:top w:val="single" w:color="auto" w:sz="4" w:space="0"/>
              <w:left w:val="single" w:color="auto" w:sz="4" w:space="0"/>
              <w:bottom w:val="single" w:color="auto" w:sz="4" w:space="0"/>
              <w:right w:val="single" w:color="auto" w:sz="4" w:space="0"/>
            </w:tcBorders>
            <w:noWrap w:val="0"/>
            <w:vAlign w:val="center"/>
          </w:tcPr>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中环联合（北京）认证中心有限公司</w:t>
            </w:r>
          </w:p>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中标合信（北京）认证有限公司</w:t>
            </w:r>
          </w:p>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中环协（北京）认证有限公司</w:t>
            </w:r>
          </w:p>
          <w:p>
            <w:pPr>
              <w:widowControl/>
              <w:spacing w:beforeAutospacing="1" w:afterAutospacing="1" w:line="360" w:lineRule="auto"/>
              <w:jc w:val="center"/>
              <w:rPr>
                <w:rFonts w:ascii="宋体" w:hAnsi="宋体" w:eastAsia="宋体" w:cs="仿宋_GB2312"/>
                <w:color w:val="000000"/>
                <w:sz w:val="24"/>
              </w:rPr>
            </w:pPr>
            <w:r>
              <w:rPr>
                <w:rFonts w:hint="eastAsia" w:ascii="宋体" w:hAnsi="宋体" w:eastAsia="宋体" w:cs="仿宋_GB2312"/>
                <w:color w:val="000000"/>
                <w:kern w:val="0"/>
                <w:sz w:val="24"/>
              </w:rPr>
              <w:t>天津华诚认证有限公司</w:t>
            </w:r>
          </w:p>
        </w:tc>
      </w:tr>
    </w:tbl>
    <w:p>
      <w:pPr>
        <w:spacing w:line="360" w:lineRule="auto"/>
        <w:outlineLvl w:val="2"/>
        <w:rPr>
          <w:b/>
          <w:sz w:val="24"/>
        </w:rPr>
      </w:pPr>
    </w:p>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1" w:fontKey="{0F8AFC7B-4C0B-4259-B967-7DD8B19FBD5C}"/>
  </w:font>
  <w:font w:name="ˎ̥">
    <w:altName w:val="Noto Serif SC"/>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方正仿宋_GBK">
    <w:altName w:val="微软雅黑"/>
    <w:panose1 w:val="02000000000000000000"/>
    <w:charset w:val="86"/>
    <w:family w:val="auto"/>
    <w:pitch w:val="default"/>
    <w:sig w:usb0="00000000" w:usb1="00000000" w:usb2="00000000" w:usb3="00000000" w:csb0="00040000" w:csb1="00000000"/>
    <w:embedRegular r:id="rId2" w:fontKey="{70ED4DC6-B50C-4968-A4AB-C672691F0B92}"/>
  </w:font>
  <w:font w:name="方正小标宋简体">
    <w:panose1 w:val="02010600010101010101"/>
    <w:charset w:val="86"/>
    <w:family w:val="script"/>
    <w:pitch w:val="default"/>
    <w:sig w:usb0="00000001" w:usb1="080E0000" w:usb2="00000000" w:usb3="00000000" w:csb0="00040000" w:csb1="00000000"/>
    <w:embedRegular r:id="rId3" w:fontKey="{CCFED343-CE27-4096-85BD-A81B0B2B3826}"/>
  </w:font>
  <w:font w:name="FZSSK--GBK1-0">
    <w:altName w:val="仿宋_GB2312"/>
    <w:panose1 w:val="00000000000000000000"/>
    <w:charset w:val="86"/>
    <w:family w:val="auto"/>
    <w:pitch w:val="default"/>
    <w:sig w:usb0="00000000" w:usb1="00000000" w:usb2="00000010" w:usb3="00000000" w:csb0="00040000" w:csb1="00000000"/>
    <w:embedRegular r:id="rId4" w:fontKey="{A456DB6D-D214-4BC9-9541-CB5955587C3F}"/>
  </w:font>
  <w:font w:name="DejaVuSans">
    <w:altName w:val="Noto Serif SC"/>
    <w:panose1 w:val="00000000000000000000"/>
    <w:charset w:val="00"/>
    <w:family w:val="auto"/>
    <w:pitch w:val="default"/>
    <w:sig w:usb0="00000000" w:usb1="00000000" w:usb2="00000010" w:usb3="00000000" w:csb0="00040001" w:csb1="00000000"/>
    <w:embedRegular r:id="rId5" w:fontKey="{77A70BAC-1EF0-4DFB-9A24-ADE68A3418C3}"/>
  </w:font>
  <w:font w:name="微软雅黑">
    <w:panose1 w:val="020B0503020204020204"/>
    <w:charset w:val="86"/>
    <w:family w:val="auto"/>
    <w:pitch w:val="default"/>
    <w:sig w:usb0="80000287" w:usb1="2ACF3C50" w:usb2="00000016" w:usb3="00000000" w:csb0="0004001F" w:csb1="00000000"/>
    <w:embedRegular r:id="rId6" w:fontKey="{89D4145B-4820-4B29-8340-84FCC75EE3EE}"/>
  </w:font>
  <w:font w:name="Noto Serif SC">
    <w:panose1 w:val="02020200000000000000"/>
    <w:charset w:val="86"/>
    <w:family w:val="auto"/>
    <w:pitch w:val="default"/>
    <w:sig w:usb0="2000008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8"/>
      </w:rPr>
    </w:pPr>
    <w:r>
      <w:fldChar w:fldCharType="begin"/>
    </w:r>
    <w:r>
      <w:rPr>
        <w:rStyle w:val="48"/>
      </w:rPr>
      <w:instrText xml:space="preserve">PAGE  </w:instrText>
    </w:r>
    <w:r>
      <w:fldChar w:fldCharType="end"/>
    </w:r>
  </w:p>
  <w:p>
    <w:pPr>
      <w:pStyle w:val="28"/>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p>
  <w:p>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w:t>
    </w:r>
    <w:r>
      <w:rPr>
        <w:rFonts w:ascii="Times New Roma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sz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mqmJcgBAACZ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Z&#10;5ekD1Jj1EDAvDXd+wKWZ/YDOzHpQ0eYv8iEYR3HPV3HlkIjIj9ar9brCkMDYfEF89vg8REhvpbck&#10;Gw2NOL0iKj+9hzSmzim5mvP32pgyQeP+ciBm9rDc+9hjttKwHyZCe9+ekU+Pg2+owz2nxLxzqGve&#10;kdmIs7GfjWOI+tCVJcr1INweEzZRessVRtipME6ssJu2K6/En/eS9fhHb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JqpiXIAQAAmQMAAA4AAAAAAAAAAQAgAAAAHgEAAGRycy9lMm9Eb2Mu&#10;eG1sUEsFBgAAAAAGAAYAWQEAAFg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8"/>
      <w:ind w:right="360"/>
    </w:pPr>
  </w:p>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8"/>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 xml:space="preserve">北京市政府采购项目单一来源采购文件示范文本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 xml:space="preserve">北京市政府采购项目单一来源采购文件示范文本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 xml:space="preserve">北京市政府采购项目单一来源采购文件示范文本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3789C"/>
    <w:multiLevelType w:val="singleLevel"/>
    <w:tmpl w:val="9BF3789C"/>
    <w:lvl w:ilvl="0" w:tentative="0">
      <w:start w:val="1"/>
      <w:numFmt w:val="decimal"/>
      <w:suff w:val="nothing"/>
      <w:lvlText w:val="（%1）"/>
      <w:lvlJc w:val="left"/>
    </w:lvl>
  </w:abstractNum>
  <w:abstractNum w:abstractNumId="1">
    <w:nsid w:val="9FFF5F7F"/>
    <w:multiLevelType w:val="singleLevel"/>
    <w:tmpl w:val="9FFF5F7F"/>
    <w:lvl w:ilvl="0" w:tentative="0">
      <w:start w:val="2"/>
      <w:numFmt w:val="decimal"/>
      <w:suff w:val="space"/>
      <w:lvlText w:val="%1."/>
      <w:lvlJc w:val="left"/>
    </w:lvl>
  </w:abstractNum>
  <w:abstractNum w:abstractNumId="2">
    <w:nsid w:val="FF75EABE"/>
    <w:multiLevelType w:val="multilevel"/>
    <w:tmpl w:val="FF75EABE"/>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00000004"/>
    <w:multiLevelType w:val="multilevel"/>
    <w:tmpl w:val="00000004"/>
    <w:lvl w:ilvl="0" w:tentative="0">
      <w:start w:val="1"/>
      <w:numFmt w:val="japaneseCounting"/>
      <w:lvlText w:val="第%1章"/>
      <w:lvlJc w:val="left"/>
      <w:pPr>
        <w:tabs>
          <w:tab w:val="left" w:pos="5225"/>
        </w:tabs>
        <w:ind w:left="5225" w:hanging="1140"/>
      </w:pPr>
      <w:rPr>
        <w:rFonts w:hint="eastAsia"/>
      </w:rPr>
    </w:lvl>
    <w:lvl w:ilvl="1" w:tentative="0">
      <w:start w:val="1"/>
      <w:numFmt w:val="lowerLetter"/>
      <w:lvlText w:val="%2)"/>
      <w:lvlJc w:val="left"/>
      <w:pPr>
        <w:tabs>
          <w:tab w:val="left" w:pos="4925"/>
        </w:tabs>
        <w:ind w:left="4925" w:hanging="420"/>
      </w:pPr>
    </w:lvl>
    <w:lvl w:ilvl="2" w:tentative="0">
      <w:start w:val="1"/>
      <w:numFmt w:val="lowerRoman"/>
      <w:lvlText w:val="%3."/>
      <w:lvlJc w:val="right"/>
      <w:pPr>
        <w:tabs>
          <w:tab w:val="left" w:pos="5345"/>
        </w:tabs>
        <w:ind w:left="5345" w:hanging="420"/>
      </w:pPr>
    </w:lvl>
    <w:lvl w:ilvl="3" w:tentative="0">
      <w:start w:val="1"/>
      <w:numFmt w:val="decimal"/>
      <w:lvlText w:val="%4."/>
      <w:lvlJc w:val="left"/>
      <w:pPr>
        <w:tabs>
          <w:tab w:val="left" w:pos="5765"/>
        </w:tabs>
        <w:ind w:left="5765" w:hanging="420"/>
      </w:pPr>
    </w:lvl>
    <w:lvl w:ilvl="4" w:tentative="0">
      <w:start w:val="1"/>
      <w:numFmt w:val="lowerLetter"/>
      <w:lvlText w:val="%5)"/>
      <w:lvlJc w:val="left"/>
      <w:pPr>
        <w:tabs>
          <w:tab w:val="left" w:pos="6185"/>
        </w:tabs>
        <w:ind w:left="6185" w:hanging="420"/>
      </w:pPr>
    </w:lvl>
    <w:lvl w:ilvl="5" w:tentative="0">
      <w:start w:val="1"/>
      <w:numFmt w:val="lowerRoman"/>
      <w:lvlText w:val="%6."/>
      <w:lvlJc w:val="right"/>
      <w:pPr>
        <w:tabs>
          <w:tab w:val="left" w:pos="6605"/>
        </w:tabs>
        <w:ind w:left="6605" w:hanging="420"/>
      </w:pPr>
    </w:lvl>
    <w:lvl w:ilvl="6" w:tentative="0">
      <w:start w:val="1"/>
      <w:numFmt w:val="decimal"/>
      <w:lvlText w:val="%7."/>
      <w:lvlJc w:val="left"/>
      <w:pPr>
        <w:tabs>
          <w:tab w:val="left" w:pos="7025"/>
        </w:tabs>
        <w:ind w:left="7025" w:hanging="420"/>
      </w:pPr>
    </w:lvl>
    <w:lvl w:ilvl="7" w:tentative="0">
      <w:start w:val="1"/>
      <w:numFmt w:val="lowerLetter"/>
      <w:lvlText w:val="%8)"/>
      <w:lvlJc w:val="left"/>
      <w:pPr>
        <w:tabs>
          <w:tab w:val="left" w:pos="7445"/>
        </w:tabs>
        <w:ind w:left="7445" w:hanging="420"/>
      </w:pPr>
    </w:lvl>
    <w:lvl w:ilvl="8" w:tentative="0">
      <w:start w:val="1"/>
      <w:numFmt w:val="lowerRoman"/>
      <w:lvlText w:val="%9."/>
      <w:lvlJc w:val="right"/>
      <w:pPr>
        <w:tabs>
          <w:tab w:val="left" w:pos="7865"/>
        </w:tabs>
        <w:ind w:left="7865" w:hanging="420"/>
      </w:pPr>
    </w:lvl>
  </w:abstractNum>
  <w:abstractNum w:abstractNumId="4">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3851098"/>
    <w:multiLevelType w:val="multilevel"/>
    <w:tmpl w:val="13851098"/>
    <w:lvl w:ilvl="0" w:tentative="0">
      <w:start w:val="1"/>
      <w:numFmt w:val="japaneseCounting"/>
      <w:lvlText w:val="%1、"/>
      <w:lvlJc w:val="left"/>
      <w:pPr>
        <w:ind w:left="-60" w:hanging="500"/>
      </w:pPr>
      <w:rPr>
        <w:rFonts w:hint="default"/>
      </w:rPr>
    </w:lvl>
    <w:lvl w:ilvl="1" w:tentative="0">
      <w:start w:val="1"/>
      <w:numFmt w:val="lowerLetter"/>
      <w:lvlText w:val="%2)"/>
      <w:lvlJc w:val="left"/>
      <w:pPr>
        <w:ind w:left="280" w:hanging="420"/>
      </w:pPr>
    </w:lvl>
    <w:lvl w:ilvl="2" w:tentative="0">
      <w:start w:val="1"/>
      <w:numFmt w:val="lowerRoman"/>
      <w:lvlText w:val="%3."/>
      <w:lvlJc w:val="right"/>
      <w:pPr>
        <w:ind w:left="700" w:hanging="420"/>
      </w:pPr>
    </w:lvl>
    <w:lvl w:ilvl="3" w:tentative="0">
      <w:start w:val="1"/>
      <w:numFmt w:val="decimal"/>
      <w:lvlText w:val="%4."/>
      <w:lvlJc w:val="left"/>
      <w:pPr>
        <w:ind w:left="1120" w:hanging="420"/>
      </w:pPr>
    </w:lvl>
    <w:lvl w:ilvl="4" w:tentative="0">
      <w:start w:val="1"/>
      <w:numFmt w:val="lowerLetter"/>
      <w:lvlText w:val="%5)"/>
      <w:lvlJc w:val="left"/>
      <w:pPr>
        <w:ind w:left="1540" w:hanging="420"/>
      </w:pPr>
    </w:lvl>
    <w:lvl w:ilvl="5" w:tentative="0">
      <w:start w:val="1"/>
      <w:numFmt w:val="lowerRoman"/>
      <w:lvlText w:val="%6."/>
      <w:lvlJc w:val="right"/>
      <w:pPr>
        <w:ind w:left="1960" w:hanging="420"/>
      </w:pPr>
    </w:lvl>
    <w:lvl w:ilvl="6" w:tentative="0">
      <w:start w:val="1"/>
      <w:numFmt w:val="decimal"/>
      <w:lvlText w:val="%7."/>
      <w:lvlJc w:val="left"/>
      <w:pPr>
        <w:ind w:left="2380" w:hanging="420"/>
      </w:pPr>
    </w:lvl>
    <w:lvl w:ilvl="7" w:tentative="0">
      <w:start w:val="1"/>
      <w:numFmt w:val="lowerLetter"/>
      <w:lvlText w:val="%8)"/>
      <w:lvlJc w:val="left"/>
      <w:pPr>
        <w:ind w:left="2800" w:hanging="420"/>
      </w:pPr>
    </w:lvl>
    <w:lvl w:ilvl="8" w:tentative="0">
      <w:start w:val="1"/>
      <w:numFmt w:val="lowerRoman"/>
      <w:lvlText w:val="%9."/>
      <w:lvlJc w:val="right"/>
      <w:pPr>
        <w:ind w:left="3220" w:hanging="420"/>
      </w:p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1.%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A351863"/>
    <w:multiLevelType w:val="multilevel"/>
    <w:tmpl w:val="1A351863"/>
    <w:lvl w:ilvl="0" w:tentative="0">
      <w:start w:val="2"/>
      <w:numFmt w:val="decimal"/>
      <w:lvlText w:val="%1"/>
      <w:lvlJc w:val="left"/>
      <w:pPr>
        <w:tabs>
          <w:tab w:val="left" w:pos="900"/>
        </w:tabs>
        <w:ind w:left="900" w:hanging="900"/>
      </w:pPr>
      <w:rPr>
        <w:rFonts w:hint="eastAsia"/>
      </w:rPr>
    </w:lvl>
    <w:lvl w:ilvl="1" w:tentative="0">
      <w:start w:val="1"/>
      <w:numFmt w:val="decimal"/>
      <w:lvlText w:val="%1.%2"/>
      <w:lvlJc w:val="left"/>
      <w:pPr>
        <w:tabs>
          <w:tab w:val="left" w:pos="5133"/>
        </w:tabs>
        <w:ind w:left="5012"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59F6D0D3"/>
    <w:multiLevelType w:val="singleLevel"/>
    <w:tmpl w:val="59F6D0D3"/>
    <w:lvl w:ilvl="0" w:tentative="0">
      <w:start w:val="1"/>
      <w:numFmt w:val="chineseCounting"/>
      <w:suff w:val="nothing"/>
      <w:lvlText w:val="%1、"/>
      <w:lvlJc w:val="left"/>
    </w:lvl>
  </w:abstractNum>
  <w:abstractNum w:abstractNumId="18">
    <w:nsid w:val="70350302"/>
    <w:multiLevelType w:val="multilevel"/>
    <w:tmpl w:val="703503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1"/>
  </w:num>
  <w:num w:numId="8">
    <w:abstractNumId w:val="9"/>
  </w:num>
  <w:num w:numId="9">
    <w:abstractNumId w:val="14"/>
  </w:num>
  <w:num w:numId="10">
    <w:abstractNumId w:val="18"/>
  </w:num>
  <w:num w:numId="11">
    <w:abstractNumId w:val="3"/>
  </w:num>
  <w:num w:numId="12">
    <w:abstractNumId w:val="12"/>
  </w:num>
  <w:num w:numId="13">
    <w:abstractNumId w:val="15"/>
  </w:num>
  <w:num w:numId="14">
    <w:abstractNumId w:val="13"/>
  </w:num>
  <w:num w:numId="15">
    <w:abstractNumId w:val="1"/>
  </w:num>
  <w:num w:numId="16">
    <w:abstractNumId w:val="2"/>
  </w:num>
  <w:num w:numId="17">
    <w:abstractNumId w:val="16"/>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mE1MGM0MjI3MGVlZjJlYmY5NDVjMjRhYmY0ZGE5NzIifQ=="/>
    <w:docVar w:name="KSO_WPS_MARK_KEY" w:val="f22c7699-b5ec-45ab-b6ed-414ec1a3cf86"/>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254"/>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66"/>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6E41"/>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352"/>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8E9"/>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E2A"/>
    <w:rsid w:val="00154E60"/>
    <w:rsid w:val="00155202"/>
    <w:rsid w:val="0015538F"/>
    <w:rsid w:val="00155434"/>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4EC"/>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824"/>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3E4"/>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5B0"/>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6A9"/>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06"/>
    <w:rsid w:val="00200896"/>
    <w:rsid w:val="002008C8"/>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8E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82"/>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0CF6"/>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CC3"/>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C7"/>
    <w:rsid w:val="0043547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973"/>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29"/>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21"/>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17"/>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6B"/>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3E1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40E"/>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7E7"/>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E54"/>
    <w:rsid w:val="00764095"/>
    <w:rsid w:val="00764200"/>
    <w:rsid w:val="00764235"/>
    <w:rsid w:val="00764241"/>
    <w:rsid w:val="007643DD"/>
    <w:rsid w:val="007648C5"/>
    <w:rsid w:val="007648E1"/>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366"/>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5FDB"/>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2F2B"/>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78"/>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0FD1"/>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D2"/>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29E"/>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BC0"/>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2C4"/>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2D0"/>
    <w:rsid w:val="00A633A4"/>
    <w:rsid w:val="00A6374D"/>
    <w:rsid w:val="00A637DE"/>
    <w:rsid w:val="00A638C5"/>
    <w:rsid w:val="00A638FA"/>
    <w:rsid w:val="00A63900"/>
    <w:rsid w:val="00A63A44"/>
    <w:rsid w:val="00A63CEF"/>
    <w:rsid w:val="00A64055"/>
    <w:rsid w:val="00A64171"/>
    <w:rsid w:val="00A6455B"/>
    <w:rsid w:val="00A64582"/>
    <w:rsid w:val="00A647C5"/>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23E"/>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4D"/>
    <w:rsid w:val="00AB4283"/>
    <w:rsid w:val="00AB462E"/>
    <w:rsid w:val="00AB4A81"/>
    <w:rsid w:val="00AB4B02"/>
    <w:rsid w:val="00AB4DB8"/>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803"/>
    <w:rsid w:val="00AD0AF2"/>
    <w:rsid w:val="00AD0D6E"/>
    <w:rsid w:val="00AD1124"/>
    <w:rsid w:val="00AD1174"/>
    <w:rsid w:val="00AD176A"/>
    <w:rsid w:val="00AD1808"/>
    <w:rsid w:val="00AD19BD"/>
    <w:rsid w:val="00AD1AFF"/>
    <w:rsid w:val="00AD209C"/>
    <w:rsid w:val="00AD235D"/>
    <w:rsid w:val="00AD2668"/>
    <w:rsid w:val="00AD293E"/>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2B5"/>
    <w:rsid w:val="00AD5813"/>
    <w:rsid w:val="00AD59EB"/>
    <w:rsid w:val="00AD5A0B"/>
    <w:rsid w:val="00AD5A3D"/>
    <w:rsid w:val="00AD5AE7"/>
    <w:rsid w:val="00AD5BCC"/>
    <w:rsid w:val="00AD5BFF"/>
    <w:rsid w:val="00AD5C59"/>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4"/>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3C"/>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6B0"/>
    <w:rsid w:val="00B41960"/>
    <w:rsid w:val="00B4198D"/>
    <w:rsid w:val="00B41992"/>
    <w:rsid w:val="00B41A01"/>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39"/>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1C26"/>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D7D"/>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DF5"/>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DE5"/>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5B"/>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45C"/>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DFE"/>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04F"/>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218"/>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7A9"/>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A0"/>
    <w:rsid w:val="00FD22E2"/>
    <w:rsid w:val="00FD236F"/>
    <w:rsid w:val="00FD2589"/>
    <w:rsid w:val="00FD294E"/>
    <w:rsid w:val="00FD2FA9"/>
    <w:rsid w:val="00FD31AA"/>
    <w:rsid w:val="00FD3958"/>
    <w:rsid w:val="00FD39F1"/>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EE6"/>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121092E"/>
    <w:rsid w:val="024342B5"/>
    <w:rsid w:val="02825860"/>
    <w:rsid w:val="02B61EF6"/>
    <w:rsid w:val="03B66375"/>
    <w:rsid w:val="04576C02"/>
    <w:rsid w:val="04CE6A99"/>
    <w:rsid w:val="06392826"/>
    <w:rsid w:val="064F2C3F"/>
    <w:rsid w:val="06E92EF1"/>
    <w:rsid w:val="06F923FC"/>
    <w:rsid w:val="072134F0"/>
    <w:rsid w:val="077863A4"/>
    <w:rsid w:val="08DC6B0F"/>
    <w:rsid w:val="08F60C43"/>
    <w:rsid w:val="09187B5E"/>
    <w:rsid w:val="0988635C"/>
    <w:rsid w:val="09A337F3"/>
    <w:rsid w:val="09AB5C0A"/>
    <w:rsid w:val="0A0A25CC"/>
    <w:rsid w:val="0A16071F"/>
    <w:rsid w:val="0A874F39"/>
    <w:rsid w:val="0B5338A8"/>
    <w:rsid w:val="0B660C1A"/>
    <w:rsid w:val="0BA97492"/>
    <w:rsid w:val="0C7D5BCC"/>
    <w:rsid w:val="0CD617BA"/>
    <w:rsid w:val="0D506086"/>
    <w:rsid w:val="0D8B322B"/>
    <w:rsid w:val="0E1A3B33"/>
    <w:rsid w:val="0E452D5C"/>
    <w:rsid w:val="0F7F2A94"/>
    <w:rsid w:val="0FE96398"/>
    <w:rsid w:val="12B32172"/>
    <w:rsid w:val="12BA7692"/>
    <w:rsid w:val="135D2D87"/>
    <w:rsid w:val="13E43AC5"/>
    <w:rsid w:val="13F01029"/>
    <w:rsid w:val="14A06140"/>
    <w:rsid w:val="14FB24D1"/>
    <w:rsid w:val="169B6222"/>
    <w:rsid w:val="17AF42BB"/>
    <w:rsid w:val="17F93E0B"/>
    <w:rsid w:val="18371EB1"/>
    <w:rsid w:val="18D759E0"/>
    <w:rsid w:val="1B8C6F23"/>
    <w:rsid w:val="1C455CA5"/>
    <w:rsid w:val="1CBB6F86"/>
    <w:rsid w:val="1D094185"/>
    <w:rsid w:val="1D2C69D2"/>
    <w:rsid w:val="20CB32CB"/>
    <w:rsid w:val="20CB694C"/>
    <w:rsid w:val="22155735"/>
    <w:rsid w:val="22E706EE"/>
    <w:rsid w:val="22EB1B5E"/>
    <w:rsid w:val="22F53585"/>
    <w:rsid w:val="239E00B4"/>
    <w:rsid w:val="241367EE"/>
    <w:rsid w:val="251E74A4"/>
    <w:rsid w:val="25CB759A"/>
    <w:rsid w:val="25E34A34"/>
    <w:rsid w:val="265B6F75"/>
    <w:rsid w:val="27843CE5"/>
    <w:rsid w:val="27AD1C9C"/>
    <w:rsid w:val="296C25DC"/>
    <w:rsid w:val="2A016841"/>
    <w:rsid w:val="2ACA2711"/>
    <w:rsid w:val="2AE27056"/>
    <w:rsid w:val="2D9D5BBD"/>
    <w:rsid w:val="2DB85006"/>
    <w:rsid w:val="2E690493"/>
    <w:rsid w:val="2E846C97"/>
    <w:rsid w:val="2F633E5C"/>
    <w:rsid w:val="2F8337D6"/>
    <w:rsid w:val="2FBB6ACC"/>
    <w:rsid w:val="2FBF1259"/>
    <w:rsid w:val="300460F8"/>
    <w:rsid w:val="30BD4AC6"/>
    <w:rsid w:val="31582FC2"/>
    <w:rsid w:val="31896E18"/>
    <w:rsid w:val="322F1D18"/>
    <w:rsid w:val="32EB653A"/>
    <w:rsid w:val="356042BA"/>
    <w:rsid w:val="3690424A"/>
    <w:rsid w:val="38B27551"/>
    <w:rsid w:val="38F27E99"/>
    <w:rsid w:val="3A6F5083"/>
    <w:rsid w:val="3B5F40A8"/>
    <w:rsid w:val="3BB75E08"/>
    <w:rsid w:val="3BCB6780"/>
    <w:rsid w:val="3C7C53D5"/>
    <w:rsid w:val="3CED3994"/>
    <w:rsid w:val="3F8A1DD9"/>
    <w:rsid w:val="3FD711B4"/>
    <w:rsid w:val="42CD0A98"/>
    <w:rsid w:val="431A0C09"/>
    <w:rsid w:val="448160DE"/>
    <w:rsid w:val="4492750F"/>
    <w:rsid w:val="45C3390E"/>
    <w:rsid w:val="4644427B"/>
    <w:rsid w:val="46937033"/>
    <w:rsid w:val="480E2158"/>
    <w:rsid w:val="48341DE7"/>
    <w:rsid w:val="49311563"/>
    <w:rsid w:val="4AE72B1C"/>
    <w:rsid w:val="4B1C3DDB"/>
    <w:rsid w:val="4B65373A"/>
    <w:rsid w:val="4D00163A"/>
    <w:rsid w:val="4DCE6884"/>
    <w:rsid w:val="4F0F5BE3"/>
    <w:rsid w:val="4F7A7273"/>
    <w:rsid w:val="50C30C0E"/>
    <w:rsid w:val="50F27B43"/>
    <w:rsid w:val="51467DBE"/>
    <w:rsid w:val="51E65739"/>
    <w:rsid w:val="52422029"/>
    <w:rsid w:val="52B67509"/>
    <w:rsid w:val="55040901"/>
    <w:rsid w:val="56817455"/>
    <w:rsid w:val="56DF05DE"/>
    <w:rsid w:val="56E0170A"/>
    <w:rsid w:val="57FC6189"/>
    <w:rsid w:val="58B37FCA"/>
    <w:rsid w:val="58D90A5B"/>
    <w:rsid w:val="5A77237C"/>
    <w:rsid w:val="5B835E40"/>
    <w:rsid w:val="5BA87F9D"/>
    <w:rsid w:val="5CB10493"/>
    <w:rsid w:val="5DC97FC9"/>
    <w:rsid w:val="5EC923F3"/>
    <w:rsid w:val="5ED65B8A"/>
    <w:rsid w:val="5EFA7CCD"/>
    <w:rsid w:val="5F073306"/>
    <w:rsid w:val="5F5F73B9"/>
    <w:rsid w:val="610466F9"/>
    <w:rsid w:val="61202383"/>
    <w:rsid w:val="627B0FC7"/>
    <w:rsid w:val="62F923BA"/>
    <w:rsid w:val="645B74FF"/>
    <w:rsid w:val="647A766C"/>
    <w:rsid w:val="648C2B6D"/>
    <w:rsid w:val="64961430"/>
    <w:rsid w:val="65475306"/>
    <w:rsid w:val="675E006A"/>
    <w:rsid w:val="67B27EF6"/>
    <w:rsid w:val="681A038E"/>
    <w:rsid w:val="6838144E"/>
    <w:rsid w:val="68AA7398"/>
    <w:rsid w:val="69071B5A"/>
    <w:rsid w:val="697F0893"/>
    <w:rsid w:val="69F25018"/>
    <w:rsid w:val="6AA1D15A"/>
    <w:rsid w:val="6B79100E"/>
    <w:rsid w:val="6B9F656F"/>
    <w:rsid w:val="6C3D24CB"/>
    <w:rsid w:val="6CDC145C"/>
    <w:rsid w:val="6DF64B98"/>
    <w:rsid w:val="6E26547D"/>
    <w:rsid w:val="6ED2361C"/>
    <w:rsid w:val="6EF56BFD"/>
    <w:rsid w:val="6F5B40FB"/>
    <w:rsid w:val="6FA62744"/>
    <w:rsid w:val="71541BED"/>
    <w:rsid w:val="71887C3A"/>
    <w:rsid w:val="71BD6F35"/>
    <w:rsid w:val="722F2426"/>
    <w:rsid w:val="739F4649"/>
    <w:rsid w:val="742C597A"/>
    <w:rsid w:val="74446D3B"/>
    <w:rsid w:val="755323FA"/>
    <w:rsid w:val="77A10290"/>
    <w:rsid w:val="77B2470C"/>
    <w:rsid w:val="784D627F"/>
    <w:rsid w:val="7852166C"/>
    <w:rsid w:val="79907C4E"/>
    <w:rsid w:val="79CB6ED9"/>
    <w:rsid w:val="7A3B1711"/>
    <w:rsid w:val="7B7F917F"/>
    <w:rsid w:val="7CC16371"/>
    <w:rsid w:val="7D1329D5"/>
    <w:rsid w:val="7DAB1C5A"/>
    <w:rsid w:val="7E181A23"/>
    <w:rsid w:val="7E8D71A4"/>
    <w:rsid w:val="7F09322F"/>
    <w:rsid w:val="7F6E135D"/>
    <w:rsid w:val="7F7D58EC"/>
    <w:rsid w:val="7F88015F"/>
    <w:rsid w:val="7FA9311E"/>
    <w:rsid w:val="7FF7BD76"/>
    <w:rsid w:val="9D4B5CFF"/>
    <w:rsid w:val="BA7B23C6"/>
    <w:rsid w:val="E6EEF75E"/>
    <w:rsid w:val="EBFDF97A"/>
    <w:rsid w:val="ECEF0C34"/>
    <w:rsid w:val="FE7348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8"/>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9"/>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0"/>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1"/>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2"/>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3"/>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autoRedefine/>
    <w:unhideWhenUsed/>
    <w:qFormat/>
    <w:uiPriority w:val="1"/>
  </w:style>
  <w:style w:type="table" w:default="1" w:styleId="43">
    <w:name w:val="Normal Table"/>
    <w:autoRedefine/>
    <w:unhideWhenUsed/>
    <w:qFormat/>
    <w:uiPriority w:val="99"/>
    <w:tblPr>
      <w:tblCellMar>
        <w:top w:w="0" w:type="dxa"/>
        <w:left w:w="108" w:type="dxa"/>
        <w:bottom w:w="0" w:type="dxa"/>
        <w:right w:w="108" w:type="dxa"/>
      </w:tblCellMar>
    </w:tblPr>
  </w:style>
  <w:style w:type="paragraph" w:styleId="4">
    <w:name w:val="Normal Indent"/>
    <w:basedOn w:val="1"/>
    <w:link w:val="56"/>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64"/>
    <w:autoRedefine/>
    <w:qFormat/>
    <w:uiPriority w:val="0"/>
    <w:pPr>
      <w:shd w:val="clear" w:color="auto" w:fill="000080"/>
    </w:pPr>
  </w:style>
  <w:style w:type="paragraph" w:styleId="15">
    <w:name w:val="annotation text"/>
    <w:basedOn w:val="1"/>
    <w:link w:val="65"/>
    <w:autoRedefine/>
    <w:qFormat/>
    <w:uiPriority w:val="99"/>
    <w:pPr>
      <w:jc w:val="left"/>
    </w:pPr>
  </w:style>
  <w:style w:type="paragraph" w:styleId="16">
    <w:name w:val="Body Text 3"/>
    <w:basedOn w:val="1"/>
    <w:link w:val="66"/>
    <w:autoRedefine/>
    <w:qFormat/>
    <w:uiPriority w:val="0"/>
    <w:pPr>
      <w:spacing w:after="120"/>
    </w:pPr>
    <w:rPr>
      <w:sz w:val="16"/>
      <w:szCs w:val="16"/>
    </w:rPr>
  </w:style>
  <w:style w:type="paragraph" w:styleId="17">
    <w:name w:val="Body Text"/>
    <w:basedOn w:val="1"/>
    <w:link w:val="67"/>
    <w:autoRedefine/>
    <w:qFormat/>
    <w:uiPriority w:val="0"/>
    <w:pPr>
      <w:tabs>
        <w:tab w:val="left" w:pos="567"/>
      </w:tabs>
      <w:spacing w:before="120" w:line="22" w:lineRule="atLeast"/>
    </w:pPr>
    <w:rPr>
      <w:rFonts w:ascii="宋体" w:hAnsi="宋体"/>
      <w:sz w:val="24"/>
    </w:rPr>
  </w:style>
  <w:style w:type="paragraph" w:styleId="18">
    <w:name w:val="Body Text Indent"/>
    <w:basedOn w:val="1"/>
    <w:link w:val="68"/>
    <w:autoRedefine/>
    <w:qFormat/>
    <w:uiPriority w:val="0"/>
    <w:pPr>
      <w:spacing w:line="360" w:lineRule="auto"/>
      <w:ind w:firstLine="570"/>
    </w:pPr>
    <w:rPr>
      <w:sz w:val="24"/>
    </w:rPr>
  </w:style>
  <w:style w:type="paragraph" w:styleId="19">
    <w:name w:val="List 2"/>
    <w:basedOn w:val="1"/>
    <w:autoRedefine/>
    <w:qFormat/>
    <w:uiPriority w:val="0"/>
    <w:pPr>
      <w:ind w:left="100" w:leftChars="200" w:hanging="200" w:hangingChars="200"/>
    </w:pPr>
  </w:style>
  <w:style w:type="paragraph" w:styleId="20">
    <w:name w:val="Block Text"/>
    <w:basedOn w:val="1"/>
    <w:autoRedefine/>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69"/>
    <w:autoRedefine/>
    <w:qFormat/>
    <w:uiPriority w:val="0"/>
    <w:rPr>
      <w:rFonts w:hint="eastAsia" w:ascii="宋体" w:hAnsi="Courier New"/>
      <w:szCs w:val="20"/>
    </w:rPr>
  </w:style>
  <w:style w:type="paragraph" w:styleId="24">
    <w:name w:val="toc 8"/>
    <w:basedOn w:val="1"/>
    <w:next w:val="1"/>
    <w:autoRedefine/>
    <w:qFormat/>
    <w:uiPriority w:val="0"/>
    <w:pPr>
      <w:ind w:left="2940" w:leftChars="1400"/>
    </w:pPr>
  </w:style>
  <w:style w:type="paragraph" w:styleId="25">
    <w:name w:val="Date"/>
    <w:basedOn w:val="1"/>
    <w:next w:val="1"/>
    <w:link w:val="70"/>
    <w:autoRedefine/>
    <w:qFormat/>
    <w:uiPriority w:val="0"/>
    <w:pPr>
      <w:ind w:left="100" w:leftChars="2500"/>
    </w:pPr>
    <w:rPr>
      <w:rFonts w:ascii="仿宋_GB2312" w:hAnsi="宋体" w:eastAsia="仿宋_GB2312"/>
      <w:color w:val="000000"/>
      <w:sz w:val="24"/>
    </w:rPr>
  </w:style>
  <w:style w:type="paragraph" w:styleId="26">
    <w:name w:val="Body Text Indent 2"/>
    <w:basedOn w:val="1"/>
    <w:link w:val="71"/>
    <w:autoRedefine/>
    <w:qFormat/>
    <w:uiPriority w:val="0"/>
    <w:pPr>
      <w:ind w:firstLine="480" w:firstLineChars="200"/>
    </w:pPr>
    <w:rPr>
      <w:rFonts w:ascii="仿宋_GB2312" w:eastAsia="仿宋_GB2312"/>
      <w:sz w:val="24"/>
    </w:rPr>
  </w:style>
  <w:style w:type="paragraph" w:styleId="27">
    <w:name w:val="Balloon Text"/>
    <w:basedOn w:val="1"/>
    <w:link w:val="72"/>
    <w:autoRedefine/>
    <w:qFormat/>
    <w:uiPriority w:val="0"/>
    <w:rPr>
      <w:sz w:val="18"/>
      <w:szCs w:val="18"/>
    </w:rPr>
  </w:style>
  <w:style w:type="paragraph" w:styleId="28">
    <w:name w:val="footer"/>
    <w:basedOn w:val="1"/>
    <w:link w:val="73"/>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5"/>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able of figures"/>
    <w:basedOn w:val="1"/>
    <w:next w:val="1"/>
    <w:autoRedefine/>
    <w:qFormat/>
    <w:uiPriority w:val="0"/>
    <w:pPr>
      <w:widowControl/>
      <w:ind w:left="840" w:hanging="420"/>
      <w:jc w:val="left"/>
    </w:pPr>
    <w:rPr>
      <w:kern w:val="0"/>
      <w:sz w:val="24"/>
      <w:szCs w:val="20"/>
    </w:rPr>
  </w:style>
  <w:style w:type="paragraph" w:styleId="35">
    <w:name w:val="toc 2"/>
    <w:basedOn w:val="1"/>
    <w:next w:val="1"/>
    <w:autoRedefine/>
    <w:qFormat/>
    <w:uiPriority w:val="39"/>
    <w:pPr>
      <w:tabs>
        <w:tab w:val="right" w:leader="dot" w:pos="8937"/>
      </w:tabs>
      <w:spacing w:line="312" w:lineRule="auto"/>
      <w:ind w:left="420" w:leftChars="200"/>
    </w:pPr>
  </w:style>
  <w:style w:type="paragraph" w:styleId="36">
    <w:name w:val="toc 9"/>
    <w:basedOn w:val="1"/>
    <w:next w:val="1"/>
    <w:autoRedefine/>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autoRedefine/>
    <w:qFormat/>
    <w:uiPriority w:val="0"/>
    <w:pPr>
      <w:jc w:val="center"/>
      <w:outlineLvl w:val="0"/>
    </w:pPr>
    <w:rPr>
      <w:b/>
      <w:sz w:val="32"/>
      <w:szCs w:val="20"/>
    </w:rPr>
  </w:style>
  <w:style w:type="paragraph" w:styleId="41">
    <w:name w:val="annotation subject"/>
    <w:basedOn w:val="15"/>
    <w:next w:val="15"/>
    <w:link w:val="78"/>
    <w:qFormat/>
    <w:uiPriority w:val="0"/>
    <w:rPr>
      <w:b/>
      <w:bCs/>
    </w:rPr>
  </w:style>
  <w:style w:type="paragraph" w:styleId="42">
    <w:name w:val="Body Text First Indent 2"/>
    <w:basedOn w:val="18"/>
    <w:link w:val="79"/>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Pr/>
    </w:tblStylePr>
    <w:tblStylePr w:type="lastCol">
      <w:rPr>
        <w:b/>
        <w:bCs/>
      </w:rPr>
      <w:tbl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qFormat/>
    <w:uiPriority w:val="99"/>
    <w:rPr>
      <w:sz w:val="21"/>
      <w:szCs w:val="21"/>
    </w:rPr>
  </w:style>
  <w:style w:type="character" w:styleId="53">
    <w:name w:val="HTML Cite"/>
    <w:autoRedefine/>
    <w:qFormat/>
    <w:uiPriority w:val="0"/>
    <w:rPr>
      <w:i/>
      <w:iCs/>
    </w:rPr>
  </w:style>
  <w:style w:type="character" w:customStyle="1" w:styleId="54">
    <w:name w:val="标题 1 Char"/>
    <w:link w:val="2"/>
    <w:qFormat/>
    <w:uiPriority w:val="0"/>
    <w:rPr>
      <w:rFonts w:ascii="宋体"/>
      <w:b/>
      <w:kern w:val="44"/>
      <w:sz w:val="32"/>
    </w:rPr>
  </w:style>
  <w:style w:type="character" w:customStyle="1" w:styleId="55">
    <w:name w:val="标题 2 Char1"/>
    <w:link w:val="3"/>
    <w:qFormat/>
    <w:uiPriority w:val="0"/>
    <w:rPr>
      <w:rFonts w:ascii="Arial" w:hAnsi="Arial" w:eastAsia="黑体"/>
      <w:b/>
      <w:sz w:val="30"/>
      <w:lang w:val="en-US" w:eastAsia="zh-CN" w:bidi="ar-SA"/>
    </w:rPr>
  </w:style>
  <w:style w:type="character" w:customStyle="1" w:styleId="56">
    <w:name w:val="正文缩进 Char1"/>
    <w:link w:val="4"/>
    <w:autoRedefine/>
    <w:qFormat/>
    <w:uiPriority w:val="0"/>
    <w:rPr>
      <w:rFonts w:ascii="宋体" w:eastAsia="宋体"/>
      <w:kern w:val="2"/>
      <w:sz w:val="24"/>
      <w:szCs w:val="24"/>
      <w:lang w:val="en-US" w:eastAsia="zh-CN" w:bidi="ar-SA"/>
    </w:rPr>
  </w:style>
  <w:style w:type="character" w:customStyle="1" w:styleId="57">
    <w:name w:val="标题 3 Char1"/>
    <w:link w:val="5"/>
    <w:autoRedefine/>
    <w:qFormat/>
    <w:uiPriority w:val="0"/>
    <w:rPr>
      <w:rFonts w:ascii="宋体" w:eastAsia="宋体"/>
      <w:b/>
      <w:sz w:val="24"/>
      <w:u w:val="single"/>
      <w:lang w:val="en-US" w:eastAsia="zh-CN" w:bidi="ar-SA"/>
    </w:rPr>
  </w:style>
  <w:style w:type="character" w:customStyle="1" w:styleId="58">
    <w:name w:val="标题 4 Char"/>
    <w:link w:val="6"/>
    <w:autoRedefine/>
    <w:qFormat/>
    <w:uiPriority w:val="0"/>
    <w:rPr>
      <w:rFonts w:ascii="Arial" w:hAnsi="Arial" w:eastAsia="黑体"/>
      <w:b/>
      <w:sz w:val="28"/>
    </w:rPr>
  </w:style>
  <w:style w:type="character" w:customStyle="1" w:styleId="59">
    <w:name w:val="标题 5 Char"/>
    <w:link w:val="7"/>
    <w:autoRedefine/>
    <w:qFormat/>
    <w:uiPriority w:val="0"/>
    <w:rPr>
      <w:b/>
      <w:sz w:val="28"/>
    </w:rPr>
  </w:style>
  <w:style w:type="character" w:customStyle="1" w:styleId="60">
    <w:name w:val="标题 6 Char"/>
    <w:link w:val="8"/>
    <w:autoRedefine/>
    <w:qFormat/>
    <w:uiPriority w:val="0"/>
    <w:rPr>
      <w:rFonts w:ascii="Arial" w:hAnsi="Arial" w:eastAsia="黑体"/>
      <w:b/>
      <w:sz w:val="24"/>
    </w:rPr>
  </w:style>
  <w:style w:type="character" w:customStyle="1" w:styleId="61">
    <w:name w:val="标题 7 Char"/>
    <w:link w:val="9"/>
    <w:autoRedefine/>
    <w:qFormat/>
    <w:uiPriority w:val="0"/>
    <w:rPr>
      <w:b/>
      <w:sz w:val="24"/>
    </w:rPr>
  </w:style>
  <w:style w:type="character" w:customStyle="1" w:styleId="62">
    <w:name w:val="标题 8 Char"/>
    <w:link w:val="10"/>
    <w:autoRedefine/>
    <w:qFormat/>
    <w:uiPriority w:val="0"/>
    <w:rPr>
      <w:rFonts w:ascii="Arial" w:hAnsi="Arial" w:eastAsia="黑体"/>
      <w:sz w:val="24"/>
    </w:rPr>
  </w:style>
  <w:style w:type="character" w:customStyle="1" w:styleId="63">
    <w:name w:val="标题 9 Char"/>
    <w:link w:val="11"/>
    <w:autoRedefine/>
    <w:qFormat/>
    <w:uiPriority w:val="0"/>
    <w:rPr>
      <w:rFonts w:ascii="Arial" w:hAnsi="Arial" w:eastAsia="黑体"/>
      <w:sz w:val="21"/>
    </w:rPr>
  </w:style>
  <w:style w:type="character" w:customStyle="1" w:styleId="64">
    <w:name w:val="文档结构图 Char"/>
    <w:link w:val="14"/>
    <w:autoRedefine/>
    <w:qFormat/>
    <w:uiPriority w:val="0"/>
    <w:rPr>
      <w:kern w:val="2"/>
      <w:sz w:val="21"/>
      <w:szCs w:val="24"/>
      <w:shd w:val="clear" w:color="auto" w:fill="000080"/>
    </w:rPr>
  </w:style>
  <w:style w:type="character" w:customStyle="1" w:styleId="65">
    <w:name w:val="批注文字 Char1"/>
    <w:link w:val="15"/>
    <w:autoRedefine/>
    <w:qFormat/>
    <w:uiPriority w:val="99"/>
    <w:rPr>
      <w:kern w:val="2"/>
      <w:sz w:val="21"/>
      <w:szCs w:val="24"/>
    </w:rPr>
  </w:style>
  <w:style w:type="character" w:customStyle="1" w:styleId="66">
    <w:name w:val="正文文本 3 Char"/>
    <w:link w:val="16"/>
    <w:qFormat/>
    <w:uiPriority w:val="0"/>
    <w:rPr>
      <w:kern w:val="2"/>
      <w:sz w:val="16"/>
      <w:szCs w:val="16"/>
    </w:rPr>
  </w:style>
  <w:style w:type="character" w:customStyle="1" w:styleId="67">
    <w:name w:val="正文文本 Char"/>
    <w:link w:val="17"/>
    <w:autoRedefine/>
    <w:qFormat/>
    <w:uiPriority w:val="0"/>
    <w:rPr>
      <w:rFonts w:ascii="宋体" w:hAnsi="宋体"/>
      <w:kern w:val="2"/>
      <w:sz w:val="24"/>
      <w:szCs w:val="24"/>
    </w:rPr>
  </w:style>
  <w:style w:type="character" w:customStyle="1" w:styleId="68">
    <w:name w:val="正文文本缩进 Char2"/>
    <w:link w:val="18"/>
    <w:qFormat/>
    <w:uiPriority w:val="0"/>
    <w:rPr>
      <w:rFonts w:eastAsia="宋体"/>
      <w:kern w:val="2"/>
      <w:sz w:val="24"/>
      <w:szCs w:val="24"/>
      <w:lang w:val="en-US" w:eastAsia="zh-CN" w:bidi="ar-SA"/>
    </w:rPr>
  </w:style>
  <w:style w:type="character" w:customStyle="1" w:styleId="69">
    <w:name w:val="纯文本 Char"/>
    <w:link w:val="23"/>
    <w:autoRedefine/>
    <w:qFormat/>
    <w:uiPriority w:val="0"/>
    <w:rPr>
      <w:rFonts w:hint="eastAsia" w:ascii="宋体" w:hAnsi="Courier New" w:eastAsia="宋体" w:cs="宋体"/>
      <w:kern w:val="2"/>
      <w:sz w:val="21"/>
    </w:rPr>
  </w:style>
  <w:style w:type="character" w:customStyle="1" w:styleId="70">
    <w:name w:val="日期 Char"/>
    <w:link w:val="25"/>
    <w:autoRedefine/>
    <w:qFormat/>
    <w:uiPriority w:val="0"/>
    <w:rPr>
      <w:rFonts w:ascii="仿宋_GB2312" w:hAnsi="宋体" w:eastAsia="仿宋_GB2312"/>
      <w:color w:val="000000"/>
      <w:kern w:val="2"/>
      <w:sz w:val="24"/>
      <w:szCs w:val="24"/>
    </w:rPr>
  </w:style>
  <w:style w:type="character" w:customStyle="1" w:styleId="71">
    <w:name w:val="正文文本缩进 2 Char"/>
    <w:link w:val="26"/>
    <w:autoRedefine/>
    <w:qFormat/>
    <w:uiPriority w:val="0"/>
    <w:rPr>
      <w:rFonts w:ascii="仿宋_GB2312" w:eastAsia="仿宋_GB2312"/>
      <w:kern w:val="2"/>
      <w:sz w:val="24"/>
      <w:szCs w:val="24"/>
    </w:rPr>
  </w:style>
  <w:style w:type="character" w:customStyle="1" w:styleId="72">
    <w:name w:val="批注框文本 Char"/>
    <w:link w:val="27"/>
    <w:autoRedefine/>
    <w:qFormat/>
    <w:uiPriority w:val="0"/>
    <w:rPr>
      <w:kern w:val="2"/>
      <w:sz w:val="18"/>
      <w:szCs w:val="18"/>
    </w:rPr>
  </w:style>
  <w:style w:type="character" w:customStyle="1" w:styleId="73">
    <w:name w:val="页脚 Char1"/>
    <w:link w:val="28"/>
    <w:autoRedefine/>
    <w:qFormat/>
    <w:uiPriority w:val="99"/>
    <w:rPr>
      <w:rFonts w:ascii="宋体" w:eastAsia="宋体"/>
      <w:sz w:val="18"/>
      <w:lang w:val="en-US" w:eastAsia="zh-CN" w:bidi="ar-SA"/>
    </w:rPr>
  </w:style>
  <w:style w:type="character" w:customStyle="1" w:styleId="74">
    <w:name w:val="页眉 Char1"/>
    <w:link w:val="29"/>
    <w:qFormat/>
    <w:uiPriority w:val="0"/>
    <w:rPr>
      <w:rFonts w:eastAsia="宋体"/>
      <w:kern w:val="2"/>
      <w:sz w:val="18"/>
      <w:szCs w:val="18"/>
      <w:lang w:val="en-US" w:eastAsia="zh-CN" w:bidi="ar-SA"/>
    </w:rPr>
  </w:style>
  <w:style w:type="character" w:customStyle="1" w:styleId="75">
    <w:name w:val="正文文本缩进 3 Char"/>
    <w:link w:val="33"/>
    <w:autoRedefine/>
    <w:qFormat/>
    <w:uiPriority w:val="0"/>
    <w:rPr>
      <w:rFonts w:ascii="宋体"/>
      <w:sz w:val="24"/>
    </w:rPr>
  </w:style>
  <w:style w:type="character" w:customStyle="1" w:styleId="76">
    <w:name w:val="HTML 预设格式 Char"/>
    <w:link w:val="37"/>
    <w:qFormat/>
    <w:uiPriority w:val="0"/>
    <w:rPr>
      <w:rFonts w:ascii="宋体" w:hAnsi="宋体" w:cs="宋体"/>
      <w:sz w:val="24"/>
      <w:szCs w:val="24"/>
    </w:rPr>
  </w:style>
  <w:style w:type="character" w:customStyle="1" w:styleId="77">
    <w:name w:val="标题 Char1"/>
    <w:link w:val="40"/>
    <w:autoRedefine/>
    <w:qFormat/>
    <w:uiPriority w:val="0"/>
    <w:rPr>
      <w:b/>
      <w:kern w:val="2"/>
      <w:sz w:val="32"/>
    </w:rPr>
  </w:style>
  <w:style w:type="character" w:customStyle="1" w:styleId="78">
    <w:name w:val="批注主题 Char"/>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正文首行缩进 2 Char"/>
    <w:link w:val="42"/>
    <w:autoRedefine/>
    <w:qFormat/>
    <w:uiPriority w:val="0"/>
    <w:rPr>
      <w:rFonts w:eastAsia="宋体"/>
      <w:kern w:val="2"/>
      <w:sz w:val="24"/>
      <w:szCs w:val="24"/>
      <w:lang w:val="en-US" w:eastAsia="zh-CN" w:bidi="ar-SA"/>
    </w:rPr>
  </w:style>
  <w:style w:type="character" w:customStyle="1" w:styleId="80">
    <w:name w:val="批注文字 字符"/>
    <w:autoRedefine/>
    <w:qFormat/>
    <w:uiPriority w:val="99"/>
    <w:rPr>
      <w:rFonts w:ascii="Times New Roman" w:hAnsi="Times New Roman" w:eastAsia="宋体" w:cs="Times New Roman"/>
      <w:sz w:val="24"/>
      <w:lang w:val="en-US" w:eastAsia="zh-CN" w:bidi="ar-SA"/>
    </w:rPr>
  </w:style>
  <w:style w:type="character" w:customStyle="1" w:styleId="81">
    <w:name w:val="c21"/>
    <w:autoRedefine/>
    <w:qFormat/>
    <w:uiPriority w:val="0"/>
    <w:rPr>
      <w:rFonts w:hint="default" w:ascii="ˎ̥" w:hAnsi="ˎ̥"/>
      <w:color w:val="000000"/>
      <w:sz w:val="20"/>
      <w:szCs w:val="20"/>
      <w:u w:val="none"/>
    </w:rPr>
  </w:style>
  <w:style w:type="character" w:customStyle="1" w:styleId="82">
    <w:name w:val="title4"/>
    <w:autoRedefine/>
    <w:qFormat/>
    <w:uiPriority w:val="0"/>
    <w:rPr>
      <w:b/>
      <w:bCs/>
      <w:color w:val="1D87B3"/>
      <w:sz w:val="15"/>
      <w:szCs w:val="15"/>
    </w:rPr>
  </w:style>
  <w:style w:type="character" w:customStyle="1" w:styleId="83">
    <w:name w:val="标题 2 Char Char"/>
    <w:autoRedefine/>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autoRedefine/>
    <w:qFormat/>
    <w:uiPriority w:val="0"/>
  </w:style>
  <w:style w:type="character" w:customStyle="1" w:styleId="86">
    <w:name w:val="locality"/>
    <w:autoRedefine/>
    <w:qFormat/>
    <w:uiPriority w:val="0"/>
  </w:style>
  <w:style w:type="character" w:customStyle="1" w:styleId="87">
    <w:name w:val="正文文本缩进 Char1"/>
    <w:link w:val="88"/>
    <w:autoRedefine/>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autoRedefine/>
    <w:qFormat/>
    <w:uiPriority w:val="0"/>
    <w:rPr>
      <w:rFonts w:ascii="宋体" w:eastAsia="宋体"/>
      <w:b/>
      <w:sz w:val="24"/>
      <w:u w:val="single"/>
      <w:lang w:val="en-US" w:eastAsia="zh-CN" w:bidi="ar-SA"/>
    </w:rPr>
  </w:style>
  <w:style w:type="character" w:customStyle="1" w:styleId="90">
    <w:name w:val="txt"/>
    <w:autoRedefine/>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autoRedefine/>
    <w:qFormat/>
    <w:uiPriority w:val="0"/>
    <w:rPr>
      <w:rFonts w:hint="default" w:ascii="ˎ̥" w:hAnsi="ˎ̥"/>
      <w:color w:val="000000"/>
      <w:sz w:val="20"/>
      <w:szCs w:val="20"/>
      <w:u w:val="none"/>
    </w:rPr>
  </w:style>
  <w:style w:type="character" w:customStyle="1" w:styleId="95">
    <w:name w:val="列出段落 Char1"/>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autoRedefine/>
    <w:qFormat/>
    <w:uiPriority w:val="0"/>
    <w:rPr>
      <w:rFonts w:eastAsia="宋体"/>
      <w:b/>
      <w:bCs/>
      <w:kern w:val="2"/>
      <w:sz w:val="32"/>
      <w:szCs w:val="32"/>
      <w:lang w:val="en-US" w:eastAsia="zh-CN" w:bidi="ar-SA"/>
    </w:rPr>
  </w:style>
  <w:style w:type="character" w:customStyle="1" w:styleId="98">
    <w:name w:val="段1 Char"/>
    <w:autoRedefine/>
    <w:qFormat/>
    <w:uiPriority w:val="0"/>
    <w:rPr>
      <w:rFonts w:ascii="宋体" w:eastAsia="宋体"/>
      <w:sz w:val="24"/>
      <w:lang w:val="en-US" w:eastAsia="zh-CN" w:bidi="ar-SA"/>
    </w:rPr>
  </w:style>
  <w:style w:type="character" w:customStyle="1" w:styleId="99">
    <w:name w:val="chanpin拷贝"/>
    <w:autoRedefine/>
    <w:qFormat/>
    <w:uiPriority w:val="0"/>
  </w:style>
  <w:style w:type="character" w:customStyle="1" w:styleId="100">
    <w:name w:val="纯文本 Char1"/>
    <w:autoRedefine/>
    <w:qFormat/>
    <w:uiPriority w:val="0"/>
    <w:rPr>
      <w:rFonts w:ascii="宋体" w:hAnsi="Courier New" w:eastAsia="宋体"/>
      <w:kern w:val="2"/>
      <w:sz w:val="21"/>
      <w:lang w:val="en-US" w:eastAsia="zh-CN" w:bidi="ar-SA"/>
    </w:rPr>
  </w:style>
  <w:style w:type="character" w:customStyle="1" w:styleId="101">
    <w:name w:val="apple-style-span"/>
    <w:autoRedefine/>
    <w:qFormat/>
    <w:uiPriority w:val="0"/>
    <w:rPr>
      <w:rFonts w:cs="Times New Roman"/>
    </w:rPr>
  </w:style>
  <w:style w:type="paragraph" w:customStyle="1" w:styleId="102">
    <w:name w:val="二级条标题"/>
    <w:basedOn w:val="103"/>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autoRedefine/>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autoRedefine/>
    <w:qFormat/>
    <w:uiPriority w:val="0"/>
    <w:rPr>
      <w:rFonts w:ascii="Tahoma" w:hAnsi="Tahoma"/>
      <w:sz w:val="24"/>
      <w:szCs w:val="20"/>
    </w:rPr>
  </w:style>
  <w:style w:type="paragraph" w:customStyle="1" w:styleId="10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autoRedefine/>
    <w:qFormat/>
    <w:uiPriority w:val="0"/>
    <w:pPr>
      <w:numPr>
        <w:numId w:val="2"/>
      </w:numPr>
    </w:pPr>
  </w:style>
  <w:style w:type="paragraph" w:customStyle="1" w:styleId="110">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autoRedefine/>
    <w:qFormat/>
    <w:uiPriority w:val="0"/>
    <w:rPr>
      <w:rFonts w:ascii="Tahoma" w:hAnsi="Tahoma"/>
      <w:sz w:val="24"/>
      <w:szCs w:val="20"/>
    </w:rPr>
  </w:style>
  <w:style w:type="paragraph" w:customStyle="1" w:styleId="115">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autoRedefine/>
    <w:qFormat/>
    <w:uiPriority w:val="0"/>
    <w:pPr>
      <w:widowControl/>
      <w:spacing w:before="100" w:beforeAutospacing="1" w:after="100" w:afterAutospacing="1"/>
      <w:jc w:val="left"/>
    </w:pPr>
    <w:rPr>
      <w:kern w:val="0"/>
      <w:sz w:val="36"/>
      <w:szCs w:val="36"/>
    </w:rPr>
  </w:style>
  <w:style w:type="paragraph" w:customStyle="1" w:styleId="129">
    <w:name w:val="Char"/>
    <w:basedOn w:val="1"/>
    <w:autoRedefine/>
    <w:qFormat/>
    <w:uiPriority w:val="0"/>
    <w:pPr>
      <w:tabs>
        <w:tab w:val="left" w:pos="360"/>
      </w:tabs>
    </w:pPr>
    <w:rPr>
      <w:sz w:val="24"/>
    </w:rPr>
  </w:style>
  <w:style w:type="paragraph" w:customStyle="1" w:styleId="130">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4"/>
    <w:autoRedefine/>
    <w:qFormat/>
    <w:uiPriority w:val="0"/>
    <w:rPr>
      <w:rFonts w:ascii="Tahoma" w:hAnsi="Tahoma"/>
      <w:sz w:val="24"/>
    </w:rPr>
  </w:style>
  <w:style w:type="paragraph" w:customStyle="1" w:styleId="13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autoRedefine/>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autoRedefine/>
    <w:qFormat/>
    <w:uiPriority w:val="0"/>
    <w:pPr>
      <w:ind w:firstLine="420" w:firstLineChars="200"/>
    </w:pPr>
    <w:rPr>
      <w:rFonts w:ascii="Calibri" w:hAnsi="Calibri"/>
      <w:szCs w:val="22"/>
    </w:rPr>
  </w:style>
  <w:style w:type="paragraph" w:customStyle="1" w:styleId="144">
    <w:name w:val="项目符号1"/>
    <w:basedOn w:val="145"/>
    <w:autoRedefine/>
    <w:qFormat/>
    <w:uiPriority w:val="0"/>
    <w:pPr>
      <w:ind w:left="-25" w:firstLine="0"/>
    </w:pPr>
  </w:style>
  <w:style w:type="paragraph" w:customStyle="1" w:styleId="145">
    <w:name w:val="正文文本样式"/>
    <w:basedOn w:val="1"/>
    <w:autoRedefine/>
    <w:qFormat/>
    <w:uiPriority w:val="0"/>
    <w:pPr>
      <w:spacing w:line="360" w:lineRule="auto"/>
      <w:ind w:firstLine="482"/>
    </w:pPr>
    <w:rPr>
      <w:rFonts w:cs="宋体"/>
      <w:sz w:val="24"/>
      <w:szCs w:val="20"/>
    </w:rPr>
  </w:style>
  <w:style w:type="paragraph" w:customStyle="1" w:styleId="14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autoRedefine/>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autoRedefine/>
    <w:qFormat/>
    <w:uiPriority w:val="0"/>
    <w:pPr>
      <w:snapToGrid w:val="0"/>
      <w:spacing w:before="120" w:after="120" w:line="180" w:lineRule="auto"/>
    </w:pPr>
    <w:rPr>
      <w:rFonts w:ascii="Arial" w:hAnsi="Arial"/>
      <w:szCs w:val="20"/>
    </w:rPr>
  </w:style>
  <w:style w:type="paragraph" w:customStyle="1" w:styleId="15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autoRedefine/>
    <w:qFormat/>
    <w:uiPriority w:val="0"/>
    <w:rPr>
      <w:rFonts w:ascii="Tahoma" w:hAnsi="Tahoma"/>
      <w:sz w:val="24"/>
      <w:szCs w:val="20"/>
    </w:rPr>
  </w:style>
  <w:style w:type="paragraph" w:customStyle="1" w:styleId="15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autoRedefine/>
    <w:qFormat/>
    <w:uiPriority w:val="0"/>
    <w:pPr>
      <w:numPr>
        <w:ilvl w:val="0"/>
        <w:numId w:val="5"/>
      </w:numPr>
      <w:spacing w:before="120"/>
    </w:pPr>
    <w:rPr>
      <w:rFonts w:ascii="宋体"/>
      <w:sz w:val="28"/>
      <w:szCs w:val="20"/>
    </w:rPr>
  </w:style>
  <w:style w:type="paragraph" w:customStyle="1" w:styleId="156">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autoRedefine/>
    <w:qFormat/>
    <w:uiPriority w:val="0"/>
    <w:rPr>
      <w:rFonts w:ascii="Tahoma" w:hAnsi="Tahoma"/>
      <w:sz w:val="24"/>
      <w:szCs w:val="20"/>
    </w:rPr>
  </w:style>
  <w:style w:type="paragraph" w:customStyle="1" w:styleId="158">
    <w:name w:val="Char Char Char Char Char Char Char Char Char Char"/>
    <w:basedOn w:val="1"/>
    <w:autoRedefine/>
    <w:qFormat/>
    <w:uiPriority w:val="0"/>
  </w:style>
  <w:style w:type="paragraph" w:customStyle="1" w:styleId="15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autoRedefine/>
    <w:qFormat/>
    <w:uiPriority w:val="0"/>
    <w:pPr>
      <w:tabs>
        <w:tab w:val="left" w:pos="360"/>
      </w:tabs>
    </w:pPr>
    <w:rPr>
      <w:sz w:val="24"/>
    </w:rPr>
  </w:style>
  <w:style w:type="paragraph" w:customStyle="1" w:styleId="161">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autoRedefine/>
    <w:qFormat/>
    <w:uiPriority w:val="0"/>
    <w:rPr>
      <w:rFonts w:ascii="Arial" w:hAnsi="Arial" w:cs="Arial"/>
      <w:szCs w:val="21"/>
    </w:rPr>
  </w:style>
  <w:style w:type="paragraph" w:customStyle="1" w:styleId="16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autoRedefine/>
    <w:qFormat/>
    <w:uiPriority w:val="0"/>
    <w:rPr>
      <w:rFonts w:ascii="Tahoma" w:hAnsi="Tahoma"/>
      <w:sz w:val="24"/>
      <w:szCs w:val="20"/>
    </w:rPr>
  </w:style>
  <w:style w:type="paragraph" w:customStyle="1" w:styleId="16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autoRedefine/>
    <w:qFormat/>
    <w:uiPriority w:val="0"/>
    <w:pPr>
      <w:autoSpaceDE w:val="0"/>
      <w:autoSpaceDN w:val="0"/>
      <w:adjustRightInd w:val="0"/>
      <w:jc w:val="left"/>
    </w:pPr>
    <w:rPr>
      <w:kern w:val="0"/>
      <w:sz w:val="24"/>
    </w:rPr>
  </w:style>
  <w:style w:type="paragraph" w:customStyle="1" w:styleId="171">
    <w:name w:val="Char Char Char1"/>
    <w:basedOn w:val="1"/>
    <w:autoRedefine/>
    <w:qFormat/>
    <w:uiPriority w:val="0"/>
    <w:rPr>
      <w:rFonts w:ascii="Tahoma" w:hAnsi="Tahoma"/>
      <w:sz w:val="24"/>
      <w:szCs w:val="20"/>
    </w:rPr>
  </w:style>
  <w:style w:type="paragraph" w:customStyle="1" w:styleId="17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autoRedefine/>
    <w:qFormat/>
    <w:uiPriority w:val="0"/>
    <w:pPr>
      <w:spacing w:line="360" w:lineRule="auto"/>
      <w:jc w:val="center"/>
    </w:pPr>
    <w:rPr>
      <w:sz w:val="24"/>
    </w:rPr>
  </w:style>
  <w:style w:type="paragraph" w:customStyle="1" w:styleId="17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autoRedefine/>
    <w:qFormat/>
    <w:uiPriority w:val="0"/>
    <w:pPr>
      <w:widowControl/>
      <w:jc w:val="left"/>
    </w:pPr>
    <w:rPr>
      <w:rFonts w:ascii="楷体_GB2312" w:eastAsia="楷体_GB2312" w:cs="Arial"/>
      <w:kern w:val="0"/>
      <w:sz w:val="24"/>
    </w:rPr>
  </w:style>
  <w:style w:type="paragraph" w:customStyle="1" w:styleId="17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autoRedefine/>
    <w:qFormat/>
    <w:uiPriority w:val="0"/>
    <w:rPr>
      <w:rFonts w:ascii="Tahoma" w:hAnsi="Tahoma"/>
      <w:sz w:val="24"/>
      <w:szCs w:val="20"/>
    </w:rPr>
  </w:style>
  <w:style w:type="paragraph" w:customStyle="1" w:styleId="18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autoRedefine/>
    <w:qFormat/>
    <w:uiPriority w:val="0"/>
    <w:pPr>
      <w:ind w:firstLine="420" w:firstLineChars="200"/>
    </w:pPr>
    <w:rPr>
      <w:rFonts w:ascii="Calibri" w:hAnsi="Calibri"/>
      <w:szCs w:val="22"/>
    </w:rPr>
  </w:style>
  <w:style w:type="paragraph" w:customStyle="1" w:styleId="18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autoRedefine/>
    <w:qFormat/>
    <w:uiPriority w:val="0"/>
    <w:rPr>
      <w:rFonts w:ascii="Tahoma" w:hAnsi="Tahoma"/>
      <w:sz w:val="24"/>
      <w:szCs w:val="20"/>
    </w:rPr>
  </w:style>
  <w:style w:type="paragraph" w:customStyle="1" w:styleId="18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autoRedefine/>
    <w:qFormat/>
    <w:uiPriority w:val="0"/>
    <w:pPr>
      <w:numPr>
        <w:ilvl w:val="0"/>
        <w:numId w:val="6"/>
      </w:numPr>
    </w:pPr>
  </w:style>
  <w:style w:type="paragraph" w:customStyle="1" w:styleId="186">
    <w:name w:val="Char21"/>
    <w:basedOn w:val="1"/>
    <w:autoRedefine/>
    <w:qFormat/>
    <w:uiPriority w:val="0"/>
    <w:rPr>
      <w:rFonts w:ascii="Tahoma" w:hAnsi="Tahoma"/>
      <w:sz w:val="24"/>
      <w:szCs w:val="20"/>
    </w:rPr>
  </w:style>
  <w:style w:type="paragraph" w:customStyle="1" w:styleId="187">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autoRedefine/>
    <w:qFormat/>
    <w:uiPriority w:val="0"/>
    <w:rPr>
      <w:rFonts w:ascii="宋体" w:hAnsi="宋体" w:cs="Courier New"/>
      <w:sz w:val="32"/>
      <w:szCs w:val="32"/>
    </w:rPr>
  </w:style>
  <w:style w:type="paragraph" w:customStyle="1" w:styleId="189">
    <w:name w:val="正文文本样式 加粗"/>
    <w:basedOn w:val="145"/>
    <w:autoRedefine/>
    <w:qFormat/>
    <w:uiPriority w:val="0"/>
    <w:rPr>
      <w:b/>
    </w:rPr>
  </w:style>
  <w:style w:type="paragraph" w:customStyle="1" w:styleId="190">
    <w:name w:val="Char2 Char Char Char Char Char Char"/>
    <w:basedOn w:val="1"/>
    <w:autoRedefine/>
    <w:qFormat/>
    <w:uiPriority w:val="0"/>
    <w:pPr>
      <w:widowControl/>
      <w:spacing w:line="400" w:lineRule="exact"/>
      <w:jc w:val="center"/>
    </w:pPr>
  </w:style>
  <w:style w:type="paragraph" w:customStyle="1" w:styleId="191">
    <w:name w:val="Char Char4"/>
    <w:basedOn w:val="1"/>
    <w:autoRedefine/>
    <w:qFormat/>
    <w:uiPriority w:val="0"/>
    <w:pPr>
      <w:widowControl/>
      <w:spacing w:line="400" w:lineRule="exact"/>
      <w:jc w:val="center"/>
    </w:pPr>
  </w:style>
  <w:style w:type="paragraph" w:customStyle="1" w:styleId="192">
    <w:name w:val="Char3 Char Char Char1"/>
    <w:basedOn w:val="1"/>
    <w:autoRedefine/>
    <w:qFormat/>
    <w:uiPriority w:val="0"/>
    <w:rPr>
      <w:rFonts w:ascii="Tahoma" w:hAnsi="Tahoma"/>
      <w:sz w:val="24"/>
      <w:szCs w:val="20"/>
    </w:rPr>
  </w:style>
  <w:style w:type="paragraph" w:styleId="193">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autoRedefine/>
    <w:qFormat/>
    <w:uiPriority w:val="0"/>
    <w:rPr>
      <w:kern w:val="2"/>
      <w:sz w:val="21"/>
      <w:szCs w:val="24"/>
      <w:lang w:val="zh-CN" w:eastAsia="zh-CN"/>
    </w:rPr>
  </w:style>
  <w:style w:type="paragraph" w:customStyle="1" w:styleId="196">
    <w:name w:val="1"/>
    <w:link w:val="195"/>
    <w:autoRedefine/>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autoRedefine/>
    <w:qFormat/>
    <w:uiPriority w:val="0"/>
    <w:pPr>
      <w:adjustRightInd w:val="0"/>
      <w:snapToGrid w:val="0"/>
      <w:spacing w:after="50" w:line="360" w:lineRule="auto"/>
    </w:pPr>
    <w:rPr>
      <w:sz w:val="24"/>
    </w:rPr>
  </w:style>
  <w:style w:type="paragraph" w:customStyle="1" w:styleId="198">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autoRedefine/>
    <w:qFormat/>
    <w:uiPriority w:val="0"/>
    <w:pPr>
      <w:adjustRightInd w:val="0"/>
      <w:snapToGrid w:val="0"/>
      <w:jc w:val="left"/>
    </w:pPr>
    <w:rPr>
      <w:rFonts w:ascii="宋体" w:hAnsi="宋体"/>
      <w:color w:val="000000"/>
      <w:szCs w:val="21"/>
    </w:rPr>
  </w:style>
  <w:style w:type="character" w:customStyle="1" w:styleId="200">
    <w:name w:val="正文表格 Char"/>
    <w:link w:val="199"/>
    <w:autoRedefine/>
    <w:qFormat/>
    <w:uiPriority w:val="0"/>
    <w:rPr>
      <w:rFonts w:ascii="宋体" w:hAnsi="宋体"/>
      <w:color w:val="000000"/>
      <w:kern w:val="2"/>
      <w:sz w:val="21"/>
      <w:szCs w:val="21"/>
    </w:rPr>
  </w:style>
  <w:style w:type="paragraph" w:customStyle="1" w:styleId="201">
    <w:name w:val="正文重点"/>
    <w:basedOn w:val="1"/>
    <w:link w:val="202"/>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autoRedefine/>
    <w:qFormat/>
    <w:uiPriority w:val="0"/>
    <w:rPr>
      <w:b/>
      <w:sz w:val="24"/>
    </w:rPr>
  </w:style>
  <w:style w:type="paragraph" w:customStyle="1" w:styleId="203">
    <w:name w:val="标题1-附件"/>
    <w:basedOn w:val="2"/>
    <w:autoRedefine/>
    <w:qFormat/>
    <w:uiPriority w:val="0"/>
    <w:pPr>
      <w:jc w:val="left"/>
    </w:pPr>
    <w:rPr>
      <w:sz w:val="24"/>
      <w:szCs w:val="24"/>
    </w:rPr>
  </w:style>
  <w:style w:type="paragraph" w:customStyle="1" w:styleId="204">
    <w:name w:val="正文小标题"/>
    <w:basedOn w:val="1"/>
    <w:next w:val="4"/>
    <w:link w:val="205"/>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autoRedefine/>
    <w:qFormat/>
    <w:uiPriority w:val="0"/>
    <w:rPr>
      <w:rFonts w:ascii="宋体" w:hAnsi="宋体"/>
      <w:b/>
      <w:i/>
      <w:color w:val="FF0000"/>
      <w:kern w:val="2"/>
      <w:sz w:val="24"/>
    </w:rPr>
  </w:style>
  <w:style w:type="paragraph" w:customStyle="1" w:styleId="206">
    <w:name w:val="正文大标题"/>
    <w:basedOn w:val="204"/>
    <w:next w:val="4"/>
    <w:link w:val="207"/>
    <w:autoRedefine/>
    <w:qFormat/>
    <w:uiPriority w:val="0"/>
    <w:pPr>
      <w:jc w:val="center"/>
    </w:pPr>
    <w:rPr>
      <w:i w:val="0"/>
      <w:color w:val="000000"/>
      <w:sz w:val="28"/>
      <w:szCs w:val="21"/>
    </w:rPr>
  </w:style>
  <w:style w:type="character" w:customStyle="1" w:styleId="207">
    <w:name w:val="正文大标题 Char"/>
    <w:link w:val="206"/>
    <w:autoRedefine/>
    <w:qFormat/>
    <w:uiPriority w:val="0"/>
    <w:rPr>
      <w:rFonts w:ascii="宋体" w:hAnsi="宋体"/>
      <w:b/>
      <w:color w:val="000000"/>
      <w:kern w:val="2"/>
      <w:sz w:val="28"/>
      <w:szCs w:val="21"/>
    </w:rPr>
  </w:style>
  <w:style w:type="paragraph" w:customStyle="1" w:styleId="208">
    <w:name w:val="注释"/>
    <w:basedOn w:val="1"/>
    <w:link w:val="209"/>
    <w:autoRedefine/>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autoRedefine/>
    <w:qFormat/>
    <w:uiPriority w:val="0"/>
    <w:rPr>
      <w:rFonts w:ascii="宋体" w:hAnsi="宋体"/>
      <w:kern w:val="2"/>
      <w:sz w:val="21"/>
      <w:szCs w:val="21"/>
    </w:rPr>
  </w:style>
  <w:style w:type="paragraph" w:customStyle="1" w:styleId="210">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14">
    <w:name w:val="表格1"/>
    <w:basedOn w:val="1"/>
    <w:autoRedefine/>
    <w:qFormat/>
    <w:uiPriority w:val="0"/>
    <w:pPr>
      <w:ind w:firstLine="480" w:firstLineChars="200"/>
      <w:jc w:val="center"/>
    </w:pPr>
    <w:rPr>
      <w:sz w:val="24"/>
      <w:szCs w:val="20"/>
    </w:rPr>
  </w:style>
  <w:style w:type="character" w:customStyle="1" w:styleId="215">
    <w:name w:val="纯文本 字符1"/>
    <w:autoRedefine/>
    <w:qFormat/>
    <w:uiPriority w:val="0"/>
    <w:rPr>
      <w:rFonts w:ascii="宋体" w:hAnsi="Courier New"/>
    </w:rPr>
  </w:style>
  <w:style w:type="character" w:customStyle="1" w:styleId="216">
    <w:name w:val="bjh-p"/>
    <w:autoRedefine/>
    <w:qFormat/>
    <w:uiPriority w:val="0"/>
  </w:style>
  <w:style w:type="paragraph" w:customStyle="1" w:styleId="217">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autoRedefine/>
    <w:qFormat/>
    <w:locked/>
    <w:uiPriority w:val="0"/>
    <w:rPr>
      <w:rFonts w:ascii="宋体" w:hAnsi="宋体"/>
      <w:sz w:val="24"/>
      <w:szCs w:val="24"/>
      <w:lang w:val="en-GB"/>
    </w:rPr>
  </w:style>
  <w:style w:type="paragraph" w:customStyle="1" w:styleId="219">
    <w:name w:val="正文格式"/>
    <w:basedOn w:val="1"/>
    <w:link w:val="218"/>
    <w:autoRedefine/>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autoRedefine/>
    <w:qFormat/>
    <w:uiPriority w:val="0"/>
    <w:rPr>
      <w:rFonts w:ascii="宋体" w:eastAsia="宋体"/>
      <w:b/>
      <w:sz w:val="24"/>
      <w:u w:val="single"/>
      <w:lang w:val="en-US" w:eastAsia="zh-CN" w:bidi="ar-SA"/>
    </w:rPr>
  </w:style>
  <w:style w:type="character" w:customStyle="1" w:styleId="221">
    <w:name w:val="正文缩进 Char"/>
    <w:autoRedefine/>
    <w:qFormat/>
    <w:uiPriority w:val="0"/>
    <w:rPr>
      <w:rFonts w:ascii="宋体" w:eastAsia="宋体"/>
      <w:kern w:val="2"/>
      <w:sz w:val="24"/>
      <w:szCs w:val="24"/>
      <w:lang w:val="en-US" w:eastAsia="zh-CN" w:bidi="ar-SA"/>
    </w:rPr>
  </w:style>
  <w:style w:type="character" w:customStyle="1" w:styleId="222">
    <w:name w:val="Char Char111"/>
    <w:autoRedefine/>
    <w:qFormat/>
    <w:uiPriority w:val="0"/>
    <w:rPr>
      <w:rFonts w:ascii="宋体" w:eastAsia="宋体"/>
      <w:b/>
      <w:sz w:val="24"/>
      <w:u w:val="single"/>
      <w:lang w:val="en-US" w:eastAsia="zh-CN" w:bidi="ar-SA"/>
    </w:rPr>
  </w:style>
  <w:style w:type="character" w:customStyle="1" w:styleId="223">
    <w:name w:val="正文文本缩进 Char"/>
    <w:autoRedefine/>
    <w:qFormat/>
    <w:uiPriority w:val="0"/>
    <w:rPr>
      <w:rFonts w:eastAsia="宋体"/>
      <w:kern w:val="2"/>
      <w:sz w:val="24"/>
      <w:szCs w:val="24"/>
      <w:lang w:val="en-US" w:eastAsia="zh-CN" w:bidi="ar-SA"/>
    </w:rPr>
  </w:style>
  <w:style w:type="character" w:customStyle="1" w:styleId="224">
    <w:name w:val="列出段落 Char"/>
    <w:autoRedefine/>
    <w:qFormat/>
    <w:uiPriority w:val="0"/>
    <w:rPr>
      <w:rFonts w:ascii="Calibri" w:hAnsi="Calibri" w:eastAsia="宋体"/>
      <w:kern w:val="2"/>
      <w:sz w:val="21"/>
      <w:szCs w:val="22"/>
      <w:lang w:val="en-US" w:eastAsia="zh-CN" w:bidi="ar-SA"/>
    </w:rPr>
  </w:style>
  <w:style w:type="character" w:customStyle="1" w:styleId="225">
    <w:name w:val="页眉 Char"/>
    <w:autoRedefine/>
    <w:qFormat/>
    <w:uiPriority w:val="0"/>
    <w:rPr>
      <w:rFonts w:eastAsia="宋体"/>
      <w:kern w:val="2"/>
      <w:sz w:val="18"/>
      <w:szCs w:val="18"/>
      <w:lang w:val="en-US" w:eastAsia="zh-CN" w:bidi="ar-SA"/>
    </w:rPr>
  </w:style>
  <w:style w:type="character" w:customStyle="1" w:styleId="226">
    <w:name w:val="标题 2 Char"/>
    <w:autoRedefine/>
    <w:qFormat/>
    <w:uiPriority w:val="0"/>
    <w:rPr>
      <w:rFonts w:ascii="Arial" w:hAnsi="Arial" w:eastAsia="黑体"/>
      <w:b/>
      <w:sz w:val="30"/>
      <w:lang w:val="en-US" w:eastAsia="zh-CN" w:bidi="ar-SA"/>
    </w:rPr>
  </w:style>
  <w:style w:type="paragraph" w:customStyle="1" w:styleId="227">
    <w:name w:val="字元 字元2"/>
    <w:basedOn w:val="1"/>
    <w:autoRedefine/>
    <w:qFormat/>
    <w:uiPriority w:val="0"/>
    <w:rPr>
      <w:rFonts w:ascii="Tahoma" w:hAnsi="Tahoma"/>
      <w:sz w:val="24"/>
      <w:szCs w:val="20"/>
    </w:rPr>
  </w:style>
  <w:style w:type="paragraph" w:customStyle="1" w:styleId="228">
    <w:name w:val="Char3 Char Char Char2"/>
    <w:basedOn w:val="1"/>
    <w:autoRedefine/>
    <w:qFormat/>
    <w:uiPriority w:val="0"/>
    <w:rPr>
      <w:rFonts w:ascii="Tahoma" w:hAnsi="Tahoma"/>
      <w:sz w:val="24"/>
      <w:szCs w:val="20"/>
    </w:rPr>
  </w:style>
  <w:style w:type="paragraph" w:customStyle="1" w:styleId="229">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230">
    <w:name w:val="Char3"/>
    <w:basedOn w:val="1"/>
    <w:autoRedefine/>
    <w:qFormat/>
    <w:uiPriority w:val="0"/>
    <w:pPr>
      <w:tabs>
        <w:tab w:val="left" w:pos="360"/>
      </w:tabs>
    </w:pPr>
    <w:rPr>
      <w:sz w:val="24"/>
    </w:rPr>
  </w:style>
  <w:style w:type="paragraph" w:customStyle="1" w:styleId="231">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autoRedefine/>
    <w:qFormat/>
    <w:uiPriority w:val="0"/>
    <w:pPr>
      <w:ind w:firstLine="420" w:firstLineChars="200"/>
    </w:pPr>
    <w:rPr>
      <w:rFonts w:ascii="Calibri" w:hAnsi="Calibri"/>
      <w:szCs w:val="22"/>
    </w:rPr>
  </w:style>
  <w:style w:type="paragraph" w:customStyle="1" w:styleId="234">
    <w:name w:val="Char Char Char1 Char2"/>
    <w:basedOn w:val="1"/>
    <w:autoRedefine/>
    <w:qFormat/>
    <w:uiPriority w:val="0"/>
    <w:rPr>
      <w:rFonts w:ascii="Tahoma" w:hAnsi="Tahoma"/>
      <w:sz w:val="24"/>
      <w:szCs w:val="20"/>
    </w:rPr>
  </w:style>
  <w:style w:type="paragraph" w:customStyle="1" w:styleId="235">
    <w:name w:val="Char Char Char2"/>
    <w:basedOn w:val="1"/>
    <w:autoRedefine/>
    <w:qFormat/>
    <w:uiPriority w:val="0"/>
    <w:rPr>
      <w:rFonts w:ascii="Tahoma" w:hAnsi="Tahoma"/>
      <w:sz w:val="24"/>
      <w:szCs w:val="20"/>
    </w:rPr>
  </w:style>
  <w:style w:type="paragraph" w:customStyle="1" w:styleId="236">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37">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38">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autoRedefine/>
    <w:qFormat/>
    <w:uiPriority w:val="0"/>
    <w:rPr>
      <w:rFonts w:ascii="Tahoma" w:hAnsi="Tahoma"/>
      <w:sz w:val="24"/>
      <w:szCs w:val="20"/>
    </w:rPr>
  </w:style>
  <w:style w:type="paragraph" w:customStyle="1" w:styleId="240">
    <w:name w:val="Char Char Char Char Char Char Char Char Char Char2"/>
    <w:basedOn w:val="1"/>
    <w:autoRedefine/>
    <w:qFormat/>
    <w:uiPriority w:val="0"/>
    <w:rPr>
      <w:rFonts w:ascii="宋体" w:hAnsi="宋体" w:cs="Courier New"/>
      <w:sz w:val="32"/>
      <w:szCs w:val="32"/>
    </w:rPr>
  </w:style>
  <w:style w:type="paragraph" w:customStyle="1" w:styleId="241">
    <w:name w:val="Char2 Char Char Char Char Char Char1"/>
    <w:basedOn w:val="1"/>
    <w:autoRedefine/>
    <w:qFormat/>
    <w:uiPriority w:val="0"/>
    <w:pPr>
      <w:widowControl/>
      <w:spacing w:line="400" w:lineRule="exact"/>
      <w:jc w:val="center"/>
    </w:pPr>
  </w:style>
  <w:style w:type="character" w:customStyle="1" w:styleId="242">
    <w:name w:val="页脚 Char"/>
    <w:autoRedefine/>
    <w:qFormat/>
    <w:uiPriority w:val="0"/>
    <w:rPr>
      <w:rFonts w:ascii="宋体" w:eastAsia="宋体"/>
      <w:sz w:val="18"/>
      <w:lang w:val="en-US" w:eastAsia="zh-CN" w:bidi="ar-SA"/>
    </w:rPr>
  </w:style>
  <w:style w:type="paragraph" w:customStyle="1" w:styleId="243">
    <w:name w:val="Char Char41"/>
    <w:basedOn w:val="1"/>
    <w:autoRedefine/>
    <w:qFormat/>
    <w:uiPriority w:val="0"/>
    <w:pPr>
      <w:widowControl/>
      <w:spacing w:line="400" w:lineRule="exact"/>
      <w:jc w:val="center"/>
    </w:pPr>
  </w:style>
  <w:style w:type="character" w:customStyle="1" w:styleId="244">
    <w:name w:val="批注文字 Char"/>
    <w:autoRedefine/>
    <w:qFormat/>
    <w:uiPriority w:val="99"/>
    <w:rPr>
      <w:kern w:val="2"/>
      <w:sz w:val="21"/>
      <w:szCs w:val="24"/>
    </w:rPr>
  </w:style>
  <w:style w:type="character" w:customStyle="1" w:styleId="245">
    <w:name w:val="标题 Char"/>
    <w:autoRedefine/>
    <w:qFormat/>
    <w:uiPriority w:val="0"/>
    <w:rPr>
      <w:b/>
      <w:kern w:val="2"/>
      <w:sz w:val="32"/>
    </w:rPr>
  </w:style>
  <w:style w:type="paragraph" w:customStyle="1" w:styleId="246">
    <w:name w:val="图例"/>
    <w:basedOn w:val="1"/>
    <w:autoRedefine/>
    <w:qFormat/>
    <w:uiPriority w:val="0"/>
    <w:pPr>
      <w:spacing w:before="120" w:after="120" w:line="360" w:lineRule="auto"/>
      <w:jc w:val="center"/>
    </w:pPr>
    <w:rPr>
      <w:rFonts w:eastAsia="仿宋_GB2312"/>
      <w:b/>
      <w:sz w:val="24"/>
      <w:szCs w:val="20"/>
    </w:rPr>
  </w:style>
  <w:style w:type="table" w:customStyle="1" w:styleId="247">
    <w:name w:val="Table Normal"/>
    <w:autoRedefine/>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48">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49">
    <w:name w:val="_Style 248"/>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4.png"/><Relationship Id="rId26" Type="http://schemas.openxmlformats.org/officeDocument/2006/relationships/image" Target="media/image3.pn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48</Pages>
  <Words>2930</Words>
  <Characters>16704</Characters>
  <Lines>139</Lines>
  <Paragraphs>39</Paragraphs>
  <TotalTime>0</TotalTime>
  <ScaleCrop>false</ScaleCrop>
  <LinksUpToDate>false</LinksUpToDate>
  <CharactersWithSpaces>19595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2022-03-30T02:53:00Z</dcterms:created>
  <dc:creator>Yin Hao</dc:creator>
  <cp:lastModifiedBy>微信用户</cp:lastModifiedBy>
  <cp:lastPrinted>2020-04-03T19:13:00Z</cp:lastPrinted>
  <dcterms:modified xsi:type="dcterms:W3CDTF">2025-06-09T10:03:52Z</dcterms:modified>
  <dc:title>02年杜范本稿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4988C4CBF9D04A19865E029AA3FD3C8E_13</vt:lpwstr>
  </property>
</Properties>
</file>