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47"/>
        <w:tblpPr w:leftFromText="180" w:rightFromText="180" w:vertAnchor="page" w:horzAnchor="page" w:tblpX="1730" w:tblpY="1730"/>
        <w:tblOverlap w:val="never"/>
        <w:tblW w:w="0" w:type="auto"/>
        <w:tblInd w:w="0" w:type="dxa"/>
        <w:tblLayout w:type="fixed"/>
        <w:tblCellMar>
          <w:top w:w="0" w:type="dxa"/>
          <w:left w:w="108" w:type="dxa"/>
          <w:bottom w:w="0" w:type="dxa"/>
          <w:right w:w="108" w:type="dxa"/>
        </w:tblCellMar>
      </w:tblPr>
      <w:tblGrid>
        <w:gridCol w:w="900"/>
        <w:gridCol w:w="4479"/>
      </w:tblGrid>
      <w:tr w14:paraId="19D877BD">
        <w:tblPrEx>
          <w:tblCellMar>
            <w:top w:w="0" w:type="dxa"/>
            <w:left w:w="108" w:type="dxa"/>
            <w:bottom w:w="0" w:type="dxa"/>
            <w:right w:w="108" w:type="dxa"/>
          </w:tblCellMar>
        </w:tblPrEx>
        <w:trPr>
          <w:trHeight w:val="282" w:hRule="atLeast"/>
        </w:trPr>
        <w:tc>
          <w:tcPr>
            <w:tcW w:w="900" w:type="dxa"/>
            <w:vMerge w:val="restart"/>
          </w:tcPr>
          <w:p w14:paraId="3BC20AA2">
            <w:pPr>
              <w:snapToGrid w:val="0"/>
              <w:jc w:val="center"/>
              <w:rPr>
                <w:rFonts w:hint="eastAsia" w:ascii="宋体" w:hAnsi="宋体" w:cs="宋体"/>
                <w:b/>
                <w:color w:val="auto"/>
                <w:sz w:val="24"/>
                <w:highlight w:val="none"/>
              </w:rPr>
            </w:pPr>
            <w:bookmarkStart w:id="1111" w:name="_GoBack"/>
            <w:r>
              <w:rPr>
                <w:rFonts w:hint="eastAsia" w:ascii="宋体" w:hAnsi="宋体" w:cs="宋体"/>
                <w:color w:val="auto"/>
                <w:highlight w:val="none"/>
              </w:rPr>
              <w:drawing>
                <wp:inline distT="0" distB="0" distL="0" distR="0">
                  <wp:extent cx="342900" cy="355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342900" cy="355600"/>
                          </a:xfrm>
                          <a:prstGeom prst="rect">
                            <a:avLst/>
                          </a:prstGeom>
                          <a:noFill/>
                          <a:ln>
                            <a:noFill/>
                          </a:ln>
                        </pic:spPr>
                      </pic:pic>
                    </a:graphicData>
                  </a:graphic>
                </wp:inline>
              </w:drawing>
            </w:r>
          </w:p>
        </w:tc>
        <w:tc>
          <w:tcPr>
            <w:tcW w:w="4479" w:type="dxa"/>
            <w:vAlign w:val="center"/>
          </w:tcPr>
          <w:p w14:paraId="1E1EACD0">
            <w:pPr>
              <w:snapToGrid w:val="0"/>
              <w:jc w:val="center"/>
              <w:rPr>
                <w:rFonts w:hint="eastAsia" w:ascii="宋体" w:hAnsi="宋体" w:cs="宋体"/>
                <w:b/>
                <w:color w:val="auto"/>
                <w:spacing w:val="40"/>
                <w:sz w:val="24"/>
                <w:highlight w:val="none"/>
              </w:rPr>
            </w:pPr>
            <w:r>
              <w:rPr>
                <w:rFonts w:hint="eastAsia" w:ascii="宋体" w:hAnsi="宋体" w:cs="宋体"/>
                <w:b/>
                <w:color w:val="auto"/>
                <w:spacing w:val="40"/>
                <w:sz w:val="24"/>
                <w:highlight w:val="none"/>
              </w:rPr>
              <w:t>中信国际招标有限公司</w:t>
            </w:r>
          </w:p>
        </w:tc>
      </w:tr>
      <w:tr w14:paraId="4EF0D074">
        <w:tblPrEx>
          <w:tblCellMar>
            <w:top w:w="0" w:type="dxa"/>
            <w:left w:w="108" w:type="dxa"/>
            <w:bottom w:w="0" w:type="dxa"/>
            <w:right w:w="108" w:type="dxa"/>
          </w:tblCellMar>
        </w:tblPrEx>
        <w:trPr>
          <w:trHeight w:val="385" w:hRule="atLeast"/>
        </w:trPr>
        <w:tc>
          <w:tcPr>
            <w:tcW w:w="900" w:type="dxa"/>
            <w:vMerge w:val="continue"/>
          </w:tcPr>
          <w:p w14:paraId="20764EC6">
            <w:pPr>
              <w:snapToGrid w:val="0"/>
              <w:jc w:val="center"/>
              <w:rPr>
                <w:rFonts w:hint="eastAsia" w:ascii="宋体" w:hAnsi="宋体" w:cs="宋体"/>
                <w:b/>
                <w:color w:val="auto"/>
                <w:sz w:val="24"/>
                <w:highlight w:val="none"/>
              </w:rPr>
            </w:pPr>
          </w:p>
        </w:tc>
        <w:tc>
          <w:tcPr>
            <w:tcW w:w="4479" w:type="dxa"/>
          </w:tcPr>
          <w:p w14:paraId="75B8D5D9">
            <w:pPr>
              <w:snapToGrid w:val="0"/>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CITIC INTERNATIONAL TENDERING CO., LTD.</w:t>
            </w:r>
          </w:p>
        </w:tc>
      </w:tr>
    </w:tbl>
    <w:p w14:paraId="0779DE44">
      <w:pPr>
        <w:spacing w:line="360" w:lineRule="auto"/>
        <w:jc w:val="center"/>
        <w:rPr>
          <w:rFonts w:hint="eastAsia" w:ascii="宋体" w:hAnsi="宋体" w:cs="宋体"/>
          <w:b/>
          <w:color w:val="auto"/>
          <w:sz w:val="60"/>
          <w:szCs w:val="60"/>
          <w:highlight w:val="none"/>
        </w:rPr>
      </w:pPr>
    </w:p>
    <w:p w14:paraId="69508E4C">
      <w:pPr>
        <w:spacing w:line="360" w:lineRule="auto"/>
        <w:jc w:val="center"/>
        <w:rPr>
          <w:rFonts w:hint="eastAsia" w:ascii="宋体" w:hAnsi="宋体" w:cs="宋体"/>
          <w:b/>
          <w:color w:val="auto"/>
          <w:sz w:val="60"/>
          <w:szCs w:val="60"/>
          <w:highlight w:val="none"/>
        </w:rPr>
      </w:pPr>
    </w:p>
    <w:p w14:paraId="526FF145">
      <w:pPr>
        <w:jc w:val="center"/>
        <w:rPr>
          <w:rFonts w:hint="eastAsia" w:ascii="宋体" w:hAnsi="宋体" w:cs="宋体"/>
          <w:b/>
          <w:bCs/>
          <w:color w:val="auto"/>
          <w:sz w:val="60"/>
          <w:szCs w:val="60"/>
          <w:highlight w:val="none"/>
        </w:rPr>
      </w:pPr>
      <w:r>
        <w:rPr>
          <w:rFonts w:hint="eastAsia" w:ascii="宋体" w:hAnsi="宋体" w:cs="宋体"/>
          <w:b/>
          <w:color w:val="auto"/>
          <w:sz w:val="112"/>
          <w:szCs w:val="112"/>
          <w:highlight w:val="none"/>
        </w:rPr>
        <w:t>招 标 文 件</w:t>
      </w:r>
    </w:p>
    <w:p w14:paraId="2B87C0FB">
      <w:pPr>
        <w:jc w:val="center"/>
        <w:rPr>
          <w:rFonts w:hint="eastAsia" w:ascii="宋体" w:hAnsi="宋体" w:cs="宋体"/>
          <w:b/>
          <w:bCs/>
          <w:color w:val="auto"/>
          <w:sz w:val="60"/>
          <w:szCs w:val="60"/>
          <w:highlight w:val="none"/>
        </w:rPr>
      </w:pPr>
    </w:p>
    <w:p w14:paraId="120319A7">
      <w:pPr>
        <w:spacing w:line="360" w:lineRule="auto"/>
        <w:jc w:val="center"/>
        <w:rPr>
          <w:rFonts w:hint="eastAsia" w:ascii="宋体" w:hAnsi="宋体" w:cs="宋体"/>
          <w:color w:val="auto"/>
          <w:sz w:val="72"/>
          <w:szCs w:val="72"/>
          <w:highlight w:val="none"/>
        </w:rPr>
      </w:pPr>
    </w:p>
    <w:p w14:paraId="1BFBE58D">
      <w:pPr>
        <w:keepNext w:val="0"/>
        <w:keepLines w:val="0"/>
        <w:pageBreakBefore w:val="0"/>
        <w:widowControl w:val="0"/>
        <w:kinsoku/>
        <w:wordWrap/>
        <w:overflowPunct/>
        <w:topLinePunct w:val="0"/>
        <w:autoSpaceDE/>
        <w:autoSpaceDN/>
        <w:bidi w:val="0"/>
        <w:adjustRightInd/>
        <w:snapToGrid/>
        <w:spacing w:after="0" w:line="360" w:lineRule="auto"/>
        <w:ind w:left="3076" w:leftChars="700" w:hanging="1606" w:hangingChars="500"/>
        <w:textAlignment w:val="auto"/>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项目名称：</w:t>
      </w:r>
      <w:r>
        <w:rPr>
          <w:rFonts w:hint="eastAsia" w:ascii="宋体" w:hAnsi="宋体" w:cs="宋体"/>
          <w:b/>
          <w:color w:val="auto"/>
          <w:sz w:val="32"/>
          <w:szCs w:val="32"/>
          <w:highlight w:val="none"/>
          <w:lang w:eastAsia="zh-CN"/>
        </w:rPr>
        <w:t>房山区域应急救援中心建设工程项目建设管理服务</w:t>
      </w:r>
    </w:p>
    <w:p w14:paraId="29A20972">
      <w:pPr>
        <w:keepNext w:val="0"/>
        <w:keepLines w:val="0"/>
        <w:pageBreakBefore w:val="0"/>
        <w:widowControl w:val="0"/>
        <w:kinsoku/>
        <w:wordWrap/>
        <w:overflowPunct/>
        <w:topLinePunct w:val="0"/>
        <w:autoSpaceDE/>
        <w:autoSpaceDN/>
        <w:bidi w:val="0"/>
        <w:adjustRightInd/>
        <w:snapToGrid/>
        <w:spacing w:after="0" w:line="360" w:lineRule="auto"/>
        <w:ind w:left="1470" w:leftChars="700"/>
        <w:jc w:val="left"/>
        <w:textAlignment w:val="auto"/>
        <w:rPr>
          <w:rFonts w:hint="default" w:ascii="宋体" w:hAnsi="宋体" w:eastAsia="宋体" w:cs="宋体"/>
          <w:b/>
          <w:snapToGrid w:val="0"/>
          <w:color w:val="auto"/>
          <w:kern w:val="0"/>
          <w:sz w:val="32"/>
          <w:szCs w:val="32"/>
          <w:highlight w:val="none"/>
          <w:lang w:val="en-US" w:eastAsia="zh-CN"/>
        </w:rPr>
      </w:pPr>
      <w:r>
        <w:rPr>
          <w:rFonts w:hint="eastAsia" w:ascii="宋体" w:hAnsi="宋体" w:cs="宋体"/>
          <w:b/>
          <w:snapToGrid w:val="0"/>
          <w:color w:val="auto"/>
          <w:kern w:val="0"/>
          <w:sz w:val="32"/>
          <w:szCs w:val="32"/>
          <w:highlight w:val="none"/>
        </w:rPr>
        <w:t>项目编号</w:t>
      </w:r>
      <w:r>
        <w:rPr>
          <w:rFonts w:hint="eastAsia" w:ascii="宋体" w:hAnsi="宋体" w:cs="宋体"/>
          <w:b/>
          <w:snapToGrid w:val="0"/>
          <w:color w:val="auto"/>
          <w:kern w:val="0"/>
          <w:sz w:val="32"/>
          <w:szCs w:val="32"/>
          <w:highlight w:val="none"/>
          <w:lang w:val="en-US" w:eastAsia="zh-CN"/>
        </w:rPr>
        <w:t>/包号</w:t>
      </w:r>
      <w:r>
        <w:rPr>
          <w:rFonts w:hint="eastAsia" w:ascii="宋体" w:hAnsi="宋体" w:cs="宋体"/>
          <w:b/>
          <w:snapToGrid w:val="0"/>
          <w:color w:val="auto"/>
          <w:kern w:val="0"/>
          <w:sz w:val="32"/>
          <w:szCs w:val="32"/>
          <w:highlight w:val="none"/>
        </w:rPr>
        <w:t>：0733-25181837</w:t>
      </w:r>
      <w:r>
        <w:rPr>
          <w:rFonts w:hint="eastAsia" w:ascii="宋体" w:hAnsi="宋体" w:cs="宋体"/>
          <w:b/>
          <w:snapToGrid w:val="0"/>
          <w:color w:val="auto"/>
          <w:kern w:val="0"/>
          <w:sz w:val="32"/>
          <w:szCs w:val="32"/>
          <w:highlight w:val="none"/>
          <w:lang w:val="en-US" w:eastAsia="zh-CN"/>
        </w:rPr>
        <w:t>/01</w:t>
      </w:r>
    </w:p>
    <w:p w14:paraId="48512F3C">
      <w:pPr>
        <w:keepNext w:val="0"/>
        <w:keepLines w:val="0"/>
        <w:pageBreakBefore w:val="0"/>
        <w:widowControl w:val="0"/>
        <w:kinsoku/>
        <w:wordWrap/>
        <w:overflowPunct/>
        <w:topLinePunct w:val="0"/>
        <w:autoSpaceDE/>
        <w:autoSpaceDN/>
        <w:bidi w:val="0"/>
        <w:adjustRightInd/>
        <w:snapToGrid/>
        <w:spacing w:after="0" w:line="360" w:lineRule="auto"/>
        <w:ind w:left="1470" w:leftChars="700"/>
        <w:jc w:val="left"/>
        <w:textAlignment w:val="auto"/>
        <w:rPr>
          <w:rFonts w:hint="eastAsia" w:ascii="宋体" w:hAnsi="宋体" w:cs="宋体"/>
          <w:b/>
          <w:snapToGrid w:val="0"/>
          <w:color w:val="auto"/>
          <w:kern w:val="0"/>
          <w:sz w:val="32"/>
          <w:szCs w:val="32"/>
          <w:highlight w:val="none"/>
        </w:rPr>
      </w:pPr>
      <w:r>
        <w:rPr>
          <w:rFonts w:hint="eastAsia" w:ascii="宋体" w:hAnsi="宋体" w:cs="宋体"/>
          <w:b/>
          <w:snapToGrid w:val="0"/>
          <w:color w:val="auto"/>
          <w:kern w:val="0"/>
          <w:sz w:val="32"/>
          <w:szCs w:val="32"/>
          <w:highlight w:val="none"/>
        </w:rPr>
        <w:t xml:space="preserve">采购人：北京市应急管理局 </w:t>
      </w:r>
    </w:p>
    <w:p w14:paraId="6D8DDBF3">
      <w:pPr>
        <w:keepNext w:val="0"/>
        <w:keepLines w:val="0"/>
        <w:pageBreakBefore w:val="0"/>
        <w:widowControl w:val="0"/>
        <w:kinsoku/>
        <w:wordWrap/>
        <w:overflowPunct/>
        <w:topLinePunct w:val="0"/>
        <w:autoSpaceDE/>
        <w:autoSpaceDN/>
        <w:bidi w:val="0"/>
        <w:adjustRightInd/>
        <w:snapToGrid/>
        <w:spacing w:after="0" w:line="360" w:lineRule="auto"/>
        <w:ind w:left="1470" w:leftChars="700"/>
        <w:jc w:val="left"/>
        <w:textAlignment w:val="auto"/>
        <w:rPr>
          <w:rFonts w:hint="eastAsia" w:ascii="宋体" w:hAnsi="宋体" w:cs="宋体"/>
          <w:bCs/>
          <w:color w:val="auto"/>
          <w:sz w:val="36"/>
          <w:szCs w:val="36"/>
          <w:highlight w:val="none"/>
        </w:rPr>
      </w:pPr>
      <w:r>
        <w:rPr>
          <w:rFonts w:hint="eastAsia" w:ascii="宋体" w:hAnsi="宋体" w:cs="宋体"/>
          <w:b/>
          <w:snapToGrid w:val="0"/>
          <w:color w:val="auto"/>
          <w:kern w:val="0"/>
          <w:sz w:val="32"/>
          <w:szCs w:val="32"/>
          <w:highlight w:val="none"/>
        </w:rPr>
        <w:t>采购代理机构：中信国际招标有限公司</w:t>
      </w:r>
    </w:p>
    <w:p w14:paraId="763BDA3B">
      <w:pPr>
        <w:tabs>
          <w:tab w:val="left" w:pos="3240"/>
          <w:tab w:val="left" w:pos="3420"/>
        </w:tabs>
        <w:spacing w:line="360" w:lineRule="auto"/>
        <w:ind w:left="2628" w:leftChars="444" w:hanging="1696" w:hangingChars="528"/>
        <w:jc w:val="center"/>
        <w:rPr>
          <w:rFonts w:hint="eastAsia" w:ascii="宋体" w:hAnsi="宋体" w:cs="宋体"/>
          <w:b/>
          <w:snapToGrid w:val="0"/>
          <w:color w:val="auto"/>
          <w:kern w:val="0"/>
          <w:sz w:val="32"/>
          <w:szCs w:val="32"/>
          <w:highlight w:val="none"/>
        </w:rPr>
      </w:pPr>
    </w:p>
    <w:p w14:paraId="4BA80D57">
      <w:pPr>
        <w:tabs>
          <w:tab w:val="left" w:pos="3240"/>
          <w:tab w:val="left" w:pos="3420"/>
        </w:tabs>
        <w:spacing w:line="360" w:lineRule="auto"/>
        <w:ind w:left="2628" w:leftChars="444" w:hanging="1696" w:hangingChars="528"/>
        <w:jc w:val="center"/>
        <w:rPr>
          <w:rFonts w:hint="eastAsia" w:ascii="宋体" w:hAnsi="宋体" w:cs="宋体"/>
          <w:b/>
          <w:snapToGrid w:val="0"/>
          <w:color w:val="auto"/>
          <w:kern w:val="0"/>
          <w:sz w:val="32"/>
          <w:szCs w:val="32"/>
          <w:highlight w:val="none"/>
        </w:rPr>
      </w:pPr>
    </w:p>
    <w:p w14:paraId="11398733">
      <w:pPr>
        <w:tabs>
          <w:tab w:val="left" w:pos="3240"/>
          <w:tab w:val="left" w:pos="3420"/>
        </w:tabs>
        <w:spacing w:line="360" w:lineRule="auto"/>
        <w:ind w:left="2628" w:leftChars="444" w:hanging="1696" w:hangingChars="528"/>
        <w:jc w:val="center"/>
        <w:rPr>
          <w:rFonts w:hint="eastAsia" w:ascii="宋体" w:hAnsi="宋体" w:cs="宋体"/>
          <w:b/>
          <w:snapToGrid w:val="0"/>
          <w:color w:val="auto"/>
          <w:kern w:val="0"/>
          <w:sz w:val="32"/>
          <w:szCs w:val="32"/>
          <w:highlight w:val="none"/>
        </w:rPr>
      </w:pPr>
    </w:p>
    <w:p w14:paraId="666E9269">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cs="宋体"/>
          <w:b/>
          <w:snapToGrid w:val="0"/>
          <w:color w:val="auto"/>
          <w:kern w:val="0"/>
          <w:sz w:val="32"/>
          <w:szCs w:val="32"/>
          <w:highlight w:val="none"/>
        </w:rPr>
      </w:pPr>
      <w:r>
        <w:rPr>
          <w:rFonts w:hint="eastAsia" w:ascii="宋体" w:hAnsi="宋体" w:cs="宋体"/>
          <w:b/>
          <w:snapToGrid w:val="0"/>
          <w:color w:val="auto"/>
          <w:kern w:val="0"/>
          <w:sz w:val="32"/>
          <w:szCs w:val="32"/>
          <w:highlight w:val="none"/>
        </w:rPr>
        <w:t>2025年</w:t>
      </w:r>
      <w:r>
        <w:rPr>
          <w:rFonts w:hint="eastAsia" w:ascii="宋体" w:hAnsi="宋体" w:cs="宋体"/>
          <w:b/>
          <w:snapToGrid w:val="0"/>
          <w:color w:val="auto"/>
          <w:kern w:val="0"/>
          <w:sz w:val="32"/>
          <w:szCs w:val="32"/>
          <w:highlight w:val="none"/>
          <w:lang w:val="en-US" w:eastAsia="zh-CN"/>
        </w:rPr>
        <w:t>5</w:t>
      </w:r>
      <w:r>
        <w:rPr>
          <w:rFonts w:hint="eastAsia" w:ascii="宋体" w:hAnsi="宋体" w:cs="宋体"/>
          <w:b/>
          <w:snapToGrid w:val="0"/>
          <w:color w:val="auto"/>
          <w:kern w:val="0"/>
          <w:sz w:val="32"/>
          <w:szCs w:val="32"/>
          <w:highlight w:val="none"/>
        </w:rPr>
        <w:t>月</w:t>
      </w:r>
    </w:p>
    <w:p w14:paraId="3AF3ACB9">
      <w:pPr>
        <w:keepNext w:val="0"/>
        <w:keepLines w:val="0"/>
        <w:pageBreakBefore w:val="0"/>
        <w:tabs>
          <w:tab w:val="left" w:pos="3240"/>
          <w:tab w:val="left" w:pos="3420"/>
        </w:tabs>
        <w:kinsoku/>
        <w:wordWrap/>
        <w:overflowPunct/>
        <w:topLinePunct w:val="0"/>
        <w:autoSpaceDE/>
        <w:autoSpaceDN/>
        <w:bidi w:val="0"/>
        <w:adjustRightInd/>
        <w:snapToGrid/>
        <w:spacing w:after="0" w:line="360" w:lineRule="auto"/>
        <w:jc w:val="center"/>
        <w:textAlignment w:val="auto"/>
        <w:rPr>
          <w:rFonts w:hint="eastAsia" w:ascii="宋体" w:hAnsi="宋体" w:cs="宋体"/>
          <w:bCs/>
          <w:color w:val="auto"/>
          <w:sz w:val="36"/>
          <w:szCs w:val="36"/>
          <w:highlight w:val="none"/>
        </w:rPr>
      </w:pPr>
      <w:r>
        <w:rPr>
          <w:rFonts w:hint="eastAsia" w:ascii="宋体" w:hAnsi="宋体" w:cs="宋体"/>
          <w:b/>
          <w:snapToGrid w:val="0"/>
          <w:color w:val="auto"/>
          <w:kern w:val="0"/>
          <w:sz w:val="32"/>
          <w:szCs w:val="32"/>
          <w:highlight w:val="none"/>
        </w:rPr>
        <w:t>中国 北京</w:t>
      </w:r>
    </w:p>
    <w:p w14:paraId="3136023C">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宋体" w:hAnsi="宋体" w:cs="宋体"/>
          <w:b/>
          <w:color w:val="auto"/>
          <w:sz w:val="72"/>
          <w:highlight w:val="none"/>
        </w:rPr>
        <w:sectPr>
          <w:headerReference r:id="rId6" w:type="first"/>
          <w:footerReference r:id="rId9" w:type="first"/>
          <w:headerReference r:id="rId5" w:type="default"/>
          <w:footerReference r:id="rId7" w:type="default"/>
          <w:footerReference r:id="rId8" w:type="even"/>
          <w:type w:val="nextColumn"/>
          <w:pgSz w:w="11905" w:h="16838"/>
          <w:pgMar w:top="1417" w:right="1701" w:bottom="1417" w:left="1701" w:header="1020" w:footer="850" w:gutter="0"/>
          <w:pgNumType w:start="1"/>
          <w:cols w:space="0" w:num="1"/>
          <w:rtlGutter w:val="0"/>
          <w:docGrid w:linePitch="462" w:charSpace="0"/>
        </w:sectPr>
      </w:pPr>
    </w:p>
    <w:p w14:paraId="00008726">
      <w:pPr>
        <w:spacing w:line="360" w:lineRule="auto"/>
        <w:jc w:val="center"/>
        <w:outlineLvl w:val="0"/>
        <w:rPr>
          <w:rFonts w:hint="eastAsia" w:ascii="宋体" w:hAnsi="宋体" w:cs="宋体"/>
          <w:b/>
          <w:color w:val="auto"/>
          <w:sz w:val="36"/>
          <w:szCs w:val="36"/>
          <w:highlight w:val="none"/>
        </w:rPr>
      </w:pPr>
      <w:bookmarkStart w:id="0" w:name="_Toc11996"/>
      <w:bookmarkStart w:id="1" w:name="_Toc148362307"/>
      <w:bookmarkStart w:id="2" w:name="_Toc23"/>
      <w:bookmarkStart w:id="3" w:name="_Toc30554"/>
      <w:bookmarkStart w:id="4" w:name="_Toc148368068"/>
      <w:bookmarkStart w:id="5" w:name="_Toc99301418"/>
      <w:r>
        <w:rPr>
          <w:rFonts w:hint="eastAsia" w:ascii="宋体" w:hAnsi="宋体" w:cs="宋体"/>
          <w:b/>
          <w:color w:val="auto"/>
          <w:sz w:val="36"/>
          <w:szCs w:val="36"/>
          <w:highlight w:val="none"/>
        </w:rPr>
        <w:t>目      录</w:t>
      </w:r>
      <w:bookmarkEnd w:id="0"/>
      <w:bookmarkEnd w:id="1"/>
      <w:bookmarkEnd w:id="2"/>
      <w:bookmarkEnd w:id="3"/>
      <w:bookmarkEnd w:id="4"/>
      <w:bookmarkEnd w:id="5"/>
    </w:p>
    <w:p w14:paraId="2F4D7DFE">
      <w:pPr>
        <w:rPr>
          <w:rFonts w:hint="eastAsia" w:ascii="宋体" w:hAnsi="宋体" w:cs="宋体"/>
          <w:color w:val="auto"/>
          <w:highlight w:val="none"/>
        </w:rPr>
      </w:pPr>
    </w:p>
    <w:p w14:paraId="4AE7542A">
      <w:pPr>
        <w:rPr>
          <w:rFonts w:hint="eastAsia" w:ascii="宋体" w:hAnsi="宋体" w:cs="宋体"/>
          <w:color w:val="auto"/>
          <w:highlight w:val="none"/>
        </w:rPr>
      </w:pPr>
    </w:p>
    <w:p w14:paraId="27949D2F">
      <w:pPr>
        <w:pStyle w:val="32"/>
        <w:keepNext w:val="0"/>
        <w:keepLines w:val="0"/>
        <w:pageBreakBefore w:val="0"/>
        <w:widowControl w:val="0"/>
        <w:tabs>
          <w:tab w:val="right" w:leader="dot" w:pos="9240"/>
          <w:tab w:val="clear" w:pos="1050"/>
          <w:tab w:val="clear" w:pos="8937"/>
        </w:tabs>
        <w:kinsoku/>
        <w:wordWrap/>
        <w:overflowPunct/>
        <w:topLinePunct w:val="0"/>
        <w:autoSpaceDE/>
        <w:autoSpaceDN/>
        <w:bidi w:val="0"/>
        <w:adjustRightInd/>
        <w:snapToGrid/>
        <w:spacing w:after="0" w:line="480" w:lineRule="auto"/>
        <w:textAlignment w:val="auto"/>
        <w:rPr>
          <w:rFonts w:hint="eastAsia"/>
          <w:color w:val="auto"/>
          <w:highlight w:val="none"/>
        </w:rPr>
      </w:pPr>
      <w:r>
        <w:rPr>
          <w:rFonts w:cs="宋体"/>
          <w:b w:val="0"/>
          <w:color w:val="auto"/>
          <w:highlight w:val="none"/>
        </w:rPr>
        <w:fldChar w:fldCharType="begin"/>
      </w:r>
      <w:r>
        <w:rPr>
          <w:rFonts w:cs="宋体"/>
          <w:b w:val="0"/>
          <w:color w:val="auto"/>
          <w:highlight w:val="none"/>
        </w:rPr>
        <w:instrText xml:space="preserve">TOC \o "1-1" \h \u </w:instrText>
      </w:r>
      <w:r>
        <w:rPr>
          <w:rFonts w:cs="宋体"/>
          <w:b w:val="0"/>
          <w:color w:val="auto"/>
          <w:highlight w:val="none"/>
        </w:rPr>
        <w:fldChar w:fldCharType="separate"/>
      </w:r>
      <w:r>
        <w:rPr>
          <w:color w:val="auto"/>
          <w:highlight w:val="none"/>
        </w:rPr>
        <w:fldChar w:fldCharType="begin"/>
      </w:r>
      <w:r>
        <w:rPr>
          <w:color w:val="auto"/>
          <w:highlight w:val="none"/>
        </w:rPr>
        <w:instrText xml:space="preserve"> HYPERLINK \l "_Toc6084" </w:instrText>
      </w:r>
      <w:r>
        <w:rPr>
          <w:color w:val="auto"/>
          <w:highlight w:val="none"/>
        </w:rPr>
        <w:fldChar w:fldCharType="separate"/>
      </w:r>
      <w:r>
        <w:rPr>
          <w:rFonts w:hint="eastAsia" w:cs="宋体"/>
          <w:color w:val="auto"/>
          <w:szCs w:val="36"/>
          <w:highlight w:val="none"/>
        </w:rPr>
        <w:t>第一章   投标邀请</w:t>
      </w:r>
      <w:r>
        <w:rPr>
          <w:color w:val="auto"/>
          <w:highlight w:val="none"/>
        </w:rPr>
        <w:tab/>
      </w:r>
      <w:r>
        <w:rPr>
          <w:color w:val="auto"/>
          <w:highlight w:val="none"/>
        </w:rPr>
        <w:fldChar w:fldCharType="begin"/>
      </w:r>
      <w:r>
        <w:rPr>
          <w:color w:val="auto"/>
          <w:highlight w:val="none"/>
        </w:rPr>
        <w:instrText xml:space="preserve"> PAGEREF _Toc6084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0B5EEA52">
      <w:pPr>
        <w:pStyle w:val="32"/>
        <w:keepNext w:val="0"/>
        <w:keepLines w:val="0"/>
        <w:pageBreakBefore w:val="0"/>
        <w:widowControl w:val="0"/>
        <w:tabs>
          <w:tab w:val="right" w:leader="dot" w:pos="9240"/>
          <w:tab w:val="clear" w:pos="1050"/>
          <w:tab w:val="clear" w:pos="8937"/>
        </w:tabs>
        <w:kinsoku/>
        <w:wordWrap/>
        <w:overflowPunct/>
        <w:topLinePunct w:val="0"/>
        <w:autoSpaceDE/>
        <w:autoSpaceDN/>
        <w:bidi w:val="0"/>
        <w:adjustRightInd/>
        <w:snapToGrid/>
        <w:spacing w:after="0" w:line="480" w:lineRule="auto"/>
        <w:textAlignment w:val="auto"/>
        <w:rPr>
          <w:rFonts w:hint="eastAsia"/>
          <w:color w:val="auto"/>
          <w:highlight w:val="none"/>
        </w:rPr>
      </w:pPr>
      <w:r>
        <w:rPr>
          <w:color w:val="auto"/>
          <w:highlight w:val="none"/>
        </w:rPr>
        <w:fldChar w:fldCharType="begin"/>
      </w:r>
      <w:r>
        <w:rPr>
          <w:color w:val="auto"/>
          <w:highlight w:val="none"/>
        </w:rPr>
        <w:instrText xml:space="preserve"> HYPERLINK \l "_Toc28174" </w:instrText>
      </w:r>
      <w:r>
        <w:rPr>
          <w:color w:val="auto"/>
          <w:highlight w:val="none"/>
        </w:rPr>
        <w:fldChar w:fldCharType="separate"/>
      </w:r>
      <w:r>
        <w:rPr>
          <w:rFonts w:hint="eastAsia" w:cs="宋体"/>
          <w:color w:val="auto"/>
          <w:szCs w:val="36"/>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_Toc28174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535001E3">
      <w:pPr>
        <w:pStyle w:val="32"/>
        <w:keepNext w:val="0"/>
        <w:keepLines w:val="0"/>
        <w:pageBreakBefore w:val="0"/>
        <w:widowControl w:val="0"/>
        <w:tabs>
          <w:tab w:val="right" w:leader="dot" w:pos="9240"/>
          <w:tab w:val="clear" w:pos="1050"/>
          <w:tab w:val="clear" w:pos="8937"/>
        </w:tabs>
        <w:kinsoku/>
        <w:wordWrap/>
        <w:overflowPunct/>
        <w:topLinePunct w:val="0"/>
        <w:autoSpaceDE/>
        <w:autoSpaceDN/>
        <w:bidi w:val="0"/>
        <w:adjustRightInd/>
        <w:snapToGrid/>
        <w:spacing w:after="0" w:line="480" w:lineRule="auto"/>
        <w:textAlignment w:val="auto"/>
        <w:rPr>
          <w:rFonts w:hint="eastAsia"/>
          <w:color w:val="auto"/>
          <w:highlight w:val="none"/>
        </w:rPr>
      </w:pPr>
      <w:r>
        <w:rPr>
          <w:color w:val="auto"/>
          <w:highlight w:val="none"/>
        </w:rPr>
        <w:fldChar w:fldCharType="begin"/>
      </w:r>
      <w:r>
        <w:rPr>
          <w:color w:val="auto"/>
          <w:highlight w:val="none"/>
        </w:rPr>
        <w:instrText xml:space="preserve"> HYPERLINK \l "_Toc17324" </w:instrText>
      </w:r>
      <w:r>
        <w:rPr>
          <w:color w:val="auto"/>
          <w:highlight w:val="none"/>
        </w:rPr>
        <w:fldChar w:fldCharType="separate"/>
      </w:r>
      <w:r>
        <w:rPr>
          <w:rFonts w:hint="eastAsia" w:cs="宋体"/>
          <w:color w:val="auto"/>
          <w:szCs w:val="36"/>
          <w:highlight w:val="none"/>
        </w:rPr>
        <w:t>第三章   资格审查</w:t>
      </w:r>
      <w:r>
        <w:rPr>
          <w:color w:val="auto"/>
          <w:highlight w:val="none"/>
        </w:rPr>
        <w:tab/>
      </w:r>
      <w:r>
        <w:rPr>
          <w:color w:val="auto"/>
          <w:highlight w:val="none"/>
        </w:rPr>
        <w:fldChar w:fldCharType="begin"/>
      </w:r>
      <w:r>
        <w:rPr>
          <w:color w:val="auto"/>
          <w:highlight w:val="none"/>
        </w:rPr>
        <w:instrText xml:space="preserve"> PAGEREF _Toc17324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3F6540D9">
      <w:pPr>
        <w:pStyle w:val="32"/>
        <w:keepNext w:val="0"/>
        <w:keepLines w:val="0"/>
        <w:pageBreakBefore w:val="0"/>
        <w:widowControl w:val="0"/>
        <w:tabs>
          <w:tab w:val="right" w:leader="dot" w:pos="9240"/>
          <w:tab w:val="clear" w:pos="1050"/>
          <w:tab w:val="clear" w:pos="8937"/>
        </w:tabs>
        <w:kinsoku/>
        <w:wordWrap/>
        <w:overflowPunct/>
        <w:topLinePunct w:val="0"/>
        <w:autoSpaceDE/>
        <w:autoSpaceDN/>
        <w:bidi w:val="0"/>
        <w:adjustRightInd/>
        <w:snapToGrid/>
        <w:spacing w:after="0" w:line="480" w:lineRule="auto"/>
        <w:textAlignment w:val="auto"/>
        <w:rPr>
          <w:rFonts w:hint="eastAsia"/>
          <w:color w:val="auto"/>
          <w:highlight w:val="none"/>
        </w:rPr>
      </w:pPr>
      <w:r>
        <w:rPr>
          <w:color w:val="auto"/>
          <w:highlight w:val="none"/>
        </w:rPr>
        <w:fldChar w:fldCharType="begin"/>
      </w:r>
      <w:r>
        <w:rPr>
          <w:color w:val="auto"/>
          <w:highlight w:val="none"/>
        </w:rPr>
        <w:instrText xml:space="preserve"> HYPERLINK \l "_Toc26640" </w:instrText>
      </w:r>
      <w:r>
        <w:rPr>
          <w:color w:val="auto"/>
          <w:highlight w:val="none"/>
        </w:rPr>
        <w:fldChar w:fldCharType="separate"/>
      </w:r>
      <w:r>
        <w:rPr>
          <w:rFonts w:hint="eastAsia" w:cs="宋体"/>
          <w:color w:val="auto"/>
          <w:szCs w:val="36"/>
          <w:highlight w:val="none"/>
        </w:rPr>
        <w:t>第四章   评标程序、评标方法和评标标准</w:t>
      </w:r>
      <w:r>
        <w:rPr>
          <w:color w:val="auto"/>
          <w:highlight w:val="none"/>
        </w:rPr>
        <w:tab/>
      </w:r>
      <w:r>
        <w:rPr>
          <w:color w:val="auto"/>
          <w:highlight w:val="none"/>
        </w:rPr>
        <w:fldChar w:fldCharType="begin"/>
      </w:r>
      <w:r>
        <w:rPr>
          <w:color w:val="auto"/>
          <w:highlight w:val="none"/>
        </w:rPr>
        <w:instrText xml:space="preserve"> PAGEREF _Toc26640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2A75A770">
      <w:pPr>
        <w:pStyle w:val="32"/>
        <w:keepNext w:val="0"/>
        <w:keepLines w:val="0"/>
        <w:pageBreakBefore w:val="0"/>
        <w:widowControl w:val="0"/>
        <w:tabs>
          <w:tab w:val="right" w:leader="dot" w:pos="9240"/>
          <w:tab w:val="clear" w:pos="1050"/>
          <w:tab w:val="clear" w:pos="8937"/>
        </w:tabs>
        <w:kinsoku/>
        <w:wordWrap/>
        <w:overflowPunct/>
        <w:topLinePunct w:val="0"/>
        <w:autoSpaceDE/>
        <w:autoSpaceDN/>
        <w:bidi w:val="0"/>
        <w:adjustRightInd/>
        <w:snapToGrid/>
        <w:spacing w:after="0" w:line="480" w:lineRule="auto"/>
        <w:textAlignment w:val="auto"/>
        <w:rPr>
          <w:rFonts w:hint="eastAsia"/>
          <w:color w:val="auto"/>
          <w:highlight w:val="none"/>
        </w:rPr>
      </w:pPr>
      <w:r>
        <w:rPr>
          <w:color w:val="auto"/>
          <w:highlight w:val="none"/>
        </w:rPr>
        <w:fldChar w:fldCharType="begin"/>
      </w:r>
      <w:r>
        <w:rPr>
          <w:color w:val="auto"/>
          <w:highlight w:val="none"/>
        </w:rPr>
        <w:instrText xml:space="preserve"> HYPERLINK \l "_Toc16158" </w:instrText>
      </w:r>
      <w:r>
        <w:rPr>
          <w:color w:val="auto"/>
          <w:highlight w:val="none"/>
        </w:rPr>
        <w:fldChar w:fldCharType="separate"/>
      </w:r>
      <w:r>
        <w:rPr>
          <w:rFonts w:hint="eastAsia" w:cs="宋体"/>
          <w:color w:val="auto"/>
          <w:szCs w:val="36"/>
          <w:highlight w:val="none"/>
        </w:rPr>
        <w:t>第五章   采购需求</w:t>
      </w:r>
      <w:r>
        <w:rPr>
          <w:color w:val="auto"/>
          <w:highlight w:val="none"/>
        </w:rPr>
        <w:tab/>
      </w:r>
      <w:r>
        <w:rPr>
          <w:color w:val="auto"/>
          <w:highlight w:val="none"/>
        </w:rPr>
        <w:fldChar w:fldCharType="begin"/>
      </w:r>
      <w:r>
        <w:rPr>
          <w:color w:val="auto"/>
          <w:highlight w:val="none"/>
        </w:rPr>
        <w:instrText xml:space="preserve"> PAGEREF _Toc16158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14:paraId="7EA54F06">
      <w:pPr>
        <w:pStyle w:val="32"/>
        <w:keepNext w:val="0"/>
        <w:keepLines w:val="0"/>
        <w:pageBreakBefore w:val="0"/>
        <w:widowControl w:val="0"/>
        <w:tabs>
          <w:tab w:val="right" w:leader="dot" w:pos="9240"/>
          <w:tab w:val="clear" w:pos="1050"/>
          <w:tab w:val="clear" w:pos="8937"/>
        </w:tabs>
        <w:kinsoku/>
        <w:wordWrap/>
        <w:overflowPunct/>
        <w:topLinePunct w:val="0"/>
        <w:autoSpaceDE/>
        <w:autoSpaceDN/>
        <w:bidi w:val="0"/>
        <w:adjustRightInd/>
        <w:snapToGrid/>
        <w:spacing w:after="0" w:line="480" w:lineRule="auto"/>
        <w:textAlignment w:val="auto"/>
        <w:rPr>
          <w:rFonts w:hint="eastAsia"/>
          <w:color w:val="auto"/>
          <w:highlight w:val="none"/>
        </w:rPr>
      </w:pPr>
      <w:r>
        <w:rPr>
          <w:color w:val="auto"/>
          <w:highlight w:val="none"/>
        </w:rPr>
        <w:fldChar w:fldCharType="begin"/>
      </w:r>
      <w:r>
        <w:rPr>
          <w:color w:val="auto"/>
          <w:highlight w:val="none"/>
        </w:rPr>
        <w:instrText xml:space="preserve"> HYPERLINK \l "_Toc4466" </w:instrText>
      </w:r>
      <w:r>
        <w:rPr>
          <w:color w:val="auto"/>
          <w:highlight w:val="none"/>
        </w:rPr>
        <w:fldChar w:fldCharType="separate"/>
      </w:r>
      <w:r>
        <w:rPr>
          <w:rFonts w:hint="eastAsia" w:cs="宋体"/>
          <w:color w:val="auto"/>
          <w:szCs w:val="36"/>
          <w:highlight w:val="none"/>
        </w:rPr>
        <w:t>第六章   拟签订的合同文本</w:t>
      </w:r>
      <w:r>
        <w:rPr>
          <w:color w:val="auto"/>
          <w:highlight w:val="none"/>
        </w:rPr>
        <w:tab/>
      </w:r>
      <w:r>
        <w:rPr>
          <w:color w:val="auto"/>
          <w:highlight w:val="none"/>
        </w:rPr>
        <w:fldChar w:fldCharType="begin"/>
      </w:r>
      <w:r>
        <w:rPr>
          <w:color w:val="auto"/>
          <w:highlight w:val="none"/>
        </w:rPr>
        <w:instrText xml:space="preserve"> PAGEREF _Toc4466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14:paraId="26D58321">
      <w:pPr>
        <w:pStyle w:val="32"/>
        <w:keepNext w:val="0"/>
        <w:keepLines w:val="0"/>
        <w:pageBreakBefore w:val="0"/>
        <w:widowControl w:val="0"/>
        <w:tabs>
          <w:tab w:val="right" w:leader="dot" w:pos="9240"/>
          <w:tab w:val="clear" w:pos="1050"/>
          <w:tab w:val="clear" w:pos="8937"/>
        </w:tabs>
        <w:kinsoku/>
        <w:wordWrap/>
        <w:overflowPunct/>
        <w:topLinePunct w:val="0"/>
        <w:autoSpaceDE/>
        <w:autoSpaceDN/>
        <w:bidi w:val="0"/>
        <w:adjustRightInd/>
        <w:snapToGrid/>
        <w:spacing w:after="0" w:line="480" w:lineRule="auto"/>
        <w:textAlignment w:val="auto"/>
        <w:rPr>
          <w:rFonts w:hint="eastAsia"/>
          <w:color w:val="auto"/>
          <w:highlight w:val="none"/>
        </w:rPr>
      </w:pPr>
      <w:r>
        <w:rPr>
          <w:color w:val="auto"/>
          <w:highlight w:val="none"/>
        </w:rPr>
        <w:fldChar w:fldCharType="begin"/>
      </w:r>
      <w:r>
        <w:rPr>
          <w:color w:val="auto"/>
          <w:highlight w:val="none"/>
        </w:rPr>
        <w:instrText xml:space="preserve"> HYPERLINK \l "_Toc26477" </w:instrText>
      </w:r>
      <w:r>
        <w:rPr>
          <w:color w:val="auto"/>
          <w:highlight w:val="none"/>
        </w:rPr>
        <w:fldChar w:fldCharType="separate"/>
      </w:r>
      <w:r>
        <w:rPr>
          <w:rFonts w:hint="eastAsia" w:cs="宋体"/>
          <w:color w:val="auto"/>
          <w:szCs w:val="36"/>
          <w:highlight w:val="none"/>
        </w:rPr>
        <w:t>第七章   投标文件格式</w:t>
      </w:r>
      <w:r>
        <w:rPr>
          <w:color w:val="auto"/>
          <w:highlight w:val="none"/>
        </w:rPr>
        <w:tab/>
      </w:r>
      <w:r>
        <w:rPr>
          <w:color w:val="auto"/>
          <w:highlight w:val="none"/>
        </w:rPr>
        <w:fldChar w:fldCharType="begin"/>
      </w:r>
      <w:r>
        <w:rPr>
          <w:color w:val="auto"/>
          <w:highlight w:val="none"/>
        </w:rPr>
        <w:instrText xml:space="preserve"> PAGEREF _Toc26477 \h </w:instrText>
      </w:r>
      <w:r>
        <w:rPr>
          <w:color w:val="auto"/>
          <w:highlight w:val="none"/>
        </w:rPr>
        <w:fldChar w:fldCharType="separate"/>
      </w:r>
      <w:r>
        <w:rPr>
          <w:color w:val="auto"/>
          <w:highlight w:val="none"/>
        </w:rPr>
        <w:t>62</w:t>
      </w:r>
      <w:r>
        <w:rPr>
          <w:color w:val="auto"/>
          <w:highlight w:val="none"/>
        </w:rPr>
        <w:fldChar w:fldCharType="end"/>
      </w:r>
      <w:r>
        <w:rPr>
          <w:color w:val="auto"/>
          <w:highlight w:val="none"/>
        </w:rPr>
        <w:fldChar w:fldCharType="end"/>
      </w:r>
    </w:p>
    <w:p w14:paraId="68145CD5">
      <w:pPr>
        <w:pStyle w:val="32"/>
        <w:spacing w:line="480" w:lineRule="auto"/>
        <w:rPr>
          <w:rFonts w:hint="eastAsia" w:cs="宋体"/>
          <w:b w:val="0"/>
          <w:color w:val="auto"/>
          <w:highlight w:val="none"/>
        </w:rPr>
      </w:pPr>
      <w:r>
        <w:rPr>
          <w:rFonts w:cs="宋体"/>
          <w:color w:val="auto"/>
          <w:highlight w:val="none"/>
        </w:rPr>
        <w:fldChar w:fldCharType="end"/>
      </w:r>
    </w:p>
    <w:p w14:paraId="703A3B08">
      <w:pPr>
        <w:spacing w:line="360" w:lineRule="auto"/>
        <w:jc w:val="center"/>
        <w:outlineLvl w:val="0"/>
        <w:rPr>
          <w:rFonts w:hint="eastAsia" w:ascii="宋体" w:hAnsi="宋体" w:cs="宋体"/>
          <w:b/>
          <w:color w:val="auto"/>
          <w:sz w:val="36"/>
          <w:szCs w:val="36"/>
          <w:highlight w:val="none"/>
        </w:rPr>
        <w:sectPr>
          <w:footerReference r:id="rId10" w:type="default"/>
          <w:type w:val="nextColumn"/>
          <w:pgSz w:w="11905" w:h="16838"/>
          <w:pgMar w:top="1417" w:right="1701" w:bottom="1417" w:left="1701" w:header="1020" w:footer="850" w:gutter="0"/>
          <w:pgNumType w:start="0"/>
          <w:cols w:space="0" w:num="1"/>
          <w:rtlGutter w:val="0"/>
          <w:docGrid w:linePitch="462" w:charSpace="0"/>
        </w:sectPr>
      </w:pPr>
      <w:bookmarkStart w:id="6" w:name="_Toc148368069"/>
      <w:bookmarkStart w:id="7" w:name="_Toc6084"/>
      <w:bookmarkStart w:id="8" w:name="_Toc28525"/>
    </w:p>
    <w:p w14:paraId="04F79214">
      <w:p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第一章   投标邀请</w:t>
      </w:r>
      <w:bookmarkEnd w:id="6"/>
      <w:bookmarkEnd w:id="7"/>
      <w:bookmarkEnd w:id="8"/>
    </w:p>
    <w:p w14:paraId="28ABB999">
      <w:pPr>
        <w:spacing w:line="360" w:lineRule="auto"/>
        <w:ind w:firstLine="640" w:firstLineChars="200"/>
        <w:rPr>
          <w:rFonts w:hint="eastAsia" w:ascii="宋体" w:hAnsi="宋体" w:cs="宋体"/>
          <w:color w:val="auto"/>
          <w:sz w:val="32"/>
          <w:szCs w:val="32"/>
          <w:highlight w:val="none"/>
        </w:rPr>
      </w:pPr>
    </w:p>
    <w:p w14:paraId="5EFBDC20">
      <w:pPr>
        <w:pStyle w:val="3"/>
        <w:ind w:firstLine="482"/>
        <w:rPr>
          <w:rFonts w:hint="eastAsia" w:ascii="宋体" w:hAnsi="宋体" w:cs="宋体"/>
          <w:color w:val="auto"/>
          <w:szCs w:val="24"/>
          <w:highlight w:val="none"/>
        </w:rPr>
      </w:pPr>
      <w:bookmarkStart w:id="9" w:name="_Toc35393621"/>
      <w:bookmarkStart w:id="10" w:name="_Toc28359002"/>
      <w:bookmarkStart w:id="11" w:name="_Toc35393790"/>
      <w:bookmarkStart w:id="12" w:name="_Toc28359079"/>
      <w:bookmarkStart w:id="13" w:name="_Hlk24379207"/>
      <w:r>
        <w:rPr>
          <w:rFonts w:hint="eastAsia" w:ascii="宋体" w:hAnsi="宋体" w:cs="宋体"/>
          <w:color w:val="auto"/>
          <w:szCs w:val="24"/>
          <w:highlight w:val="none"/>
        </w:rPr>
        <w:t>一、项目基本情况</w:t>
      </w:r>
      <w:bookmarkEnd w:id="9"/>
      <w:bookmarkEnd w:id="10"/>
      <w:bookmarkEnd w:id="11"/>
      <w:bookmarkEnd w:id="12"/>
    </w:p>
    <w:p w14:paraId="7F38A4A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1.项目编号</w:t>
      </w:r>
      <w:r>
        <w:rPr>
          <w:rFonts w:hint="eastAsia" w:ascii="宋体" w:hAnsi="宋体" w:cs="宋体"/>
          <w:color w:val="auto"/>
          <w:sz w:val="24"/>
          <w:highlight w:val="none"/>
          <w:lang w:val="en-US" w:eastAsia="zh-CN"/>
        </w:rPr>
        <w:t>/包号</w:t>
      </w:r>
      <w:r>
        <w:rPr>
          <w:rFonts w:hint="eastAsia" w:ascii="宋体" w:hAnsi="宋体" w:cs="宋体"/>
          <w:color w:val="auto"/>
          <w:sz w:val="24"/>
          <w:highlight w:val="none"/>
        </w:rPr>
        <w:t>：0733-25181837</w:t>
      </w:r>
      <w:r>
        <w:rPr>
          <w:rFonts w:hint="eastAsia" w:ascii="宋体" w:hAnsi="宋体" w:cs="宋体"/>
          <w:color w:val="auto"/>
          <w:sz w:val="24"/>
          <w:highlight w:val="none"/>
          <w:lang w:val="en-US" w:eastAsia="zh-CN"/>
        </w:rPr>
        <w:t>/01</w:t>
      </w:r>
    </w:p>
    <w:p w14:paraId="3B1132C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2.项目名称：</w:t>
      </w:r>
      <w:r>
        <w:rPr>
          <w:rFonts w:hint="eastAsia" w:ascii="宋体" w:hAnsi="宋体" w:cs="宋体"/>
          <w:color w:val="auto"/>
          <w:sz w:val="24"/>
          <w:highlight w:val="none"/>
          <w:u w:val="single"/>
          <w:lang w:eastAsia="zh-CN"/>
        </w:rPr>
        <w:t>房山区域应急救援中心建设工程项目建设管理服务</w:t>
      </w:r>
    </w:p>
    <w:bookmarkEnd w:id="13"/>
    <w:p w14:paraId="1DD6827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3.预算金额：</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206.70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p>
    <w:p w14:paraId="4957FE9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4.采购需求：</w:t>
      </w:r>
    </w:p>
    <w:tbl>
      <w:tblPr>
        <w:tblStyle w:val="47"/>
        <w:tblW w:w="48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1549"/>
        <w:gridCol w:w="1525"/>
        <w:gridCol w:w="674"/>
        <w:gridCol w:w="4065"/>
      </w:tblGrid>
      <w:tr w14:paraId="10A5B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373" w:type="pct"/>
            <w:vAlign w:val="center"/>
          </w:tcPr>
          <w:p w14:paraId="4FCE2418">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rPr>
              <w:t>包号</w:t>
            </w:r>
          </w:p>
        </w:tc>
        <w:tc>
          <w:tcPr>
            <w:tcW w:w="917" w:type="pct"/>
            <w:vAlign w:val="center"/>
          </w:tcPr>
          <w:p w14:paraId="324B8CA1">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标的名称</w:t>
            </w:r>
          </w:p>
        </w:tc>
        <w:tc>
          <w:tcPr>
            <w:tcW w:w="903" w:type="pct"/>
            <w:vAlign w:val="center"/>
          </w:tcPr>
          <w:p w14:paraId="2971474C">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rPr>
              <w:t>采购包预算金额（万元）</w:t>
            </w:r>
          </w:p>
        </w:tc>
        <w:tc>
          <w:tcPr>
            <w:tcW w:w="399" w:type="pct"/>
            <w:vAlign w:val="center"/>
          </w:tcPr>
          <w:p w14:paraId="79C8F4D0">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数量</w:t>
            </w:r>
          </w:p>
        </w:tc>
        <w:tc>
          <w:tcPr>
            <w:tcW w:w="2406" w:type="pct"/>
            <w:vAlign w:val="center"/>
          </w:tcPr>
          <w:p w14:paraId="2D64D756">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简要技术需求或服务要求</w:t>
            </w:r>
          </w:p>
        </w:tc>
      </w:tr>
      <w:tr w14:paraId="1281E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373" w:type="pct"/>
            <w:vAlign w:val="center"/>
          </w:tcPr>
          <w:p w14:paraId="406328B9">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rPr>
              <w:t>01</w:t>
            </w:r>
          </w:p>
        </w:tc>
        <w:tc>
          <w:tcPr>
            <w:tcW w:w="917" w:type="pct"/>
            <w:vAlign w:val="center"/>
          </w:tcPr>
          <w:p w14:paraId="371E0EE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eastAsia="zh-CN"/>
              </w:rPr>
              <w:t>房山区域应急救援中心建设工程项目建设管理服务</w:t>
            </w:r>
          </w:p>
        </w:tc>
        <w:tc>
          <w:tcPr>
            <w:tcW w:w="903" w:type="pct"/>
            <w:vAlign w:val="center"/>
          </w:tcPr>
          <w:p w14:paraId="172EC1FC">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206.70</w:t>
            </w:r>
          </w:p>
        </w:tc>
        <w:tc>
          <w:tcPr>
            <w:tcW w:w="399" w:type="pct"/>
            <w:vAlign w:val="center"/>
          </w:tcPr>
          <w:p w14:paraId="77D4A301">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1项</w:t>
            </w:r>
          </w:p>
        </w:tc>
        <w:tc>
          <w:tcPr>
            <w:tcW w:w="2406" w:type="pct"/>
            <w:vAlign w:val="center"/>
          </w:tcPr>
          <w:p w14:paraId="337E61FD">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协助采购人开展项目前期管理、投资造价管理、设计管理、采购管理、合同管理、施工安全质量进度管理、竣工验收、信息档案管理等方面工作，具体详见招标文件第五章“采购需求”。</w:t>
            </w:r>
          </w:p>
        </w:tc>
      </w:tr>
    </w:tbl>
    <w:p w14:paraId="1D8F3804">
      <w:pPr>
        <w:keepNext w:val="0"/>
        <w:keepLines w:val="0"/>
        <w:pageBreakBefore w:val="0"/>
        <w:widowControl w:val="0"/>
        <w:numPr>
          <w:ilvl w:val="0"/>
          <w:numId w:val="1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合同履行期限：自本项目委托合同签订之日起至完成工程结算及工程档案资料移交为止。</w:t>
      </w:r>
    </w:p>
    <w:p w14:paraId="1A64A72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6.本项目是否接受联合体投标：□是  ■否。</w:t>
      </w:r>
    </w:p>
    <w:p w14:paraId="226E4C41">
      <w:pPr>
        <w:pStyle w:val="3"/>
        <w:ind w:firstLine="482"/>
        <w:rPr>
          <w:rFonts w:hint="eastAsia" w:ascii="宋体" w:hAnsi="宋体" w:cs="宋体"/>
          <w:color w:val="auto"/>
          <w:szCs w:val="24"/>
          <w:highlight w:val="none"/>
        </w:rPr>
      </w:pPr>
      <w:bookmarkStart w:id="14" w:name="_Toc28359003"/>
      <w:bookmarkStart w:id="15" w:name="_Toc35393791"/>
      <w:bookmarkStart w:id="16" w:name="_Toc35393622"/>
      <w:bookmarkStart w:id="17" w:name="_Toc28359080"/>
      <w:r>
        <w:rPr>
          <w:rFonts w:hint="eastAsia" w:ascii="宋体" w:hAnsi="宋体" w:cs="宋体"/>
          <w:color w:val="auto"/>
          <w:szCs w:val="24"/>
          <w:highlight w:val="none"/>
        </w:rPr>
        <w:t>二、申请人的资格要求（须同时满足）</w:t>
      </w:r>
      <w:bookmarkEnd w:id="14"/>
      <w:bookmarkEnd w:id="15"/>
      <w:bookmarkEnd w:id="16"/>
      <w:bookmarkEnd w:id="17"/>
    </w:p>
    <w:p w14:paraId="7C702A75">
      <w:pPr>
        <w:keepNext w:val="0"/>
        <w:keepLines w:val="0"/>
        <w:pageBreakBefore w:val="0"/>
        <w:widowControl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14:paraId="7619CA54">
      <w:pPr>
        <w:keepNext w:val="0"/>
        <w:keepLines w:val="0"/>
        <w:pageBreakBefore w:val="0"/>
        <w:widowControl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bookmarkStart w:id="18" w:name="_Toc28359081"/>
      <w:bookmarkStart w:id="19" w:name="_Toc28359004"/>
      <w:r>
        <w:rPr>
          <w:rFonts w:hint="eastAsia" w:ascii="宋体" w:hAnsi="宋体" w:cs="宋体"/>
          <w:color w:val="auto"/>
          <w:sz w:val="24"/>
          <w:highlight w:val="none"/>
        </w:rPr>
        <w:t>2.落实政府采购政策需满足的资格要求：</w:t>
      </w:r>
    </w:p>
    <w:p w14:paraId="5673F439">
      <w:pPr>
        <w:keepNext w:val="0"/>
        <w:keepLines w:val="0"/>
        <w:pageBreakBefore w:val="0"/>
        <w:widowControl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2.1 中小企业政策</w:t>
      </w:r>
    </w:p>
    <w:p w14:paraId="396D045A">
      <w:pPr>
        <w:keepNext w:val="0"/>
        <w:keepLines w:val="0"/>
        <w:pageBreakBefore w:val="0"/>
        <w:widowControl w:val="0"/>
        <w:kinsoku/>
        <w:wordWrap/>
        <w:overflowPunct/>
        <w:topLinePunct w:val="0"/>
        <w:autoSpaceDE/>
        <w:autoSpaceDN/>
        <w:bidi w:val="0"/>
        <w:adjustRightInd/>
        <w:spacing w:after="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■本项目不专门面向中小企业预留采购份额。</w:t>
      </w:r>
    </w:p>
    <w:p w14:paraId="264CBBC6">
      <w:pPr>
        <w:keepNext w:val="0"/>
        <w:keepLines w:val="0"/>
        <w:pageBreakBefore w:val="0"/>
        <w:widowControl w:val="0"/>
        <w:kinsoku/>
        <w:wordWrap/>
        <w:overflowPunct/>
        <w:topLinePunct w:val="0"/>
        <w:autoSpaceDE/>
        <w:autoSpaceDN/>
        <w:bidi w:val="0"/>
        <w:adjustRightInd/>
        <w:spacing w:after="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□本项目专门面向 □中小 □小微企业 采购。即：提供的货物全部由符合政策要求的中小/小微企业制造、服务全部由符合政策要求的中小/小微企业承接。</w:t>
      </w:r>
    </w:p>
    <w:p w14:paraId="68CC74EB">
      <w:pPr>
        <w:keepNext w:val="0"/>
        <w:keepLines w:val="0"/>
        <w:pageBreakBefore w:val="0"/>
        <w:widowControl w:val="0"/>
        <w:kinsoku/>
        <w:wordWrap/>
        <w:overflowPunct/>
        <w:topLinePunct w:val="0"/>
        <w:autoSpaceDE/>
        <w:autoSpaceDN/>
        <w:bidi w:val="0"/>
        <w:adjustRightInd/>
        <w:spacing w:after="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color w:val="auto"/>
          <w:sz w:val="24"/>
          <w:highlight w:val="none"/>
          <w:u w:val="single"/>
        </w:rPr>
        <w:t>/</w:t>
      </w:r>
      <w:r>
        <w:rPr>
          <w:rFonts w:hint="eastAsia" w:ascii="宋体" w:hAnsi="宋体"/>
          <w:color w:val="auto"/>
          <w:sz w:val="24"/>
          <w:highlight w:val="none"/>
          <w:u w:val="single"/>
        </w:rPr>
        <w:tab/>
      </w:r>
      <w:r>
        <w:rPr>
          <w:rFonts w:hint="eastAsia" w:ascii="宋体" w:hAnsi="宋体"/>
          <w:color w:val="auto"/>
          <w:sz w:val="24"/>
          <w:highlight w:val="none"/>
        </w:rPr>
        <w:t>。</w:t>
      </w:r>
    </w:p>
    <w:p w14:paraId="06AE3AFC">
      <w:pPr>
        <w:keepNext w:val="0"/>
        <w:keepLines w:val="0"/>
        <w:pageBreakBefore w:val="0"/>
        <w:widowControl w:val="0"/>
        <w:kinsoku/>
        <w:wordWrap/>
        <w:overflowPunct/>
        <w:topLinePunct w:val="0"/>
        <w:autoSpaceDE/>
        <w:autoSpaceDN/>
        <w:bidi w:val="0"/>
        <w:adjustRightInd/>
        <w:spacing w:after="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2.2 其它落实政府采购政策的资格要求（如有）：</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65198054">
      <w:pPr>
        <w:keepNext w:val="0"/>
        <w:keepLines w:val="0"/>
        <w:pageBreakBefore w:val="0"/>
        <w:widowControl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i/>
          <w:iCs/>
          <w:color w:val="auto"/>
          <w:sz w:val="24"/>
          <w:highlight w:val="none"/>
          <w:u w:val="single"/>
        </w:rPr>
      </w:pPr>
      <w:r>
        <w:rPr>
          <w:rFonts w:hint="eastAsia" w:ascii="宋体" w:hAnsi="宋体" w:cs="宋体"/>
          <w:color w:val="auto"/>
          <w:sz w:val="24"/>
          <w:highlight w:val="none"/>
        </w:rPr>
        <w:t>3.本项目的特定资格要求：</w:t>
      </w:r>
    </w:p>
    <w:p w14:paraId="1E5D0BDB">
      <w:pPr>
        <w:keepNext w:val="0"/>
        <w:keepLines w:val="0"/>
        <w:pageBreakBefore w:val="0"/>
        <w:widowControl w:val="0"/>
        <w:tabs>
          <w:tab w:val="left" w:pos="900"/>
          <w:tab w:val="left" w:pos="1134"/>
          <w:tab w:val="left" w:pos="1589"/>
          <w:tab w:val="left" w:pos="5521"/>
        </w:tabs>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3.1本项目是否属于政府购买服务：</w:t>
      </w:r>
    </w:p>
    <w:p w14:paraId="729C9544">
      <w:pPr>
        <w:keepNext w:val="0"/>
        <w:keepLines w:val="0"/>
        <w:pageBreakBefore w:val="0"/>
        <w:widowControl w:val="0"/>
        <w:tabs>
          <w:tab w:val="left" w:pos="900"/>
          <w:tab w:val="left" w:pos="1134"/>
          <w:tab w:val="left" w:pos="1589"/>
          <w:tab w:val="left" w:pos="5521"/>
        </w:tabs>
        <w:kinsoku/>
        <w:wordWrap/>
        <w:overflowPunct/>
        <w:topLinePunct w:val="0"/>
        <w:autoSpaceDE/>
        <w:autoSpaceDN/>
        <w:bidi w:val="0"/>
        <w:adjustRightInd/>
        <w:snapToGrid w:val="0"/>
        <w:spacing w:after="0" w:line="360" w:lineRule="auto"/>
        <w:ind w:left="991" w:leftChars="472" w:firstLine="2"/>
        <w:textAlignment w:val="auto"/>
        <w:rPr>
          <w:rFonts w:hint="eastAsia" w:ascii="宋体" w:hAnsi="宋体" w:cs="宋体"/>
          <w:color w:val="auto"/>
          <w:sz w:val="24"/>
          <w:highlight w:val="none"/>
        </w:rPr>
      </w:pPr>
      <w:r>
        <w:rPr>
          <w:rFonts w:hint="eastAsia" w:ascii="宋体" w:hAnsi="宋体" w:cs="宋体"/>
          <w:color w:val="auto"/>
          <w:sz w:val="24"/>
          <w:highlight w:val="none"/>
        </w:rPr>
        <w:t>□否</w:t>
      </w:r>
    </w:p>
    <w:p w14:paraId="7C174131">
      <w:pPr>
        <w:keepNext w:val="0"/>
        <w:keepLines w:val="0"/>
        <w:pageBreakBefore w:val="0"/>
        <w:widowControl w:val="0"/>
        <w:tabs>
          <w:tab w:val="left" w:pos="900"/>
          <w:tab w:val="left" w:pos="1134"/>
          <w:tab w:val="left" w:pos="1589"/>
          <w:tab w:val="left" w:pos="5521"/>
        </w:tabs>
        <w:kinsoku/>
        <w:wordWrap/>
        <w:overflowPunct/>
        <w:topLinePunct w:val="0"/>
        <w:autoSpaceDE/>
        <w:autoSpaceDN/>
        <w:bidi w:val="0"/>
        <w:adjustRightInd/>
        <w:snapToGrid w:val="0"/>
        <w:spacing w:after="0" w:line="360" w:lineRule="auto"/>
        <w:ind w:left="991" w:leftChars="472" w:firstLine="2"/>
        <w:textAlignment w:val="auto"/>
        <w:rPr>
          <w:rFonts w:hint="eastAsia" w:ascii="宋体" w:hAnsi="宋体" w:cs="宋体"/>
          <w:color w:val="auto"/>
          <w:sz w:val="24"/>
          <w:highlight w:val="none"/>
        </w:rPr>
      </w:pPr>
      <w:r>
        <w:rPr>
          <w:rFonts w:hint="eastAsia" w:ascii="宋体" w:hAnsi="宋体" w:cs="宋体"/>
          <w:color w:val="auto"/>
          <w:sz w:val="24"/>
          <w:highlight w:val="none"/>
        </w:rPr>
        <w:t>■是，公益一类事业单位、使用事业编制且由财政拨款保障的群团组织，不得作为承接主体；</w:t>
      </w:r>
    </w:p>
    <w:p w14:paraId="232CFFCB">
      <w:pPr>
        <w:keepNext w:val="0"/>
        <w:keepLines w:val="0"/>
        <w:pageBreakBefore w:val="0"/>
        <w:widowControl w:val="0"/>
        <w:tabs>
          <w:tab w:val="left" w:pos="900"/>
          <w:tab w:val="left" w:pos="1134"/>
          <w:tab w:val="left" w:pos="1589"/>
          <w:tab w:val="left" w:pos="5521"/>
        </w:tabs>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3.2其他特定资格要求：</w:t>
      </w:r>
    </w:p>
    <w:p w14:paraId="105DE67E">
      <w:pPr>
        <w:keepNext w:val="0"/>
        <w:keepLines w:val="0"/>
        <w:pageBreakBefore w:val="0"/>
        <w:widowControl w:val="0"/>
        <w:tabs>
          <w:tab w:val="left" w:pos="900"/>
          <w:tab w:val="left" w:pos="1134"/>
          <w:tab w:val="left" w:pos="1589"/>
          <w:tab w:val="left" w:pos="5521"/>
        </w:tabs>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3.2.1</w:t>
      </w:r>
      <w:r>
        <w:rPr>
          <w:rFonts w:hint="eastAsia" w:ascii="宋体" w:hAnsi="宋体" w:cs="宋体"/>
          <w:color w:val="auto"/>
          <w:sz w:val="24"/>
          <w:highlight w:val="none"/>
          <w:u w:val="single"/>
        </w:rPr>
        <w:t>单位负责人为同一人或者存在直接控股、管理关系的不同申请人，不得同时参加本项目的投标。</w:t>
      </w:r>
    </w:p>
    <w:p w14:paraId="7D6017C8">
      <w:pPr>
        <w:keepNext w:val="0"/>
        <w:keepLines w:val="0"/>
        <w:pageBreakBefore w:val="0"/>
        <w:widowControl w:val="0"/>
        <w:tabs>
          <w:tab w:val="left" w:pos="900"/>
          <w:tab w:val="left" w:pos="1134"/>
          <w:tab w:val="left" w:pos="1589"/>
          <w:tab w:val="left" w:pos="5521"/>
        </w:tabs>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3.2.2</w:t>
      </w:r>
      <w:r>
        <w:rPr>
          <w:rFonts w:hint="eastAsia" w:ascii="宋体" w:hAnsi="宋体" w:cs="宋体"/>
          <w:color w:val="auto"/>
          <w:sz w:val="24"/>
          <w:highlight w:val="none"/>
          <w:u w:val="single"/>
        </w:rPr>
        <w:t>申请人未被列入“信用中国”网站（www.creditchina.gov.cn）、中国政府采购网（www.ccgp.gov.cn）渠道信用记录查询的失信被执行人、重大税收违法失信主体、政府采购严重违法失信行为记录名单（处罚期限尚未届满的）</w:t>
      </w:r>
      <w:r>
        <w:rPr>
          <w:rFonts w:hint="eastAsia" w:ascii="宋体" w:hAnsi="宋体" w:cs="宋体"/>
          <w:color w:val="auto"/>
          <w:sz w:val="24"/>
          <w:highlight w:val="none"/>
        </w:rPr>
        <w:t>。</w:t>
      </w:r>
    </w:p>
    <w:p w14:paraId="6A7D53B5">
      <w:pPr>
        <w:tabs>
          <w:tab w:val="left" w:pos="900"/>
          <w:tab w:val="left" w:pos="1134"/>
          <w:tab w:val="left" w:pos="1589"/>
          <w:tab w:val="left" w:pos="5521"/>
        </w:tabs>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w:t>
      </w:r>
      <w:r>
        <w:rPr>
          <w:rFonts w:hint="eastAsia" w:ascii="宋体" w:hAnsi="宋体" w:cs="宋体"/>
          <w:color w:val="auto"/>
          <w:sz w:val="24"/>
          <w:highlight w:val="none"/>
          <w:u w:val="single"/>
        </w:rPr>
        <w:t>须在北京市政府采购电子交易平台获取招标文件。</w:t>
      </w:r>
    </w:p>
    <w:bookmarkEnd w:id="18"/>
    <w:bookmarkEnd w:id="19"/>
    <w:p w14:paraId="650130ED">
      <w:pPr>
        <w:pStyle w:val="3"/>
        <w:widowControl/>
        <w:ind w:firstLine="482"/>
        <w:rPr>
          <w:rFonts w:hint="eastAsia" w:ascii="宋体" w:hAnsi="宋体" w:cs="宋体"/>
          <w:color w:val="auto"/>
          <w:szCs w:val="24"/>
          <w:highlight w:val="none"/>
        </w:rPr>
      </w:pPr>
      <w:bookmarkStart w:id="20" w:name="_Toc35393623"/>
      <w:bookmarkStart w:id="21" w:name="_Toc35393792"/>
      <w:bookmarkStart w:id="22" w:name="_Toc28359082"/>
      <w:bookmarkStart w:id="23" w:name="_Toc28359005"/>
      <w:bookmarkStart w:id="24" w:name="_Toc35393793"/>
      <w:bookmarkStart w:id="25" w:name="_Toc35393624"/>
      <w:r>
        <w:rPr>
          <w:rFonts w:hint="eastAsia" w:ascii="宋体" w:hAnsi="宋体" w:cs="宋体"/>
          <w:color w:val="auto"/>
          <w:szCs w:val="24"/>
          <w:highlight w:val="none"/>
        </w:rPr>
        <w:t>三、获取招标文件</w:t>
      </w:r>
      <w:bookmarkEnd w:id="20"/>
      <w:bookmarkEnd w:id="21"/>
    </w:p>
    <w:p w14:paraId="79BEDCB2">
      <w:pPr>
        <w:keepNext w:val="0"/>
        <w:keepLines w:val="0"/>
        <w:pageBreakBefore w:val="0"/>
        <w:kinsoku/>
        <w:overflowPunct/>
        <w:topLinePunct w:val="0"/>
        <w:autoSpaceDE/>
        <w:autoSpaceDN/>
        <w:bidi w:val="0"/>
        <w:adjustRightInd w:val="0"/>
        <w:snapToGrid w:val="0"/>
        <w:spacing w:after="0" w:line="360" w:lineRule="auto"/>
        <w:ind w:firstLine="480" w:firstLineChars="200"/>
        <w:textAlignment w:val="auto"/>
        <w:rPr>
          <w:rFonts w:hint="eastAsia" w:ascii="宋体" w:hAnsi="宋体" w:cs="宋体"/>
          <w:color w:val="auto"/>
          <w:sz w:val="24"/>
          <w:highlight w:val="none"/>
          <w:lang w:bidi="ar"/>
        </w:rPr>
      </w:pPr>
      <w:r>
        <w:rPr>
          <w:rFonts w:hint="eastAsia" w:ascii="宋体" w:hAnsi="宋体" w:cs="宋体"/>
          <w:color w:val="auto"/>
          <w:sz w:val="24"/>
          <w:highlight w:val="none"/>
          <w:lang w:bidi="ar"/>
        </w:rPr>
        <w:t>1.时间：</w:t>
      </w:r>
      <w:r>
        <w:rPr>
          <w:rFonts w:hint="eastAsia" w:ascii="宋体" w:hAnsi="宋体" w:cs="宋体"/>
          <w:color w:val="auto"/>
          <w:sz w:val="24"/>
          <w:highlight w:val="none"/>
          <w:lang w:bidi="ar"/>
        </w:rPr>
        <w:t>2025年</w:t>
      </w:r>
      <w:r>
        <w:rPr>
          <w:rFonts w:hint="eastAsia" w:ascii="宋体" w:hAnsi="宋体" w:cs="宋体"/>
          <w:color w:val="auto"/>
          <w:sz w:val="24"/>
          <w:highlight w:val="none"/>
          <w:lang w:val="en-US" w:eastAsia="zh-CN" w:bidi="ar"/>
        </w:rPr>
        <w:t>5</w:t>
      </w:r>
      <w:r>
        <w:rPr>
          <w:rFonts w:hint="eastAsia" w:ascii="宋体" w:hAnsi="宋体" w:cs="宋体"/>
          <w:color w:val="auto"/>
          <w:sz w:val="24"/>
          <w:highlight w:val="none"/>
          <w:lang w:bidi="ar"/>
        </w:rPr>
        <w:t>月</w:t>
      </w:r>
      <w:r>
        <w:rPr>
          <w:rFonts w:hint="eastAsia" w:ascii="宋体" w:hAnsi="宋体" w:cs="宋体"/>
          <w:color w:val="auto"/>
          <w:sz w:val="24"/>
          <w:highlight w:val="none"/>
          <w:lang w:val="en-US" w:eastAsia="zh-CN" w:bidi="ar"/>
        </w:rPr>
        <w:t>12</w:t>
      </w:r>
      <w:r>
        <w:rPr>
          <w:rFonts w:hint="eastAsia" w:ascii="宋体" w:hAnsi="宋体" w:cs="宋体"/>
          <w:color w:val="auto"/>
          <w:sz w:val="24"/>
          <w:highlight w:val="none"/>
          <w:lang w:bidi="ar"/>
        </w:rPr>
        <w:t>日至2025年</w:t>
      </w:r>
      <w:r>
        <w:rPr>
          <w:rFonts w:hint="eastAsia" w:ascii="宋体" w:hAnsi="宋体" w:cs="宋体"/>
          <w:color w:val="auto"/>
          <w:sz w:val="24"/>
          <w:highlight w:val="none"/>
          <w:lang w:val="en-US" w:eastAsia="zh-CN" w:bidi="ar"/>
        </w:rPr>
        <w:t>5</w:t>
      </w:r>
      <w:r>
        <w:rPr>
          <w:rFonts w:hint="eastAsia" w:ascii="宋体" w:hAnsi="宋体" w:cs="宋体"/>
          <w:color w:val="auto"/>
          <w:sz w:val="24"/>
          <w:highlight w:val="none"/>
          <w:lang w:bidi="ar"/>
        </w:rPr>
        <w:t>月</w:t>
      </w:r>
      <w:r>
        <w:rPr>
          <w:rFonts w:hint="eastAsia" w:ascii="宋体" w:hAnsi="宋体" w:cs="宋体"/>
          <w:color w:val="auto"/>
          <w:sz w:val="24"/>
          <w:highlight w:val="none"/>
          <w:lang w:val="en-US" w:eastAsia="zh-CN" w:bidi="ar"/>
        </w:rPr>
        <w:t>16</w:t>
      </w:r>
      <w:r>
        <w:rPr>
          <w:rFonts w:hint="eastAsia" w:ascii="宋体" w:hAnsi="宋体" w:cs="宋体"/>
          <w:color w:val="auto"/>
          <w:sz w:val="24"/>
          <w:highlight w:val="none"/>
          <w:lang w:bidi="ar"/>
        </w:rPr>
        <w:t>日，</w:t>
      </w:r>
      <w:r>
        <w:rPr>
          <w:rFonts w:hint="eastAsia" w:ascii="宋体" w:hAnsi="宋体" w:cs="宋体"/>
          <w:color w:val="auto"/>
          <w:sz w:val="24"/>
          <w:highlight w:val="none"/>
          <w:lang w:bidi="ar"/>
        </w:rPr>
        <w:t>每天上午00:00至12:00，下午12:00至24:00（北京时间，法定节假日除外）。</w:t>
      </w:r>
    </w:p>
    <w:p w14:paraId="2A258862">
      <w:pPr>
        <w:keepNext w:val="0"/>
        <w:keepLines w:val="0"/>
        <w:pageBreakBefore w:val="0"/>
        <w:kinsoku/>
        <w:overflowPunct/>
        <w:topLinePunct w:val="0"/>
        <w:autoSpaceDE/>
        <w:autoSpaceDN/>
        <w:bidi w:val="0"/>
        <w:adjustRightInd w:val="0"/>
        <w:snapToGrid w:val="0"/>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bidi="ar"/>
        </w:rPr>
        <w:t>2.地点：北京市政府采购电子交易平台</w:t>
      </w:r>
    </w:p>
    <w:p w14:paraId="7CEDEAD8">
      <w:pPr>
        <w:keepNext w:val="0"/>
        <w:keepLines w:val="0"/>
        <w:pageBreakBefore w:val="0"/>
        <w:widowControl/>
        <w:kinsoku/>
        <w:wordWrap w:val="0"/>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cs="宋体"/>
          <w:color w:val="auto"/>
          <w:sz w:val="24"/>
          <w:highlight w:val="none"/>
          <w:lang w:bidi="ar"/>
        </w:rPr>
      </w:pPr>
      <w:r>
        <w:rPr>
          <w:rFonts w:hint="eastAsia" w:ascii="宋体" w:hAnsi="宋体" w:cs="宋体"/>
          <w:color w:val="auto"/>
          <w:sz w:val="24"/>
          <w:highlight w:val="none"/>
          <w:lang w:bidi="ar"/>
        </w:rPr>
        <w:t>3.方式：供应商持CA数字认证证书登录北京市政府采购电子交易平台（http://zbcg-bjzc.zhongcy.com/bjczj-portal-site/index.html#/home）获取电子版招标文件。</w:t>
      </w:r>
    </w:p>
    <w:p w14:paraId="4E57591A">
      <w:pPr>
        <w:widowControl/>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bidi="ar"/>
        </w:rPr>
        <w:t>4.售价：0元。</w:t>
      </w:r>
    </w:p>
    <w:p w14:paraId="0802255F">
      <w:pPr>
        <w:pStyle w:val="3"/>
        <w:widowControl/>
        <w:ind w:firstLine="482"/>
        <w:rPr>
          <w:rFonts w:hint="eastAsia" w:ascii="宋体" w:hAnsi="宋体" w:cs="宋体"/>
          <w:color w:val="auto"/>
          <w:szCs w:val="24"/>
          <w:highlight w:val="none"/>
        </w:rPr>
      </w:pPr>
      <w:r>
        <w:rPr>
          <w:rFonts w:hint="eastAsia" w:ascii="宋体" w:hAnsi="宋体" w:cs="宋体"/>
          <w:color w:val="auto"/>
          <w:szCs w:val="24"/>
          <w:highlight w:val="none"/>
        </w:rPr>
        <w:t>四、提交投标文件</w:t>
      </w:r>
      <w:bookmarkEnd w:id="22"/>
      <w:bookmarkEnd w:id="23"/>
      <w:r>
        <w:rPr>
          <w:rFonts w:hint="eastAsia" w:ascii="宋体" w:hAnsi="宋体" w:cs="宋体"/>
          <w:color w:val="auto"/>
          <w:szCs w:val="24"/>
          <w:highlight w:val="none"/>
        </w:rPr>
        <w:t>截止时间、开标时间和地点</w:t>
      </w:r>
      <w:bookmarkEnd w:id="24"/>
      <w:bookmarkEnd w:id="25"/>
    </w:p>
    <w:p w14:paraId="556068B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bCs/>
          <w:color w:val="auto"/>
          <w:sz w:val="24"/>
          <w:highlight w:val="none"/>
          <w:u w:val="single"/>
        </w:rPr>
      </w:pPr>
      <w:r>
        <w:rPr>
          <w:rFonts w:hint="eastAsia" w:ascii="宋体" w:hAnsi="宋体" w:cs="宋体"/>
          <w:color w:val="auto"/>
          <w:sz w:val="24"/>
          <w:highlight w:val="none"/>
          <w:lang w:bidi="ar"/>
        </w:rPr>
        <w:t>投标截止时间、开标</w:t>
      </w:r>
      <w:r>
        <w:rPr>
          <w:rFonts w:hint="eastAsia" w:ascii="宋体" w:hAnsi="宋体" w:cs="宋体"/>
          <w:color w:val="auto"/>
          <w:sz w:val="24"/>
          <w:highlight w:val="none"/>
          <w:lang w:bidi="ar"/>
        </w:rPr>
        <w:t>时</w:t>
      </w:r>
      <w:r>
        <w:rPr>
          <w:rFonts w:hint="eastAsia" w:ascii="宋体" w:hAnsi="宋体" w:cs="宋体"/>
          <w:color w:val="auto"/>
          <w:sz w:val="24"/>
          <w:highlight w:val="none"/>
          <w:lang w:bidi="ar"/>
        </w:rPr>
        <w:t>间：2025年</w:t>
      </w:r>
      <w:r>
        <w:rPr>
          <w:rFonts w:hint="eastAsia" w:ascii="宋体" w:hAnsi="宋体" w:cs="宋体"/>
          <w:color w:val="auto"/>
          <w:sz w:val="24"/>
          <w:highlight w:val="none"/>
          <w:lang w:val="en-US" w:eastAsia="zh-CN" w:bidi="ar"/>
        </w:rPr>
        <w:t>6</w:t>
      </w:r>
      <w:r>
        <w:rPr>
          <w:rFonts w:hint="eastAsia" w:ascii="宋体" w:hAnsi="宋体" w:cs="宋体"/>
          <w:color w:val="auto"/>
          <w:sz w:val="24"/>
          <w:highlight w:val="none"/>
          <w:lang w:bidi="ar"/>
        </w:rPr>
        <w:t>月</w:t>
      </w:r>
      <w:r>
        <w:rPr>
          <w:rFonts w:hint="eastAsia" w:ascii="宋体" w:hAnsi="宋体" w:cs="宋体"/>
          <w:color w:val="auto"/>
          <w:sz w:val="24"/>
          <w:highlight w:val="none"/>
          <w:lang w:val="en-US" w:eastAsia="zh-CN" w:bidi="ar"/>
        </w:rPr>
        <w:t>4</w:t>
      </w:r>
      <w:r>
        <w:rPr>
          <w:rFonts w:hint="eastAsia" w:ascii="宋体" w:hAnsi="宋体" w:cs="宋体"/>
          <w:color w:val="auto"/>
          <w:sz w:val="24"/>
          <w:highlight w:val="none"/>
          <w:lang w:bidi="ar"/>
        </w:rPr>
        <w:t>日</w:t>
      </w:r>
      <w:r>
        <w:rPr>
          <w:rFonts w:hint="eastAsia" w:ascii="宋体" w:hAnsi="宋体" w:cs="宋体"/>
          <w:color w:val="auto"/>
          <w:sz w:val="24"/>
          <w:highlight w:val="none"/>
          <w:lang w:val="en-US" w:eastAsia="zh-CN" w:bidi="ar"/>
        </w:rPr>
        <w:t>09</w:t>
      </w:r>
      <w:r>
        <w:rPr>
          <w:rFonts w:hint="eastAsia" w:ascii="宋体" w:hAnsi="宋体" w:cs="宋体"/>
          <w:color w:val="auto"/>
          <w:sz w:val="24"/>
          <w:highlight w:val="none"/>
          <w:lang w:bidi="ar"/>
        </w:rPr>
        <w:t>点</w:t>
      </w:r>
      <w:r>
        <w:rPr>
          <w:rFonts w:hint="eastAsia" w:ascii="宋体" w:hAnsi="宋体" w:cs="宋体"/>
          <w:color w:val="auto"/>
          <w:sz w:val="24"/>
          <w:highlight w:val="none"/>
          <w:lang w:val="en-US" w:eastAsia="zh-CN" w:bidi="ar"/>
        </w:rPr>
        <w:t>30</w:t>
      </w:r>
      <w:r>
        <w:rPr>
          <w:rFonts w:hint="eastAsia" w:ascii="宋体" w:hAnsi="宋体" w:cs="宋体"/>
          <w:color w:val="auto"/>
          <w:sz w:val="24"/>
          <w:highlight w:val="none"/>
          <w:lang w:bidi="ar"/>
        </w:rPr>
        <w:t>分</w:t>
      </w:r>
      <w:r>
        <w:rPr>
          <w:rFonts w:hint="eastAsia" w:ascii="宋体" w:hAnsi="宋体" w:cs="宋体"/>
          <w:bCs/>
          <w:color w:val="auto"/>
          <w:sz w:val="24"/>
          <w:highlight w:val="none"/>
          <w:lang w:bidi="ar"/>
        </w:rPr>
        <w:t>（北京时间）</w:t>
      </w:r>
      <w:r>
        <w:rPr>
          <w:rFonts w:hint="eastAsia" w:ascii="宋体" w:hAnsi="宋体" w:cs="宋体"/>
          <w:iCs/>
          <w:color w:val="auto"/>
          <w:sz w:val="24"/>
          <w:highlight w:val="none"/>
          <w:lang w:bidi="ar"/>
        </w:rPr>
        <w:t>。</w:t>
      </w:r>
    </w:p>
    <w:p w14:paraId="6E9DAE42">
      <w:pPr>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地点：北京市朝阳区东三环中路59号楼京城机电大厦</w:t>
      </w:r>
      <w:r>
        <w:rPr>
          <w:rFonts w:hint="eastAsia" w:ascii="宋体" w:hAnsi="宋体" w:cs="宋体"/>
          <w:color w:val="auto"/>
          <w:sz w:val="24"/>
          <w:highlight w:val="none"/>
          <w:lang w:val="en-US" w:eastAsia="zh-CN" w:bidi="ar"/>
        </w:rPr>
        <w:t>16</w:t>
      </w:r>
      <w:r>
        <w:rPr>
          <w:rFonts w:hint="eastAsia" w:ascii="宋体" w:hAnsi="宋体" w:cs="宋体"/>
          <w:color w:val="auto"/>
          <w:sz w:val="24"/>
          <w:highlight w:val="none"/>
          <w:lang w:bidi="ar"/>
        </w:rPr>
        <w:t>层</w:t>
      </w:r>
      <w:r>
        <w:rPr>
          <w:rFonts w:hint="eastAsia" w:ascii="宋体" w:hAnsi="宋体" w:cs="宋体"/>
          <w:color w:val="auto"/>
          <w:sz w:val="24"/>
          <w:highlight w:val="none"/>
          <w:lang w:val="en-US" w:eastAsia="zh-CN" w:bidi="ar"/>
        </w:rPr>
        <w:t>1607</w:t>
      </w:r>
      <w:r>
        <w:rPr>
          <w:rFonts w:hint="eastAsia" w:ascii="宋体" w:hAnsi="宋体" w:cs="宋体"/>
          <w:color w:val="auto"/>
          <w:sz w:val="24"/>
          <w:highlight w:val="none"/>
          <w:lang w:bidi="ar"/>
        </w:rPr>
        <w:t>会议室。</w:t>
      </w:r>
    </w:p>
    <w:p w14:paraId="32331742">
      <w:pPr>
        <w:pStyle w:val="3"/>
        <w:ind w:firstLine="482"/>
        <w:rPr>
          <w:rFonts w:hint="eastAsia" w:ascii="宋体" w:hAnsi="宋体" w:cs="宋体"/>
          <w:color w:val="auto"/>
          <w:szCs w:val="24"/>
          <w:highlight w:val="none"/>
        </w:rPr>
      </w:pPr>
      <w:bookmarkStart w:id="26" w:name="_Toc35393625"/>
      <w:bookmarkStart w:id="27" w:name="_Toc28359007"/>
      <w:bookmarkStart w:id="28" w:name="_Toc28359084"/>
      <w:bookmarkStart w:id="29" w:name="_Toc35393794"/>
      <w:r>
        <w:rPr>
          <w:rFonts w:hint="eastAsia" w:ascii="宋体" w:hAnsi="宋体" w:cs="宋体"/>
          <w:color w:val="auto"/>
          <w:szCs w:val="24"/>
          <w:highlight w:val="none"/>
        </w:rPr>
        <w:t>五、公告期限</w:t>
      </w:r>
      <w:bookmarkEnd w:id="26"/>
      <w:bookmarkEnd w:id="27"/>
      <w:bookmarkEnd w:id="28"/>
      <w:bookmarkEnd w:id="29"/>
    </w:p>
    <w:p w14:paraId="6D100D6D">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自本公告发布之日起5个工作日。</w:t>
      </w:r>
    </w:p>
    <w:p w14:paraId="1BDFEF42">
      <w:pPr>
        <w:pStyle w:val="3"/>
        <w:ind w:firstLine="482"/>
        <w:rPr>
          <w:rFonts w:hint="eastAsia" w:ascii="宋体" w:hAnsi="宋体" w:cs="宋体"/>
          <w:color w:val="auto"/>
          <w:szCs w:val="24"/>
          <w:highlight w:val="none"/>
        </w:rPr>
      </w:pPr>
      <w:bookmarkStart w:id="30" w:name="_Toc35393626"/>
      <w:bookmarkStart w:id="31" w:name="_Toc35393795"/>
      <w:r>
        <w:rPr>
          <w:rFonts w:hint="eastAsia" w:ascii="宋体" w:hAnsi="宋体" w:cs="宋体"/>
          <w:color w:val="auto"/>
          <w:szCs w:val="24"/>
          <w:highlight w:val="none"/>
        </w:rPr>
        <w:t>六、其他补充事宜</w:t>
      </w:r>
      <w:bookmarkEnd w:id="30"/>
      <w:bookmarkEnd w:id="31"/>
    </w:p>
    <w:p w14:paraId="78EA76BD">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1.本项目需要落实的政府采购政策：</w:t>
      </w:r>
    </w:p>
    <w:p w14:paraId="55DA209A">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cs="宋体"/>
          <w:color w:val="auto"/>
          <w:sz w:val="24"/>
          <w:highlight w:val="none"/>
          <w:lang w:bidi="ar"/>
        </w:rPr>
      </w:pPr>
      <w:r>
        <w:rPr>
          <w:rFonts w:hint="eastAsia" w:ascii="宋体" w:hAnsi="宋体" w:cs="宋体"/>
          <w:color w:val="auto"/>
          <w:sz w:val="24"/>
          <w:highlight w:val="none"/>
          <w:lang w:bidi="ar"/>
        </w:rPr>
        <w:t>1.1节能产品政府采购政策（财库[2004]185号、财库[2019]19号）；</w:t>
      </w:r>
    </w:p>
    <w:p w14:paraId="2C219C2C">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cs="宋体"/>
          <w:color w:val="auto"/>
          <w:sz w:val="24"/>
          <w:highlight w:val="none"/>
          <w:lang w:bidi="ar"/>
        </w:rPr>
      </w:pPr>
      <w:r>
        <w:rPr>
          <w:rFonts w:hint="eastAsia" w:ascii="宋体" w:hAnsi="宋体" w:cs="宋体"/>
          <w:color w:val="auto"/>
          <w:sz w:val="24"/>
          <w:highlight w:val="none"/>
          <w:lang w:bidi="ar"/>
        </w:rPr>
        <w:t>1.2环境标志产品政府采购政策（财库[2019]9号、财库[2019]18号）；</w:t>
      </w:r>
    </w:p>
    <w:p w14:paraId="207110DD">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cs="宋体"/>
          <w:color w:val="auto"/>
          <w:sz w:val="24"/>
          <w:highlight w:val="none"/>
          <w:lang w:bidi="ar"/>
        </w:rPr>
      </w:pPr>
      <w:r>
        <w:rPr>
          <w:rFonts w:hint="eastAsia" w:ascii="宋体" w:hAnsi="宋体" w:cs="宋体"/>
          <w:color w:val="auto"/>
          <w:sz w:val="24"/>
          <w:highlight w:val="none"/>
          <w:lang w:bidi="ar"/>
        </w:rPr>
        <w:t>1.3政府采购进口产品管理政策（财库[2007]119号、财库[2008]248号）；</w:t>
      </w:r>
    </w:p>
    <w:p w14:paraId="2CA0AFB3">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cs="宋体"/>
          <w:color w:val="auto"/>
          <w:sz w:val="24"/>
          <w:highlight w:val="none"/>
          <w:lang w:bidi="ar"/>
        </w:rPr>
      </w:pPr>
      <w:r>
        <w:rPr>
          <w:rFonts w:hint="eastAsia" w:ascii="宋体" w:hAnsi="宋体" w:cs="宋体"/>
          <w:color w:val="auto"/>
          <w:sz w:val="24"/>
          <w:highlight w:val="none"/>
          <w:lang w:bidi="ar"/>
        </w:rPr>
        <w:t>1.4关于印发《政府采购促进中小企业发展管理办法》的通知（财库[2020]46号）；</w:t>
      </w:r>
    </w:p>
    <w:p w14:paraId="2B812F75">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cs="宋体"/>
          <w:color w:val="auto"/>
          <w:sz w:val="24"/>
          <w:highlight w:val="none"/>
          <w:lang w:bidi="ar"/>
        </w:rPr>
      </w:pPr>
      <w:r>
        <w:rPr>
          <w:rFonts w:hint="eastAsia" w:ascii="宋体" w:hAnsi="宋体" w:cs="宋体"/>
          <w:color w:val="auto"/>
          <w:sz w:val="24"/>
          <w:highlight w:val="none"/>
          <w:lang w:bidi="ar"/>
        </w:rPr>
        <w:t>1.5关于进一步加大政府采购支持中小企业力度的通知（财库[2022]19号）；</w:t>
      </w:r>
    </w:p>
    <w:p w14:paraId="160675A5">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cs="宋体"/>
          <w:color w:val="auto"/>
          <w:sz w:val="24"/>
          <w:highlight w:val="none"/>
          <w:lang w:bidi="ar"/>
        </w:rPr>
      </w:pPr>
      <w:r>
        <w:rPr>
          <w:rFonts w:hint="eastAsia" w:ascii="宋体" w:hAnsi="宋体" w:cs="宋体"/>
          <w:color w:val="auto"/>
          <w:sz w:val="24"/>
          <w:highlight w:val="none"/>
          <w:lang w:bidi="ar"/>
        </w:rPr>
        <w:t>1.6政府采购支持监狱企业发展政策（京财采购[2014]2506号、财库[2014]68号）；</w:t>
      </w:r>
    </w:p>
    <w:p w14:paraId="10DC0220">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cs="宋体"/>
          <w:color w:val="auto"/>
          <w:sz w:val="24"/>
          <w:highlight w:val="none"/>
          <w:lang w:bidi="ar"/>
        </w:rPr>
      </w:pPr>
      <w:r>
        <w:rPr>
          <w:rFonts w:hint="eastAsia" w:ascii="宋体" w:hAnsi="宋体" w:cs="宋体"/>
          <w:color w:val="auto"/>
          <w:sz w:val="24"/>
          <w:highlight w:val="none"/>
          <w:lang w:bidi="ar"/>
        </w:rPr>
        <w:t>1.7政府采购促进残疾人就业政策（财库[2017]141号）；</w:t>
      </w:r>
    </w:p>
    <w:p w14:paraId="634A4E87">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cs="宋体"/>
          <w:color w:val="auto"/>
          <w:sz w:val="24"/>
          <w:highlight w:val="none"/>
          <w:lang w:bidi="ar"/>
        </w:rPr>
      </w:pPr>
      <w:r>
        <w:rPr>
          <w:rFonts w:hint="eastAsia" w:ascii="宋体" w:hAnsi="宋体" w:cs="宋体"/>
          <w:color w:val="auto"/>
          <w:sz w:val="24"/>
          <w:highlight w:val="none"/>
          <w:lang w:bidi="ar"/>
        </w:rPr>
        <w:t>1.8关于促进政府采购公平竞争优化营商环境的通知（京财采购[2019]1795号、财库[2019]38号）；</w:t>
      </w:r>
    </w:p>
    <w:p w14:paraId="34B38722">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cs="宋体"/>
          <w:color w:val="auto"/>
          <w:sz w:val="24"/>
          <w:highlight w:val="none"/>
          <w:lang w:bidi="ar"/>
        </w:rPr>
      </w:pPr>
      <w:r>
        <w:rPr>
          <w:rFonts w:hint="eastAsia" w:ascii="宋体" w:hAnsi="宋体" w:cs="宋体"/>
          <w:color w:val="auto"/>
          <w:sz w:val="24"/>
          <w:highlight w:val="none"/>
          <w:lang w:bidi="ar"/>
        </w:rPr>
        <w:t>1.9关于政府购买服务信息平台运行管理有关问题的通知（财综[2017]57号）；</w:t>
      </w:r>
    </w:p>
    <w:p w14:paraId="6653E104">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cs="宋体"/>
          <w:color w:val="auto"/>
          <w:sz w:val="24"/>
          <w:highlight w:val="none"/>
          <w:lang w:bidi="ar"/>
        </w:rPr>
      </w:pPr>
      <w:r>
        <w:rPr>
          <w:rFonts w:hint="eastAsia" w:ascii="宋体" w:hAnsi="宋体" w:cs="宋体"/>
          <w:color w:val="auto"/>
          <w:sz w:val="24"/>
          <w:highlight w:val="none"/>
          <w:lang w:bidi="ar"/>
        </w:rPr>
        <w:t>1.10政府采购贫困地区农副产品实施方案（财库〔2019〕41号）；</w:t>
      </w:r>
    </w:p>
    <w:p w14:paraId="3AEC431A">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cs="宋体"/>
          <w:color w:val="auto"/>
          <w:sz w:val="24"/>
          <w:highlight w:val="none"/>
          <w:lang w:bidi="ar"/>
        </w:rPr>
      </w:pPr>
      <w:r>
        <w:rPr>
          <w:rFonts w:hint="eastAsia" w:ascii="宋体" w:hAnsi="宋体" w:cs="宋体"/>
          <w:color w:val="auto"/>
          <w:sz w:val="24"/>
          <w:highlight w:val="none"/>
          <w:lang w:bidi="ar"/>
        </w:rPr>
        <w:t>1.11关于调整优化节能产品、环境标志产品政府采购执行机制的通知；</w:t>
      </w:r>
    </w:p>
    <w:p w14:paraId="14D6FE76">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cs="宋体"/>
          <w:color w:val="auto"/>
          <w:sz w:val="24"/>
          <w:highlight w:val="none"/>
          <w:lang w:bidi="ar"/>
        </w:rPr>
      </w:pPr>
      <w:r>
        <w:rPr>
          <w:rFonts w:hint="eastAsia" w:ascii="宋体" w:hAnsi="宋体" w:cs="宋体"/>
          <w:color w:val="auto"/>
          <w:sz w:val="24"/>
          <w:highlight w:val="none"/>
          <w:lang w:bidi="ar"/>
        </w:rPr>
        <w:t>1.12商品包装政府采购需求标准（试行）；</w:t>
      </w:r>
    </w:p>
    <w:p w14:paraId="16ECA952">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cs="宋体"/>
          <w:color w:val="auto"/>
          <w:sz w:val="24"/>
          <w:highlight w:val="none"/>
          <w:lang w:bidi="ar"/>
        </w:rPr>
      </w:pPr>
      <w:r>
        <w:rPr>
          <w:rFonts w:hint="eastAsia" w:ascii="宋体" w:hAnsi="宋体" w:cs="宋体"/>
          <w:color w:val="auto"/>
          <w:sz w:val="24"/>
          <w:highlight w:val="none"/>
          <w:lang w:bidi="ar"/>
        </w:rPr>
        <w:t>1.13快递包装政府采购需求标准（试行）》的通知；</w:t>
      </w:r>
    </w:p>
    <w:p w14:paraId="102867F6">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cs="宋体"/>
          <w:color w:val="auto"/>
          <w:sz w:val="24"/>
          <w:highlight w:val="none"/>
          <w:lang w:bidi="ar"/>
        </w:rPr>
      </w:pPr>
      <w:r>
        <w:rPr>
          <w:rFonts w:hint="eastAsia" w:ascii="宋体" w:hAnsi="宋体" w:cs="宋体"/>
          <w:color w:val="auto"/>
          <w:sz w:val="24"/>
          <w:highlight w:val="none"/>
          <w:lang w:bidi="ar"/>
        </w:rPr>
        <w:t>1.14严格贯彻落实挥发性有机物（VOCs）治理工作；</w:t>
      </w:r>
    </w:p>
    <w:p w14:paraId="7929128B">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cs="宋体"/>
          <w:color w:val="auto"/>
          <w:sz w:val="24"/>
          <w:highlight w:val="none"/>
          <w:lang w:bidi="ar"/>
        </w:rPr>
      </w:pPr>
      <w:r>
        <w:rPr>
          <w:rFonts w:hint="eastAsia" w:ascii="宋体" w:hAnsi="宋体" w:cs="宋体"/>
          <w:color w:val="auto"/>
          <w:sz w:val="24"/>
          <w:highlight w:val="none"/>
          <w:lang w:bidi="ar"/>
        </w:rPr>
        <w:t>1.15政府采购促进中小企业发展有关政策；</w:t>
      </w:r>
    </w:p>
    <w:p w14:paraId="37B957F5">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bidi="ar"/>
        </w:rPr>
        <w:t>1.16政府采购其他相关政策。</w:t>
      </w:r>
    </w:p>
    <w:p w14:paraId="5C701669">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cs="宋体"/>
          <w:bCs/>
          <w:color w:val="auto"/>
          <w:sz w:val="24"/>
          <w:highlight w:val="none"/>
          <w:lang w:bidi="ar"/>
        </w:rPr>
      </w:pPr>
      <w:r>
        <w:rPr>
          <w:rFonts w:hint="eastAsia" w:ascii="宋体" w:hAnsi="宋体" w:cs="宋体"/>
          <w:color w:val="auto"/>
          <w:sz w:val="24"/>
          <w:highlight w:val="none"/>
          <w:lang w:bidi="ar"/>
        </w:rPr>
        <w:t>2.</w:t>
      </w:r>
      <w:r>
        <w:rPr>
          <w:rFonts w:hint="eastAsia" w:ascii="宋体" w:hAnsi="宋体" w:cs="宋体"/>
          <w:color w:val="auto"/>
          <w:highlight w:val="none"/>
        </w:rPr>
        <w:t xml:space="preserve"> </w:t>
      </w:r>
      <w:r>
        <w:rPr>
          <w:rFonts w:hint="eastAsia" w:ascii="宋体" w:hAnsi="宋体" w:cs="宋体"/>
          <w:color w:val="auto"/>
          <w:sz w:val="24"/>
          <w:highlight w:val="none"/>
          <w:lang w:bidi="ar"/>
        </w:rPr>
        <w:t>本</w:t>
      </w:r>
      <w:r>
        <w:rPr>
          <w:rFonts w:hint="eastAsia" w:ascii="宋体" w:hAnsi="宋体" w:cs="宋体"/>
          <w:color w:val="auto"/>
          <w:spacing w:val="-1"/>
          <w:sz w:val="24"/>
          <w:highlight w:val="none"/>
        </w:rPr>
        <w:t>项目采用</w:t>
      </w:r>
      <w:r>
        <w:rPr>
          <w:rFonts w:hint="eastAsia" w:ascii="宋体" w:hAnsi="宋体" w:cs="宋体"/>
          <w:b/>
          <w:bCs/>
          <w:color w:val="auto"/>
          <w:spacing w:val="-1"/>
          <w:sz w:val="24"/>
          <w:highlight w:val="none"/>
        </w:rPr>
        <w:t>政府采购电子化与线下流程结合方式</w:t>
      </w:r>
      <w:r>
        <w:rPr>
          <w:rFonts w:hint="eastAsia" w:ascii="宋体" w:hAnsi="宋体" w:cs="宋体"/>
          <w:color w:val="auto"/>
          <w:spacing w:val="-1"/>
          <w:sz w:val="24"/>
          <w:highlight w:val="none"/>
        </w:rPr>
        <w:t>采购方式</w:t>
      </w:r>
      <w:r>
        <w:rPr>
          <w:rFonts w:hint="eastAsia" w:ascii="宋体" w:hAnsi="宋体" w:cs="宋体"/>
          <w:color w:val="auto"/>
          <w:sz w:val="24"/>
          <w:highlight w:val="none"/>
          <w:lang w:bidi="ar"/>
        </w:rPr>
        <w:t>，请投标人认真学习北京市政府采购电子交易平台发布的相关操作指引、演示视频等，核实数字认证证书情况确认是否符合本项目电子化招标要求。</w:t>
      </w:r>
    </w:p>
    <w:p w14:paraId="5318B420">
      <w:pPr>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bidi="ar"/>
        </w:rPr>
        <w:t>CA认证证书服务热线 010-58511086</w:t>
      </w:r>
    </w:p>
    <w:p w14:paraId="75C324BC">
      <w:pPr>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bidi="ar"/>
        </w:rPr>
        <w:t>技术支持服务热线 010-86483801</w:t>
      </w:r>
    </w:p>
    <w:p w14:paraId="5A653CD4">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cs="宋体"/>
          <w:color w:val="auto"/>
          <w:sz w:val="24"/>
          <w:highlight w:val="none"/>
          <w:lang w:bidi="ar"/>
        </w:rPr>
      </w:pPr>
      <w:r>
        <w:rPr>
          <w:rFonts w:hint="eastAsia" w:ascii="宋体" w:hAnsi="宋体" w:cs="宋体"/>
          <w:color w:val="auto"/>
          <w:sz w:val="24"/>
          <w:highlight w:val="none"/>
          <w:lang w:bidi="ar"/>
        </w:rPr>
        <w:t>2.1办理CA认证证书</w:t>
      </w:r>
    </w:p>
    <w:p w14:paraId="78DB66A8">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lang w:bidi="ar"/>
        </w:rPr>
        <w:t>供应商登录北京市政府采购电子交易平台查阅 “用户指南”—“操作指南”—“市场主体CA办理操作流程指引”，按照程序要求办理。</w:t>
      </w:r>
    </w:p>
    <w:p w14:paraId="13FE2C7A">
      <w:pPr>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cs="宋体"/>
          <w:color w:val="auto"/>
          <w:sz w:val="24"/>
          <w:highlight w:val="none"/>
          <w:lang w:bidi="ar"/>
        </w:rPr>
      </w:pPr>
      <w:r>
        <w:rPr>
          <w:rFonts w:hint="eastAsia" w:ascii="宋体" w:hAnsi="宋体" w:cs="宋体"/>
          <w:color w:val="auto"/>
          <w:sz w:val="24"/>
          <w:highlight w:val="none"/>
          <w:lang w:bidi="ar"/>
        </w:rPr>
        <w:t>2.2注册</w:t>
      </w:r>
    </w:p>
    <w:p w14:paraId="18FCF819">
      <w:pPr>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bidi="ar"/>
        </w:rPr>
        <w:t>供应商登录北京市政府采购电子交易平台“用户指南”—“操作指南”—“市场主体注册入库操作流程指引”进行自助注册绑定。</w:t>
      </w:r>
    </w:p>
    <w:p w14:paraId="3BC69E44">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cs="宋体"/>
          <w:color w:val="auto"/>
          <w:sz w:val="24"/>
          <w:highlight w:val="none"/>
          <w:lang w:bidi="ar"/>
        </w:rPr>
      </w:pPr>
      <w:r>
        <w:rPr>
          <w:rFonts w:hint="eastAsia" w:ascii="宋体" w:hAnsi="宋体" w:cs="宋体"/>
          <w:color w:val="auto"/>
          <w:sz w:val="24"/>
          <w:highlight w:val="none"/>
          <w:lang w:bidi="ar"/>
        </w:rPr>
        <w:t>2.3驱动、客户端下载</w:t>
      </w:r>
    </w:p>
    <w:p w14:paraId="4DB25F9C">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lang w:bidi="ar"/>
        </w:rPr>
        <w:t>供应商登录北京市政府采购电子交易平台“用户指南”—“工具下载”—“招标采购系统文件驱动安装包”下载相关驱动。</w:t>
      </w:r>
    </w:p>
    <w:p w14:paraId="4F0AB365">
      <w:pPr>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cs="宋体"/>
          <w:color w:val="auto"/>
          <w:sz w:val="24"/>
          <w:highlight w:val="none"/>
          <w:lang w:bidi="ar"/>
        </w:rPr>
      </w:pPr>
      <w:r>
        <w:rPr>
          <w:rFonts w:hint="eastAsia" w:ascii="宋体" w:hAnsi="宋体" w:cs="宋体"/>
          <w:color w:val="auto"/>
          <w:sz w:val="24"/>
          <w:highlight w:val="none"/>
          <w:lang w:bidi="ar"/>
        </w:rPr>
        <w:t>供应商登录北京市政府采购电子交易平台“用户指南”—“工具下载”—“投标文件编制工具”下载相关客户端。</w:t>
      </w:r>
    </w:p>
    <w:p w14:paraId="68910DB8">
      <w:pPr>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cs="宋体"/>
          <w:color w:val="auto"/>
          <w:sz w:val="24"/>
          <w:highlight w:val="none"/>
          <w:lang w:bidi="ar"/>
        </w:rPr>
      </w:pPr>
      <w:r>
        <w:rPr>
          <w:rFonts w:hint="eastAsia" w:ascii="宋体" w:hAnsi="宋体" w:cs="宋体"/>
          <w:color w:val="auto"/>
          <w:sz w:val="24"/>
          <w:highlight w:val="none"/>
          <w:lang w:bidi="ar"/>
        </w:rPr>
        <w:t>2.4 获取电子招标文件</w:t>
      </w:r>
    </w:p>
    <w:p w14:paraId="1FC8387E">
      <w:pPr>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cs="宋体"/>
          <w:color w:val="auto"/>
          <w:sz w:val="24"/>
          <w:highlight w:val="none"/>
          <w:lang w:eastAsia="zh-TW"/>
        </w:rPr>
      </w:pPr>
      <w:r>
        <w:rPr>
          <w:rFonts w:hint="eastAsia" w:ascii="宋体" w:hAnsi="宋体" w:cs="宋体"/>
          <w:color w:val="auto"/>
          <w:sz w:val="24"/>
          <w:highlight w:val="none"/>
          <w:lang w:bidi="ar"/>
        </w:rPr>
        <w:t>供应商持CA数字认证证书登录北京市政府采购电子交易平台获取电子招标文件，以联合体形式参加投标的，由联合协议中约定的联合体牵头人持自身数字证书登录北京市政府采购电子交易平台免费下载电子版招标文件。未在规定期限内通过北京市政府采购电子交易平台获取招标文件的</w:t>
      </w:r>
      <w:r>
        <w:rPr>
          <w:rFonts w:hint="eastAsia" w:ascii="宋体" w:hAnsi="宋体" w:cs="宋体"/>
          <w:b/>
          <w:color w:val="auto"/>
          <w:sz w:val="24"/>
          <w:highlight w:val="none"/>
          <w:lang w:bidi="ar"/>
        </w:rPr>
        <w:t>投标无效</w:t>
      </w:r>
      <w:r>
        <w:rPr>
          <w:rFonts w:hint="eastAsia" w:ascii="宋体" w:hAnsi="宋体" w:cs="宋体"/>
          <w:color w:val="auto"/>
          <w:sz w:val="24"/>
          <w:highlight w:val="none"/>
          <w:lang w:bidi="ar"/>
        </w:rPr>
        <w:t>。</w:t>
      </w:r>
    </w:p>
    <w:p w14:paraId="5F2BFBC9">
      <w:pPr>
        <w:pStyle w:val="3"/>
        <w:ind w:firstLine="482"/>
        <w:rPr>
          <w:rFonts w:hint="eastAsia" w:ascii="宋体" w:hAnsi="宋体" w:cs="宋体"/>
          <w:color w:val="auto"/>
          <w:szCs w:val="24"/>
          <w:highlight w:val="none"/>
        </w:rPr>
      </w:pPr>
      <w:bookmarkStart w:id="32" w:name="_Toc35393796"/>
      <w:bookmarkStart w:id="33" w:name="_Toc28359008"/>
      <w:bookmarkStart w:id="34" w:name="_Toc35393627"/>
      <w:bookmarkStart w:id="35" w:name="_Toc28359085"/>
      <w:r>
        <w:rPr>
          <w:rFonts w:hint="eastAsia" w:ascii="宋体" w:hAnsi="宋体" w:cs="宋体"/>
          <w:color w:val="auto"/>
          <w:szCs w:val="24"/>
          <w:highlight w:val="none"/>
        </w:rPr>
        <w:t>七、对本次招标提出询问，请按以下方式联系。</w:t>
      </w:r>
      <w:bookmarkEnd w:id="32"/>
      <w:bookmarkEnd w:id="33"/>
      <w:bookmarkEnd w:id="34"/>
      <w:bookmarkEnd w:id="35"/>
    </w:p>
    <w:p w14:paraId="356728D5">
      <w:pPr>
        <w:keepNext w:val="0"/>
        <w:keepLines w:val="0"/>
        <w:pageBreakBefore w:val="0"/>
        <w:widowControl/>
        <w:kinsoku/>
        <w:wordWrap/>
        <w:overflowPunct/>
        <w:topLinePunct w:val="0"/>
        <w:autoSpaceDE/>
        <w:autoSpaceDN/>
        <w:bidi w:val="0"/>
        <w:adjustRightInd/>
        <w:snapToGrid/>
        <w:spacing w:after="0" w:line="360" w:lineRule="auto"/>
        <w:ind w:firstLine="723" w:firstLineChars="300"/>
        <w:jc w:val="left"/>
        <w:textAlignment w:val="auto"/>
        <w:rPr>
          <w:rFonts w:hint="eastAsia" w:ascii="宋体" w:hAnsi="宋体" w:cs="宋体"/>
          <w:b/>
          <w:color w:val="auto"/>
          <w:sz w:val="24"/>
          <w:highlight w:val="none"/>
        </w:rPr>
      </w:pPr>
      <w:r>
        <w:rPr>
          <w:rFonts w:hint="eastAsia" w:ascii="宋体" w:hAnsi="宋体" w:cs="宋体"/>
          <w:b/>
          <w:color w:val="auto"/>
          <w:sz w:val="24"/>
          <w:highlight w:val="none"/>
        </w:rPr>
        <w:t>1.采购人信息</w:t>
      </w:r>
    </w:p>
    <w:p w14:paraId="519652E9">
      <w:pPr>
        <w:keepNext w:val="0"/>
        <w:keepLines w:val="0"/>
        <w:pageBreakBefore w:val="0"/>
        <w:kinsoku/>
        <w:wordWrap/>
        <w:overflowPunct/>
        <w:topLinePunct w:val="0"/>
        <w:autoSpaceDE/>
        <w:autoSpaceDN/>
        <w:bidi w:val="0"/>
        <w:adjustRightInd/>
        <w:snapToGrid/>
        <w:spacing w:after="0" w:line="360" w:lineRule="auto"/>
        <w:ind w:left="1079" w:leftChars="371" w:hanging="300" w:hangingChars="125"/>
        <w:jc w:val="left"/>
        <w:textAlignment w:val="auto"/>
        <w:rPr>
          <w:rFonts w:hint="eastAsia" w:ascii="宋体" w:hAnsi="宋体" w:cs="宋体"/>
          <w:color w:val="auto"/>
          <w:sz w:val="24"/>
          <w:highlight w:val="none"/>
        </w:rPr>
      </w:pPr>
      <w:bookmarkStart w:id="36" w:name="_Toc28359086"/>
      <w:bookmarkStart w:id="37" w:name="_Toc28359009"/>
      <w:r>
        <w:rPr>
          <w:rFonts w:hint="eastAsia" w:ascii="宋体" w:hAnsi="宋体" w:cs="宋体"/>
          <w:color w:val="auto"/>
          <w:sz w:val="24"/>
          <w:highlight w:val="none"/>
        </w:rPr>
        <w:t>名    称：</w:t>
      </w:r>
      <w:r>
        <w:rPr>
          <w:rFonts w:hint="eastAsia" w:ascii="宋体" w:hAnsi="宋体" w:cs="宋体"/>
          <w:color w:val="auto"/>
          <w:sz w:val="24"/>
          <w:highlight w:val="none"/>
          <w:u w:val="single"/>
        </w:rPr>
        <w:t xml:space="preserve">北京市应急管理局 </w:t>
      </w:r>
    </w:p>
    <w:p w14:paraId="0EF7A531">
      <w:pPr>
        <w:keepNext w:val="0"/>
        <w:keepLines w:val="0"/>
        <w:pageBreakBefore w:val="0"/>
        <w:kinsoku/>
        <w:wordWrap/>
        <w:overflowPunct/>
        <w:topLinePunct w:val="0"/>
        <w:autoSpaceDE/>
        <w:autoSpaceDN/>
        <w:bidi w:val="0"/>
        <w:adjustRightInd/>
        <w:snapToGrid/>
        <w:spacing w:after="0" w:line="360" w:lineRule="auto"/>
        <w:ind w:left="1079" w:leftChars="371" w:hanging="300" w:hangingChars="125"/>
        <w:jc w:val="left"/>
        <w:textAlignment w:val="auto"/>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北京市通州区运河东大街57号院4号楼</w:t>
      </w:r>
    </w:p>
    <w:p w14:paraId="4D88F588">
      <w:pPr>
        <w:keepNext w:val="0"/>
        <w:keepLines w:val="0"/>
        <w:pageBreakBefore w:val="0"/>
        <w:kinsoku/>
        <w:wordWrap/>
        <w:overflowPunct/>
        <w:topLinePunct w:val="0"/>
        <w:autoSpaceDE/>
        <w:autoSpaceDN/>
        <w:bidi w:val="0"/>
        <w:adjustRightInd/>
        <w:snapToGrid/>
        <w:spacing w:after="0" w:line="360" w:lineRule="auto"/>
        <w:ind w:left="1079" w:leftChars="371" w:hanging="300" w:hangingChars="125"/>
        <w:jc w:val="left"/>
        <w:textAlignment w:val="auto"/>
        <w:rPr>
          <w:rFonts w:hint="eastAsia" w:ascii="宋体" w:hAnsi="宋体" w:cs="宋体"/>
          <w:color w:val="auto"/>
          <w:sz w:val="24"/>
          <w:highlight w:val="none"/>
          <w:u w:val="single"/>
        </w:rPr>
      </w:pP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谷老师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010-55579928</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p>
    <w:p w14:paraId="1A404D1B">
      <w:pPr>
        <w:keepNext w:val="0"/>
        <w:keepLines w:val="0"/>
        <w:pageBreakBefore w:val="0"/>
        <w:kinsoku/>
        <w:wordWrap/>
        <w:overflowPunct/>
        <w:topLinePunct w:val="0"/>
        <w:autoSpaceDE/>
        <w:autoSpaceDN/>
        <w:bidi w:val="0"/>
        <w:adjustRightInd/>
        <w:snapToGrid/>
        <w:spacing w:after="0" w:line="360" w:lineRule="auto"/>
        <w:ind w:left="1080" w:leftChars="371" w:hanging="301" w:hangingChars="125"/>
        <w:jc w:val="left"/>
        <w:textAlignment w:val="auto"/>
        <w:rPr>
          <w:rFonts w:hint="eastAsia" w:ascii="宋体" w:hAnsi="宋体" w:cs="宋体"/>
          <w:b/>
          <w:color w:val="auto"/>
          <w:sz w:val="24"/>
          <w:highlight w:val="none"/>
        </w:rPr>
      </w:pPr>
      <w:r>
        <w:rPr>
          <w:rFonts w:hint="eastAsia" w:ascii="宋体" w:hAnsi="宋体" w:cs="宋体"/>
          <w:b/>
          <w:color w:val="auto"/>
          <w:sz w:val="24"/>
          <w:highlight w:val="none"/>
        </w:rPr>
        <w:t>2.采购代理机构信息</w:t>
      </w:r>
      <w:bookmarkEnd w:id="36"/>
      <w:bookmarkEnd w:id="37"/>
    </w:p>
    <w:p w14:paraId="2FDAD176">
      <w:pPr>
        <w:keepNext w:val="0"/>
        <w:keepLines w:val="0"/>
        <w:pageBreakBefore w:val="0"/>
        <w:kinsoku/>
        <w:wordWrap/>
        <w:overflowPunct/>
        <w:topLinePunct w:val="0"/>
        <w:autoSpaceDE/>
        <w:autoSpaceDN/>
        <w:bidi w:val="0"/>
        <w:adjustRightInd/>
        <w:snapToGrid/>
        <w:spacing w:after="0" w:line="360" w:lineRule="auto"/>
        <w:ind w:left="1079" w:leftChars="371" w:hanging="300" w:hangingChars="125"/>
        <w:jc w:val="left"/>
        <w:textAlignment w:val="auto"/>
        <w:rPr>
          <w:rFonts w:hint="eastAsia" w:ascii="宋体" w:hAnsi="宋体" w:cs="宋体"/>
          <w:color w:val="auto"/>
          <w:sz w:val="24"/>
          <w:highlight w:val="none"/>
          <w:u w:val="single"/>
        </w:rPr>
      </w:pPr>
      <w:bookmarkStart w:id="38" w:name="_Toc28359087"/>
      <w:bookmarkStart w:id="39" w:name="_Toc28359010"/>
      <w:r>
        <w:rPr>
          <w:rFonts w:hint="eastAsia" w:ascii="宋体" w:hAnsi="宋体" w:cs="宋体"/>
          <w:color w:val="auto"/>
          <w:sz w:val="24"/>
          <w:highlight w:val="none"/>
        </w:rPr>
        <w:t>名    称：</w:t>
      </w:r>
      <w:r>
        <w:rPr>
          <w:rFonts w:hint="eastAsia" w:ascii="宋体" w:hAnsi="宋体" w:cs="宋体"/>
          <w:color w:val="auto"/>
          <w:sz w:val="24"/>
          <w:highlight w:val="none"/>
          <w:u w:val="single"/>
        </w:rPr>
        <w:t>中信国际招标有限公司</w:t>
      </w:r>
    </w:p>
    <w:p w14:paraId="78A26EBC">
      <w:pPr>
        <w:keepNext w:val="0"/>
        <w:keepLines w:val="0"/>
        <w:pageBreakBefore w:val="0"/>
        <w:kinsoku/>
        <w:wordWrap/>
        <w:overflowPunct/>
        <w:topLinePunct w:val="0"/>
        <w:autoSpaceDE/>
        <w:autoSpaceDN/>
        <w:bidi w:val="0"/>
        <w:adjustRightInd/>
        <w:snapToGrid/>
        <w:spacing w:after="0" w:line="360" w:lineRule="auto"/>
        <w:ind w:left="1079" w:leftChars="371" w:hanging="300" w:hangingChars="125"/>
        <w:jc w:val="left"/>
        <w:textAlignment w:val="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北京市朝阳区东三环中路59号楼18层（实际楼层15层）1801、1802、1803室</w:t>
      </w:r>
    </w:p>
    <w:p w14:paraId="0A7F1E75">
      <w:pPr>
        <w:keepNext w:val="0"/>
        <w:keepLines w:val="0"/>
        <w:pageBreakBefore w:val="0"/>
        <w:kinsoku/>
        <w:wordWrap/>
        <w:overflowPunct/>
        <w:topLinePunct w:val="0"/>
        <w:autoSpaceDE/>
        <w:autoSpaceDN/>
        <w:bidi w:val="0"/>
        <w:adjustRightInd/>
        <w:snapToGrid/>
        <w:spacing w:after="0" w:line="360" w:lineRule="auto"/>
        <w:ind w:left="1079" w:leftChars="371" w:hanging="300" w:hangingChars="125"/>
        <w:jc w:val="left"/>
        <w:textAlignment w:val="auto"/>
        <w:rPr>
          <w:rFonts w:hint="eastAsia" w:ascii="宋体" w:hAnsi="宋体" w:cs="宋体"/>
          <w:color w:val="auto"/>
          <w:sz w:val="24"/>
          <w:highlight w:val="none"/>
          <w:u w:val="single"/>
        </w:rPr>
      </w:pPr>
      <w:r>
        <w:rPr>
          <w:rFonts w:hint="eastAsia" w:ascii="宋体" w:hAnsi="宋体" w:cs="宋体"/>
          <w:color w:val="auto"/>
          <w:sz w:val="24"/>
          <w:highlight w:val="none"/>
        </w:rPr>
        <w:t>联系方式：</w:t>
      </w:r>
      <w:bookmarkStart w:id="40" w:name="_Hlk130459369"/>
      <w:r>
        <w:rPr>
          <w:rFonts w:hint="eastAsia" w:ascii="宋体" w:hAnsi="宋体" w:cs="宋体"/>
          <w:color w:val="auto"/>
          <w:sz w:val="24"/>
          <w:highlight w:val="none"/>
          <w:u w:val="single"/>
        </w:rPr>
        <w:t>黄春雪、郝金良、刘岳、钱大鹏 010-87945198-618</w:t>
      </w:r>
    </w:p>
    <w:bookmarkEnd w:id="40"/>
    <w:p w14:paraId="49C0213B">
      <w:pPr>
        <w:keepNext w:val="0"/>
        <w:keepLines w:val="0"/>
        <w:pageBreakBefore w:val="0"/>
        <w:kinsoku/>
        <w:wordWrap/>
        <w:overflowPunct/>
        <w:topLinePunct w:val="0"/>
        <w:autoSpaceDE/>
        <w:autoSpaceDN/>
        <w:bidi w:val="0"/>
        <w:adjustRightInd/>
        <w:snapToGrid/>
        <w:spacing w:after="0" w:line="360" w:lineRule="auto"/>
        <w:ind w:firstLine="723" w:firstLineChars="300"/>
        <w:textAlignment w:val="auto"/>
        <w:rPr>
          <w:rFonts w:hint="eastAsia" w:ascii="宋体" w:hAnsi="宋体" w:cs="宋体"/>
          <w:b/>
          <w:color w:val="auto"/>
          <w:sz w:val="24"/>
          <w:highlight w:val="none"/>
          <w:u w:val="single"/>
        </w:rPr>
      </w:pPr>
      <w:r>
        <w:rPr>
          <w:rFonts w:hint="eastAsia" w:ascii="宋体" w:hAnsi="宋体" w:cs="宋体"/>
          <w:b/>
          <w:color w:val="auto"/>
          <w:sz w:val="24"/>
          <w:highlight w:val="none"/>
        </w:rPr>
        <w:t>3.项目联系方式</w:t>
      </w:r>
      <w:bookmarkEnd w:id="38"/>
      <w:bookmarkEnd w:id="39"/>
    </w:p>
    <w:p w14:paraId="6AC7AD25">
      <w:pPr>
        <w:pStyle w:val="25"/>
        <w:keepNext w:val="0"/>
        <w:keepLines w:val="0"/>
        <w:pageBreakBefore w:val="0"/>
        <w:kinsoku/>
        <w:wordWrap/>
        <w:overflowPunct/>
        <w:topLinePunct w:val="0"/>
        <w:autoSpaceDE/>
        <w:autoSpaceDN/>
        <w:bidi w:val="0"/>
        <w:adjustRightInd/>
        <w:snapToGrid/>
        <w:spacing w:after="0" w:line="360" w:lineRule="auto"/>
        <w:ind w:firstLine="720" w:firstLineChars="300"/>
        <w:textAlignment w:val="auto"/>
        <w:rPr>
          <w:rFonts w:hAnsi="宋体" w:cs="宋体"/>
          <w:color w:val="auto"/>
          <w:sz w:val="24"/>
          <w:szCs w:val="24"/>
          <w:highlight w:val="none"/>
        </w:rPr>
      </w:pPr>
      <w:r>
        <w:rPr>
          <w:rFonts w:hAnsi="宋体" w:cs="宋体"/>
          <w:color w:val="auto"/>
          <w:sz w:val="24"/>
          <w:szCs w:val="24"/>
          <w:highlight w:val="none"/>
        </w:rPr>
        <w:t>项目联系人：</w:t>
      </w:r>
      <w:r>
        <w:rPr>
          <w:rFonts w:hAnsi="宋体" w:cs="宋体"/>
          <w:color w:val="auto"/>
          <w:sz w:val="24"/>
          <w:highlight w:val="none"/>
          <w:u w:val="single"/>
        </w:rPr>
        <w:t>黄春雪、郝金良、刘岳、钱大鹏</w:t>
      </w:r>
    </w:p>
    <w:p w14:paraId="094A670C">
      <w:pPr>
        <w:pStyle w:val="25"/>
        <w:keepNext w:val="0"/>
        <w:keepLines w:val="0"/>
        <w:pageBreakBefore w:val="0"/>
        <w:kinsoku/>
        <w:wordWrap/>
        <w:overflowPunct/>
        <w:topLinePunct w:val="0"/>
        <w:autoSpaceDE/>
        <w:autoSpaceDN/>
        <w:bidi w:val="0"/>
        <w:adjustRightInd/>
        <w:snapToGrid/>
        <w:spacing w:after="0" w:line="360" w:lineRule="auto"/>
        <w:ind w:firstLine="720" w:firstLineChars="300"/>
        <w:textAlignment w:val="auto"/>
        <w:rPr>
          <w:rFonts w:hAnsi="宋体" w:cs="宋体"/>
          <w:color w:val="auto"/>
          <w:sz w:val="24"/>
          <w:szCs w:val="24"/>
          <w:highlight w:val="none"/>
        </w:rPr>
      </w:pPr>
      <w:r>
        <w:rPr>
          <w:rFonts w:hAnsi="宋体" w:cs="宋体"/>
          <w:color w:val="auto"/>
          <w:sz w:val="24"/>
          <w:highlight w:val="none"/>
        </w:rPr>
        <w:t>电      话：</w:t>
      </w:r>
      <w:bookmarkStart w:id="41" w:name="_Hlk130459387"/>
      <w:r>
        <w:rPr>
          <w:rFonts w:hAnsi="宋体" w:cs="宋体"/>
          <w:color w:val="auto"/>
          <w:sz w:val="24"/>
          <w:highlight w:val="none"/>
          <w:u w:val="single"/>
        </w:rPr>
        <w:t>010-87945198-618</w:t>
      </w:r>
    </w:p>
    <w:bookmarkEnd w:id="41"/>
    <w:p w14:paraId="065FDB8E">
      <w:pPr>
        <w:spacing w:line="360" w:lineRule="auto"/>
        <w:ind w:firstLine="5880" w:firstLineChars="2450"/>
        <w:jc w:val="right"/>
        <w:rPr>
          <w:rFonts w:hint="eastAsia" w:ascii="宋体" w:hAnsi="宋体" w:cs="宋体"/>
          <w:color w:val="auto"/>
          <w:sz w:val="24"/>
          <w:highlight w:val="none"/>
        </w:rPr>
      </w:pPr>
    </w:p>
    <w:p w14:paraId="26767FCC">
      <w:pPr>
        <w:spacing w:line="360" w:lineRule="auto"/>
        <w:jc w:val="center"/>
        <w:outlineLvl w:val="0"/>
        <w:rPr>
          <w:rFonts w:hint="eastAsia" w:ascii="宋体" w:hAnsi="宋体" w:cs="宋体"/>
          <w:b/>
          <w:color w:val="auto"/>
          <w:sz w:val="32"/>
          <w:szCs w:val="32"/>
          <w:highlight w:val="none"/>
        </w:rPr>
      </w:pPr>
      <w:r>
        <w:rPr>
          <w:rFonts w:hint="eastAsia" w:ascii="宋体" w:hAnsi="宋体" w:cs="宋体"/>
          <w:color w:val="auto"/>
          <w:sz w:val="24"/>
          <w:highlight w:val="none"/>
        </w:rPr>
        <w:br w:type="page"/>
      </w:r>
      <w:bookmarkStart w:id="42" w:name="_Toc226965856"/>
      <w:bookmarkStart w:id="43" w:name="_Toc195842950"/>
      <w:bookmarkStart w:id="44" w:name="_Toc148368070"/>
      <w:bookmarkStart w:id="45" w:name="_Toc353825548"/>
      <w:bookmarkStart w:id="46" w:name="_Toc305158928"/>
      <w:bookmarkStart w:id="47" w:name="_Toc127161488"/>
      <w:bookmarkStart w:id="48" w:name="_Toc127151777"/>
      <w:bookmarkStart w:id="49" w:name="_Toc265228423"/>
      <w:bookmarkStart w:id="50" w:name="_Toc305158854"/>
      <w:bookmarkStart w:id="51" w:name="_Toc353873938"/>
      <w:bookmarkStart w:id="52" w:name="_Toc28174"/>
      <w:bookmarkStart w:id="53" w:name="_Toc31008"/>
      <w:bookmarkStart w:id="54" w:name="_Toc150774783"/>
      <w:bookmarkStart w:id="55" w:name="_Toc512937850"/>
      <w:bookmarkStart w:id="56" w:name="_Toc264969275"/>
      <w:r>
        <w:rPr>
          <w:rFonts w:hint="eastAsia" w:ascii="宋体" w:hAnsi="宋体" w:cs="宋体"/>
          <w:b/>
          <w:color w:val="auto"/>
          <w:sz w:val="36"/>
          <w:szCs w:val="36"/>
          <w:highlight w:val="none"/>
        </w:rPr>
        <w:t>第二章   投标人须知</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2B118B34">
      <w:pPr>
        <w:pStyle w:val="3"/>
        <w:tabs>
          <w:tab w:val="center" w:pos="4592"/>
          <w:tab w:val="left" w:pos="7860"/>
        </w:tabs>
        <w:ind w:firstLine="562"/>
        <w:jc w:val="center"/>
        <w:rPr>
          <w:rFonts w:hint="eastAsia" w:ascii="宋体" w:hAnsi="宋体" w:cs="宋体"/>
          <w:color w:val="auto"/>
          <w:sz w:val="28"/>
          <w:highlight w:val="none"/>
        </w:rPr>
      </w:pPr>
      <w:bookmarkStart w:id="57" w:name="_Hlk112838129"/>
      <w:bookmarkStart w:id="58" w:name="_Toc151193907"/>
      <w:bookmarkStart w:id="59" w:name="_Toc150774619"/>
      <w:bookmarkStart w:id="60" w:name="_Toc164229360"/>
      <w:bookmarkStart w:id="61" w:name="_Toc164608633"/>
      <w:bookmarkStart w:id="62" w:name="_Toc151190146"/>
      <w:bookmarkStart w:id="63" w:name="_Toc150774724"/>
      <w:bookmarkStart w:id="64" w:name="_Toc226965709"/>
      <w:bookmarkStart w:id="65" w:name="_Toc226337215"/>
      <w:bookmarkStart w:id="66" w:name="_Toc195842884"/>
      <w:bookmarkStart w:id="67" w:name="_Toc151193833"/>
      <w:bookmarkStart w:id="68" w:name="_Toc151193617"/>
      <w:bookmarkStart w:id="69" w:name="_Toc150480757"/>
      <w:bookmarkStart w:id="70" w:name="_Toc164608788"/>
      <w:bookmarkStart w:id="71" w:name="_Toc127161433"/>
      <w:bookmarkStart w:id="72" w:name="_Toc151193761"/>
      <w:bookmarkStart w:id="73" w:name="_Toc150509270"/>
      <w:bookmarkStart w:id="74" w:name="_Toc127151720"/>
      <w:bookmarkStart w:id="75" w:name="_Toc226309763"/>
      <w:bookmarkStart w:id="76" w:name="_Toc142311021"/>
      <w:bookmarkStart w:id="77" w:name="_Toc164351613"/>
      <w:bookmarkStart w:id="78" w:name="_Toc149720812"/>
      <w:bookmarkStart w:id="79" w:name="_Toc226965792"/>
      <w:bookmarkStart w:id="80" w:name="_Toc520356144"/>
      <w:bookmarkStart w:id="81" w:name="_Toc127151519"/>
      <w:bookmarkStart w:id="82" w:name="_Toc151193689"/>
      <w:bookmarkStart w:id="83" w:name="_Toc164229214"/>
      <w:r>
        <w:rPr>
          <w:rFonts w:hint="eastAsia" w:ascii="宋体" w:hAnsi="宋体" w:cs="宋体"/>
          <w:color w:val="auto"/>
          <w:sz w:val="28"/>
          <w:highlight w:val="none"/>
        </w:rPr>
        <w:t>投标人须知资料表</w:t>
      </w:r>
    </w:p>
    <w:bookmarkEnd w:id="57"/>
    <w:p w14:paraId="79B38221">
      <w:pPr>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ascii="宋体" w:hAnsi="宋体" w:cs="宋体"/>
          <w:color w:val="auto"/>
          <w:sz w:val="24"/>
          <w:highlight w:val="none"/>
        </w:rPr>
      </w:pPr>
      <w:r>
        <w:rPr>
          <w:rFonts w:hint="eastAsia" w:ascii="宋体" w:hAnsi="宋体" w:cs="宋体"/>
          <w:color w:val="auto"/>
          <w:sz w:val="24"/>
          <w:highlight w:val="none"/>
        </w:rPr>
        <w:t>本表是对投标人须知的具体补充和修改，如有矛盾，均以本资料表为准。</w:t>
      </w:r>
    </w:p>
    <w:tbl>
      <w:tblPr>
        <w:tblStyle w:val="47"/>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606"/>
        <w:gridCol w:w="6681"/>
      </w:tblGrid>
      <w:tr w14:paraId="5F709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4" w:hRule="atLeast"/>
          <w:tblHeader/>
          <w:jc w:val="center"/>
        </w:trPr>
        <w:tc>
          <w:tcPr>
            <w:tcW w:w="988" w:type="dxa"/>
            <w:vAlign w:val="center"/>
          </w:tcPr>
          <w:p w14:paraId="76943434">
            <w:pPr>
              <w:keepNext w:val="0"/>
              <w:keepLines w:val="0"/>
              <w:pageBreakBefore w:val="0"/>
              <w:widowControl w:val="0"/>
              <w:kinsoku/>
              <w:wordWrap/>
              <w:overflowPunct/>
              <w:topLinePunct w:val="0"/>
              <w:bidi w:val="0"/>
              <w:spacing w:after="0" w:line="320" w:lineRule="exact"/>
              <w:jc w:val="center"/>
              <w:rPr>
                <w:rFonts w:hint="eastAsia" w:ascii="宋体" w:hAnsi="宋体" w:cs="宋体"/>
                <w:b/>
                <w:bCs/>
                <w:color w:val="auto"/>
                <w:sz w:val="24"/>
                <w:highlight w:val="none"/>
              </w:rPr>
            </w:pPr>
            <w:r>
              <w:rPr>
                <w:rFonts w:hint="eastAsia" w:ascii="宋体" w:hAnsi="宋体" w:cs="宋体"/>
                <w:b/>
                <w:color w:val="auto"/>
                <w:sz w:val="24"/>
                <w:highlight w:val="none"/>
              </w:rPr>
              <w:t>条款号</w:t>
            </w:r>
          </w:p>
        </w:tc>
        <w:tc>
          <w:tcPr>
            <w:tcW w:w="1606" w:type="dxa"/>
            <w:vAlign w:val="center"/>
          </w:tcPr>
          <w:p w14:paraId="2EA3B7C9">
            <w:pPr>
              <w:keepNext w:val="0"/>
              <w:keepLines w:val="0"/>
              <w:pageBreakBefore w:val="0"/>
              <w:widowControl w:val="0"/>
              <w:kinsoku/>
              <w:wordWrap/>
              <w:overflowPunct/>
              <w:topLinePunct w:val="0"/>
              <w:bidi w:val="0"/>
              <w:spacing w:after="0" w:line="32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条目</w:t>
            </w:r>
          </w:p>
        </w:tc>
        <w:tc>
          <w:tcPr>
            <w:tcW w:w="6681" w:type="dxa"/>
            <w:vAlign w:val="center"/>
          </w:tcPr>
          <w:p w14:paraId="59CE6E76">
            <w:pPr>
              <w:keepNext w:val="0"/>
              <w:keepLines w:val="0"/>
              <w:pageBreakBefore w:val="0"/>
              <w:widowControl w:val="0"/>
              <w:kinsoku/>
              <w:wordWrap/>
              <w:overflowPunct/>
              <w:topLinePunct w:val="0"/>
              <w:bidi w:val="0"/>
              <w:spacing w:after="0" w:line="32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内容</w:t>
            </w:r>
          </w:p>
        </w:tc>
      </w:tr>
      <w:tr w14:paraId="7B37E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DCD287A">
            <w:pPr>
              <w:pStyle w:val="25"/>
              <w:keepNext w:val="0"/>
              <w:keepLines w:val="0"/>
              <w:pageBreakBefore w:val="0"/>
              <w:widowControl w:val="0"/>
              <w:kinsoku/>
              <w:wordWrap/>
              <w:overflowPunct/>
              <w:topLinePunct w:val="0"/>
              <w:bidi w:val="0"/>
              <w:adjustRightInd w:val="0"/>
              <w:snapToGrid w:val="0"/>
              <w:spacing w:after="0" w:line="320" w:lineRule="exact"/>
              <w:jc w:val="center"/>
              <w:rPr>
                <w:rFonts w:hAnsi="宋体" w:cs="宋体"/>
                <w:color w:val="auto"/>
                <w:sz w:val="24"/>
                <w:szCs w:val="24"/>
                <w:highlight w:val="none"/>
              </w:rPr>
            </w:pPr>
            <w:r>
              <w:rPr>
                <w:rFonts w:hAnsi="宋体" w:cs="宋体"/>
                <w:color w:val="auto"/>
                <w:sz w:val="24"/>
                <w:szCs w:val="24"/>
                <w:highlight w:val="none"/>
              </w:rPr>
              <w:t>2.2</w:t>
            </w:r>
          </w:p>
        </w:tc>
        <w:tc>
          <w:tcPr>
            <w:tcW w:w="1606" w:type="dxa"/>
            <w:vAlign w:val="center"/>
          </w:tcPr>
          <w:p w14:paraId="4296D04C">
            <w:pPr>
              <w:keepNext w:val="0"/>
              <w:keepLines w:val="0"/>
              <w:pageBreakBefore w:val="0"/>
              <w:widowControl w:val="0"/>
              <w:kinsoku/>
              <w:wordWrap/>
              <w:overflowPunct/>
              <w:topLinePunct w:val="0"/>
              <w:bidi w:val="0"/>
              <w:spacing w:after="0" w:line="320" w:lineRule="exact"/>
              <w:jc w:val="center"/>
              <w:rPr>
                <w:rFonts w:hint="eastAsia" w:ascii="宋体" w:hAnsi="宋体" w:cs="宋体"/>
                <w:color w:val="auto"/>
                <w:sz w:val="24"/>
                <w:highlight w:val="none"/>
              </w:rPr>
            </w:pPr>
            <w:r>
              <w:rPr>
                <w:rFonts w:hint="eastAsia" w:ascii="宋体" w:hAnsi="宋体" w:cs="宋体"/>
                <w:color w:val="auto"/>
                <w:sz w:val="24"/>
                <w:highlight w:val="none"/>
              </w:rPr>
              <w:t>项目属性</w:t>
            </w:r>
          </w:p>
        </w:tc>
        <w:tc>
          <w:tcPr>
            <w:tcW w:w="6681" w:type="dxa"/>
            <w:vAlign w:val="center"/>
          </w:tcPr>
          <w:p w14:paraId="2EC1D6BE">
            <w:pPr>
              <w:keepNext w:val="0"/>
              <w:keepLines w:val="0"/>
              <w:pageBreakBefore w:val="0"/>
              <w:widowControl w:val="0"/>
              <w:kinsoku/>
              <w:wordWrap/>
              <w:overflowPunct/>
              <w:topLinePunct w:val="0"/>
              <w:bidi w:val="0"/>
              <w:spacing w:after="0" w:line="320" w:lineRule="exact"/>
              <w:jc w:val="left"/>
              <w:rPr>
                <w:rFonts w:hint="eastAsia" w:ascii="宋体" w:hAnsi="宋体" w:cs="宋体"/>
                <w:color w:val="auto"/>
                <w:sz w:val="24"/>
                <w:highlight w:val="none"/>
              </w:rPr>
            </w:pPr>
            <w:r>
              <w:rPr>
                <w:rFonts w:hint="eastAsia" w:ascii="宋体" w:hAnsi="宋体" w:cs="宋体"/>
                <w:color w:val="auto"/>
                <w:sz w:val="24"/>
                <w:highlight w:val="none"/>
              </w:rPr>
              <w:t>项目属性：</w:t>
            </w:r>
          </w:p>
          <w:p w14:paraId="5D57F669">
            <w:pPr>
              <w:keepNext w:val="0"/>
              <w:keepLines w:val="0"/>
              <w:pageBreakBefore w:val="0"/>
              <w:widowControl w:val="0"/>
              <w:kinsoku/>
              <w:wordWrap/>
              <w:overflowPunct/>
              <w:topLinePunct w:val="0"/>
              <w:bidi w:val="0"/>
              <w:spacing w:after="0" w:line="320" w:lineRule="exact"/>
              <w:jc w:val="left"/>
              <w:rPr>
                <w:rFonts w:hint="eastAsia" w:ascii="宋体" w:hAnsi="宋体" w:cs="宋体"/>
                <w:color w:val="auto"/>
                <w:sz w:val="24"/>
                <w:highlight w:val="none"/>
              </w:rPr>
            </w:pPr>
            <w:bookmarkStart w:id="84" w:name="_Hlk112838153"/>
            <w:r>
              <w:rPr>
                <w:rFonts w:hint="eastAsia" w:ascii="宋体" w:hAnsi="宋体" w:cs="宋体"/>
                <w:color w:val="auto"/>
                <w:spacing w:val="4"/>
                <w:sz w:val="24"/>
                <w:highlight w:val="none"/>
              </w:rPr>
              <w:t>■</w:t>
            </w:r>
            <w:r>
              <w:rPr>
                <w:rFonts w:hint="eastAsia" w:ascii="宋体" w:hAnsi="宋体" w:cs="宋体"/>
                <w:color w:val="auto"/>
                <w:sz w:val="24"/>
                <w:highlight w:val="none"/>
              </w:rPr>
              <w:t>服务</w:t>
            </w:r>
          </w:p>
          <w:p w14:paraId="12950D9D">
            <w:pPr>
              <w:keepNext w:val="0"/>
              <w:keepLines w:val="0"/>
              <w:pageBreakBefore w:val="0"/>
              <w:widowControl w:val="0"/>
              <w:kinsoku/>
              <w:wordWrap/>
              <w:overflowPunct/>
              <w:topLinePunct w:val="0"/>
              <w:bidi w:val="0"/>
              <w:spacing w:after="0" w:line="320" w:lineRule="exact"/>
              <w:jc w:val="left"/>
              <w:rPr>
                <w:rFonts w:hint="eastAsia" w:ascii="宋体" w:hAnsi="宋体" w:cs="宋体"/>
                <w:color w:val="auto"/>
                <w:sz w:val="24"/>
                <w:highlight w:val="none"/>
                <w:u w:val="single"/>
              </w:rPr>
            </w:pPr>
            <w:r>
              <w:rPr>
                <w:rFonts w:hint="eastAsia" w:ascii="宋体" w:hAnsi="宋体" w:cs="宋体"/>
                <w:color w:val="auto"/>
                <w:sz w:val="24"/>
                <w:highlight w:val="none"/>
              </w:rPr>
              <w:t>□货物</w:t>
            </w:r>
            <w:bookmarkEnd w:id="84"/>
          </w:p>
        </w:tc>
      </w:tr>
      <w:tr w14:paraId="7F04D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BFEA057">
            <w:pPr>
              <w:pStyle w:val="25"/>
              <w:keepNext w:val="0"/>
              <w:keepLines w:val="0"/>
              <w:pageBreakBefore w:val="0"/>
              <w:widowControl w:val="0"/>
              <w:kinsoku/>
              <w:wordWrap/>
              <w:overflowPunct/>
              <w:topLinePunct w:val="0"/>
              <w:bidi w:val="0"/>
              <w:adjustRightInd w:val="0"/>
              <w:snapToGrid w:val="0"/>
              <w:spacing w:after="0" w:line="320" w:lineRule="exact"/>
              <w:jc w:val="center"/>
              <w:rPr>
                <w:rFonts w:hAnsi="宋体" w:cs="宋体"/>
                <w:color w:val="auto"/>
                <w:sz w:val="24"/>
                <w:szCs w:val="24"/>
                <w:highlight w:val="none"/>
              </w:rPr>
            </w:pPr>
            <w:r>
              <w:rPr>
                <w:rFonts w:hAnsi="宋体" w:cs="宋体"/>
                <w:color w:val="auto"/>
                <w:sz w:val="24"/>
                <w:szCs w:val="24"/>
                <w:highlight w:val="none"/>
              </w:rPr>
              <w:t>2.3</w:t>
            </w:r>
          </w:p>
        </w:tc>
        <w:tc>
          <w:tcPr>
            <w:tcW w:w="1606" w:type="dxa"/>
            <w:vAlign w:val="center"/>
          </w:tcPr>
          <w:p w14:paraId="625A04F1">
            <w:pPr>
              <w:keepNext w:val="0"/>
              <w:keepLines w:val="0"/>
              <w:pageBreakBefore w:val="0"/>
              <w:widowControl w:val="0"/>
              <w:kinsoku/>
              <w:wordWrap/>
              <w:overflowPunct/>
              <w:topLinePunct w:val="0"/>
              <w:bidi w:val="0"/>
              <w:spacing w:after="0" w:line="320" w:lineRule="exact"/>
              <w:jc w:val="center"/>
              <w:rPr>
                <w:rFonts w:hint="eastAsia" w:ascii="宋体" w:hAnsi="宋体" w:cs="宋体"/>
                <w:color w:val="auto"/>
                <w:sz w:val="24"/>
                <w:highlight w:val="none"/>
              </w:rPr>
            </w:pPr>
            <w:r>
              <w:rPr>
                <w:rFonts w:hint="eastAsia" w:ascii="宋体" w:hAnsi="宋体" w:cs="宋体"/>
                <w:color w:val="auto"/>
                <w:sz w:val="24"/>
                <w:highlight w:val="none"/>
              </w:rPr>
              <w:t>科研仪器设备</w:t>
            </w:r>
          </w:p>
        </w:tc>
        <w:tc>
          <w:tcPr>
            <w:tcW w:w="6681" w:type="dxa"/>
            <w:vAlign w:val="center"/>
          </w:tcPr>
          <w:p w14:paraId="327C7B80">
            <w:pPr>
              <w:keepNext w:val="0"/>
              <w:keepLines w:val="0"/>
              <w:pageBreakBefore w:val="0"/>
              <w:widowControl w:val="0"/>
              <w:kinsoku/>
              <w:wordWrap/>
              <w:overflowPunct/>
              <w:topLinePunct w:val="0"/>
              <w:bidi w:val="0"/>
              <w:spacing w:after="0" w:line="320" w:lineRule="exact"/>
              <w:jc w:val="left"/>
              <w:rPr>
                <w:rFonts w:hint="eastAsia" w:ascii="宋体" w:hAnsi="宋体" w:cs="宋体"/>
                <w:color w:val="auto"/>
                <w:sz w:val="24"/>
                <w:highlight w:val="none"/>
              </w:rPr>
            </w:pPr>
            <w:r>
              <w:rPr>
                <w:rFonts w:hint="eastAsia" w:ascii="宋体" w:hAnsi="宋体" w:cs="宋体"/>
                <w:color w:val="auto"/>
                <w:sz w:val="24"/>
                <w:highlight w:val="none"/>
              </w:rPr>
              <w:t>是否属于科研仪器设备采购项目：</w:t>
            </w:r>
          </w:p>
          <w:p w14:paraId="6C9AB131">
            <w:pPr>
              <w:keepNext w:val="0"/>
              <w:keepLines w:val="0"/>
              <w:pageBreakBefore w:val="0"/>
              <w:widowControl w:val="0"/>
              <w:kinsoku/>
              <w:wordWrap/>
              <w:overflowPunct/>
              <w:topLinePunct w:val="0"/>
              <w:bidi w:val="0"/>
              <w:spacing w:after="0" w:line="320" w:lineRule="exact"/>
              <w:jc w:val="left"/>
              <w:rPr>
                <w:rFonts w:hint="eastAsia" w:ascii="宋体" w:hAnsi="宋体" w:cs="宋体"/>
                <w:color w:val="auto"/>
                <w:sz w:val="24"/>
                <w:highlight w:val="none"/>
              </w:rPr>
            </w:pPr>
            <w:bookmarkStart w:id="85" w:name="_Hlk112838180"/>
            <w:r>
              <w:rPr>
                <w:rFonts w:hint="eastAsia" w:ascii="宋体" w:hAnsi="宋体" w:cs="宋体"/>
                <w:color w:val="auto"/>
                <w:sz w:val="24"/>
                <w:highlight w:val="none"/>
              </w:rPr>
              <w:t>□</w:t>
            </w:r>
            <w:bookmarkEnd w:id="85"/>
            <w:r>
              <w:rPr>
                <w:rFonts w:hint="eastAsia" w:ascii="宋体" w:hAnsi="宋体" w:cs="宋体"/>
                <w:color w:val="auto"/>
                <w:sz w:val="24"/>
                <w:highlight w:val="none"/>
              </w:rPr>
              <w:t>是</w:t>
            </w:r>
          </w:p>
          <w:p w14:paraId="058CA0E3">
            <w:pPr>
              <w:keepNext w:val="0"/>
              <w:keepLines w:val="0"/>
              <w:pageBreakBefore w:val="0"/>
              <w:widowControl w:val="0"/>
              <w:kinsoku/>
              <w:wordWrap/>
              <w:overflowPunct/>
              <w:topLinePunct w:val="0"/>
              <w:bidi w:val="0"/>
              <w:spacing w:after="0" w:line="320" w:lineRule="exact"/>
              <w:jc w:val="left"/>
              <w:rPr>
                <w:rFonts w:hint="eastAsia" w:ascii="宋体" w:hAnsi="宋体" w:cs="宋体"/>
                <w:color w:val="auto"/>
                <w:sz w:val="24"/>
                <w:highlight w:val="none"/>
              </w:rPr>
            </w:pPr>
            <w:r>
              <w:rPr>
                <w:rFonts w:hint="eastAsia" w:ascii="宋体" w:hAnsi="宋体" w:cs="宋体"/>
                <w:color w:val="auto"/>
                <w:spacing w:val="4"/>
                <w:sz w:val="24"/>
                <w:highlight w:val="none"/>
              </w:rPr>
              <w:t>■</w:t>
            </w:r>
            <w:r>
              <w:rPr>
                <w:rFonts w:hint="eastAsia" w:ascii="宋体" w:hAnsi="宋体" w:cs="宋体"/>
                <w:color w:val="auto"/>
                <w:sz w:val="24"/>
                <w:highlight w:val="none"/>
              </w:rPr>
              <w:t>否</w:t>
            </w:r>
          </w:p>
        </w:tc>
      </w:tr>
      <w:tr w14:paraId="4F14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6B217AB">
            <w:pPr>
              <w:pStyle w:val="25"/>
              <w:keepNext w:val="0"/>
              <w:keepLines w:val="0"/>
              <w:pageBreakBefore w:val="0"/>
              <w:widowControl w:val="0"/>
              <w:kinsoku/>
              <w:wordWrap/>
              <w:overflowPunct/>
              <w:topLinePunct w:val="0"/>
              <w:bidi w:val="0"/>
              <w:adjustRightInd w:val="0"/>
              <w:snapToGrid w:val="0"/>
              <w:spacing w:after="0" w:line="320" w:lineRule="exact"/>
              <w:jc w:val="center"/>
              <w:rPr>
                <w:rFonts w:hAnsi="宋体" w:cs="宋体"/>
                <w:color w:val="auto"/>
                <w:sz w:val="24"/>
                <w:szCs w:val="24"/>
                <w:highlight w:val="none"/>
              </w:rPr>
            </w:pPr>
            <w:r>
              <w:rPr>
                <w:rFonts w:hAnsi="宋体" w:cs="宋体"/>
                <w:color w:val="auto"/>
                <w:sz w:val="24"/>
                <w:szCs w:val="24"/>
                <w:highlight w:val="none"/>
              </w:rPr>
              <w:t>2.4</w:t>
            </w:r>
          </w:p>
        </w:tc>
        <w:tc>
          <w:tcPr>
            <w:tcW w:w="1606" w:type="dxa"/>
            <w:vAlign w:val="center"/>
          </w:tcPr>
          <w:p w14:paraId="2943019E">
            <w:pPr>
              <w:keepNext w:val="0"/>
              <w:keepLines w:val="0"/>
              <w:pageBreakBefore w:val="0"/>
              <w:widowControl w:val="0"/>
              <w:kinsoku/>
              <w:wordWrap/>
              <w:overflowPunct/>
              <w:topLinePunct w:val="0"/>
              <w:bidi w:val="0"/>
              <w:spacing w:after="0" w:line="320" w:lineRule="exact"/>
              <w:jc w:val="center"/>
              <w:rPr>
                <w:rFonts w:hint="eastAsia" w:ascii="宋体" w:hAnsi="宋体" w:cs="宋体"/>
                <w:color w:val="auto"/>
                <w:sz w:val="24"/>
                <w:highlight w:val="none"/>
              </w:rPr>
            </w:pPr>
            <w:r>
              <w:rPr>
                <w:rFonts w:hint="eastAsia" w:ascii="宋体" w:hAnsi="宋体" w:cs="宋体"/>
                <w:color w:val="auto"/>
                <w:sz w:val="24"/>
                <w:highlight w:val="none"/>
              </w:rPr>
              <w:t>核心产品</w:t>
            </w:r>
          </w:p>
        </w:tc>
        <w:tc>
          <w:tcPr>
            <w:tcW w:w="6681" w:type="dxa"/>
            <w:vAlign w:val="center"/>
          </w:tcPr>
          <w:p w14:paraId="0AA1E60A">
            <w:pPr>
              <w:pStyle w:val="263"/>
              <w:keepNext w:val="0"/>
              <w:keepLines w:val="0"/>
              <w:pageBreakBefore w:val="0"/>
              <w:widowControl w:val="0"/>
              <w:kinsoku/>
              <w:wordWrap/>
              <w:overflowPunct/>
              <w:topLinePunct w:val="0"/>
              <w:bidi w:val="0"/>
              <w:spacing w:after="0" w:line="320" w:lineRule="exact"/>
              <w:rPr>
                <w:rFonts w:hint="eastAsia"/>
                <w:color w:val="auto"/>
                <w:spacing w:val="4"/>
                <w:sz w:val="24"/>
                <w:szCs w:val="24"/>
                <w:highlight w:val="none"/>
                <w:lang w:eastAsia="zh-CN"/>
              </w:rPr>
            </w:pPr>
            <w:r>
              <w:rPr>
                <w:rFonts w:hint="eastAsia"/>
                <w:color w:val="auto"/>
                <w:spacing w:val="4"/>
                <w:sz w:val="24"/>
                <w:szCs w:val="24"/>
                <w:highlight w:val="none"/>
                <w:lang w:eastAsia="zh-CN"/>
              </w:rPr>
              <w:t>■关于核心产品本项目</w:t>
            </w:r>
            <w:r>
              <w:rPr>
                <w:rFonts w:hint="eastAsia"/>
                <w:color w:val="auto"/>
                <w:spacing w:val="4"/>
                <w:sz w:val="24"/>
                <w:szCs w:val="24"/>
                <w:highlight w:val="none"/>
                <w:u w:val="single"/>
                <w:lang w:eastAsia="zh-CN"/>
              </w:rPr>
              <w:t>01</w:t>
            </w:r>
            <w:r>
              <w:rPr>
                <w:rFonts w:hint="eastAsia"/>
                <w:color w:val="auto"/>
                <w:spacing w:val="4"/>
                <w:sz w:val="24"/>
                <w:szCs w:val="24"/>
                <w:highlight w:val="none"/>
                <w:lang w:eastAsia="zh-CN"/>
              </w:rPr>
              <w:t>包不适用。</w:t>
            </w:r>
          </w:p>
          <w:p w14:paraId="0002C6BB">
            <w:pPr>
              <w:pStyle w:val="263"/>
              <w:keepNext w:val="0"/>
              <w:keepLines w:val="0"/>
              <w:pageBreakBefore w:val="0"/>
              <w:widowControl w:val="0"/>
              <w:kinsoku/>
              <w:wordWrap/>
              <w:overflowPunct/>
              <w:topLinePunct w:val="0"/>
              <w:bidi w:val="0"/>
              <w:spacing w:after="0" w:line="320" w:lineRule="exact"/>
              <w:rPr>
                <w:rFonts w:hint="eastAsia"/>
                <w:color w:val="auto"/>
                <w:spacing w:val="4"/>
                <w:sz w:val="24"/>
                <w:szCs w:val="24"/>
                <w:highlight w:val="none"/>
                <w:lang w:eastAsia="zh-CN"/>
              </w:rPr>
            </w:pPr>
            <w:r>
              <w:rPr>
                <w:rFonts w:hint="eastAsia"/>
                <w:color w:val="auto"/>
                <w:spacing w:val="4"/>
                <w:sz w:val="24"/>
                <w:szCs w:val="24"/>
                <w:highlight w:val="none"/>
                <w:lang w:eastAsia="zh-CN"/>
              </w:rPr>
              <w:t>□本项目</w:t>
            </w:r>
            <w:r>
              <w:rPr>
                <w:rFonts w:hint="eastAsia"/>
                <w:color w:val="auto"/>
                <w:spacing w:val="4"/>
                <w:sz w:val="24"/>
                <w:szCs w:val="24"/>
                <w:highlight w:val="none"/>
                <w:u w:val="single"/>
                <w:lang w:eastAsia="zh-CN"/>
              </w:rPr>
              <w:t xml:space="preserve">  </w:t>
            </w:r>
            <w:r>
              <w:rPr>
                <w:rFonts w:hint="eastAsia"/>
                <w:color w:val="auto"/>
                <w:spacing w:val="4"/>
                <w:sz w:val="24"/>
                <w:szCs w:val="24"/>
                <w:highlight w:val="none"/>
                <w:lang w:eastAsia="zh-CN"/>
              </w:rPr>
              <w:t>包为单一产品采购项目。</w:t>
            </w:r>
          </w:p>
          <w:p w14:paraId="058EB726">
            <w:pPr>
              <w:keepNext w:val="0"/>
              <w:keepLines w:val="0"/>
              <w:pageBreakBefore w:val="0"/>
              <w:widowControl w:val="0"/>
              <w:kinsoku/>
              <w:wordWrap/>
              <w:overflowPunct/>
              <w:topLinePunct w:val="0"/>
              <w:bidi w:val="0"/>
              <w:spacing w:after="0" w:line="320" w:lineRule="exact"/>
              <w:jc w:val="left"/>
              <w:rPr>
                <w:rFonts w:hint="eastAsia" w:ascii="宋体" w:hAnsi="宋体" w:cs="宋体"/>
                <w:color w:val="auto"/>
                <w:sz w:val="24"/>
                <w:highlight w:val="none"/>
              </w:rPr>
            </w:pPr>
            <w:r>
              <w:rPr>
                <w:rFonts w:hint="eastAsia" w:ascii="宋体" w:hAnsi="宋体" w:cs="宋体"/>
                <w:color w:val="auto"/>
                <w:spacing w:val="4"/>
                <w:sz w:val="24"/>
                <w:highlight w:val="none"/>
              </w:rPr>
              <w:t>□本项目</w:t>
            </w:r>
            <w:r>
              <w:rPr>
                <w:rFonts w:hint="eastAsia" w:ascii="宋体" w:hAnsi="宋体" w:cs="宋体"/>
                <w:color w:val="auto"/>
                <w:spacing w:val="4"/>
                <w:sz w:val="24"/>
                <w:highlight w:val="none"/>
                <w:u w:val="single"/>
              </w:rPr>
              <w:t xml:space="preserve">  </w:t>
            </w:r>
            <w:r>
              <w:rPr>
                <w:rFonts w:hint="eastAsia" w:ascii="宋体" w:hAnsi="宋体" w:cs="宋体"/>
                <w:color w:val="auto"/>
                <w:spacing w:val="4"/>
                <w:sz w:val="24"/>
                <w:highlight w:val="none"/>
              </w:rPr>
              <w:t>包为非单一产品采购项目，核心产品为：</w:t>
            </w:r>
            <w:r>
              <w:rPr>
                <w:rFonts w:hint="eastAsia" w:ascii="宋体" w:hAnsi="宋体" w:cs="宋体"/>
                <w:color w:val="auto"/>
                <w:spacing w:val="4"/>
                <w:sz w:val="24"/>
                <w:highlight w:val="none"/>
                <w:u w:val="single"/>
              </w:rPr>
              <w:t xml:space="preserve">      </w:t>
            </w:r>
            <w:r>
              <w:rPr>
                <w:rFonts w:hint="eastAsia" w:ascii="宋体" w:hAnsi="宋体" w:cs="宋体"/>
                <w:color w:val="auto"/>
                <w:spacing w:val="4"/>
                <w:sz w:val="24"/>
                <w:highlight w:val="none"/>
              </w:rPr>
              <w:t>。</w:t>
            </w:r>
          </w:p>
        </w:tc>
      </w:tr>
      <w:tr w14:paraId="66075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6E886E30">
            <w:pPr>
              <w:pStyle w:val="25"/>
              <w:keepNext w:val="0"/>
              <w:keepLines w:val="0"/>
              <w:pageBreakBefore w:val="0"/>
              <w:widowControl w:val="0"/>
              <w:kinsoku/>
              <w:wordWrap/>
              <w:overflowPunct/>
              <w:topLinePunct w:val="0"/>
              <w:bidi w:val="0"/>
              <w:adjustRightInd w:val="0"/>
              <w:snapToGrid w:val="0"/>
              <w:spacing w:after="0" w:line="320" w:lineRule="exact"/>
              <w:jc w:val="center"/>
              <w:rPr>
                <w:rFonts w:hAnsi="宋体" w:cs="宋体"/>
                <w:color w:val="auto"/>
                <w:sz w:val="24"/>
                <w:szCs w:val="24"/>
                <w:highlight w:val="none"/>
              </w:rPr>
            </w:pPr>
            <w:r>
              <w:rPr>
                <w:rFonts w:hAnsi="宋体" w:cs="宋体"/>
                <w:color w:val="auto"/>
                <w:sz w:val="24"/>
                <w:szCs w:val="24"/>
                <w:highlight w:val="none"/>
              </w:rPr>
              <w:t>3.1</w:t>
            </w:r>
          </w:p>
        </w:tc>
        <w:tc>
          <w:tcPr>
            <w:tcW w:w="1606" w:type="dxa"/>
            <w:vAlign w:val="center"/>
          </w:tcPr>
          <w:p w14:paraId="02F8075A">
            <w:pPr>
              <w:keepNext w:val="0"/>
              <w:keepLines w:val="0"/>
              <w:pageBreakBefore w:val="0"/>
              <w:widowControl w:val="0"/>
              <w:kinsoku/>
              <w:wordWrap/>
              <w:overflowPunct/>
              <w:topLinePunct w:val="0"/>
              <w:bidi w:val="0"/>
              <w:spacing w:after="0" w:line="320" w:lineRule="exact"/>
              <w:jc w:val="center"/>
              <w:rPr>
                <w:rFonts w:hint="eastAsia" w:ascii="宋体" w:hAnsi="宋体" w:cs="宋体"/>
                <w:color w:val="auto"/>
                <w:sz w:val="24"/>
                <w:highlight w:val="none"/>
              </w:rPr>
            </w:pPr>
            <w:r>
              <w:rPr>
                <w:rFonts w:hint="eastAsia" w:ascii="宋体" w:hAnsi="宋体" w:cs="宋体"/>
                <w:color w:val="auto"/>
                <w:sz w:val="24"/>
                <w:highlight w:val="none"/>
              </w:rPr>
              <w:t>现场考察</w:t>
            </w:r>
          </w:p>
        </w:tc>
        <w:tc>
          <w:tcPr>
            <w:tcW w:w="6681" w:type="dxa"/>
            <w:vAlign w:val="center"/>
          </w:tcPr>
          <w:p w14:paraId="003EA7FE">
            <w:pPr>
              <w:keepNext w:val="0"/>
              <w:keepLines w:val="0"/>
              <w:pageBreakBefore w:val="0"/>
              <w:widowControl w:val="0"/>
              <w:kinsoku/>
              <w:wordWrap/>
              <w:overflowPunct/>
              <w:topLinePunct w:val="0"/>
              <w:bidi w:val="0"/>
              <w:spacing w:after="0" w:line="320" w:lineRule="exact"/>
              <w:jc w:val="left"/>
              <w:rPr>
                <w:rFonts w:hint="eastAsia" w:ascii="宋体" w:hAnsi="宋体" w:cs="宋体"/>
                <w:color w:val="auto"/>
                <w:sz w:val="24"/>
                <w:highlight w:val="none"/>
              </w:rPr>
            </w:pPr>
            <w:r>
              <w:rPr>
                <w:rFonts w:hint="eastAsia" w:ascii="宋体" w:hAnsi="宋体" w:cs="宋体"/>
                <w:color w:val="auto"/>
                <w:spacing w:val="4"/>
                <w:sz w:val="24"/>
                <w:highlight w:val="none"/>
              </w:rPr>
              <w:t>■</w:t>
            </w:r>
            <w:r>
              <w:rPr>
                <w:rFonts w:hint="eastAsia" w:ascii="宋体" w:hAnsi="宋体" w:cs="宋体"/>
                <w:color w:val="auto"/>
                <w:sz w:val="24"/>
                <w:highlight w:val="none"/>
              </w:rPr>
              <w:t>不组织</w:t>
            </w:r>
          </w:p>
          <w:p w14:paraId="7EBF79C3">
            <w:pPr>
              <w:keepNext w:val="0"/>
              <w:keepLines w:val="0"/>
              <w:pageBreakBefore w:val="0"/>
              <w:widowControl w:val="0"/>
              <w:kinsoku/>
              <w:wordWrap/>
              <w:overflowPunct/>
              <w:topLinePunct w:val="0"/>
              <w:bidi w:val="0"/>
              <w:spacing w:after="0" w:line="320" w:lineRule="exact"/>
              <w:jc w:val="left"/>
              <w:rPr>
                <w:rFonts w:hint="eastAsia" w:ascii="宋体" w:hAnsi="宋体" w:cs="宋体"/>
                <w:bCs/>
                <w:color w:val="auto"/>
                <w:sz w:val="24"/>
                <w:highlight w:val="none"/>
              </w:rPr>
            </w:pPr>
            <w:r>
              <w:rPr>
                <w:rFonts w:hint="eastAsia" w:ascii="宋体" w:hAnsi="宋体" w:cs="宋体"/>
                <w:color w:val="auto"/>
                <w:sz w:val="24"/>
                <w:highlight w:val="none"/>
              </w:rPr>
              <w:t>□组织，考察时间：__年_月_日_</w:t>
            </w:r>
            <w:r>
              <w:rPr>
                <w:rFonts w:hint="eastAsia" w:ascii="宋体" w:hAnsi="宋体" w:cs="宋体"/>
                <w:bCs/>
                <w:color w:val="auto"/>
                <w:sz w:val="24"/>
                <w:highlight w:val="none"/>
              </w:rPr>
              <w:t>点</w:t>
            </w:r>
            <w:r>
              <w:rPr>
                <w:rFonts w:hint="eastAsia" w:ascii="宋体" w:hAnsi="宋体" w:cs="宋体"/>
                <w:color w:val="auto"/>
                <w:sz w:val="24"/>
                <w:highlight w:val="none"/>
              </w:rPr>
              <w:t>_</w:t>
            </w:r>
            <w:r>
              <w:rPr>
                <w:rFonts w:hint="eastAsia" w:ascii="宋体" w:hAnsi="宋体" w:cs="宋体"/>
                <w:bCs/>
                <w:color w:val="auto"/>
                <w:sz w:val="24"/>
                <w:highlight w:val="none"/>
              </w:rPr>
              <w:t>分</w:t>
            </w:r>
          </w:p>
          <w:p w14:paraId="12AF3169">
            <w:pPr>
              <w:pStyle w:val="25"/>
              <w:keepNext w:val="0"/>
              <w:keepLines w:val="0"/>
              <w:pageBreakBefore w:val="0"/>
              <w:widowControl w:val="0"/>
              <w:kinsoku/>
              <w:wordWrap/>
              <w:overflowPunct/>
              <w:topLinePunct w:val="0"/>
              <w:bidi w:val="0"/>
              <w:adjustRightInd w:val="0"/>
              <w:snapToGrid w:val="0"/>
              <w:spacing w:after="0" w:line="320" w:lineRule="exact"/>
              <w:rPr>
                <w:rFonts w:hAnsi="宋体" w:cs="宋体"/>
                <w:color w:val="auto"/>
                <w:sz w:val="24"/>
                <w:szCs w:val="24"/>
                <w:highlight w:val="none"/>
              </w:rPr>
            </w:pPr>
            <w:r>
              <w:rPr>
                <w:rFonts w:hAnsi="宋体" w:cs="宋体"/>
                <w:color w:val="auto"/>
                <w:sz w:val="24"/>
                <w:highlight w:val="none"/>
              </w:rPr>
              <w:t>考察地点：____________。</w:t>
            </w:r>
          </w:p>
        </w:tc>
      </w:tr>
      <w:tr w14:paraId="6C35C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41C6CDBD">
            <w:pPr>
              <w:pStyle w:val="25"/>
              <w:keepNext w:val="0"/>
              <w:keepLines w:val="0"/>
              <w:pageBreakBefore w:val="0"/>
              <w:widowControl w:val="0"/>
              <w:kinsoku/>
              <w:wordWrap/>
              <w:overflowPunct/>
              <w:topLinePunct w:val="0"/>
              <w:bidi w:val="0"/>
              <w:adjustRightInd w:val="0"/>
              <w:snapToGrid w:val="0"/>
              <w:spacing w:after="0" w:line="320" w:lineRule="exact"/>
              <w:jc w:val="center"/>
              <w:rPr>
                <w:rFonts w:hAnsi="宋体" w:cs="宋体"/>
                <w:color w:val="auto"/>
                <w:sz w:val="24"/>
                <w:szCs w:val="24"/>
                <w:highlight w:val="none"/>
              </w:rPr>
            </w:pPr>
          </w:p>
        </w:tc>
        <w:tc>
          <w:tcPr>
            <w:tcW w:w="1606" w:type="dxa"/>
            <w:vAlign w:val="center"/>
          </w:tcPr>
          <w:p w14:paraId="02CFB28A">
            <w:pPr>
              <w:keepNext w:val="0"/>
              <w:keepLines w:val="0"/>
              <w:pageBreakBefore w:val="0"/>
              <w:widowControl w:val="0"/>
              <w:kinsoku/>
              <w:wordWrap/>
              <w:overflowPunct/>
              <w:topLinePunct w:val="0"/>
              <w:bidi w:val="0"/>
              <w:spacing w:after="0" w:line="320" w:lineRule="exact"/>
              <w:jc w:val="center"/>
              <w:rPr>
                <w:rFonts w:hint="eastAsia" w:ascii="宋体" w:hAnsi="宋体" w:cs="宋体"/>
                <w:color w:val="auto"/>
                <w:sz w:val="24"/>
                <w:highlight w:val="none"/>
              </w:rPr>
            </w:pPr>
            <w:r>
              <w:rPr>
                <w:rFonts w:hint="eastAsia" w:ascii="宋体" w:hAnsi="宋体" w:cs="宋体"/>
                <w:color w:val="auto"/>
                <w:sz w:val="24"/>
                <w:highlight w:val="none"/>
              </w:rPr>
              <w:t>开标前答疑会</w:t>
            </w:r>
          </w:p>
        </w:tc>
        <w:tc>
          <w:tcPr>
            <w:tcW w:w="6681" w:type="dxa"/>
            <w:vAlign w:val="center"/>
          </w:tcPr>
          <w:p w14:paraId="75011AAB">
            <w:pPr>
              <w:keepNext w:val="0"/>
              <w:keepLines w:val="0"/>
              <w:pageBreakBefore w:val="0"/>
              <w:widowControl w:val="0"/>
              <w:kinsoku/>
              <w:wordWrap/>
              <w:overflowPunct/>
              <w:topLinePunct w:val="0"/>
              <w:bidi w:val="0"/>
              <w:spacing w:after="0" w:line="320" w:lineRule="exact"/>
              <w:jc w:val="left"/>
              <w:rPr>
                <w:rFonts w:hint="eastAsia" w:ascii="宋体" w:hAnsi="宋体" w:cs="宋体"/>
                <w:color w:val="auto"/>
                <w:sz w:val="24"/>
                <w:highlight w:val="none"/>
              </w:rPr>
            </w:pPr>
            <w:r>
              <w:rPr>
                <w:rFonts w:hint="eastAsia" w:ascii="宋体" w:hAnsi="宋体" w:cs="宋体"/>
                <w:color w:val="auto"/>
                <w:spacing w:val="4"/>
                <w:sz w:val="24"/>
                <w:highlight w:val="none"/>
              </w:rPr>
              <w:t>■</w:t>
            </w:r>
            <w:r>
              <w:rPr>
                <w:rFonts w:hint="eastAsia" w:ascii="宋体" w:hAnsi="宋体" w:cs="宋体"/>
                <w:color w:val="auto"/>
                <w:sz w:val="24"/>
                <w:highlight w:val="none"/>
              </w:rPr>
              <w:t>不召开</w:t>
            </w:r>
          </w:p>
          <w:p w14:paraId="4668F75A">
            <w:pPr>
              <w:keepNext w:val="0"/>
              <w:keepLines w:val="0"/>
              <w:pageBreakBefore w:val="0"/>
              <w:widowControl w:val="0"/>
              <w:kinsoku/>
              <w:wordWrap/>
              <w:overflowPunct/>
              <w:topLinePunct w:val="0"/>
              <w:bidi w:val="0"/>
              <w:spacing w:after="0" w:line="320" w:lineRule="exact"/>
              <w:jc w:val="left"/>
              <w:rPr>
                <w:rFonts w:hint="eastAsia" w:ascii="宋体" w:hAnsi="宋体" w:cs="宋体"/>
                <w:color w:val="auto"/>
                <w:sz w:val="24"/>
                <w:highlight w:val="none"/>
              </w:rPr>
            </w:pPr>
            <w:r>
              <w:rPr>
                <w:rFonts w:hint="eastAsia" w:ascii="宋体" w:hAnsi="宋体" w:cs="宋体"/>
                <w:color w:val="auto"/>
                <w:sz w:val="24"/>
                <w:highlight w:val="none"/>
              </w:rPr>
              <w:t>□召开，召开时间：__年_月_日_</w:t>
            </w:r>
            <w:r>
              <w:rPr>
                <w:rFonts w:hint="eastAsia" w:ascii="宋体" w:hAnsi="宋体" w:cs="宋体"/>
                <w:bCs/>
                <w:color w:val="auto"/>
                <w:sz w:val="24"/>
                <w:highlight w:val="none"/>
              </w:rPr>
              <w:t>点</w:t>
            </w:r>
            <w:r>
              <w:rPr>
                <w:rFonts w:hint="eastAsia" w:ascii="宋体" w:hAnsi="宋体" w:cs="宋体"/>
                <w:color w:val="auto"/>
                <w:sz w:val="24"/>
                <w:highlight w:val="none"/>
              </w:rPr>
              <w:t>_</w:t>
            </w:r>
            <w:r>
              <w:rPr>
                <w:rFonts w:hint="eastAsia" w:ascii="宋体" w:hAnsi="宋体" w:cs="宋体"/>
                <w:bCs/>
                <w:color w:val="auto"/>
                <w:sz w:val="24"/>
                <w:highlight w:val="none"/>
              </w:rPr>
              <w:t>分</w:t>
            </w:r>
          </w:p>
          <w:p w14:paraId="43E61162">
            <w:pPr>
              <w:keepNext w:val="0"/>
              <w:keepLines w:val="0"/>
              <w:pageBreakBefore w:val="0"/>
              <w:widowControl w:val="0"/>
              <w:kinsoku/>
              <w:wordWrap/>
              <w:overflowPunct/>
              <w:topLinePunct w:val="0"/>
              <w:bidi w:val="0"/>
              <w:spacing w:after="0" w:line="320" w:lineRule="exact"/>
              <w:jc w:val="left"/>
              <w:rPr>
                <w:rFonts w:hint="eastAsia" w:ascii="宋体" w:hAnsi="宋体" w:cs="宋体"/>
                <w:color w:val="auto"/>
                <w:sz w:val="24"/>
                <w:highlight w:val="none"/>
              </w:rPr>
            </w:pPr>
            <w:r>
              <w:rPr>
                <w:rFonts w:hint="eastAsia" w:ascii="宋体" w:hAnsi="宋体" w:cs="宋体"/>
                <w:color w:val="auto"/>
                <w:sz w:val="24"/>
                <w:highlight w:val="none"/>
              </w:rPr>
              <w:t>召开地点：____________。</w:t>
            </w:r>
          </w:p>
        </w:tc>
      </w:tr>
      <w:tr w14:paraId="7DE08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614A2A8">
            <w:pPr>
              <w:pStyle w:val="25"/>
              <w:keepNext w:val="0"/>
              <w:keepLines w:val="0"/>
              <w:pageBreakBefore w:val="0"/>
              <w:widowControl w:val="0"/>
              <w:kinsoku/>
              <w:wordWrap/>
              <w:overflowPunct/>
              <w:topLinePunct w:val="0"/>
              <w:bidi w:val="0"/>
              <w:adjustRightInd w:val="0"/>
              <w:snapToGrid w:val="0"/>
              <w:spacing w:after="0" w:line="320" w:lineRule="exact"/>
              <w:jc w:val="center"/>
              <w:rPr>
                <w:rFonts w:hAnsi="宋体" w:cs="宋体"/>
                <w:color w:val="auto"/>
                <w:sz w:val="24"/>
                <w:szCs w:val="24"/>
                <w:highlight w:val="none"/>
              </w:rPr>
            </w:pPr>
            <w:r>
              <w:rPr>
                <w:rFonts w:hAnsi="宋体" w:cs="宋体"/>
                <w:color w:val="auto"/>
                <w:sz w:val="24"/>
                <w:szCs w:val="24"/>
                <w:highlight w:val="none"/>
              </w:rPr>
              <w:t>4.1</w:t>
            </w:r>
          </w:p>
        </w:tc>
        <w:tc>
          <w:tcPr>
            <w:tcW w:w="1606" w:type="dxa"/>
            <w:vAlign w:val="center"/>
          </w:tcPr>
          <w:p w14:paraId="40B0FAF2">
            <w:pPr>
              <w:keepNext w:val="0"/>
              <w:keepLines w:val="0"/>
              <w:pageBreakBefore w:val="0"/>
              <w:widowControl w:val="0"/>
              <w:kinsoku/>
              <w:wordWrap/>
              <w:overflowPunct/>
              <w:topLinePunct w:val="0"/>
              <w:bidi w:val="0"/>
              <w:spacing w:after="0" w:line="320" w:lineRule="exact"/>
              <w:jc w:val="center"/>
              <w:rPr>
                <w:rFonts w:hint="eastAsia" w:ascii="宋体" w:hAnsi="宋体" w:cs="宋体"/>
                <w:color w:val="auto"/>
                <w:sz w:val="24"/>
                <w:highlight w:val="none"/>
              </w:rPr>
            </w:pPr>
            <w:r>
              <w:rPr>
                <w:rFonts w:hint="eastAsia" w:ascii="宋体" w:hAnsi="宋体" w:cs="宋体"/>
                <w:color w:val="auto"/>
                <w:sz w:val="24"/>
                <w:highlight w:val="none"/>
              </w:rPr>
              <w:t>样品</w:t>
            </w:r>
          </w:p>
        </w:tc>
        <w:tc>
          <w:tcPr>
            <w:tcW w:w="6681" w:type="dxa"/>
            <w:vAlign w:val="center"/>
          </w:tcPr>
          <w:p w14:paraId="6097EFAD">
            <w:pPr>
              <w:keepNext w:val="0"/>
              <w:keepLines w:val="0"/>
              <w:pageBreakBefore w:val="0"/>
              <w:widowControl w:val="0"/>
              <w:kinsoku/>
              <w:wordWrap/>
              <w:overflowPunct/>
              <w:topLinePunct w:val="0"/>
              <w:bidi w:val="0"/>
              <w:spacing w:after="0" w:line="320" w:lineRule="exact"/>
              <w:jc w:val="left"/>
              <w:rPr>
                <w:rFonts w:hint="eastAsia" w:ascii="宋体" w:hAnsi="宋体" w:cs="宋体"/>
                <w:color w:val="auto"/>
                <w:sz w:val="24"/>
                <w:highlight w:val="none"/>
              </w:rPr>
            </w:pPr>
            <w:r>
              <w:rPr>
                <w:rFonts w:hint="eastAsia" w:ascii="宋体" w:hAnsi="宋体" w:cs="宋体"/>
                <w:color w:val="auto"/>
                <w:sz w:val="24"/>
                <w:highlight w:val="none"/>
              </w:rPr>
              <w:t>投标样品递交：</w:t>
            </w:r>
          </w:p>
          <w:p w14:paraId="3FD2B0EA">
            <w:pPr>
              <w:keepNext w:val="0"/>
              <w:keepLines w:val="0"/>
              <w:pageBreakBefore w:val="0"/>
              <w:widowControl w:val="0"/>
              <w:kinsoku/>
              <w:wordWrap/>
              <w:overflowPunct/>
              <w:topLinePunct w:val="0"/>
              <w:bidi w:val="0"/>
              <w:spacing w:after="0" w:line="320" w:lineRule="exact"/>
              <w:jc w:val="left"/>
              <w:rPr>
                <w:rFonts w:hint="eastAsia" w:ascii="宋体" w:hAnsi="宋体" w:cs="宋体"/>
                <w:color w:val="auto"/>
                <w:sz w:val="24"/>
                <w:highlight w:val="none"/>
              </w:rPr>
            </w:pPr>
            <w:r>
              <w:rPr>
                <w:rFonts w:hint="eastAsia" w:ascii="宋体" w:hAnsi="宋体" w:cs="宋体"/>
                <w:color w:val="auto"/>
                <w:spacing w:val="4"/>
                <w:sz w:val="24"/>
                <w:highlight w:val="none"/>
              </w:rPr>
              <w:t>■</w:t>
            </w:r>
            <w:r>
              <w:rPr>
                <w:rFonts w:hint="eastAsia" w:ascii="宋体" w:hAnsi="宋体" w:cs="宋体"/>
                <w:color w:val="auto"/>
                <w:sz w:val="24"/>
                <w:highlight w:val="none"/>
              </w:rPr>
              <w:t>不需要</w:t>
            </w:r>
          </w:p>
          <w:p w14:paraId="10D9DE86">
            <w:pPr>
              <w:keepNext w:val="0"/>
              <w:keepLines w:val="0"/>
              <w:pageBreakBefore w:val="0"/>
              <w:widowControl w:val="0"/>
              <w:kinsoku/>
              <w:wordWrap/>
              <w:overflowPunct/>
              <w:topLinePunct w:val="0"/>
              <w:bidi w:val="0"/>
              <w:spacing w:after="0" w:line="320" w:lineRule="exact"/>
              <w:jc w:val="left"/>
              <w:rPr>
                <w:rFonts w:hint="eastAsia" w:ascii="宋体" w:hAnsi="宋体" w:cs="宋体"/>
                <w:color w:val="auto"/>
                <w:sz w:val="24"/>
                <w:highlight w:val="none"/>
              </w:rPr>
            </w:pPr>
            <w:r>
              <w:rPr>
                <w:rFonts w:hint="eastAsia" w:ascii="宋体" w:hAnsi="宋体" w:cs="宋体"/>
                <w:color w:val="auto"/>
                <w:sz w:val="24"/>
                <w:highlight w:val="none"/>
              </w:rPr>
              <w:t>□需要，具体要求如下：</w:t>
            </w:r>
          </w:p>
          <w:p w14:paraId="113A622C">
            <w:pPr>
              <w:keepNext w:val="0"/>
              <w:keepLines w:val="0"/>
              <w:pageBreakBefore w:val="0"/>
              <w:widowControl w:val="0"/>
              <w:kinsoku/>
              <w:wordWrap/>
              <w:overflowPunct/>
              <w:topLinePunct w:val="0"/>
              <w:bidi w:val="0"/>
              <w:spacing w:after="0" w:line="320" w:lineRule="exact"/>
              <w:jc w:val="left"/>
              <w:rPr>
                <w:rFonts w:hint="eastAsia" w:ascii="宋体" w:hAnsi="宋体" w:cs="宋体"/>
                <w:color w:val="auto"/>
                <w:sz w:val="24"/>
                <w:highlight w:val="none"/>
                <w:u w:val="single"/>
              </w:rPr>
            </w:pPr>
            <w:r>
              <w:rPr>
                <w:rFonts w:hint="eastAsia" w:ascii="宋体" w:hAnsi="宋体" w:cs="宋体"/>
                <w:color w:val="auto"/>
                <w:sz w:val="24"/>
                <w:highlight w:val="none"/>
              </w:rPr>
              <w:t>（1）样品制作的标准和要求：_________；</w:t>
            </w:r>
          </w:p>
          <w:p w14:paraId="07D4DAE6">
            <w:pPr>
              <w:keepNext w:val="0"/>
              <w:keepLines w:val="0"/>
              <w:pageBreakBefore w:val="0"/>
              <w:widowControl w:val="0"/>
              <w:kinsoku/>
              <w:wordWrap/>
              <w:overflowPunct/>
              <w:topLinePunct w:val="0"/>
              <w:bidi w:val="0"/>
              <w:spacing w:after="0" w:line="320" w:lineRule="exact"/>
              <w:jc w:val="left"/>
              <w:rPr>
                <w:rFonts w:hint="eastAsia" w:ascii="宋体" w:hAnsi="宋体" w:cs="宋体"/>
                <w:color w:val="auto"/>
                <w:sz w:val="24"/>
                <w:highlight w:val="none"/>
              </w:rPr>
            </w:pPr>
            <w:r>
              <w:rPr>
                <w:rFonts w:hint="eastAsia" w:ascii="宋体" w:hAnsi="宋体" w:cs="宋体"/>
                <w:color w:val="auto"/>
                <w:sz w:val="24"/>
                <w:highlight w:val="none"/>
              </w:rPr>
              <w:t>（2）是否需要随样品提交相关检测报告：</w:t>
            </w:r>
          </w:p>
          <w:p w14:paraId="0BDE63C7">
            <w:pPr>
              <w:keepNext w:val="0"/>
              <w:keepLines w:val="0"/>
              <w:pageBreakBefore w:val="0"/>
              <w:widowControl w:val="0"/>
              <w:kinsoku/>
              <w:wordWrap/>
              <w:overflowPunct/>
              <w:topLinePunct w:val="0"/>
              <w:bidi w:val="0"/>
              <w:spacing w:after="0" w:line="320" w:lineRule="exact"/>
              <w:ind w:firstLine="600" w:firstLineChars="250"/>
              <w:jc w:val="left"/>
              <w:rPr>
                <w:rFonts w:hint="eastAsia" w:ascii="宋体" w:hAnsi="宋体" w:cs="宋体"/>
                <w:color w:val="auto"/>
                <w:sz w:val="24"/>
                <w:highlight w:val="none"/>
              </w:rPr>
            </w:pPr>
            <w:r>
              <w:rPr>
                <w:rFonts w:hint="eastAsia" w:ascii="宋体" w:hAnsi="宋体" w:cs="宋体"/>
                <w:color w:val="auto"/>
                <w:sz w:val="24"/>
                <w:highlight w:val="none"/>
              </w:rPr>
              <w:t>□不需要</w:t>
            </w:r>
          </w:p>
          <w:p w14:paraId="6DA681F0">
            <w:pPr>
              <w:keepNext w:val="0"/>
              <w:keepLines w:val="0"/>
              <w:pageBreakBefore w:val="0"/>
              <w:widowControl w:val="0"/>
              <w:kinsoku/>
              <w:wordWrap/>
              <w:overflowPunct/>
              <w:topLinePunct w:val="0"/>
              <w:bidi w:val="0"/>
              <w:spacing w:after="0" w:line="320" w:lineRule="exact"/>
              <w:ind w:firstLine="600" w:firstLineChars="250"/>
              <w:jc w:val="left"/>
              <w:rPr>
                <w:rFonts w:hint="eastAsia" w:ascii="宋体" w:hAnsi="宋体" w:cs="宋体"/>
                <w:color w:val="auto"/>
                <w:sz w:val="24"/>
                <w:highlight w:val="none"/>
              </w:rPr>
            </w:pPr>
            <w:r>
              <w:rPr>
                <w:rFonts w:hint="eastAsia" w:ascii="宋体" w:hAnsi="宋体" w:cs="宋体"/>
                <w:color w:val="auto"/>
                <w:sz w:val="24"/>
                <w:highlight w:val="none"/>
              </w:rPr>
              <w:t>□需要</w:t>
            </w:r>
          </w:p>
          <w:p w14:paraId="27D3BA51">
            <w:pPr>
              <w:keepNext w:val="0"/>
              <w:keepLines w:val="0"/>
              <w:pageBreakBefore w:val="0"/>
              <w:widowControl w:val="0"/>
              <w:kinsoku/>
              <w:wordWrap/>
              <w:overflowPunct/>
              <w:topLinePunct w:val="0"/>
              <w:bidi w:val="0"/>
              <w:spacing w:after="0" w:line="320" w:lineRule="exact"/>
              <w:jc w:val="left"/>
              <w:rPr>
                <w:rFonts w:hint="eastAsia" w:ascii="宋体" w:hAnsi="宋体" w:cs="宋体"/>
                <w:color w:val="auto"/>
                <w:sz w:val="24"/>
                <w:highlight w:val="none"/>
              </w:rPr>
            </w:pPr>
            <w:r>
              <w:rPr>
                <w:rFonts w:hint="eastAsia" w:ascii="宋体" w:hAnsi="宋体" w:cs="宋体"/>
                <w:color w:val="auto"/>
                <w:sz w:val="24"/>
                <w:highlight w:val="none"/>
              </w:rPr>
              <w:t>（3）样品递交要求：_________；</w:t>
            </w:r>
          </w:p>
          <w:p w14:paraId="009F7F16">
            <w:pPr>
              <w:keepNext w:val="0"/>
              <w:keepLines w:val="0"/>
              <w:pageBreakBefore w:val="0"/>
              <w:widowControl w:val="0"/>
              <w:kinsoku/>
              <w:wordWrap/>
              <w:overflowPunct/>
              <w:topLinePunct w:val="0"/>
              <w:bidi w:val="0"/>
              <w:spacing w:after="0" w:line="320" w:lineRule="exact"/>
              <w:jc w:val="left"/>
              <w:rPr>
                <w:rFonts w:hint="eastAsia" w:ascii="宋体" w:hAnsi="宋体" w:cs="宋体"/>
                <w:color w:val="auto"/>
                <w:sz w:val="24"/>
                <w:highlight w:val="none"/>
              </w:rPr>
            </w:pPr>
            <w:r>
              <w:rPr>
                <w:rFonts w:hint="eastAsia" w:ascii="宋体" w:hAnsi="宋体" w:cs="宋体"/>
                <w:color w:val="auto"/>
                <w:sz w:val="24"/>
                <w:highlight w:val="none"/>
              </w:rPr>
              <w:t>（4）未中标人样品退还：_________；</w:t>
            </w:r>
          </w:p>
          <w:p w14:paraId="01DB1150">
            <w:pPr>
              <w:keepNext w:val="0"/>
              <w:keepLines w:val="0"/>
              <w:pageBreakBefore w:val="0"/>
              <w:widowControl w:val="0"/>
              <w:kinsoku/>
              <w:wordWrap/>
              <w:overflowPunct/>
              <w:topLinePunct w:val="0"/>
              <w:bidi w:val="0"/>
              <w:spacing w:after="0" w:line="320" w:lineRule="exact"/>
              <w:jc w:val="left"/>
              <w:rPr>
                <w:rFonts w:hint="eastAsia" w:ascii="宋体" w:hAnsi="宋体" w:cs="宋体"/>
                <w:color w:val="auto"/>
                <w:sz w:val="24"/>
                <w:highlight w:val="none"/>
                <w:u w:val="single"/>
              </w:rPr>
            </w:pPr>
            <w:r>
              <w:rPr>
                <w:rFonts w:hint="eastAsia" w:ascii="宋体" w:hAnsi="宋体" w:cs="宋体"/>
                <w:color w:val="auto"/>
                <w:sz w:val="24"/>
                <w:highlight w:val="none"/>
              </w:rPr>
              <w:t>（5）中标人样品保管、封存及退还：_________；</w:t>
            </w:r>
          </w:p>
          <w:p w14:paraId="4C33E4E2">
            <w:pPr>
              <w:keepNext w:val="0"/>
              <w:keepLines w:val="0"/>
              <w:pageBreakBefore w:val="0"/>
              <w:widowControl w:val="0"/>
              <w:kinsoku/>
              <w:wordWrap/>
              <w:overflowPunct/>
              <w:topLinePunct w:val="0"/>
              <w:bidi w:val="0"/>
              <w:spacing w:after="0" w:line="320" w:lineRule="exact"/>
              <w:jc w:val="left"/>
              <w:rPr>
                <w:rFonts w:hint="eastAsia" w:ascii="宋体" w:hAnsi="宋体" w:cs="宋体"/>
                <w:color w:val="auto"/>
                <w:sz w:val="24"/>
                <w:highlight w:val="none"/>
              </w:rPr>
            </w:pPr>
            <w:r>
              <w:rPr>
                <w:rFonts w:hint="eastAsia" w:ascii="宋体" w:hAnsi="宋体" w:cs="宋体"/>
                <w:color w:val="auto"/>
                <w:sz w:val="24"/>
                <w:highlight w:val="none"/>
              </w:rPr>
              <w:t>（6）其他要求（如有）：_________。</w:t>
            </w:r>
          </w:p>
        </w:tc>
      </w:tr>
      <w:tr w14:paraId="50115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jc w:val="center"/>
        </w:trPr>
        <w:tc>
          <w:tcPr>
            <w:tcW w:w="988" w:type="dxa"/>
            <w:vAlign w:val="center"/>
          </w:tcPr>
          <w:p w14:paraId="29C00EB2">
            <w:pPr>
              <w:pStyle w:val="25"/>
              <w:keepNext w:val="0"/>
              <w:keepLines w:val="0"/>
              <w:pageBreakBefore w:val="0"/>
              <w:widowControl w:val="0"/>
              <w:kinsoku/>
              <w:wordWrap/>
              <w:overflowPunct/>
              <w:topLinePunct w:val="0"/>
              <w:bidi w:val="0"/>
              <w:adjustRightInd w:val="0"/>
              <w:snapToGrid w:val="0"/>
              <w:spacing w:after="0" w:line="320" w:lineRule="exact"/>
              <w:jc w:val="center"/>
              <w:rPr>
                <w:rFonts w:hAnsi="宋体" w:cs="宋体"/>
                <w:color w:val="auto"/>
                <w:sz w:val="24"/>
                <w:szCs w:val="24"/>
                <w:highlight w:val="none"/>
              </w:rPr>
            </w:pPr>
            <w:r>
              <w:rPr>
                <w:rFonts w:hAnsi="宋体" w:cs="宋体"/>
                <w:color w:val="auto"/>
                <w:sz w:val="24"/>
                <w:szCs w:val="24"/>
                <w:highlight w:val="none"/>
              </w:rPr>
              <w:t>5.2.5</w:t>
            </w:r>
          </w:p>
        </w:tc>
        <w:tc>
          <w:tcPr>
            <w:tcW w:w="1606" w:type="dxa"/>
            <w:vAlign w:val="center"/>
          </w:tcPr>
          <w:p w14:paraId="48008906">
            <w:pPr>
              <w:keepNext w:val="0"/>
              <w:keepLines w:val="0"/>
              <w:pageBreakBefore w:val="0"/>
              <w:widowControl w:val="0"/>
              <w:kinsoku/>
              <w:wordWrap/>
              <w:overflowPunct/>
              <w:topLinePunct w:val="0"/>
              <w:bidi w:val="0"/>
              <w:spacing w:after="0" w:line="320" w:lineRule="exact"/>
              <w:jc w:val="center"/>
              <w:rPr>
                <w:rFonts w:hint="eastAsia" w:ascii="宋体" w:hAnsi="宋体" w:cs="宋体"/>
                <w:color w:val="auto"/>
                <w:sz w:val="24"/>
                <w:highlight w:val="none"/>
              </w:rPr>
            </w:pPr>
            <w:r>
              <w:rPr>
                <w:rFonts w:hint="eastAsia" w:ascii="宋体" w:hAnsi="宋体" w:cs="宋体"/>
                <w:color w:val="auto"/>
                <w:sz w:val="24"/>
                <w:highlight w:val="none"/>
              </w:rPr>
              <w:t>标的所属行业</w:t>
            </w:r>
          </w:p>
        </w:tc>
        <w:tc>
          <w:tcPr>
            <w:tcW w:w="6681" w:type="dxa"/>
            <w:vAlign w:val="center"/>
          </w:tcPr>
          <w:p w14:paraId="57957429">
            <w:pPr>
              <w:keepNext w:val="0"/>
              <w:keepLines w:val="0"/>
              <w:pageBreakBefore w:val="0"/>
              <w:widowControl w:val="0"/>
              <w:kinsoku/>
              <w:wordWrap/>
              <w:overflowPunct/>
              <w:topLinePunct w:val="0"/>
              <w:bidi w:val="0"/>
              <w:spacing w:after="0" w:line="320" w:lineRule="exact"/>
              <w:jc w:val="left"/>
              <w:rPr>
                <w:rFonts w:hint="eastAsia" w:ascii="宋体" w:hAnsi="宋体" w:cs="宋体"/>
                <w:color w:val="auto"/>
                <w:sz w:val="24"/>
                <w:highlight w:val="none"/>
              </w:rPr>
            </w:pPr>
            <w:r>
              <w:rPr>
                <w:rFonts w:hint="eastAsia" w:ascii="宋体" w:hAnsi="宋体" w:cs="宋体"/>
                <w:color w:val="auto"/>
                <w:sz w:val="24"/>
                <w:highlight w:val="none"/>
              </w:rPr>
              <w:t>本项目本包采购标的对应的中小企业划分标准所属行业：</w:t>
            </w:r>
          </w:p>
          <w:tbl>
            <w:tblPr>
              <w:tblStyle w:val="26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1"/>
              <w:gridCol w:w="2877"/>
              <w:gridCol w:w="2846"/>
            </w:tblGrid>
            <w:tr w14:paraId="11ADA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551" w:type="dxa"/>
                  <w:vAlign w:val="center"/>
                </w:tcPr>
                <w:p w14:paraId="1B961F97">
                  <w:pPr>
                    <w:pStyle w:val="263"/>
                    <w:keepNext w:val="0"/>
                    <w:keepLines w:val="0"/>
                    <w:pageBreakBefore w:val="0"/>
                    <w:widowControl w:val="0"/>
                    <w:kinsoku/>
                    <w:wordWrap/>
                    <w:overflowPunct/>
                    <w:topLinePunct w:val="0"/>
                    <w:bidi w:val="0"/>
                    <w:spacing w:after="0" w:line="320" w:lineRule="exact"/>
                    <w:ind w:left="141"/>
                    <w:jc w:val="center"/>
                    <w:rPr>
                      <w:rFonts w:hint="eastAsia"/>
                      <w:color w:val="auto"/>
                      <w:spacing w:val="4"/>
                      <w:sz w:val="24"/>
                      <w:szCs w:val="24"/>
                      <w:highlight w:val="none"/>
                    </w:rPr>
                  </w:pPr>
                  <w:r>
                    <w:rPr>
                      <w:rFonts w:hint="eastAsia"/>
                      <w:color w:val="auto"/>
                      <w:spacing w:val="4"/>
                      <w:sz w:val="24"/>
                      <w:szCs w:val="24"/>
                      <w:highlight w:val="none"/>
                    </w:rPr>
                    <w:t>包号</w:t>
                  </w:r>
                </w:p>
              </w:tc>
              <w:tc>
                <w:tcPr>
                  <w:tcW w:w="2877" w:type="dxa"/>
                  <w:vAlign w:val="center"/>
                </w:tcPr>
                <w:p w14:paraId="69469D66">
                  <w:pPr>
                    <w:pStyle w:val="263"/>
                    <w:keepNext w:val="0"/>
                    <w:keepLines w:val="0"/>
                    <w:pageBreakBefore w:val="0"/>
                    <w:widowControl w:val="0"/>
                    <w:kinsoku/>
                    <w:wordWrap/>
                    <w:overflowPunct/>
                    <w:topLinePunct w:val="0"/>
                    <w:bidi w:val="0"/>
                    <w:spacing w:after="0" w:line="320" w:lineRule="exact"/>
                    <w:jc w:val="center"/>
                    <w:rPr>
                      <w:rFonts w:hint="eastAsia"/>
                      <w:color w:val="auto"/>
                      <w:spacing w:val="4"/>
                      <w:sz w:val="24"/>
                      <w:szCs w:val="24"/>
                      <w:highlight w:val="none"/>
                    </w:rPr>
                  </w:pPr>
                  <w:r>
                    <w:rPr>
                      <w:rFonts w:hint="eastAsia"/>
                      <w:color w:val="auto"/>
                      <w:spacing w:val="4"/>
                      <w:sz w:val="24"/>
                      <w:szCs w:val="24"/>
                      <w:highlight w:val="none"/>
                    </w:rPr>
                    <w:t>标的名称</w:t>
                  </w:r>
                </w:p>
              </w:tc>
              <w:tc>
                <w:tcPr>
                  <w:tcW w:w="2846" w:type="dxa"/>
                  <w:vAlign w:val="center"/>
                </w:tcPr>
                <w:p w14:paraId="55113F13">
                  <w:pPr>
                    <w:pStyle w:val="263"/>
                    <w:keepNext w:val="0"/>
                    <w:keepLines w:val="0"/>
                    <w:pageBreakBefore w:val="0"/>
                    <w:widowControl w:val="0"/>
                    <w:kinsoku/>
                    <w:wordWrap/>
                    <w:overflowPunct/>
                    <w:topLinePunct w:val="0"/>
                    <w:bidi w:val="0"/>
                    <w:spacing w:after="0" w:line="320" w:lineRule="exact"/>
                    <w:ind w:left="178"/>
                    <w:jc w:val="center"/>
                    <w:rPr>
                      <w:rFonts w:hint="eastAsia"/>
                      <w:color w:val="auto"/>
                      <w:spacing w:val="4"/>
                      <w:sz w:val="24"/>
                      <w:szCs w:val="24"/>
                      <w:highlight w:val="none"/>
                      <w:lang w:eastAsia="zh-CN"/>
                    </w:rPr>
                  </w:pPr>
                  <w:r>
                    <w:rPr>
                      <w:rFonts w:hint="eastAsia"/>
                      <w:color w:val="auto"/>
                      <w:spacing w:val="4"/>
                      <w:sz w:val="24"/>
                      <w:szCs w:val="24"/>
                      <w:highlight w:val="none"/>
                      <w:lang w:eastAsia="zh-CN"/>
                    </w:rPr>
                    <w:t>中小企业划分标准所属行业</w:t>
                  </w:r>
                </w:p>
              </w:tc>
            </w:tr>
            <w:tr w14:paraId="1B66A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551" w:type="dxa"/>
                  <w:vAlign w:val="center"/>
                </w:tcPr>
                <w:p w14:paraId="4CFCF8AF">
                  <w:pPr>
                    <w:pStyle w:val="263"/>
                    <w:keepNext w:val="0"/>
                    <w:keepLines w:val="0"/>
                    <w:pageBreakBefore w:val="0"/>
                    <w:widowControl w:val="0"/>
                    <w:kinsoku/>
                    <w:wordWrap/>
                    <w:overflowPunct/>
                    <w:topLinePunct w:val="0"/>
                    <w:bidi w:val="0"/>
                    <w:spacing w:after="0" w:line="320" w:lineRule="exact"/>
                    <w:jc w:val="center"/>
                    <w:rPr>
                      <w:rFonts w:hint="eastAsia"/>
                      <w:color w:val="auto"/>
                      <w:spacing w:val="4"/>
                      <w:sz w:val="24"/>
                      <w:szCs w:val="24"/>
                      <w:highlight w:val="none"/>
                      <w:lang w:eastAsia="zh-CN"/>
                    </w:rPr>
                  </w:pPr>
                  <w:r>
                    <w:rPr>
                      <w:rFonts w:hint="eastAsia"/>
                      <w:color w:val="auto"/>
                      <w:spacing w:val="4"/>
                      <w:sz w:val="24"/>
                      <w:szCs w:val="24"/>
                      <w:highlight w:val="none"/>
                      <w:lang w:eastAsia="zh-CN"/>
                    </w:rPr>
                    <w:t>01</w:t>
                  </w:r>
                </w:p>
              </w:tc>
              <w:tc>
                <w:tcPr>
                  <w:tcW w:w="2877" w:type="dxa"/>
                  <w:vAlign w:val="center"/>
                </w:tcPr>
                <w:p w14:paraId="1FDD32FC">
                  <w:pPr>
                    <w:keepNext w:val="0"/>
                    <w:keepLines w:val="0"/>
                    <w:pageBreakBefore w:val="0"/>
                    <w:widowControl w:val="0"/>
                    <w:kinsoku/>
                    <w:wordWrap/>
                    <w:overflowPunct/>
                    <w:topLinePunct w:val="0"/>
                    <w:autoSpaceDE/>
                    <w:autoSpaceDN/>
                    <w:bidi w:val="0"/>
                    <w:spacing w:after="0" w:line="320" w:lineRule="exact"/>
                    <w:jc w:val="center"/>
                    <w:rPr>
                      <w:rFonts w:hint="eastAsia" w:ascii="宋体" w:hAnsi="宋体" w:eastAsia="宋体" w:cs="宋体"/>
                      <w:color w:val="auto"/>
                      <w:spacing w:val="4"/>
                      <w:sz w:val="24"/>
                      <w:highlight w:val="none"/>
                      <w:lang w:eastAsia="zh-CN"/>
                    </w:rPr>
                  </w:pPr>
                  <w:r>
                    <w:rPr>
                      <w:rFonts w:hint="eastAsia" w:ascii="宋体" w:hAnsi="宋体" w:cs="宋体"/>
                      <w:bCs/>
                      <w:color w:val="auto"/>
                      <w:sz w:val="24"/>
                      <w:highlight w:val="none"/>
                      <w:lang w:eastAsia="zh-CN"/>
                    </w:rPr>
                    <w:t>房山区域应急救援中心建设工程项目建设管理服务</w:t>
                  </w:r>
                </w:p>
              </w:tc>
              <w:tc>
                <w:tcPr>
                  <w:tcW w:w="2846" w:type="dxa"/>
                  <w:vAlign w:val="center"/>
                </w:tcPr>
                <w:p w14:paraId="03F9A61F">
                  <w:pPr>
                    <w:keepNext w:val="0"/>
                    <w:keepLines w:val="0"/>
                    <w:pageBreakBefore w:val="0"/>
                    <w:widowControl w:val="0"/>
                    <w:kinsoku/>
                    <w:wordWrap/>
                    <w:overflowPunct/>
                    <w:topLinePunct w:val="0"/>
                    <w:autoSpaceDE w:val="0"/>
                    <w:autoSpaceDN w:val="0"/>
                    <w:bidi w:val="0"/>
                    <w:spacing w:after="0" w:line="320" w:lineRule="exact"/>
                    <w:jc w:val="center"/>
                    <w:rPr>
                      <w:rFonts w:hint="eastAsia" w:ascii="宋体" w:hAnsi="宋体" w:cs="宋体"/>
                      <w:color w:val="auto"/>
                      <w:spacing w:val="4"/>
                      <w:sz w:val="24"/>
                      <w:highlight w:val="none"/>
                      <w:lang w:eastAsia="en-US"/>
                    </w:rPr>
                  </w:pPr>
                  <w:r>
                    <w:rPr>
                      <w:rFonts w:hint="eastAsia" w:ascii="宋体" w:hAnsi="宋体" w:cs="宋体"/>
                      <w:color w:val="auto"/>
                      <w:sz w:val="24"/>
                      <w:szCs w:val="32"/>
                      <w:highlight w:val="none"/>
                      <w:lang w:eastAsia="en-US"/>
                    </w:rPr>
                    <w:t>其他未列明行业</w:t>
                  </w:r>
                </w:p>
              </w:tc>
            </w:tr>
          </w:tbl>
          <w:p w14:paraId="4CE38926">
            <w:pPr>
              <w:keepNext w:val="0"/>
              <w:keepLines w:val="0"/>
              <w:pageBreakBefore w:val="0"/>
              <w:widowControl w:val="0"/>
              <w:kinsoku/>
              <w:wordWrap/>
              <w:overflowPunct/>
              <w:topLinePunct w:val="0"/>
              <w:bidi w:val="0"/>
              <w:spacing w:after="0" w:line="320" w:lineRule="exact"/>
              <w:jc w:val="left"/>
              <w:rPr>
                <w:rFonts w:hint="eastAsia" w:ascii="宋体" w:hAnsi="宋体" w:cs="宋体"/>
                <w:color w:val="auto"/>
                <w:sz w:val="24"/>
                <w:highlight w:val="none"/>
              </w:rPr>
            </w:pPr>
            <w:r>
              <w:rPr>
                <w:rFonts w:hint="eastAsia" w:ascii="宋体" w:hAnsi="宋体" w:cs="宋体"/>
                <w:color w:val="auto"/>
                <w:szCs w:val="21"/>
                <w:highlight w:val="none"/>
              </w:rPr>
              <w:t>其他未列明行业：从业人员300人以下的为中小微型企业。其中，从业人员100人及以上的为中型企业；从业人员10人及以上的为小型企业；从业人员10人以下的为微型企业。</w:t>
            </w:r>
          </w:p>
        </w:tc>
      </w:tr>
      <w:tr w14:paraId="62C1D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88" w:type="dxa"/>
            <w:vAlign w:val="center"/>
          </w:tcPr>
          <w:p w14:paraId="456363B0">
            <w:pPr>
              <w:pStyle w:val="25"/>
              <w:keepNext w:val="0"/>
              <w:keepLines w:val="0"/>
              <w:pageBreakBefore w:val="0"/>
              <w:widowControl w:val="0"/>
              <w:kinsoku/>
              <w:wordWrap/>
              <w:overflowPunct/>
              <w:topLinePunct w:val="0"/>
              <w:bidi w:val="0"/>
              <w:adjustRightInd w:val="0"/>
              <w:snapToGrid w:val="0"/>
              <w:spacing w:after="0" w:line="320" w:lineRule="exact"/>
              <w:jc w:val="center"/>
              <w:rPr>
                <w:rFonts w:hAnsi="宋体" w:cs="宋体"/>
                <w:color w:val="auto"/>
                <w:sz w:val="24"/>
                <w:szCs w:val="24"/>
                <w:highlight w:val="none"/>
              </w:rPr>
            </w:pPr>
            <w:r>
              <w:rPr>
                <w:rFonts w:hAnsi="宋体" w:cs="宋体"/>
                <w:color w:val="auto"/>
                <w:sz w:val="24"/>
                <w:szCs w:val="24"/>
                <w:highlight w:val="none"/>
              </w:rPr>
              <w:t>9.4</w:t>
            </w:r>
          </w:p>
        </w:tc>
        <w:tc>
          <w:tcPr>
            <w:tcW w:w="1606" w:type="dxa"/>
            <w:vAlign w:val="center"/>
          </w:tcPr>
          <w:p w14:paraId="10F43533">
            <w:pPr>
              <w:keepNext w:val="0"/>
              <w:keepLines w:val="0"/>
              <w:pageBreakBefore w:val="0"/>
              <w:widowControl w:val="0"/>
              <w:kinsoku/>
              <w:wordWrap/>
              <w:overflowPunct/>
              <w:topLinePunct w:val="0"/>
              <w:bidi w:val="0"/>
              <w:spacing w:after="0" w:line="320" w:lineRule="exact"/>
              <w:jc w:val="center"/>
              <w:rPr>
                <w:rFonts w:hint="eastAsia" w:ascii="宋体" w:hAnsi="宋体" w:cs="宋体"/>
                <w:color w:val="auto"/>
                <w:sz w:val="24"/>
                <w:highlight w:val="none"/>
              </w:rPr>
            </w:pPr>
            <w:r>
              <w:rPr>
                <w:rFonts w:hint="eastAsia" w:ascii="宋体" w:hAnsi="宋体" w:cs="宋体"/>
                <w:color w:val="auto"/>
                <w:sz w:val="24"/>
                <w:highlight w:val="none"/>
              </w:rPr>
              <w:t>投标文件编制要求</w:t>
            </w:r>
          </w:p>
        </w:tc>
        <w:tc>
          <w:tcPr>
            <w:tcW w:w="6681" w:type="dxa"/>
            <w:vAlign w:val="center"/>
          </w:tcPr>
          <w:p w14:paraId="03A9AC57">
            <w:pPr>
              <w:keepNext w:val="0"/>
              <w:keepLines w:val="0"/>
              <w:pageBreakBefore w:val="0"/>
              <w:widowControl w:val="0"/>
              <w:kinsoku/>
              <w:wordWrap/>
              <w:overflowPunct/>
              <w:topLinePunct w:val="0"/>
              <w:bidi w:val="0"/>
              <w:spacing w:after="0" w:line="320" w:lineRule="exact"/>
              <w:jc w:val="left"/>
              <w:rPr>
                <w:rFonts w:hint="eastAsia" w:ascii="宋体" w:hAnsi="宋体" w:cs="宋体"/>
                <w:color w:val="auto"/>
                <w:sz w:val="24"/>
                <w:highlight w:val="none"/>
              </w:rPr>
            </w:pPr>
            <w:r>
              <w:rPr>
                <w:rFonts w:hint="eastAsia" w:ascii="宋体" w:hAnsi="宋体" w:cs="宋体"/>
                <w:color w:val="auto"/>
                <w:sz w:val="24"/>
                <w:highlight w:val="none"/>
              </w:rPr>
              <w:t>若供应商对本项目的多个包(如有)同时进行投标，则投标文件的编制、包装要求如下：</w:t>
            </w:r>
          </w:p>
          <w:p w14:paraId="1F452BAC">
            <w:pPr>
              <w:keepNext w:val="0"/>
              <w:keepLines w:val="0"/>
              <w:pageBreakBefore w:val="0"/>
              <w:widowControl w:val="0"/>
              <w:kinsoku/>
              <w:wordWrap/>
              <w:overflowPunct/>
              <w:topLinePunct w:val="0"/>
              <w:bidi w:val="0"/>
              <w:spacing w:after="0" w:line="320" w:lineRule="exact"/>
              <w:jc w:val="left"/>
              <w:rPr>
                <w:rFonts w:hint="eastAsia" w:ascii="宋体" w:hAnsi="宋体" w:cs="宋体"/>
                <w:color w:val="auto"/>
                <w:sz w:val="24"/>
                <w:highlight w:val="none"/>
              </w:rPr>
            </w:pPr>
            <w:r>
              <w:rPr>
                <w:rFonts w:hint="eastAsia" w:ascii="宋体" w:hAnsi="宋体" w:cs="宋体"/>
                <w:color w:val="auto"/>
                <w:sz w:val="24"/>
                <w:highlight w:val="none"/>
              </w:rPr>
              <w:t>□本项目不适用；</w:t>
            </w:r>
          </w:p>
          <w:p w14:paraId="3BA92373">
            <w:pPr>
              <w:keepNext w:val="0"/>
              <w:keepLines w:val="0"/>
              <w:pageBreakBefore w:val="0"/>
              <w:widowControl w:val="0"/>
              <w:kinsoku/>
              <w:wordWrap/>
              <w:overflowPunct/>
              <w:topLinePunct w:val="0"/>
              <w:bidi w:val="0"/>
              <w:spacing w:after="0" w:line="320" w:lineRule="exact"/>
              <w:jc w:val="left"/>
              <w:rPr>
                <w:rFonts w:hint="eastAsia" w:ascii="宋体" w:hAnsi="宋体" w:cs="宋体"/>
                <w:color w:val="auto"/>
                <w:sz w:val="24"/>
                <w:highlight w:val="none"/>
              </w:rPr>
            </w:pPr>
            <w:r>
              <w:rPr>
                <w:rFonts w:hint="eastAsia" w:ascii="宋体" w:hAnsi="宋体" w:cs="宋体"/>
                <w:color w:val="auto"/>
                <w:spacing w:val="4"/>
                <w:sz w:val="24"/>
                <w:highlight w:val="none"/>
              </w:rPr>
              <w:t>■</w:t>
            </w:r>
            <w:r>
              <w:rPr>
                <w:rFonts w:hint="eastAsia" w:ascii="宋体" w:hAnsi="宋体" w:cs="宋体"/>
                <w:color w:val="auto"/>
                <w:sz w:val="24"/>
                <w:highlight w:val="none"/>
              </w:rPr>
              <w:t>按包分别编制和包装。</w:t>
            </w:r>
          </w:p>
        </w:tc>
      </w:tr>
      <w:tr w14:paraId="5B15B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88" w:type="dxa"/>
            <w:vAlign w:val="center"/>
          </w:tcPr>
          <w:p w14:paraId="4112ACB7">
            <w:pPr>
              <w:pStyle w:val="25"/>
              <w:keepNext w:val="0"/>
              <w:keepLines w:val="0"/>
              <w:pageBreakBefore w:val="0"/>
              <w:widowControl w:val="0"/>
              <w:kinsoku/>
              <w:wordWrap/>
              <w:overflowPunct/>
              <w:topLinePunct w:val="0"/>
              <w:bidi w:val="0"/>
              <w:adjustRightInd w:val="0"/>
              <w:snapToGrid w:val="0"/>
              <w:spacing w:after="0" w:line="320" w:lineRule="exact"/>
              <w:jc w:val="center"/>
              <w:rPr>
                <w:rFonts w:hAnsi="宋体" w:cs="宋体"/>
                <w:color w:val="auto"/>
                <w:sz w:val="24"/>
                <w:szCs w:val="24"/>
                <w:highlight w:val="none"/>
              </w:rPr>
            </w:pPr>
            <w:r>
              <w:rPr>
                <w:rFonts w:hAnsi="宋体" w:cs="宋体"/>
                <w:color w:val="auto"/>
                <w:sz w:val="24"/>
                <w:szCs w:val="24"/>
                <w:highlight w:val="none"/>
              </w:rPr>
              <w:t>11.2</w:t>
            </w:r>
          </w:p>
        </w:tc>
        <w:tc>
          <w:tcPr>
            <w:tcW w:w="1606" w:type="dxa"/>
            <w:vAlign w:val="center"/>
          </w:tcPr>
          <w:p w14:paraId="0478C4CC">
            <w:pPr>
              <w:keepNext w:val="0"/>
              <w:keepLines w:val="0"/>
              <w:pageBreakBefore w:val="0"/>
              <w:widowControl w:val="0"/>
              <w:kinsoku/>
              <w:wordWrap/>
              <w:overflowPunct/>
              <w:topLinePunct w:val="0"/>
              <w:bidi w:val="0"/>
              <w:spacing w:after="0" w:line="320" w:lineRule="exact"/>
              <w:jc w:val="center"/>
              <w:rPr>
                <w:rFonts w:hint="eastAsia" w:ascii="宋体" w:hAnsi="宋体" w:cs="宋体"/>
                <w:color w:val="auto"/>
                <w:sz w:val="24"/>
                <w:highlight w:val="none"/>
              </w:rPr>
            </w:pPr>
            <w:r>
              <w:rPr>
                <w:rFonts w:hint="eastAsia" w:ascii="宋体" w:hAnsi="宋体" w:cs="宋体"/>
                <w:color w:val="auto"/>
                <w:sz w:val="24"/>
                <w:highlight w:val="none"/>
              </w:rPr>
              <w:t>投标报价</w:t>
            </w:r>
          </w:p>
        </w:tc>
        <w:tc>
          <w:tcPr>
            <w:tcW w:w="6681" w:type="dxa"/>
            <w:vAlign w:val="center"/>
          </w:tcPr>
          <w:p w14:paraId="28227132">
            <w:pPr>
              <w:keepNext w:val="0"/>
              <w:keepLines w:val="0"/>
              <w:pageBreakBefore w:val="0"/>
              <w:widowControl w:val="0"/>
              <w:kinsoku/>
              <w:wordWrap/>
              <w:overflowPunct/>
              <w:topLinePunct w:val="0"/>
              <w:bidi w:val="0"/>
              <w:spacing w:after="0" w:line="320" w:lineRule="exact"/>
              <w:jc w:val="left"/>
              <w:rPr>
                <w:rFonts w:hint="eastAsia" w:ascii="宋体" w:hAnsi="宋体" w:cs="宋体"/>
                <w:color w:val="auto"/>
                <w:sz w:val="24"/>
                <w:highlight w:val="none"/>
              </w:rPr>
            </w:pPr>
            <w:r>
              <w:rPr>
                <w:rFonts w:hint="eastAsia" w:ascii="宋体" w:hAnsi="宋体" w:cs="宋体"/>
                <w:color w:val="auto"/>
                <w:sz w:val="24"/>
                <w:highlight w:val="none"/>
              </w:rPr>
              <w:t>投标报价的特殊规定：</w:t>
            </w:r>
          </w:p>
          <w:p w14:paraId="4C5D4FA6">
            <w:pPr>
              <w:keepNext w:val="0"/>
              <w:keepLines w:val="0"/>
              <w:pageBreakBefore w:val="0"/>
              <w:widowControl w:val="0"/>
              <w:kinsoku/>
              <w:wordWrap/>
              <w:overflowPunct/>
              <w:topLinePunct w:val="0"/>
              <w:bidi w:val="0"/>
              <w:spacing w:after="0" w:line="320" w:lineRule="exact"/>
              <w:jc w:val="left"/>
              <w:rPr>
                <w:rFonts w:hint="eastAsia" w:ascii="宋体" w:hAnsi="宋体" w:cs="宋体"/>
                <w:color w:val="auto"/>
                <w:sz w:val="24"/>
                <w:highlight w:val="none"/>
              </w:rPr>
            </w:pPr>
            <w:r>
              <w:rPr>
                <w:rFonts w:hint="eastAsia" w:ascii="宋体" w:hAnsi="宋体" w:cs="宋体"/>
                <w:color w:val="auto"/>
                <w:spacing w:val="4"/>
                <w:sz w:val="24"/>
                <w:highlight w:val="none"/>
              </w:rPr>
              <w:t>■</w:t>
            </w:r>
            <w:r>
              <w:rPr>
                <w:rFonts w:hint="eastAsia" w:ascii="宋体" w:hAnsi="宋体" w:cs="宋体"/>
                <w:color w:val="auto"/>
                <w:sz w:val="24"/>
                <w:highlight w:val="none"/>
              </w:rPr>
              <w:t>无</w:t>
            </w:r>
          </w:p>
          <w:p w14:paraId="32C56DE5">
            <w:pPr>
              <w:keepNext w:val="0"/>
              <w:keepLines w:val="0"/>
              <w:pageBreakBefore w:val="0"/>
              <w:widowControl w:val="0"/>
              <w:kinsoku/>
              <w:wordWrap/>
              <w:overflowPunct/>
              <w:topLinePunct w:val="0"/>
              <w:bidi w:val="0"/>
              <w:spacing w:after="0" w:line="320" w:lineRule="exact"/>
              <w:jc w:val="left"/>
              <w:rPr>
                <w:rFonts w:hint="eastAsia" w:ascii="宋体" w:hAnsi="宋体" w:cs="宋体"/>
                <w:color w:val="auto"/>
                <w:sz w:val="24"/>
                <w:highlight w:val="none"/>
              </w:rPr>
            </w:pPr>
            <w:r>
              <w:rPr>
                <w:rFonts w:hint="eastAsia" w:ascii="宋体" w:hAnsi="宋体" w:cs="宋体"/>
                <w:color w:val="auto"/>
                <w:sz w:val="24"/>
                <w:highlight w:val="none"/>
              </w:rPr>
              <w:t>□有，具体情形：_____。</w:t>
            </w:r>
          </w:p>
        </w:tc>
      </w:tr>
      <w:tr w14:paraId="0F989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88" w:type="dxa"/>
            <w:vAlign w:val="center"/>
          </w:tcPr>
          <w:p w14:paraId="6AC6B2D4">
            <w:pPr>
              <w:pStyle w:val="25"/>
              <w:keepNext w:val="0"/>
              <w:keepLines w:val="0"/>
              <w:pageBreakBefore w:val="0"/>
              <w:widowControl w:val="0"/>
              <w:kinsoku/>
              <w:wordWrap/>
              <w:overflowPunct/>
              <w:topLinePunct w:val="0"/>
              <w:bidi w:val="0"/>
              <w:adjustRightInd w:val="0"/>
              <w:snapToGrid w:val="0"/>
              <w:spacing w:after="0" w:line="320" w:lineRule="exact"/>
              <w:jc w:val="center"/>
              <w:rPr>
                <w:rFonts w:hAnsi="宋体" w:cs="宋体"/>
                <w:color w:val="auto"/>
                <w:sz w:val="24"/>
                <w:szCs w:val="24"/>
                <w:highlight w:val="none"/>
              </w:rPr>
            </w:pPr>
            <w:r>
              <w:rPr>
                <w:rFonts w:hAnsi="宋体" w:cs="宋体"/>
                <w:color w:val="auto"/>
                <w:sz w:val="24"/>
                <w:szCs w:val="24"/>
                <w:highlight w:val="none"/>
              </w:rPr>
              <w:t>12.1</w:t>
            </w:r>
          </w:p>
        </w:tc>
        <w:tc>
          <w:tcPr>
            <w:tcW w:w="1606" w:type="dxa"/>
            <w:vMerge w:val="restart"/>
            <w:vAlign w:val="center"/>
          </w:tcPr>
          <w:p w14:paraId="63C76759">
            <w:pPr>
              <w:keepNext w:val="0"/>
              <w:keepLines w:val="0"/>
              <w:pageBreakBefore w:val="0"/>
              <w:widowControl w:val="0"/>
              <w:kinsoku/>
              <w:wordWrap/>
              <w:overflowPunct/>
              <w:topLinePunct w:val="0"/>
              <w:bidi w:val="0"/>
              <w:spacing w:after="0" w:line="320" w:lineRule="exact"/>
              <w:jc w:val="center"/>
              <w:rPr>
                <w:rFonts w:hint="eastAsia" w:ascii="宋体" w:hAnsi="宋体" w:cs="宋体"/>
                <w:color w:val="auto"/>
                <w:sz w:val="24"/>
                <w:highlight w:val="none"/>
              </w:rPr>
            </w:pPr>
            <w:r>
              <w:rPr>
                <w:rFonts w:hint="eastAsia" w:ascii="宋体" w:hAnsi="宋体" w:cs="宋体"/>
                <w:color w:val="auto"/>
                <w:sz w:val="24"/>
                <w:highlight w:val="none"/>
              </w:rPr>
              <w:t>投标保证金</w:t>
            </w:r>
          </w:p>
        </w:tc>
        <w:tc>
          <w:tcPr>
            <w:tcW w:w="6681" w:type="dxa"/>
            <w:vAlign w:val="center"/>
          </w:tcPr>
          <w:p w14:paraId="73D4B6BE">
            <w:pPr>
              <w:pStyle w:val="25"/>
              <w:keepNext w:val="0"/>
              <w:keepLines w:val="0"/>
              <w:pageBreakBefore w:val="0"/>
              <w:widowControl w:val="0"/>
              <w:kinsoku/>
              <w:wordWrap/>
              <w:overflowPunct/>
              <w:topLinePunct w:val="0"/>
              <w:bidi w:val="0"/>
              <w:adjustRightInd w:val="0"/>
              <w:snapToGrid w:val="0"/>
              <w:spacing w:after="0" w:line="320" w:lineRule="exact"/>
              <w:rPr>
                <w:rFonts w:hAnsi="宋体" w:cs="宋体"/>
                <w:color w:val="auto"/>
                <w:sz w:val="24"/>
                <w:szCs w:val="24"/>
                <w:highlight w:val="none"/>
              </w:rPr>
            </w:pPr>
            <w:r>
              <w:rPr>
                <w:rFonts w:hAnsi="宋体" w:cs="宋体"/>
                <w:color w:val="auto"/>
                <w:sz w:val="24"/>
                <w:szCs w:val="24"/>
                <w:highlight w:val="none"/>
              </w:rPr>
              <w:t>投标保证金金额：</w:t>
            </w:r>
          </w:p>
          <w:p w14:paraId="42738911">
            <w:pPr>
              <w:pStyle w:val="25"/>
              <w:keepNext w:val="0"/>
              <w:keepLines w:val="0"/>
              <w:pageBreakBefore w:val="0"/>
              <w:widowControl w:val="0"/>
              <w:kinsoku/>
              <w:wordWrap/>
              <w:overflowPunct/>
              <w:topLinePunct w:val="0"/>
              <w:bidi w:val="0"/>
              <w:adjustRightInd w:val="0"/>
              <w:snapToGrid w:val="0"/>
              <w:spacing w:after="0" w:line="320" w:lineRule="exact"/>
              <w:rPr>
                <w:rFonts w:hAnsi="宋体" w:cs="宋体"/>
                <w:b/>
                <w:bCs/>
                <w:color w:val="auto"/>
                <w:sz w:val="24"/>
                <w:szCs w:val="24"/>
                <w:highlight w:val="none"/>
              </w:rPr>
            </w:pPr>
            <w:r>
              <w:rPr>
                <w:rFonts w:hAnsi="宋体" w:cs="宋体"/>
                <w:b/>
                <w:bCs/>
                <w:color w:val="auto"/>
                <w:sz w:val="24"/>
                <w:szCs w:val="24"/>
                <w:highlight w:val="none"/>
              </w:rPr>
              <w:t>01包：10000元；</w:t>
            </w:r>
          </w:p>
          <w:p w14:paraId="655E1655">
            <w:pPr>
              <w:keepNext w:val="0"/>
              <w:keepLines w:val="0"/>
              <w:pageBreakBefore w:val="0"/>
              <w:widowControl w:val="0"/>
              <w:kinsoku/>
              <w:wordWrap/>
              <w:overflowPunct/>
              <w:topLinePunct w:val="0"/>
              <w:bidi w:val="0"/>
              <w:spacing w:after="0" w:line="320" w:lineRule="exact"/>
              <w:jc w:val="left"/>
              <w:rPr>
                <w:rFonts w:hint="eastAsia" w:ascii="宋体" w:hAnsi="宋体" w:cs="宋体"/>
                <w:color w:val="auto"/>
                <w:sz w:val="24"/>
                <w:highlight w:val="none"/>
              </w:rPr>
            </w:pPr>
            <w:r>
              <w:rPr>
                <w:rFonts w:hint="eastAsia" w:ascii="宋体" w:hAnsi="宋体" w:cs="宋体"/>
                <w:color w:val="auto"/>
                <w:sz w:val="24"/>
                <w:highlight w:val="none"/>
              </w:rPr>
              <w:t>投标保证金收受人信息：</w:t>
            </w:r>
          </w:p>
          <w:p w14:paraId="658BADD1">
            <w:pPr>
              <w:keepNext w:val="0"/>
              <w:keepLines w:val="0"/>
              <w:pageBreakBefore w:val="0"/>
              <w:widowControl w:val="0"/>
              <w:kinsoku/>
              <w:wordWrap/>
              <w:overflowPunct/>
              <w:topLinePunct w:val="0"/>
              <w:bidi w:val="0"/>
              <w:spacing w:after="0" w:line="320" w:lineRule="exact"/>
              <w:jc w:val="left"/>
              <w:rPr>
                <w:rFonts w:hint="eastAsia" w:ascii="宋体" w:hAnsi="宋体" w:cs="宋体"/>
                <w:color w:val="auto"/>
                <w:sz w:val="24"/>
                <w:highlight w:val="none"/>
              </w:rPr>
            </w:pPr>
            <w:r>
              <w:rPr>
                <w:rFonts w:hint="eastAsia" w:ascii="宋体" w:hAnsi="宋体" w:cs="宋体"/>
                <w:color w:val="auto"/>
                <w:sz w:val="24"/>
                <w:highlight w:val="none"/>
              </w:rPr>
              <w:t>账户名称：中信国际招标有限公司</w:t>
            </w:r>
          </w:p>
          <w:p w14:paraId="3A981D31">
            <w:pPr>
              <w:keepNext w:val="0"/>
              <w:keepLines w:val="0"/>
              <w:pageBreakBefore w:val="0"/>
              <w:widowControl w:val="0"/>
              <w:kinsoku/>
              <w:wordWrap/>
              <w:overflowPunct/>
              <w:topLinePunct w:val="0"/>
              <w:bidi w:val="0"/>
              <w:spacing w:after="0" w:line="320" w:lineRule="exact"/>
              <w:jc w:val="left"/>
              <w:rPr>
                <w:rFonts w:hint="eastAsia" w:ascii="宋体" w:hAnsi="宋体" w:cs="宋体"/>
                <w:color w:val="auto"/>
                <w:sz w:val="24"/>
                <w:highlight w:val="none"/>
              </w:rPr>
            </w:pPr>
            <w:r>
              <w:rPr>
                <w:rFonts w:hint="eastAsia" w:ascii="宋体" w:hAnsi="宋体" w:cs="宋体"/>
                <w:color w:val="auto"/>
                <w:sz w:val="24"/>
                <w:highlight w:val="none"/>
              </w:rPr>
              <w:t>开户银行：中信银行北京三元桥支行</w:t>
            </w:r>
          </w:p>
          <w:p w14:paraId="78A4BAB6">
            <w:pPr>
              <w:keepNext w:val="0"/>
              <w:keepLines w:val="0"/>
              <w:pageBreakBefore w:val="0"/>
              <w:widowControl w:val="0"/>
              <w:kinsoku/>
              <w:wordWrap/>
              <w:overflowPunct/>
              <w:topLinePunct w:val="0"/>
              <w:bidi w:val="0"/>
              <w:spacing w:after="0" w:line="320" w:lineRule="exact"/>
              <w:jc w:val="left"/>
              <w:rPr>
                <w:rFonts w:hint="eastAsia" w:ascii="宋体" w:hAnsi="宋体" w:cs="宋体"/>
                <w:color w:val="auto"/>
                <w:sz w:val="24"/>
                <w:highlight w:val="none"/>
              </w:rPr>
            </w:pPr>
            <w:r>
              <w:rPr>
                <w:rFonts w:hint="eastAsia" w:ascii="宋体" w:hAnsi="宋体" w:cs="宋体"/>
                <w:color w:val="auto"/>
                <w:sz w:val="24"/>
                <w:highlight w:val="none"/>
              </w:rPr>
              <w:t>开户账号：8110701013102383606</w:t>
            </w:r>
          </w:p>
          <w:p w14:paraId="629BD71E">
            <w:pPr>
              <w:keepNext w:val="0"/>
              <w:keepLines w:val="0"/>
              <w:pageBreakBefore w:val="0"/>
              <w:widowControl w:val="0"/>
              <w:kinsoku/>
              <w:wordWrap/>
              <w:overflowPunct/>
              <w:topLinePunct w:val="0"/>
              <w:bidi w:val="0"/>
              <w:spacing w:after="0" w:line="320" w:lineRule="exact"/>
              <w:jc w:val="left"/>
              <w:rPr>
                <w:rFonts w:hint="eastAsia" w:ascii="宋体" w:hAnsi="宋体" w:cs="宋体"/>
                <w:color w:val="auto"/>
                <w:sz w:val="24"/>
                <w:highlight w:val="none"/>
              </w:rPr>
            </w:pPr>
            <w:r>
              <w:rPr>
                <w:rFonts w:hint="eastAsia" w:ascii="宋体" w:hAnsi="宋体" w:cs="宋体"/>
                <w:color w:val="auto"/>
                <w:sz w:val="24"/>
                <w:highlight w:val="none"/>
              </w:rPr>
              <w:t>投标保证金将根据招标文件规定按汇款原路退回。</w:t>
            </w:r>
          </w:p>
        </w:tc>
      </w:tr>
      <w:tr w14:paraId="20E07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88" w:type="dxa"/>
            <w:vAlign w:val="center"/>
          </w:tcPr>
          <w:p w14:paraId="6BB030E0">
            <w:pPr>
              <w:pStyle w:val="25"/>
              <w:keepNext w:val="0"/>
              <w:keepLines w:val="0"/>
              <w:pageBreakBefore w:val="0"/>
              <w:widowControl w:val="0"/>
              <w:kinsoku/>
              <w:wordWrap/>
              <w:overflowPunct/>
              <w:topLinePunct w:val="0"/>
              <w:bidi w:val="0"/>
              <w:adjustRightInd w:val="0"/>
              <w:snapToGrid w:val="0"/>
              <w:spacing w:after="0" w:line="320" w:lineRule="exact"/>
              <w:jc w:val="center"/>
              <w:rPr>
                <w:rFonts w:hAnsi="宋体" w:cs="宋体"/>
                <w:color w:val="auto"/>
                <w:sz w:val="24"/>
                <w:szCs w:val="24"/>
                <w:highlight w:val="none"/>
              </w:rPr>
            </w:pPr>
            <w:r>
              <w:rPr>
                <w:rFonts w:hAnsi="宋体" w:cs="宋体"/>
                <w:color w:val="auto"/>
                <w:sz w:val="24"/>
                <w:szCs w:val="24"/>
                <w:highlight w:val="none"/>
              </w:rPr>
              <w:t>12.7.2</w:t>
            </w:r>
          </w:p>
        </w:tc>
        <w:tc>
          <w:tcPr>
            <w:tcW w:w="1606" w:type="dxa"/>
            <w:vMerge w:val="continue"/>
            <w:vAlign w:val="center"/>
          </w:tcPr>
          <w:p w14:paraId="614FEBD9">
            <w:pPr>
              <w:keepNext w:val="0"/>
              <w:keepLines w:val="0"/>
              <w:pageBreakBefore w:val="0"/>
              <w:widowControl w:val="0"/>
              <w:kinsoku/>
              <w:wordWrap/>
              <w:overflowPunct/>
              <w:topLinePunct w:val="0"/>
              <w:bidi w:val="0"/>
              <w:spacing w:after="0" w:line="320" w:lineRule="exact"/>
              <w:jc w:val="center"/>
              <w:rPr>
                <w:rFonts w:hint="eastAsia" w:ascii="宋体" w:hAnsi="宋体" w:cs="宋体"/>
                <w:color w:val="auto"/>
                <w:sz w:val="24"/>
                <w:highlight w:val="none"/>
              </w:rPr>
            </w:pPr>
          </w:p>
        </w:tc>
        <w:tc>
          <w:tcPr>
            <w:tcW w:w="6681" w:type="dxa"/>
            <w:vAlign w:val="center"/>
          </w:tcPr>
          <w:p w14:paraId="5217C204">
            <w:pPr>
              <w:keepNext w:val="0"/>
              <w:keepLines w:val="0"/>
              <w:pageBreakBefore w:val="0"/>
              <w:widowControl w:val="0"/>
              <w:kinsoku/>
              <w:wordWrap/>
              <w:overflowPunct/>
              <w:topLinePunct w:val="0"/>
              <w:bidi w:val="0"/>
              <w:spacing w:after="0" w:line="320" w:lineRule="exact"/>
              <w:jc w:val="left"/>
              <w:rPr>
                <w:rFonts w:hint="eastAsia" w:ascii="宋体" w:hAnsi="宋体" w:cs="宋体"/>
                <w:color w:val="auto"/>
                <w:sz w:val="24"/>
                <w:highlight w:val="none"/>
              </w:rPr>
            </w:pPr>
            <w:r>
              <w:rPr>
                <w:rFonts w:hint="eastAsia" w:ascii="宋体" w:hAnsi="宋体" w:cs="宋体"/>
                <w:color w:val="auto"/>
                <w:sz w:val="24"/>
                <w:highlight w:val="none"/>
              </w:rPr>
              <w:t>投标保证金可以不予退还的其他情形：</w:t>
            </w:r>
          </w:p>
          <w:p w14:paraId="747AF9A7">
            <w:pPr>
              <w:keepNext w:val="0"/>
              <w:keepLines w:val="0"/>
              <w:pageBreakBefore w:val="0"/>
              <w:widowControl w:val="0"/>
              <w:kinsoku/>
              <w:wordWrap/>
              <w:overflowPunct/>
              <w:topLinePunct w:val="0"/>
              <w:bidi w:val="0"/>
              <w:spacing w:after="0" w:line="320" w:lineRule="exact"/>
              <w:jc w:val="left"/>
              <w:rPr>
                <w:rFonts w:hint="eastAsia" w:ascii="宋体" w:hAnsi="宋体" w:cs="宋体"/>
                <w:color w:val="auto"/>
                <w:sz w:val="24"/>
                <w:highlight w:val="none"/>
              </w:rPr>
            </w:pPr>
            <w:r>
              <w:rPr>
                <w:rFonts w:hAnsi="宋体" w:cs="宋体"/>
                <w:color w:val="auto"/>
                <w:spacing w:val="4"/>
                <w:sz w:val="24"/>
                <w:szCs w:val="24"/>
                <w:highlight w:val="none"/>
              </w:rPr>
              <w:t>■</w:t>
            </w:r>
            <w:r>
              <w:rPr>
                <w:rFonts w:hint="eastAsia" w:ascii="宋体" w:hAnsi="宋体" w:cs="宋体"/>
                <w:color w:val="auto"/>
                <w:sz w:val="24"/>
                <w:highlight w:val="none"/>
              </w:rPr>
              <w:t>无</w:t>
            </w:r>
          </w:p>
          <w:p w14:paraId="2CC87295">
            <w:pPr>
              <w:pStyle w:val="25"/>
              <w:keepNext w:val="0"/>
              <w:keepLines w:val="0"/>
              <w:pageBreakBefore w:val="0"/>
              <w:widowControl w:val="0"/>
              <w:kinsoku/>
              <w:wordWrap/>
              <w:overflowPunct/>
              <w:topLinePunct w:val="0"/>
              <w:bidi w:val="0"/>
              <w:adjustRightInd w:val="0"/>
              <w:snapToGrid w:val="0"/>
              <w:spacing w:after="0" w:line="320" w:lineRule="exact"/>
              <w:rPr>
                <w:rFonts w:hAnsi="宋体" w:cs="宋体"/>
                <w:color w:val="auto"/>
                <w:sz w:val="24"/>
                <w:highlight w:val="none"/>
              </w:rPr>
            </w:pPr>
            <w:r>
              <w:rPr>
                <w:rFonts w:hAnsi="宋体" w:cs="宋体"/>
                <w:color w:val="auto"/>
                <w:spacing w:val="4"/>
                <w:sz w:val="24"/>
                <w:szCs w:val="24"/>
                <w:highlight w:val="none"/>
              </w:rPr>
              <w:sym w:font="Wingdings 2" w:char="00A3"/>
            </w:r>
            <w:r>
              <w:rPr>
                <w:rFonts w:hAnsi="宋体" w:cs="宋体"/>
                <w:color w:val="auto"/>
                <w:sz w:val="24"/>
                <w:highlight w:val="none"/>
              </w:rPr>
              <w:t>有，具体情形：</w:t>
            </w:r>
            <w:r>
              <w:rPr>
                <w:rFonts w:hint="eastAsia" w:hAnsi="宋体" w:cs="宋体"/>
                <w:color w:val="auto"/>
                <w:sz w:val="24"/>
                <w:highlight w:val="none"/>
                <w:lang w:val="en-US" w:eastAsia="zh-CN"/>
              </w:rPr>
              <w:t>/</w:t>
            </w:r>
            <w:r>
              <w:rPr>
                <w:rFonts w:hAnsi="宋体" w:cs="宋体"/>
                <w:color w:val="auto"/>
                <w:sz w:val="24"/>
                <w:highlight w:val="none"/>
              </w:rPr>
              <w:t>。</w:t>
            </w:r>
          </w:p>
        </w:tc>
      </w:tr>
      <w:tr w14:paraId="5398D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88" w:type="dxa"/>
            <w:vAlign w:val="center"/>
          </w:tcPr>
          <w:p w14:paraId="5EFA0764">
            <w:pPr>
              <w:pStyle w:val="25"/>
              <w:keepNext w:val="0"/>
              <w:keepLines w:val="0"/>
              <w:pageBreakBefore w:val="0"/>
              <w:widowControl w:val="0"/>
              <w:kinsoku/>
              <w:wordWrap/>
              <w:overflowPunct/>
              <w:topLinePunct w:val="0"/>
              <w:bidi w:val="0"/>
              <w:adjustRightInd w:val="0"/>
              <w:snapToGrid w:val="0"/>
              <w:spacing w:after="0" w:line="320" w:lineRule="exact"/>
              <w:jc w:val="center"/>
              <w:rPr>
                <w:rFonts w:hAnsi="宋体" w:cs="宋体"/>
                <w:color w:val="auto"/>
                <w:sz w:val="24"/>
                <w:szCs w:val="24"/>
                <w:highlight w:val="none"/>
              </w:rPr>
            </w:pPr>
            <w:r>
              <w:rPr>
                <w:rFonts w:hAnsi="宋体" w:cs="宋体"/>
                <w:color w:val="auto"/>
                <w:sz w:val="24"/>
                <w:szCs w:val="24"/>
                <w:highlight w:val="none"/>
              </w:rPr>
              <w:t>13.1</w:t>
            </w:r>
          </w:p>
        </w:tc>
        <w:tc>
          <w:tcPr>
            <w:tcW w:w="1606" w:type="dxa"/>
            <w:vAlign w:val="center"/>
          </w:tcPr>
          <w:p w14:paraId="38FA6FB4">
            <w:pPr>
              <w:keepNext w:val="0"/>
              <w:keepLines w:val="0"/>
              <w:pageBreakBefore w:val="0"/>
              <w:widowControl w:val="0"/>
              <w:kinsoku/>
              <w:wordWrap/>
              <w:overflowPunct/>
              <w:topLinePunct w:val="0"/>
              <w:bidi w:val="0"/>
              <w:spacing w:after="0" w:line="320" w:lineRule="exact"/>
              <w:jc w:val="center"/>
              <w:rPr>
                <w:rFonts w:hint="eastAsia" w:ascii="宋体" w:hAnsi="宋体" w:cs="宋体"/>
                <w:color w:val="auto"/>
                <w:sz w:val="24"/>
                <w:highlight w:val="none"/>
              </w:rPr>
            </w:pPr>
            <w:r>
              <w:rPr>
                <w:rFonts w:hint="eastAsia" w:ascii="宋体" w:hAnsi="宋体" w:cs="宋体"/>
                <w:color w:val="auto"/>
                <w:sz w:val="24"/>
                <w:highlight w:val="none"/>
              </w:rPr>
              <w:t>投标有效期</w:t>
            </w:r>
          </w:p>
        </w:tc>
        <w:tc>
          <w:tcPr>
            <w:tcW w:w="6681" w:type="dxa"/>
            <w:vAlign w:val="center"/>
          </w:tcPr>
          <w:p w14:paraId="7A9C2733">
            <w:pPr>
              <w:keepNext w:val="0"/>
              <w:keepLines w:val="0"/>
              <w:pageBreakBefore w:val="0"/>
              <w:widowControl w:val="0"/>
              <w:kinsoku/>
              <w:wordWrap/>
              <w:overflowPunct/>
              <w:topLinePunct w:val="0"/>
              <w:bidi w:val="0"/>
              <w:spacing w:after="0" w:line="320" w:lineRule="exact"/>
              <w:jc w:val="left"/>
              <w:rPr>
                <w:rFonts w:hint="eastAsia" w:ascii="宋体" w:hAnsi="宋体" w:cs="宋体"/>
                <w:color w:val="auto"/>
                <w:sz w:val="15"/>
                <w:szCs w:val="15"/>
                <w:highlight w:val="none"/>
              </w:rPr>
            </w:pPr>
            <w:r>
              <w:rPr>
                <w:rFonts w:hint="eastAsia" w:ascii="宋体" w:hAnsi="宋体" w:cs="宋体"/>
                <w:color w:val="auto"/>
                <w:sz w:val="24"/>
                <w:highlight w:val="none"/>
              </w:rPr>
              <w:t>自提交投标文件的截止之日起算</w:t>
            </w:r>
            <w:r>
              <w:rPr>
                <w:rFonts w:hint="eastAsia" w:ascii="宋体" w:hAnsi="宋体" w:cs="宋体"/>
                <w:color w:val="auto"/>
                <w:sz w:val="24"/>
                <w:highlight w:val="none"/>
                <w:u w:val="single"/>
              </w:rPr>
              <w:t>120</w:t>
            </w:r>
            <w:r>
              <w:rPr>
                <w:rFonts w:hint="eastAsia" w:ascii="宋体" w:hAnsi="宋体" w:cs="宋体"/>
                <w:color w:val="auto"/>
                <w:sz w:val="24"/>
                <w:highlight w:val="none"/>
              </w:rPr>
              <w:t>日历天。</w:t>
            </w:r>
          </w:p>
        </w:tc>
      </w:tr>
      <w:tr w14:paraId="54F96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88" w:type="dxa"/>
            <w:vAlign w:val="center"/>
          </w:tcPr>
          <w:p w14:paraId="294080DA">
            <w:pPr>
              <w:pStyle w:val="263"/>
              <w:keepNext w:val="0"/>
              <w:keepLines w:val="0"/>
              <w:pageBreakBefore w:val="0"/>
              <w:widowControl w:val="0"/>
              <w:kinsoku/>
              <w:wordWrap/>
              <w:overflowPunct/>
              <w:topLinePunct w:val="0"/>
              <w:bidi w:val="0"/>
              <w:spacing w:after="0" w:line="320" w:lineRule="exact"/>
              <w:ind w:left="11" w:right="2"/>
              <w:jc w:val="center"/>
              <w:rPr>
                <w:rFonts w:hint="eastAsia"/>
                <w:color w:val="auto"/>
                <w:sz w:val="24"/>
                <w:szCs w:val="24"/>
                <w:highlight w:val="none"/>
              </w:rPr>
            </w:pPr>
            <w:r>
              <w:rPr>
                <w:rFonts w:hint="eastAsia"/>
                <w:color w:val="auto"/>
                <w:spacing w:val="4"/>
                <w:sz w:val="24"/>
                <w:szCs w:val="24"/>
                <w:highlight w:val="none"/>
              </w:rPr>
              <w:t>22.1</w:t>
            </w:r>
          </w:p>
        </w:tc>
        <w:tc>
          <w:tcPr>
            <w:tcW w:w="1606" w:type="dxa"/>
            <w:vAlign w:val="center"/>
          </w:tcPr>
          <w:p w14:paraId="2A9C0543">
            <w:pPr>
              <w:pStyle w:val="263"/>
              <w:keepNext w:val="0"/>
              <w:keepLines w:val="0"/>
              <w:pageBreakBefore w:val="0"/>
              <w:widowControl w:val="0"/>
              <w:kinsoku/>
              <w:wordWrap/>
              <w:overflowPunct/>
              <w:topLinePunct w:val="0"/>
              <w:bidi w:val="0"/>
              <w:spacing w:after="0" w:line="320" w:lineRule="exact"/>
              <w:ind w:left="6"/>
              <w:jc w:val="center"/>
              <w:rPr>
                <w:rFonts w:hint="eastAsia"/>
                <w:color w:val="auto"/>
                <w:sz w:val="24"/>
                <w:highlight w:val="none"/>
              </w:rPr>
            </w:pPr>
            <w:r>
              <w:rPr>
                <w:rFonts w:hint="eastAsia"/>
                <w:color w:val="auto"/>
                <w:spacing w:val="4"/>
                <w:sz w:val="24"/>
                <w:szCs w:val="24"/>
                <w:highlight w:val="none"/>
              </w:rPr>
              <w:t>确定中标人</w:t>
            </w:r>
          </w:p>
        </w:tc>
        <w:tc>
          <w:tcPr>
            <w:tcW w:w="6681" w:type="dxa"/>
            <w:vAlign w:val="center"/>
          </w:tcPr>
          <w:p w14:paraId="3E829B8E">
            <w:pPr>
              <w:keepNext w:val="0"/>
              <w:keepLines w:val="0"/>
              <w:pageBreakBefore w:val="0"/>
              <w:widowControl w:val="0"/>
              <w:kinsoku/>
              <w:wordWrap/>
              <w:overflowPunct/>
              <w:topLinePunct w:val="0"/>
              <w:bidi w:val="0"/>
              <w:spacing w:after="0" w:line="320" w:lineRule="exact"/>
              <w:jc w:val="left"/>
              <w:rPr>
                <w:rFonts w:hint="eastAsia" w:ascii="宋体" w:hAnsi="宋体" w:cs="宋体"/>
                <w:color w:val="auto"/>
                <w:sz w:val="24"/>
                <w:highlight w:val="none"/>
              </w:rPr>
            </w:pPr>
            <w:r>
              <w:rPr>
                <w:rFonts w:hint="eastAsia" w:ascii="宋体" w:hAnsi="宋体" w:cs="宋体"/>
                <w:color w:val="auto"/>
                <w:sz w:val="24"/>
                <w:highlight w:val="none"/>
              </w:rPr>
              <w:t>中标候选人并列的，采购人是否委托评标委员会确定中标人：</w:t>
            </w:r>
          </w:p>
          <w:p w14:paraId="3396639D">
            <w:pPr>
              <w:keepNext w:val="0"/>
              <w:keepLines w:val="0"/>
              <w:pageBreakBefore w:val="0"/>
              <w:widowControl w:val="0"/>
              <w:kinsoku/>
              <w:wordWrap/>
              <w:overflowPunct/>
              <w:topLinePunct w:val="0"/>
              <w:bidi w:val="0"/>
              <w:spacing w:after="0" w:line="320" w:lineRule="exact"/>
              <w:jc w:val="left"/>
              <w:rPr>
                <w:rFonts w:hint="eastAsia" w:ascii="宋体" w:hAnsi="宋体" w:cs="宋体"/>
                <w:color w:val="auto"/>
                <w:sz w:val="24"/>
                <w:highlight w:val="none"/>
              </w:rPr>
            </w:pPr>
            <w:r>
              <w:rPr>
                <w:rFonts w:hint="eastAsia" w:ascii="宋体" w:hAnsi="宋体" w:cs="宋体"/>
                <w:color w:val="auto"/>
                <w:sz w:val="24"/>
                <w:highlight w:val="none"/>
              </w:rPr>
              <w:t>■否</w:t>
            </w:r>
          </w:p>
          <w:p w14:paraId="2B784D63">
            <w:pPr>
              <w:keepNext w:val="0"/>
              <w:keepLines w:val="0"/>
              <w:pageBreakBefore w:val="0"/>
              <w:widowControl w:val="0"/>
              <w:kinsoku/>
              <w:wordWrap/>
              <w:overflowPunct/>
              <w:topLinePunct w:val="0"/>
              <w:bidi w:val="0"/>
              <w:spacing w:after="0" w:line="320" w:lineRule="exact"/>
              <w:jc w:val="left"/>
              <w:rPr>
                <w:rFonts w:hint="eastAsia" w:ascii="宋体" w:hAnsi="宋体" w:cs="宋体"/>
                <w:color w:val="auto"/>
                <w:sz w:val="24"/>
                <w:highlight w:val="none"/>
              </w:rPr>
            </w:pPr>
            <w:r>
              <w:rPr>
                <w:rFonts w:hint="eastAsia" w:ascii="宋体" w:hAnsi="宋体" w:cs="宋体"/>
                <w:color w:val="auto"/>
                <w:sz w:val="24"/>
                <w:highlight w:val="none"/>
              </w:rPr>
              <w:t>□是</w:t>
            </w:r>
          </w:p>
          <w:p w14:paraId="413D9027">
            <w:pPr>
              <w:keepNext w:val="0"/>
              <w:keepLines w:val="0"/>
              <w:pageBreakBefore w:val="0"/>
              <w:widowControl w:val="0"/>
              <w:kinsoku/>
              <w:wordWrap/>
              <w:overflowPunct/>
              <w:topLinePunct w:val="0"/>
              <w:bidi w:val="0"/>
              <w:spacing w:after="0" w:line="320" w:lineRule="exact"/>
              <w:jc w:val="left"/>
              <w:rPr>
                <w:rFonts w:hint="eastAsia" w:ascii="宋体" w:hAnsi="宋体" w:cs="宋体"/>
                <w:color w:val="auto"/>
                <w:sz w:val="24"/>
                <w:highlight w:val="none"/>
              </w:rPr>
            </w:pPr>
            <w:r>
              <w:rPr>
                <w:rFonts w:hint="eastAsia" w:ascii="宋体" w:hAnsi="宋体" w:cs="宋体"/>
                <w:color w:val="auto"/>
                <w:sz w:val="24"/>
                <w:highlight w:val="none"/>
              </w:rPr>
              <w:t>中标候选人并列的，按照以下方式确定中标人：</w:t>
            </w:r>
          </w:p>
          <w:p w14:paraId="71D0030E">
            <w:pPr>
              <w:keepNext w:val="0"/>
              <w:keepLines w:val="0"/>
              <w:pageBreakBefore w:val="0"/>
              <w:widowControl w:val="0"/>
              <w:kinsoku/>
              <w:wordWrap/>
              <w:overflowPunct/>
              <w:topLinePunct w:val="0"/>
              <w:bidi w:val="0"/>
              <w:spacing w:after="0" w:line="320" w:lineRule="exact"/>
              <w:jc w:val="left"/>
              <w:rPr>
                <w:rFonts w:hint="eastAsia" w:ascii="宋体" w:hAnsi="宋体" w:cs="宋体"/>
                <w:color w:val="auto"/>
                <w:sz w:val="24"/>
                <w:highlight w:val="none"/>
              </w:rPr>
            </w:pPr>
            <w:r>
              <w:rPr>
                <w:rFonts w:hint="eastAsia" w:ascii="宋体" w:hAnsi="宋体" w:cs="宋体"/>
                <w:color w:val="auto"/>
                <w:sz w:val="24"/>
                <w:highlight w:val="none"/>
              </w:rPr>
              <w:t>■得分且投标报价均相同的，以</w:t>
            </w:r>
            <w:r>
              <w:rPr>
                <w:rFonts w:hint="eastAsia" w:ascii="宋体" w:hAnsi="宋体" w:cs="宋体"/>
                <w:color w:val="auto"/>
                <w:sz w:val="24"/>
                <w:highlight w:val="none"/>
                <w:u w:val="single"/>
              </w:rPr>
              <w:t xml:space="preserve"> 服务方案 </w:t>
            </w:r>
            <w:r>
              <w:rPr>
                <w:rFonts w:hint="eastAsia" w:ascii="宋体" w:hAnsi="宋体" w:cs="宋体"/>
                <w:color w:val="auto"/>
                <w:sz w:val="24"/>
                <w:highlight w:val="none"/>
              </w:rPr>
              <w:t>得分高者为中标人</w:t>
            </w:r>
          </w:p>
          <w:p w14:paraId="54121696">
            <w:pPr>
              <w:keepNext w:val="0"/>
              <w:keepLines w:val="0"/>
              <w:pageBreakBefore w:val="0"/>
              <w:widowControl w:val="0"/>
              <w:kinsoku/>
              <w:wordWrap/>
              <w:overflowPunct/>
              <w:topLinePunct w:val="0"/>
              <w:bidi w:val="0"/>
              <w:spacing w:after="0" w:line="320" w:lineRule="exact"/>
              <w:jc w:val="left"/>
              <w:rPr>
                <w:rFonts w:hint="eastAsia" w:ascii="宋体" w:hAnsi="宋体" w:cs="宋体"/>
                <w:color w:val="auto"/>
                <w:sz w:val="24"/>
                <w:highlight w:val="none"/>
              </w:rPr>
            </w:pPr>
            <w:r>
              <w:rPr>
                <w:rFonts w:hint="eastAsia" w:ascii="宋体" w:hAnsi="宋体" w:cs="宋体"/>
                <w:color w:val="auto"/>
                <w:sz w:val="24"/>
                <w:highlight w:val="none"/>
              </w:rPr>
              <w:t>□随机抽取</w:t>
            </w:r>
          </w:p>
        </w:tc>
      </w:tr>
      <w:tr w14:paraId="4CA09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88" w:type="dxa"/>
            <w:vAlign w:val="center"/>
          </w:tcPr>
          <w:p w14:paraId="7EA13879">
            <w:pPr>
              <w:pStyle w:val="25"/>
              <w:keepNext w:val="0"/>
              <w:keepLines w:val="0"/>
              <w:pageBreakBefore w:val="0"/>
              <w:widowControl w:val="0"/>
              <w:kinsoku/>
              <w:wordWrap/>
              <w:overflowPunct/>
              <w:topLinePunct w:val="0"/>
              <w:bidi w:val="0"/>
              <w:adjustRightInd w:val="0"/>
              <w:snapToGrid w:val="0"/>
              <w:spacing w:after="0" w:line="320" w:lineRule="exact"/>
              <w:jc w:val="center"/>
              <w:rPr>
                <w:rFonts w:hAnsi="宋体" w:cs="宋体"/>
                <w:color w:val="auto"/>
                <w:spacing w:val="4"/>
                <w:sz w:val="24"/>
                <w:szCs w:val="24"/>
                <w:highlight w:val="none"/>
              </w:rPr>
            </w:pPr>
            <w:r>
              <w:rPr>
                <w:rFonts w:hAnsi="宋体" w:cs="宋体"/>
                <w:color w:val="auto"/>
                <w:sz w:val="24"/>
                <w:szCs w:val="24"/>
                <w:highlight w:val="none"/>
              </w:rPr>
              <w:t>25.5</w:t>
            </w:r>
          </w:p>
        </w:tc>
        <w:tc>
          <w:tcPr>
            <w:tcW w:w="1606" w:type="dxa"/>
            <w:vAlign w:val="center"/>
          </w:tcPr>
          <w:p w14:paraId="0A008780">
            <w:pPr>
              <w:keepNext w:val="0"/>
              <w:keepLines w:val="0"/>
              <w:pageBreakBefore w:val="0"/>
              <w:widowControl w:val="0"/>
              <w:kinsoku/>
              <w:wordWrap/>
              <w:overflowPunct/>
              <w:topLinePunct w:val="0"/>
              <w:bidi w:val="0"/>
              <w:spacing w:after="0" w:line="320" w:lineRule="exact"/>
              <w:jc w:val="center"/>
              <w:rPr>
                <w:rFonts w:hint="eastAsia" w:ascii="宋体" w:hAnsi="宋体" w:cs="宋体"/>
                <w:color w:val="auto"/>
                <w:spacing w:val="4"/>
                <w:sz w:val="24"/>
                <w:highlight w:val="none"/>
              </w:rPr>
            </w:pPr>
            <w:r>
              <w:rPr>
                <w:rFonts w:hint="eastAsia" w:ascii="宋体" w:hAnsi="宋体" w:cs="宋体"/>
                <w:color w:val="auto"/>
                <w:sz w:val="24"/>
                <w:highlight w:val="none"/>
              </w:rPr>
              <w:t>分包</w:t>
            </w:r>
          </w:p>
        </w:tc>
        <w:tc>
          <w:tcPr>
            <w:tcW w:w="6681" w:type="dxa"/>
            <w:vAlign w:val="center"/>
          </w:tcPr>
          <w:p w14:paraId="515AF19F">
            <w:pPr>
              <w:keepNext w:val="0"/>
              <w:keepLines w:val="0"/>
              <w:pageBreakBefore w:val="0"/>
              <w:widowControl w:val="0"/>
              <w:kinsoku/>
              <w:wordWrap/>
              <w:overflowPunct/>
              <w:topLinePunct w:val="0"/>
              <w:bidi w:val="0"/>
              <w:spacing w:after="0" w:line="320" w:lineRule="exact"/>
              <w:jc w:val="left"/>
              <w:rPr>
                <w:rFonts w:hint="eastAsia" w:ascii="宋体" w:hAnsi="宋体" w:cs="宋体"/>
                <w:color w:val="auto"/>
                <w:sz w:val="24"/>
                <w:highlight w:val="none"/>
              </w:rPr>
            </w:pPr>
            <w:r>
              <w:rPr>
                <w:rFonts w:hint="eastAsia" w:ascii="宋体" w:hAnsi="宋体" w:cs="宋体"/>
                <w:color w:val="auto"/>
                <w:sz w:val="24"/>
                <w:highlight w:val="none"/>
              </w:rPr>
              <w:t xml:space="preserve">本项目的非主体、非关键性工作是否允许分包： </w:t>
            </w:r>
          </w:p>
          <w:p w14:paraId="28F43C7A">
            <w:pPr>
              <w:keepNext w:val="0"/>
              <w:keepLines w:val="0"/>
              <w:pageBreakBefore w:val="0"/>
              <w:widowControl w:val="0"/>
              <w:kinsoku/>
              <w:wordWrap/>
              <w:overflowPunct/>
              <w:topLinePunct w:val="0"/>
              <w:bidi w:val="0"/>
              <w:spacing w:after="0" w:line="320" w:lineRule="exact"/>
              <w:jc w:val="left"/>
              <w:rPr>
                <w:rFonts w:hint="eastAsia" w:ascii="宋体" w:hAnsi="宋体" w:cs="宋体"/>
                <w:color w:val="auto"/>
                <w:sz w:val="24"/>
                <w:highlight w:val="none"/>
              </w:rPr>
            </w:pPr>
            <w:r>
              <w:rPr>
                <w:rFonts w:hint="eastAsia" w:ascii="宋体" w:hAnsi="宋体" w:cs="宋体"/>
                <w:color w:val="auto"/>
                <w:spacing w:val="4"/>
                <w:sz w:val="24"/>
                <w:highlight w:val="none"/>
              </w:rPr>
              <w:t>■</w:t>
            </w:r>
            <w:r>
              <w:rPr>
                <w:rFonts w:hint="eastAsia" w:ascii="宋体" w:hAnsi="宋体" w:cs="宋体"/>
                <w:color w:val="auto"/>
                <w:sz w:val="24"/>
                <w:highlight w:val="none"/>
              </w:rPr>
              <w:t>不允许</w:t>
            </w:r>
          </w:p>
          <w:p w14:paraId="3CC0D462">
            <w:pPr>
              <w:keepNext w:val="0"/>
              <w:keepLines w:val="0"/>
              <w:pageBreakBefore w:val="0"/>
              <w:widowControl w:val="0"/>
              <w:kinsoku/>
              <w:wordWrap/>
              <w:overflowPunct/>
              <w:topLinePunct w:val="0"/>
              <w:bidi w:val="0"/>
              <w:spacing w:after="0" w:line="320" w:lineRule="exact"/>
              <w:jc w:val="left"/>
              <w:rPr>
                <w:rFonts w:hint="eastAsia" w:ascii="宋体" w:hAnsi="宋体" w:cs="宋体"/>
                <w:color w:val="auto"/>
                <w:spacing w:val="4"/>
                <w:sz w:val="24"/>
                <w:highlight w:val="none"/>
              </w:rPr>
            </w:pPr>
            <w:r>
              <w:rPr>
                <w:rFonts w:hint="eastAsia" w:ascii="宋体" w:hAnsi="宋体" w:cs="宋体"/>
                <w:color w:val="auto"/>
                <w:sz w:val="24"/>
                <w:highlight w:val="none"/>
              </w:rPr>
              <w:t>□允许，具体要求：/。</w:t>
            </w:r>
          </w:p>
        </w:tc>
      </w:tr>
      <w:tr w14:paraId="4A52A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988" w:type="dxa"/>
            <w:vAlign w:val="center"/>
          </w:tcPr>
          <w:p w14:paraId="481C85AD">
            <w:pPr>
              <w:pStyle w:val="25"/>
              <w:keepNext w:val="0"/>
              <w:keepLines w:val="0"/>
              <w:pageBreakBefore w:val="0"/>
              <w:widowControl w:val="0"/>
              <w:kinsoku/>
              <w:wordWrap/>
              <w:overflowPunct/>
              <w:topLinePunct w:val="0"/>
              <w:bidi w:val="0"/>
              <w:adjustRightInd w:val="0"/>
              <w:snapToGrid w:val="0"/>
              <w:spacing w:after="0" w:line="320" w:lineRule="exact"/>
              <w:jc w:val="center"/>
              <w:rPr>
                <w:rFonts w:hAnsi="宋体" w:cs="宋体"/>
                <w:color w:val="auto"/>
                <w:spacing w:val="4"/>
                <w:sz w:val="24"/>
                <w:szCs w:val="24"/>
                <w:highlight w:val="none"/>
              </w:rPr>
            </w:pPr>
            <w:r>
              <w:rPr>
                <w:rFonts w:hAnsi="宋体" w:cs="宋体"/>
                <w:color w:val="auto"/>
                <w:sz w:val="24"/>
                <w:szCs w:val="24"/>
                <w:highlight w:val="none"/>
              </w:rPr>
              <w:t>25.6</w:t>
            </w:r>
          </w:p>
        </w:tc>
        <w:tc>
          <w:tcPr>
            <w:tcW w:w="1606" w:type="dxa"/>
            <w:vAlign w:val="center"/>
          </w:tcPr>
          <w:p w14:paraId="094124A7">
            <w:pPr>
              <w:keepNext w:val="0"/>
              <w:keepLines w:val="0"/>
              <w:pageBreakBefore w:val="0"/>
              <w:widowControl w:val="0"/>
              <w:kinsoku/>
              <w:wordWrap/>
              <w:overflowPunct/>
              <w:topLinePunct w:val="0"/>
              <w:bidi w:val="0"/>
              <w:spacing w:after="0" w:line="320" w:lineRule="exact"/>
              <w:jc w:val="center"/>
              <w:rPr>
                <w:rFonts w:hint="eastAsia" w:ascii="宋体" w:hAnsi="宋体" w:cs="宋体"/>
                <w:color w:val="auto"/>
                <w:spacing w:val="4"/>
                <w:sz w:val="24"/>
                <w:highlight w:val="none"/>
              </w:rPr>
            </w:pPr>
            <w:r>
              <w:rPr>
                <w:rFonts w:hint="eastAsia" w:ascii="宋体" w:hAnsi="宋体" w:cs="宋体"/>
                <w:color w:val="auto"/>
                <w:sz w:val="24"/>
                <w:highlight w:val="none"/>
              </w:rPr>
              <w:t>政采贷</w:t>
            </w:r>
          </w:p>
        </w:tc>
        <w:tc>
          <w:tcPr>
            <w:tcW w:w="6681" w:type="dxa"/>
            <w:vAlign w:val="center"/>
          </w:tcPr>
          <w:p w14:paraId="2327D63D">
            <w:pPr>
              <w:keepNext w:val="0"/>
              <w:keepLines w:val="0"/>
              <w:pageBreakBefore w:val="0"/>
              <w:widowControl w:val="0"/>
              <w:kinsoku/>
              <w:wordWrap/>
              <w:overflowPunct/>
              <w:topLinePunct w:val="0"/>
              <w:bidi w:val="0"/>
              <w:spacing w:after="0" w:line="320" w:lineRule="exact"/>
              <w:jc w:val="left"/>
              <w:rPr>
                <w:rFonts w:hint="eastAsia" w:ascii="宋体" w:hAnsi="宋体" w:cs="宋体"/>
                <w:color w:val="auto"/>
                <w:spacing w:val="4"/>
                <w:sz w:val="24"/>
                <w:highlight w:val="none"/>
              </w:rPr>
            </w:pPr>
            <w:r>
              <w:rPr>
                <w:rFonts w:hint="eastAsia" w:ascii="宋体" w:hAnsi="宋体" w:cs="宋体"/>
                <w:color w:val="auto"/>
                <w:sz w:val="24"/>
                <w:highlight w:val="none"/>
              </w:rPr>
              <w:t>为更大力度激发市场活力和社会创造力，增强发展动力，按照《北京市 全面优化营商环境助力企业高质量发展实施方案》（京政办发〔2023〕 8号）部署，进一步加强政府采购合同线上融资“一站式”服务（以下简 称“政采贷”），北京市财政局、中国人民银行营业管理部联合发布《关 于推进政府采购合同线上融资有关工作的通知》（京财采购〔2023〕 637 号）。有需求的供应商，可按上述通知要求办理“政采贷”。</w:t>
            </w:r>
          </w:p>
        </w:tc>
      </w:tr>
      <w:tr w14:paraId="31E3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88" w:type="dxa"/>
            <w:vAlign w:val="center"/>
          </w:tcPr>
          <w:p w14:paraId="5F96651D">
            <w:pPr>
              <w:pStyle w:val="25"/>
              <w:keepNext w:val="0"/>
              <w:keepLines w:val="0"/>
              <w:pageBreakBefore w:val="0"/>
              <w:widowControl w:val="0"/>
              <w:kinsoku/>
              <w:wordWrap/>
              <w:overflowPunct/>
              <w:topLinePunct w:val="0"/>
              <w:bidi w:val="0"/>
              <w:adjustRightInd w:val="0"/>
              <w:snapToGrid w:val="0"/>
              <w:spacing w:after="0" w:line="320" w:lineRule="exact"/>
              <w:jc w:val="center"/>
              <w:rPr>
                <w:rFonts w:hAnsi="宋体" w:cs="宋体"/>
                <w:color w:val="auto"/>
                <w:spacing w:val="4"/>
                <w:sz w:val="24"/>
                <w:szCs w:val="24"/>
                <w:highlight w:val="none"/>
              </w:rPr>
            </w:pPr>
            <w:r>
              <w:rPr>
                <w:rFonts w:hAnsi="宋体" w:cs="宋体"/>
                <w:color w:val="auto"/>
                <w:sz w:val="24"/>
                <w:szCs w:val="24"/>
                <w:highlight w:val="none"/>
              </w:rPr>
              <w:t>26.1.1</w:t>
            </w:r>
          </w:p>
        </w:tc>
        <w:tc>
          <w:tcPr>
            <w:tcW w:w="1606" w:type="dxa"/>
            <w:vAlign w:val="center"/>
          </w:tcPr>
          <w:p w14:paraId="27B20039">
            <w:pPr>
              <w:keepNext w:val="0"/>
              <w:keepLines w:val="0"/>
              <w:pageBreakBefore w:val="0"/>
              <w:widowControl w:val="0"/>
              <w:kinsoku/>
              <w:wordWrap/>
              <w:overflowPunct/>
              <w:topLinePunct w:val="0"/>
              <w:bidi w:val="0"/>
              <w:spacing w:after="0" w:line="320" w:lineRule="exact"/>
              <w:jc w:val="center"/>
              <w:rPr>
                <w:rFonts w:hint="eastAsia" w:ascii="宋体" w:hAnsi="宋体" w:cs="宋体"/>
                <w:color w:val="auto"/>
                <w:spacing w:val="4"/>
                <w:sz w:val="24"/>
                <w:highlight w:val="none"/>
              </w:rPr>
            </w:pPr>
            <w:r>
              <w:rPr>
                <w:rFonts w:hint="eastAsia" w:ascii="宋体" w:hAnsi="宋体" w:cs="宋体"/>
                <w:color w:val="auto"/>
                <w:sz w:val="24"/>
                <w:highlight w:val="none"/>
              </w:rPr>
              <w:t>询问</w:t>
            </w:r>
          </w:p>
        </w:tc>
        <w:tc>
          <w:tcPr>
            <w:tcW w:w="6681" w:type="dxa"/>
            <w:vAlign w:val="center"/>
          </w:tcPr>
          <w:p w14:paraId="72BF59C1">
            <w:pPr>
              <w:keepNext w:val="0"/>
              <w:keepLines w:val="0"/>
              <w:pageBreakBefore w:val="0"/>
              <w:widowControl w:val="0"/>
              <w:kinsoku/>
              <w:wordWrap/>
              <w:overflowPunct/>
              <w:topLinePunct w:val="0"/>
              <w:bidi w:val="0"/>
              <w:spacing w:after="0" w:line="320" w:lineRule="exact"/>
              <w:jc w:val="left"/>
              <w:rPr>
                <w:rFonts w:hint="eastAsia" w:ascii="宋体" w:hAnsi="宋体" w:cs="宋体"/>
                <w:color w:val="auto"/>
                <w:spacing w:val="4"/>
                <w:sz w:val="24"/>
                <w:highlight w:val="none"/>
              </w:rPr>
            </w:pPr>
            <w:r>
              <w:rPr>
                <w:rFonts w:hint="eastAsia" w:ascii="宋体" w:hAnsi="宋体" w:cs="宋体"/>
                <w:color w:val="auto"/>
                <w:sz w:val="24"/>
                <w:highlight w:val="none"/>
              </w:rPr>
              <w:t>询问送达形式：</w:t>
            </w:r>
            <w:r>
              <w:rPr>
                <w:rFonts w:hint="eastAsia" w:ascii="宋体" w:hAnsi="宋体" w:cs="宋体"/>
                <w:color w:val="auto"/>
                <w:sz w:val="24"/>
                <w:highlight w:val="none"/>
                <w:u w:val="single"/>
              </w:rPr>
              <w:t xml:space="preserve">专人送达或邮寄 </w:t>
            </w:r>
          </w:p>
        </w:tc>
      </w:tr>
      <w:tr w14:paraId="4D150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88" w:type="dxa"/>
            <w:vAlign w:val="center"/>
          </w:tcPr>
          <w:p w14:paraId="742E4AB0">
            <w:pPr>
              <w:pStyle w:val="25"/>
              <w:keepNext w:val="0"/>
              <w:keepLines w:val="0"/>
              <w:pageBreakBefore w:val="0"/>
              <w:widowControl w:val="0"/>
              <w:kinsoku/>
              <w:wordWrap/>
              <w:overflowPunct/>
              <w:topLinePunct w:val="0"/>
              <w:bidi w:val="0"/>
              <w:adjustRightInd w:val="0"/>
              <w:snapToGrid w:val="0"/>
              <w:spacing w:after="0" w:line="320" w:lineRule="exact"/>
              <w:jc w:val="center"/>
              <w:rPr>
                <w:rFonts w:hAnsi="宋体" w:cs="宋体"/>
                <w:color w:val="auto"/>
                <w:sz w:val="24"/>
                <w:szCs w:val="24"/>
                <w:highlight w:val="none"/>
              </w:rPr>
            </w:pPr>
            <w:r>
              <w:rPr>
                <w:rFonts w:hAnsi="宋体" w:cs="宋体"/>
                <w:color w:val="auto"/>
                <w:sz w:val="24"/>
                <w:szCs w:val="24"/>
                <w:highlight w:val="none"/>
              </w:rPr>
              <w:t>26.3</w:t>
            </w:r>
          </w:p>
        </w:tc>
        <w:tc>
          <w:tcPr>
            <w:tcW w:w="1606" w:type="dxa"/>
            <w:vAlign w:val="center"/>
          </w:tcPr>
          <w:p w14:paraId="2EF434E1">
            <w:pPr>
              <w:keepNext w:val="0"/>
              <w:keepLines w:val="0"/>
              <w:pageBreakBefore w:val="0"/>
              <w:widowControl w:val="0"/>
              <w:kinsoku/>
              <w:wordWrap/>
              <w:overflowPunct/>
              <w:topLinePunct w:val="0"/>
              <w:bidi w:val="0"/>
              <w:spacing w:after="0" w:line="320" w:lineRule="exact"/>
              <w:jc w:val="center"/>
              <w:rPr>
                <w:rFonts w:hint="eastAsia" w:ascii="宋体" w:hAnsi="宋体" w:cs="宋体"/>
                <w:color w:val="auto"/>
                <w:sz w:val="24"/>
                <w:highlight w:val="none"/>
              </w:rPr>
            </w:pPr>
            <w:r>
              <w:rPr>
                <w:rFonts w:hint="eastAsia" w:ascii="宋体" w:hAnsi="宋体" w:cs="宋体"/>
                <w:color w:val="auto"/>
                <w:sz w:val="24"/>
                <w:highlight w:val="none"/>
              </w:rPr>
              <w:t>联系方式</w:t>
            </w:r>
          </w:p>
        </w:tc>
        <w:tc>
          <w:tcPr>
            <w:tcW w:w="6681" w:type="dxa"/>
            <w:vAlign w:val="center"/>
          </w:tcPr>
          <w:p w14:paraId="699D67CA">
            <w:pPr>
              <w:keepNext w:val="0"/>
              <w:keepLines w:val="0"/>
              <w:pageBreakBefore w:val="0"/>
              <w:widowControl w:val="0"/>
              <w:kinsoku/>
              <w:wordWrap/>
              <w:overflowPunct/>
              <w:topLinePunct w:val="0"/>
              <w:bidi w:val="0"/>
              <w:spacing w:after="0" w:line="320" w:lineRule="exact"/>
              <w:jc w:val="left"/>
              <w:rPr>
                <w:rFonts w:hint="eastAsia" w:ascii="宋体" w:hAnsi="宋体" w:cs="宋体"/>
                <w:color w:val="auto"/>
                <w:sz w:val="24"/>
                <w:highlight w:val="none"/>
              </w:rPr>
            </w:pPr>
            <w:r>
              <w:rPr>
                <w:rFonts w:hint="eastAsia" w:ascii="宋体" w:hAnsi="宋体" w:cs="宋体"/>
                <w:color w:val="auto"/>
                <w:sz w:val="24"/>
                <w:highlight w:val="none"/>
              </w:rPr>
              <w:t>接收询问和质疑的联系方式</w:t>
            </w:r>
          </w:p>
          <w:p w14:paraId="56A3983B">
            <w:pPr>
              <w:keepNext w:val="0"/>
              <w:keepLines w:val="0"/>
              <w:pageBreakBefore w:val="0"/>
              <w:widowControl w:val="0"/>
              <w:kinsoku/>
              <w:wordWrap/>
              <w:overflowPunct/>
              <w:topLinePunct w:val="0"/>
              <w:bidi w:val="0"/>
              <w:spacing w:after="0" w:line="320" w:lineRule="exact"/>
              <w:jc w:val="left"/>
              <w:rPr>
                <w:rFonts w:hint="eastAsia" w:ascii="宋体" w:hAnsi="宋体" w:cs="宋体"/>
                <w:color w:val="auto"/>
                <w:sz w:val="24"/>
                <w:highlight w:val="none"/>
              </w:rPr>
            </w:pPr>
            <w:r>
              <w:rPr>
                <w:rFonts w:hint="eastAsia" w:ascii="宋体" w:hAnsi="宋体" w:cs="宋体"/>
                <w:color w:val="auto"/>
                <w:sz w:val="24"/>
                <w:highlight w:val="none"/>
              </w:rPr>
              <w:t>联系部门：</w:t>
            </w:r>
            <w:r>
              <w:rPr>
                <w:rFonts w:hint="eastAsia" w:ascii="宋体" w:hAnsi="宋体" w:cs="宋体"/>
                <w:color w:val="auto"/>
                <w:sz w:val="24"/>
                <w:highlight w:val="none"/>
                <w:u w:val="single"/>
              </w:rPr>
              <w:t>中信国际招标有限公司</w:t>
            </w:r>
            <w:r>
              <w:rPr>
                <w:rFonts w:hint="eastAsia" w:ascii="宋体" w:hAnsi="宋体" w:cs="宋体"/>
                <w:color w:val="auto"/>
                <w:sz w:val="24"/>
                <w:highlight w:val="none"/>
              </w:rPr>
              <w:t>；</w:t>
            </w:r>
          </w:p>
          <w:p w14:paraId="5D140632">
            <w:pPr>
              <w:keepNext w:val="0"/>
              <w:keepLines w:val="0"/>
              <w:pageBreakBefore w:val="0"/>
              <w:widowControl w:val="0"/>
              <w:kinsoku/>
              <w:wordWrap/>
              <w:overflowPunct/>
              <w:topLinePunct w:val="0"/>
              <w:bidi w:val="0"/>
              <w:spacing w:after="0" w:line="320" w:lineRule="exact"/>
              <w:jc w:val="left"/>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黄春雪 010-87945198-618</w:t>
            </w:r>
            <w:r>
              <w:rPr>
                <w:rFonts w:hint="eastAsia" w:ascii="宋体" w:hAnsi="宋体" w:cs="宋体"/>
                <w:color w:val="auto"/>
                <w:sz w:val="24"/>
                <w:highlight w:val="none"/>
              </w:rPr>
              <w:t>；</w:t>
            </w:r>
          </w:p>
          <w:p w14:paraId="643E822E">
            <w:pPr>
              <w:keepNext w:val="0"/>
              <w:keepLines w:val="0"/>
              <w:pageBreakBefore w:val="0"/>
              <w:widowControl w:val="0"/>
              <w:kinsoku/>
              <w:wordWrap/>
              <w:overflowPunct/>
              <w:topLinePunct w:val="0"/>
              <w:bidi w:val="0"/>
              <w:spacing w:after="0" w:line="320" w:lineRule="exact"/>
              <w:jc w:val="left"/>
              <w:rPr>
                <w:rFonts w:hint="eastAsia" w:ascii="宋体" w:hAnsi="宋体" w:cs="宋体"/>
                <w:color w:val="auto"/>
                <w:sz w:val="24"/>
                <w:highlight w:val="none"/>
              </w:rPr>
            </w:pPr>
            <w:r>
              <w:rPr>
                <w:rFonts w:hint="eastAsia" w:ascii="宋体" w:hAnsi="宋体" w:cs="宋体"/>
                <w:color w:val="auto"/>
                <w:sz w:val="24"/>
                <w:highlight w:val="none"/>
              </w:rPr>
              <w:t>通讯地址：</w:t>
            </w:r>
            <w:r>
              <w:rPr>
                <w:rFonts w:hint="eastAsia" w:ascii="宋体" w:hAnsi="宋体" w:cs="宋体"/>
                <w:color w:val="auto"/>
                <w:sz w:val="24"/>
                <w:highlight w:val="none"/>
                <w:u w:val="single"/>
              </w:rPr>
              <w:t>北京市朝阳区东三环中路59号楼18层1801室</w:t>
            </w:r>
            <w:r>
              <w:rPr>
                <w:rFonts w:hint="eastAsia" w:ascii="宋体" w:hAnsi="宋体" w:cs="宋体"/>
                <w:color w:val="auto"/>
                <w:sz w:val="24"/>
                <w:highlight w:val="none"/>
              </w:rPr>
              <w:t>。</w:t>
            </w:r>
          </w:p>
        </w:tc>
      </w:tr>
      <w:tr w14:paraId="0E600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88" w:type="dxa"/>
            <w:vAlign w:val="center"/>
          </w:tcPr>
          <w:p w14:paraId="3B92683C">
            <w:pPr>
              <w:pStyle w:val="25"/>
              <w:keepNext w:val="0"/>
              <w:keepLines w:val="0"/>
              <w:pageBreakBefore w:val="0"/>
              <w:widowControl w:val="0"/>
              <w:kinsoku/>
              <w:wordWrap/>
              <w:overflowPunct/>
              <w:topLinePunct w:val="0"/>
              <w:bidi w:val="0"/>
              <w:adjustRightInd w:val="0"/>
              <w:snapToGrid w:val="0"/>
              <w:spacing w:after="0" w:line="320" w:lineRule="exact"/>
              <w:jc w:val="center"/>
              <w:rPr>
                <w:rFonts w:hAnsi="宋体" w:cs="宋体"/>
                <w:color w:val="auto"/>
                <w:sz w:val="24"/>
                <w:szCs w:val="24"/>
                <w:highlight w:val="none"/>
              </w:rPr>
            </w:pPr>
            <w:r>
              <w:rPr>
                <w:rFonts w:hAnsi="宋体" w:cs="宋体"/>
                <w:color w:val="auto"/>
                <w:sz w:val="24"/>
                <w:szCs w:val="24"/>
                <w:highlight w:val="none"/>
              </w:rPr>
              <w:t>27</w:t>
            </w:r>
          </w:p>
        </w:tc>
        <w:tc>
          <w:tcPr>
            <w:tcW w:w="1606" w:type="dxa"/>
            <w:vAlign w:val="center"/>
          </w:tcPr>
          <w:p w14:paraId="7AB5A746">
            <w:pPr>
              <w:keepNext w:val="0"/>
              <w:keepLines w:val="0"/>
              <w:pageBreakBefore w:val="0"/>
              <w:widowControl w:val="0"/>
              <w:kinsoku/>
              <w:wordWrap/>
              <w:overflowPunct/>
              <w:topLinePunct w:val="0"/>
              <w:bidi w:val="0"/>
              <w:spacing w:after="0" w:line="320" w:lineRule="exact"/>
              <w:jc w:val="center"/>
              <w:rPr>
                <w:rFonts w:hint="eastAsia" w:ascii="宋体" w:hAnsi="宋体" w:cs="宋体"/>
                <w:color w:val="auto"/>
                <w:sz w:val="24"/>
                <w:highlight w:val="none"/>
              </w:rPr>
            </w:pPr>
            <w:r>
              <w:rPr>
                <w:rFonts w:hint="eastAsia" w:ascii="宋体" w:hAnsi="宋体" w:cs="宋体"/>
                <w:color w:val="auto"/>
                <w:sz w:val="24"/>
                <w:highlight w:val="none"/>
              </w:rPr>
              <w:t>代理费</w:t>
            </w:r>
          </w:p>
        </w:tc>
        <w:tc>
          <w:tcPr>
            <w:tcW w:w="6681" w:type="dxa"/>
            <w:vAlign w:val="center"/>
          </w:tcPr>
          <w:p w14:paraId="25DF34B3">
            <w:pPr>
              <w:keepNext w:val="0"/>
              <w:keepLines w:val="0"/>
              <w:pageBreakBefore w:val="0"/>
              <w:widowControl w:val="0"/>
              <w:kinsoku/>
              <w:wordWrap/>
              <w:overflowPunct/>
              <w:topLinePunct w:val="0"/>
              <w:bidi w:val="0"/>
              <w:spacing w:after="0" w:line="320" w:lineRule="exact"/>
              <w:jc w:val="left"/>
              <w:rPr>
                <w:rFonts w:hint="eastAsia" w:ascii="宋体" w:hAnsi="宋体" w:cs="宋体"/>
                <w:color w:val="auto"/>
                <w:sz w:val="24"/>
                <w:highlight w:val="none"/>
              </w:rPr>
            </w:pPr>
            <w:r>
              <w:rPr>
                <w:rFonts w:hint="eastAsia" w:ascii="宋体" w:hAnsi="宋体" w:cs="宋体"/>
                <w:color w:val="auto"/>
                <w:sz w:val="24"/>
                <w:highlight w:val="none"/>
              </w:rPr>
              <w:t>收费对象：</w:t>
            </w:r>
          </w:p>
          <w:p w14:paraId="7EF56BB3">
            <w:pPr>
              <w:keepNext w:val="0"/>
              <w:keepLines w:val="0"/>
              <w:pageBreakBefore w:val="0"/>
              <w:widowControl w:val="0"/>
              <w:kinsoku/>
              <w:wordWrap/>
              <w:overflowPunct/>
              <w:topLinePunct w:val="0"/>
              <w:bidi w:val="0"/>
              <w:spacing w:after="0" w:line="320" w:lineRule="exact"/>
              <w:jc w:val="left"/>
              <w:rPr>
                <w:rFonts w:hint="eastAsia" w:ascii="宋体" w:hAnsi="宋体" w:cs="宋体"/>
                <w:color w:val="auto"/>
                <w:sz w:val="24"/>
                <w:highlight w:val="none"/>
              </w:rPr>
            </w:pPr>
            <w:r>
              <w:rPr>
                <w:rFonts w:hint="eastAsia" w:ascii="宋体" w:hAnsi="宋体" w:cs="宋体"/>
                <w:color w:val="auto"/>
                <w:sz w:val="24"/>
                <w:highlight w:val="none"/>
              </w:rPr>
              <w:t>□采购人</w:t>
            </w:r>
          </w:p>
          <w:p w14:paraId="2831A678">
            <w:pPr>
              <w:keepNext w:val="0"/>
              <w:keepLines w:val="0"/>
              <w:pageBreakBefore w:val="0"/>
              <w:widowControl w:val="0"/>
              <w:kinsoku/>
              <w:wordWrap/>
              <w:overflowPunct/>
              <w:topLinePunct w:val="0"/>
              <w:bidi w:val="0"/>
              <w:spacing w:after="0" w:line="320" w:lineRule="exact"/>
              <w:jc w:val="left"/>
              <w:rPr>
                <w:rFonts w:hint="eastAsia" w:ascii="宋体" w:hAnsi="宋体" w:cs="宋体"/>
                <w:color w:val="auto"/>
                <w:sz w:val="24"/>
                <w:highlight w:val="none"/>
              </w:rPr>
            </w:pPr>
            <w:r>
              <w:rPr>
                <w:rFonts w:hint="eastAsia" w:ascii="宋体" w:hAnsi="宋体" w:cs="宋体"/>
                <w:color w:val="auto"/>
                <w:spacing w:val="4"/>
                <w:sz w:val="24"/>
                <w:highlight w:val="none"/>
              </w:rPr>
              <w:t>■</w:t>
            </w:r>
            <w:r>
              <w:rPr>
                <w:rFonts w:hint="eastAsia" w:ascii="宋体" w:hAnsi="宋体" w:cs="宋体"/>
                <w:color w:val="auto"/>
                <w:sz w:val="24"/>
                <w:highlight w:val="none"/>
              </w:rPr>
              <w:t>中标人</w:t>
            </w:r>
          </w:p>
          <w:p w14:paraId="13CC0790">
            <w:pPr>
              <w:keepNext w:val="0"/>
              <w:keepLines w:val="0"/>
              <w:pageBreakBefore w:val="0"/>
              <w:widowControl w:val="0"/>
              <w:kinsoku/>
              <w:wordWrap/>
              <w:overflowPunct/>
              <w:topLinePunct w:val="0"/>
              <w:bidi w:val="0"/>
              <w:spacing w:after="0" w:line="320" w:lineRule="exact"/>
              <w:jc w:val="left"/>
              <w:rPr>
                <w:rFonts w:hint="eastAsia" w:ascii="宋体" w:hAnsi="宋体" w:cs="宋体"/>
                <w:color w:val="auto"/>
                <w:sz w:val="24"/>
                <w:highlight w:val="none"/>
              </w:rPr>
            </w:pPr>
            <w:r>
              <w:rPr>
                <w:rFonts w:hint="eastAsia" w:ascii="宋体" w:hAnsi="宋体" w:cs="宋体"/>
                <w:color w:val="auto"/>
                <w:sz w:val="24"/>
                <w:highlight w:val="none"/>
              </w:rPr>
              <w:t>收费标准：</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3301"/>
              <w:gridCol w:w="1716"/>
            </w:tblGrid>
            <w:tr w14:paraId="57E5F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61" w:type="dxa"/>
                  <w:vAlign w:val="center"/>
                </w:tcPr>
                <w:p w14:paraId="154ADB1C">
                  <w:pPr>
                    <w:keepNext w:val="0"/>
                    <w:keepLines w:val="0"/>
                    <w:pageBreakBefore w:val="0"/>
                    <w:widowControl w:val="0"/>
                    <w:kinsoku/>
                    <w:wordWrap/>
                    <w:overflowPunct/>
                    <w:topLinePunct w:val="0"/>
                    <w:bidi w:val="0"/>
                    <w:spacing w:after="0" w:line="320" w:lineRule="exact"/>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序号</w:t>
                  </w:r>
                </w:p>
              </w:tc>
              <w:tc>
                <w:tcPr>
                  <w:tcW w:w="3301" w:type="dxa"/>
                  <w:vAlign w:val="center"/>
                </w:tcPr>
                <w:p w14:paraId="73C472B2">
                  <w:pPr>
                    <w:keepNext w:val="0"/>
                    <w:keepLines w:val="0"/>
                    <w:pageBreakBefore w:val="0"/>
                    <w:widowControl w:val="0"/>
                    <w:kinsoku/>
                    <w:wordWrap/>
                    <w:overflowPunct/>
                    <w:topLinePunct w:val="0"/>
                    <w:bidi w:val="0"/>
                    <w:spacing w:after="0" w:line="320" w:lineRule="exact"/>
                    <w:ind w:firstLine="480" w:firstLineChars="200"/>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金额M（万元）</w:t>
                  </w:r>
                </w:p>
              </w:tc>
              <w:tc>
                <w:tcPr>
                  <w:tcW w:w="1716" w:type="dxa"/>
                  <w:vAlign w:val="center"/>
                </w:tcPr>
                <w:p w14:paraId="52711957">
                  <w:pPr>
                    <w:keepNext w:val="0"/>
                    <w:keepLines w:val="0"/>
                    <w:pageBreakBefore w:val="0"/>
                    <w:widowControl w:val="0"/>
                    <w:kinsoku/>
                    <w:wordWrap/>
                    <w:overflowPunct/>
                    <w:topLinePunct w:val="0"/>
                    <w:bidi w:val="0"/>
                    <w:spacing w:after="0" w:line="320" w:lineRule="exact"/>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费率</w:t>
                  </w:r>
                </w:p>
              </w:tc>
            </w:tr>
            <w:tr w14:paraId="7AEBC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61" w:type="dxa"/>
                  <w:vAlign w:val="center"/>
                </w:tcPr>
                <w:p w14:paraId="2B370D92">
                  <w:pPr>
                    <w:keepNext w:val="0"/>
                    <w:keepLines w:val="0"/>
                    <w:pageBreakBefore w:val="0"/>
                    <w:widowControl w:val="0"/>
                    <w:kinsoku/>
                    <w:wordWrap/>
                    <w:overflowPunct/>
                    <w:topLinePunct w:val="0"/>
                    <w:bidi w:val="0"/>
                    <w:spacing w:after="0" w:line="320" w:lineRule="exact"/>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1</w:t>
                  </w:r>
                </w:p>
              </w:tc>
              <w:tc>
                <w:tcPr>
                  <w:tcW w:w="3301" w:type="dxa"/>
                  <w:vAlign w:val="center"/>
                </w:tcPr>
                <w:p w14:paraId="7A1074A0">
                  <w:pPr>
                    <w:keepNext w:val="0"/>
                    <w:keepLines w:val="0"/>
                    <w:pageBreakBefore w:val="0"/>
                    <w:widowControl w:val="0"/>
                    <w:kinsoku/>
                    <w:wordWrap/>
                    <w:overflowPunct/>
                    <w:topLinePunct w:val="0"/>
                    <w:bidi w:val="0"/>
                    <w:spacing w:after="0" w:line="320" w:lineRule="exact"/>
                    <w:ind w:firstLine="480" w:firstLineChars="200"/>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M≤100</w:t>
                  </w:r>
                </w:p>
              </w:tc>
              <w:tc>
                <w:tcPr>
                  <w:tcW w:w="1716" w:type="dxa"/>
                  <w:vAlign w:val="bottom"/>
                </w:tcPr>
                <w:p w14:paraId="64570F1D">
                  <w:pPr>
                    <w:keepNext w:val="0"/>
                    <w:keepLines w:val="0"/>
                    <w:pageBreakBefore w:val="0"/>
                    <w:widowControl w:val="0"/>
                    <w:kinsoku/>
                    <w:wordWrap/>
                    <w:overflowPunct/>
                    <w:topLinePunct w:val="0"/>
                    <w:bidi w:val="0"/>
                    <w:spacing w:after="0" w:line="320" w:lineRule="exact"/>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1.20%</w:t>
                  </w:r>
                </w:p>
              </w:tc>
            </w:tr>
            <w:tr w14:paraId="20D67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61" w:type="dxa"/>
                  <w:vAlign w:val="center"/>
                </w:tcPr>
                <w:p w14:paraId="42756906">
                  <w:pPr>
                    <w:keepNext w:val="0"/>
                    <w:keepLines w:val="0"/>
                    <w:pageBreakBefore w:val="0"/>
                    <w:widowControl w:val="0"/>
                    <w:kinsoku/>
                    <w:wordWrap/>
                    <w:overflowPunct/>
                    <w:topLinePunct w:val="0"/>
                    <w:bidi w:val="0"/>
                    <w:spacing w:after="0" w:line="320" w:lineRule="exact"/>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2</w:t>
                  </w:r>
                </w:p>
              </w:tc>
              <w:tc>
                <w:tcPr>
                  <w:tcW w:w="3301" w:type="dxa"/>
                  <w:vAlign w:val="center"/>
                </w:tcPr>
                <w:p w14:paraId="2D4ADA3B">
                  <w:pPr>
                    <w:keepNext w:val="0"/>
                    <w:keepLines w:val="0"/>
                    <w:pageBreakBefore w:val="0"/>
                    <w:widowControl w:val="0"/>
                    <w:kinsoku/>
                    <w:wordWrap/>
                    <w:overflowPunct/>
                    <w:topLinePunct w:val="0"/>
                    <w:bidi w:val="0"/>
                    <w:spacing w:after="0" w:line="320" w:lineRule="exact"/>
                    <w:ind w:firstLine="480" w:firstLineChars="200"/>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100＜M≤500</w:t>
                  </w:r>
                </w:p>
              </w:tc>
              <w:tc>
                <w:tcPr>
                  <w:tcW w:w="1716" w:type="dxa"/>
                  <w:vAlign w:val="bottom"/>
                </w:tcPr>
                <w:p w14:paraId="2BA2D51D">
                  <w:pPr>
                    <w:keepNext w:val="0"/>
                    <w:keepLines w:val="0"/>
                    <w:pageBreakBefore w:val="0"/>
                    <w:widowControl w:val="0"/>
                    <w:kinsoku/>
                    <w:wordWrap/>
                    <w:overflowPunct/>
                    <w:topLinePunct w:val="0"/>
                    <w:bidi w:val="0"/>
                    <w:spacing w:after="0" w:line="320" w:lineRule="exact"/>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0.64%</w:t>
                  </w:r>
                </w:p>
              </w:tc>
            </w:tr>
            <w:tr w14:paraId="2E245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61" w:type="dxa"/>
                  <w:vAlign w:val="center"/>
                </w:tcPr>
                <w:p w14:paraId="5FC17F7F">
                  <w:pPr>
                    <w:keepNext w:val="0"/>
                    <w:keepLines w:val="0"/>
                    <w:pageBreakBefore w:val="0"/>
                    <w:widowControl w:val="0"/>
                    <w:kinsoku/>
                    <w:wordWrap/>
                    <w:overflowPunct/>
                    <w:topLinePunct w:val="0"/>
                    <w:bidi w:val="0"/>
                    <w:spacing w:after="0" w:line="320" w:lineRule="exact"/>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3</w:t>
                  </w:r>
                </w:p>
              </w:tc>
              <w:tc>
                <w:tcPr>
                  <w:tcW w:w="3301" w:type="dxa"/>
                  <w:vAlign w:val="center"/>
                </w:tcPr>
                <w:p w14:paraId="1D4525A6">
                  <w:pPr>
                    <w:keepNext w:val="0"/>
                    <w:keepLines w:val="0"/>
                    <w:pageBreakBefore w:val="0"/>
                    <w:widowControl w:val="0"/>
                    <w:kinsoku/>
                    <w:wordWrap/>
                    <w:overflowPunct/>
                    <w:topLinePunct w:val="0"/>
                    <w:bidi w:val="0"/>
                    <w:spacing w:after="0" w:line="320" w:lineRule="exact"/>
                    <w:ind w:firstLine="480" w:firstLineChars="200"/>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500＜M≤1000</w:t>
                  </w:r>
                </w:p>
              </w:tc>
              <w:tc>
                <w:tcPr>
                  <w:tcW w:w="1716" w:type="dxa"/>
                  <w:vAlign w:val="bottom"/>
                </w:tcPr>
                <w:p w14:paraId="00C2041C">
                  <w:pPr>
                    <w:keepNext w:val="0"/>
                    <w:keepLines w:val="0"/>
                    <w:pageBreakBefore w:val="0"/>
                    <w:widowControl w:val="0"/>
                    <w:kinsoku/>
                    <w:wordWrap/>
                    <w:overflowPunct/>
                    <w:topLinePunct w:val="0"/>
                    <w:bidi w:val="0"/>
                    <w:spacing w:after="0" w:line="320" w:lineRule="exact"/>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0.36%</w:t>
                  </w:r>
                </w:p>
              </w:tc>
            </w:tr>
            <w:tr w14:paraId="280ED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61" w:type="dxa"/>
                  <w:vAlign w:val="center"/>
                </w:tcPr>
                <w:p w14:paraId="44703CE4">
                  <w:pPr>
                    <w:keepNext w:val="0"/>
                    <w:keepLines w:val="0"/>
                    <w:pageBreakBefore w:val="0"/>
                    <w:widowControl w:val="0"/>
                    <w:kinsoku/>
                    <w:wordWrap/>
                    <w:overflowPunct/>
                    <w:topLinePunct w:val="0"/>
                    <w:bidi w:val="0"/>
                    <w:spacing w:after="0" w:line="320" w:lineRule="exact"/>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4</w:t>
                  </w:r>
                </w:p>
              </w:tc>
              <w:tc>
                <w:tcPr>
                  <w:tcW w:w="3301" w:type="dxa"/>
                  <w:vAlign w:val="center"/>
                </w:tcPr>
                <w:p w14:paraId="20DCCD2F">
                  <w:pPr>
                    <w:keepNext w:val="0"/>
                    <w:keepLines w:val="0"/>
                    <w:pageBreakBefore w:val="0"/>
                    <w:widowControl w:val="0"/>
                    <w:kinsoku/>
                    <w:wordWrap/>
                    <w:overflowPunct/>
                    <w:topLinePunct w:val="0"/>
                    <w:bidi w:val="0"/>
                    <w:spacing w:after="0" w:line="320" w:lineRule="exact"/>
                    <w:ind w:firstLine="480" w:firstLineChars="200"/>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1000＜M≤5000</w:t>
                  </w:r>
                </w:p>
              </w:tc>
              <w:tc>
                <w:tcPr>
                  <w:tcW w:w="1716" w:type="dxa"/>
                  <w:vAlign w:val="bottom"/>
                </w:tcPr>
                <w:p w14:paraId="51B857D8">
                  <w:pPr>
                    <w:keepNext w:val="0"/>
                    <w:keepLines w:val="0"/>
                    <w:pageBreakBefore w:val="0"/>
                    <w:widowControl w:val="0"/>
                    <w:kinsoku/>
                    <w:wordWrap/>
                    <w:overflowPunct/>
                    <w:topLinePunct w:val="0"/>
                    <w:bidi w:val="0"/>
                    <w:spacing w:after="0" w:line="320" w:lineRule="exact"/>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0.20%</w:t>
                  </w:r>
                </w:p>
              </w:tc>
            </w:tr>
            <w:tr w14:paraId="40B39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61" w:type="dxa"/>
                  <w:vAlign w:val="center"/>
                </w:tcPr>
                <w:p w14:paraId="5C3A8A75">
                  <w:pPr>
                    <w:keepNext w:val="0"/>
                    <w:keepLines w:val="0"/>
                    <w:pageBreakBefore w:val="0"/>
                    <w:widowControl w:val="0"/>
                    <w:kinsoku/>
                    <w:wordWrap/>
                    <w:overflowPunct/>
                    <w:topLinePunct w:val="0"/>
                    <w:bidi w:val="0"/>
                    <w:spacing w:after="0" w:line="320" w:lineRule="exact"/>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5</w:t>
                  </w:r>
                </w:p>
              </w:tc>
              <w:tc>
                <w:tcPr>
                  <w:tcW w:w="3301" w:type="dxa"/>
                  <w:vAlign w:val="center"/>
                </w:tcPr>
                <w:p w14:paraId="4CDE80BF">
                  <w:pPr>
                    <w:keepNext w:val="0"/>
                    <w:keepLines w:val="0"/>
                    <w:pageBreakBefore w:val="0"/>
                    <w:widowControl w:val="0"/>
                    <w:kinsoku/>
                    <w:wordWrap/>
                    <w:overflowPunct/>
                    <w:topLinePunct w:val="0"/>
                    <w:bidi w:val="0"/>
                    <w:spacing w:after="0" w:line="320" w:lineRule="exact"/>
                    <w:ind w:firstLine="480" w:firstLineChars="200"/>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5000＜M≤10000</w:t>
                  </w:r>
                </w:p>
              </w:tc>
              <w:tc>
                <w:tcPr>
                  <w:tcW w:w="1716" w:type="dxa"/>
                  <w:vAlign w:val="bottom"/>
                </w:tcPr>
                <w:p w14:paraId="0EFDFBDA">
                  <w:pPr>
                    <w:keepNext w:val="0"/>
                    <w:keepLines w:val="0"/>
                    <w:pageBreakBefore w:val="0"/>
                    <w:widowControl w:val="0"/>
                    <w:kinsoku/>
                    <w:wordWrap/>
                    <w:overflowPunct/>
                    <w:topLinePunct w:val="0"/>
                    <w:bidi w:val="0"/>
                    <w:spacing w:after="0" w:line="320" w:lineRule="exact"/>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0.08%</w:t>
                  </w:r>
                </w:p>
              </w:tc>
            </w:tr>
            <w:tr w14:paraId="46E96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61" w:type="dxa"/>
                  <w:vAlign w:val="center"/>
                </w:tcPr>
                <w:p w14:paraId="44238796">
                  <w:pPr>
                    <w:keepNext w:val="0"/>
                    <w:keepLines w:val="0"/>
                    <w:pageBreakBefore w:val="0"/>
                    <w:widowControl w:val="0"/>
                    <w:kinsoku/>
                    <w:wordWrap/>
                    <w:overflowPunct/>
                    <w:topLinePunct w:val="0"/>
                    <w:bidi w:val="0"/>
                    <w:spacing w:after="0" w:line="320" w:lineRule="exact"/>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6</w:t>
                  </w:r>
                </w:p>
              </w:tc>
              <w:tc>
                <w:tcPr>
                  <w:tcW w:w="3301" w:type="dxa"/>
                  <w:vAlign w:val="center"/>
                </w:tcPr>
                <w:p w14:paraId="221560D5">
                  <w:pPr>
                    <w:keepNext w:val="0"/>
                    <w:keepLines w:val="0"/>
                    <w:pageBreakBefore w:val="0"/>
                    <w:widowControl w:val="0"/>
                    <w:kinsoku/>
                    <w:wordWrap/>
                    <w:overflowPunct/>
                    <w:topLinePunct w:val="0"/>
                    <w:bidi w:val="0"/>
                    <w:spacing w:after="0" w:line="320" w:lineRule="exact"/>
                    <w:ind w:firstLine="480" w:firstLineChars="200"/>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10000＜M≤100000</w:t>
                  </w:r>
                </w:p>
              </w:tc>
              <w:tc>
                <w:tcPr>
                  <w:tcW w:w="1716" w:type="dxa"/>
                  <w:vAlign w:val="bottom"/>
                </w:tcPr>
                <w:p w14:paraId="29308EF7">
                  <w:pPr>
                    <w:keepNext w:val="0"/>
                    <w:keepLines w:val="0"/>
                    <w:pageBreakBefore w:val="0"/>
                    <w:widowControl w:val="0"/>
                    <w:kinsoku/>
                    <w:wordWrap/>
                    <w:overflowPunct/>
                    <w:topLinePunct w:val="0"/>
                    <w:bidi w:val="0"/>
                    <w:spacing w:after="0" w:line="320" w:lineRule="exact"/>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0.04%</w:t>
                  </w:r>
                </w:p>
              </w:tc>
            </w:tr>
            <w:tr w14:paraId="3E266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61" w:type="dxa"/>
                  <w:vAlign w:val="center"/>
                </w:tcPr>
                <w:p w14:paraId="0417C452">
                  <w:pPr>
                    <w:keepNext w:val="0"/>
                    <w:keepLines w:val="0"/>
                    <w:pageBreakBefore w:val="0"/>
                    <w:widowControl w:val="0"/>
                    <w:kinsoku/>
                    <w:wordWrap/>
                    <w:overflowPunct/>
                    <w:topLinePunct w:val="0"/>
                    <w:bidi w:val="0"/>
                    <w:spacing w:after="0" w:line="320" w:lineRule="exact"/>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7</w:t>
                  </w:r>
                </w:p>
              </w:tc>
              <w:tc>
                <w:tcPr>
                  <w:tcW w:w="3301" w:type="dxa"/>
                  <w:vAlign w:val="center"/>
                </w:tcPr>
                <w:p w14:paraId="1ED3297A">
                  <w:pPr>
                    <w:keepNext w:val="0"/>
                    <w:keepLines w:val="0"/>
                    <w:pageBreakBefore w:val="0"/>
                    <w:widowControl w:val="0"/>
                    <w:kinsoku/>
                    <w:wordWrap/>
                    <w:overflowPunct/>
                    <w:topLinePunct w:val="0"/>
                    <w:bidi w:val="0"/>
                    <w:spacing w:after="0" w:line="320" w:lineRule="exact"/>
                    <w:ind w:firstLine="480" w:firstLineChars="200"/>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100000≤M</w:t>
                  </w:r>
                </w:p>
              </w:tc>
              <w:tc>
                <w:tcPr>
                  <w:tcW w:w="1716" w:type="dxa"/>
                  <w:vAlign w:val="bottom"/>
                </w:tcPr>
                <w:p w14:paraId="25EADCD4">
                  <w:pPr>
                    <w:keepNext w:val="0"/>
                    <w:keepLines w:val="0"/>
                    <w:pageBreakBefore w:val="0"/>
                    <w:widowControl w:val="0"/>
                    <w:kinsoku/>
                    <w:wordWrap/>
                    <w:overflowPunct/>
                    <w:topLinePunct w:val="0"/>
                    <w:bidi w:val="0"/>
                    <w:spacing w:after="0" w:line="320" w:lineRule="exact"/>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0.008%</w:t>
                  </w:r>
                </w:p>
              </w:tc>
            </w:tr>
          </w:tbl>
          <w:p w14:paraId="62D5BCD7">
            <w:pPr>
              <w:keepNext w:val="0"/>
              <w:keepLines w:val="0"/>
              <w:pageBreakBefore w:val="0"/>
              <w:widowControl w:val="0"/>
              <w:kinsoku/>
              <w:wordWrap/>
              <w:overflowPunct/>
              <w:topLinePunct w:val="0"/>
              <w:bidi w:val="0"/>
              <w:spacing w:after="0" w:line="320" w:lineRule="exact"/>
              <w:jc w:val="left"/>
              <w:rPr>
                <w:rFonts w:hint="eastAsia" w:ascii="宋体" w:hAnsi="宋体" w:cs="宋体"/>
                <w:color w:val="auto"/>
                <w:sz w:val="24"/>
                <w:highlight w:val="none"/>
              </w:rPr>
            </w:pPr>
          </w:p>
          <w:p w14:paraId="3CBA64D7">
            <w:pPr>
              <w:keepNext w:val="0"/>
              <w:keepLines w:val="0"/>
              <w:pageBreakBefore w:val="0"/>
              <w:widowControl w:val="0"/>
              <w:kinsoku/>
              <w:wordWrap/>
              <w:overflowPunct/>
              <w:topLinePunct w:val="0"/>
              <w:bidi w:val="0"/>
              <w:snapToGrid w:val="0"/>
              <w:spacing w:after="0" w:line="320" w:lineRule="exact"/>
              <w:rPr>
                <w:rFonts w:hint="eastAsia" w:ascii="宋体" w:hAnsi="宋体" w:cs="宋体"/>
                <w:color w:val="auto"/>
                <w:szCs w:val="21"/>
                <w:highlight w:val="none"/>
              </w:rPr>
            </w:pPr>
            <w:r>
              <w:rPr>
                <w:rFonts w:hint="eastAsia" w:ascii="宋体" w:hAnsi="宋体" w:cs="宋体"/>
                <w:color w:val="auto"/>
                <w:sz w:val="24"/>
                <w:highlight w:val="none"/>
                <w:u w:val="single"/>
              </w:rPr>
              <w:t>计算方法：以每个包/标段的中标/成交金额为计算基数，上述收费标准，采用差额定率累进方式计算</w:t>
            </w:r>
            <w:r>
              <w:rPr>
                <w:rFonts w:hint="eastAsia" w:ascii="宋体" w:hAnsi="宋体" w:cs="宋体"/>
                <w:color w:val="auto"/>
                <w:highlight w:val="none"/>
              </w:rPr>
              <w:t>。</w:t>
            </w:r>
          </w:p>
          <w:p w14:paraId="55BB52B0">
            <w:pPr>
              <w:pStyle w:val="32"/>
              <w:keepNext w:val="0"/>
              <w:keepLines w:val="0"/>
              <w:pageBreakBefore w:val="0"/>
              <w:widowControl w:val="0"/>
              <w:kinsoku/>
              <w:wordWrap/>
              <w:overflowPunct/>
              <w:topLinePunct w:val="0"/>
              <w:bidi w:val="0"/>
              <w:spacing w:after="0" w:line="320" w:lineRule="exact"/>
              <w:rPr>
                <w:rFonts w:hint="eastAsia" w:cs="宋体"/>
                <w:color w:val="auto"/>
                <w:highlight w:val="none"/>
              </w:rPr>
            </w:pPr>
            <w:r>
              <w:rPr>
                <w:rFonts w:hint="eastAsia" w:cs="宋体"/>
                <w:color w:val="auto"/>
                <w:highlight w:val="none"/>
              </w:rPr>
              <w:t>缴纳时间：</w:t>
            </w:r>
            <w:r>
              <w:rPr>
                <w:rFonts w:hint="eastAsia" w:cs="宋体"/>
                <w:b w:val="0"/>
                <w:bCs/>
                <w:color w:val="auto"/>
                <w:highlight w:val="none"/>
                <w:u w:val="single"/>
              </w:rPr>
              <w:t>发出中标通知书后5个工作日内</w:t>
            </w:r>
            <w:r>
              <w:rPr>
                <w:rFonts w:hint="eastAsia" w:cs="宋体"/>
                <w:b w:val="0"/>
                <w:bCs/>
                <w:color w:val="auto"/>
                <w:highlight w:val="none"/>
              </w:rPr>
              <w:t>。</w:t>
            </w:r>
          </w:p>
        </w:tc>
      </w:tr>
    </w:tbl>
    <w:p w14:paraId="1518F3FC">
      <w:pPr>
        <w:rPr>
          <w:rFonts w:hint="eastAsia" w:ascii="宋体" w:hAnsi="宋体" w:cs="宋体"/>
          <w:color w:val="auto"/>
          <w:highlight w:val="none"/>
        </w:rPr>
      </w:pPr>
      <w:r>
        <w:rPr>
          <w:rFonts w:hint="eastAsia" w:ascii="宋体" w:hAnsi="宋体" w:cs="宋体"/>
          <w:color w:val="auto"/>
          <w:highlight w:val="none"/>
        </w:rPr>
        <w:br w:type="page"/>
      </w:r>
    </w:p>
    <w:p w14:paraId="7954C536">
      <w:pPr>
        <w:tabs>
          <w:tab w:val="left" w:pos="5580"/>
        </w:tabs>
        <w:adjustRightInd w:val="0"/>
        <w:spacing w:line="360" w:lineRule="auto"/>
        <w:jc w:val="distribute"/>
        <w:rPr>
          <w:rFonts w:hint="eastAsia" w:ascii="宋体" w:hAnsi="宋体" w:cs="宋体"/>
          <w:color w:val="auto"/>
          <w:sz w:val="24"/>
          <w:highlight w:val="none"/>
        </w:rPr>
        <w:sectPr>
          <w:footerReference r:id="rId12" w:type="first"/>
          <w:footerReference r:id="rId11" w:type="default"/>
          <w:pgSz w:w="11905" w:h="16838"/>
          <w:pgMar w:top="1417" w:right="1701" w:bottom="1417" w:left="1701" w:header="1020" w:footer="850" w:gutter="0"/>
          <w:pgNumType w:start="1"/>
          <w:cols w:space="0" w:num="1"/>
          <w:rtlGutter w:val="0"/>
          <w:docGrid w:linePitch="462" w:charSpace="0"/>
        </w:sectPr>
      </w:pPr>
    </w:p>
    <w:p w14:paraId="441EB170">
      <w:pPr>
        <w:spacing w:before="240" w:beforeLines="100" w:after="240" w:afterLines="100"/>
        <w:jc w:val="center"/>
        <w:rPr>
          <w:rFonts w:hint="eastAsia" w:ascii="宋体" w:hAnsi="宋体" w:cs="宋体"/>
          <w:b/>
          <w:color w:val="auto"/>
          <w:sz w:val="28"/>
          <w:szCs w:val="28"/>
          <w:highlight w:val="none"/>
        </w:rPr>
      </w:pPr>
      <w:bookmarkStart w:id="86" w:name="_Toc265228355"/>
      <w:bookmarkStart w:id="87" w:name="_Toc127151517"/>
      <w:bookmarkStart w:id="88" w:name="_Toc353825542"/>
      <w:bookmarkStart w:id="89" w:name="_Toc226965790"/>
      <w:bookmarkStart w:id="90" w:name="_Toc264969207"/>
      <w:bookmarkStart w:id="91" w:name="_Toc150480755"/>
      <w:bookmarkStart w:id="92" w:name="_Toc305158785"/>
      <w:bookmarkStart w:id="93" w:name="_Toc305158859"/>
      <w:bookmarkStart w:id="94" w:name="_Toc353873662"/>
      <w:bookmarkStart w:id="95" w:name="_Toc353873932"/>
      <w:bookmarkStart w:id="96" w:name="_Toc142311019"/>
      <w:bookmarkStart w:id="97" w:name="_Toc226337213"/>
      <w:bookmarkStart w:id="98" w:name="_Toc150774722"/>
      <w:bookmarkStart w:id="99" w:name="_Toc195842882"/>
      <w:r>
        <w:rPr>
          <w:rFonts w:hint="eastAsia" w:ascii="宋体" w:hAnsi="宋体" w:cs="宋体"/>
          <w:b/>
          <w:color w:val="auto"/>
          <w:sz w:val="28"/>
          <w:szCs w:val="28"/>
          <w:highlight w:val="none"/>
        </w:rPr>
        <w:t>投标人须知</w:t>
      </w:r>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6889E33C">
      <w:pPr>
        <w:pStyle w:val="3"/>
        <w:tabs>
          <w:tab w:val="center" w:pos="4592"/>
          <w:tab w:val="left" w:pos="7860"/>
        </w:tabs>
        <w:ind w:firstLine="562"/>
        <w:rPr>
          <w:rFonts w:hint="eastAsia" w:ascii="宋体" w:hAnsi="宋体" w:cs="宋体"/>
          <w:color w:val="auto"/>
          <w:sz w:val="28"/>
          <w:highlight w:val="none"/>
        </w:rPr>
      </w:pPr>
      <w:bookmarkStart w:id="100" w:name="_Toc520356143"/>
      <w:bookmarkStart w:id="101" w:name="_Toc127151518"/>
      <w:r>
        <w:rPr>
          <w:rFonts w:hint="eastAsia" w:ascii="宋体" w:hAnsi="宋体" w:cs="宋体"/>
          <w:color w:val="auto"/>
          <w:sz w:val="28"/>
          <w:highlight w:val="none"/>
        </w:rPr>
        <w:tab/>
      </w:r>
      <w:bookmarkStart w:id="102" w:name="_Toc226337214"/>
      <w:bookmarkStart w:id="103" w:name="_Toc305158786"/>
      <w:bookmarkStart w:id="104" w:name="_Toc305158860"/>
      <w:bookmarkStart w:id="105" w:name="_Toc151193616"/>
      <w:bookmarkStart w:id="106" w:name="_Toc151193832"/>
      <w:bookmarkStart w:id="107" w:name="_Toc226309762"/>
      <w:bookmarkStart w:id="108" w:name="_Toc226965708"/>
      <w:bookmarkStart w:id="109" w:name="_Toc264969208"/>
      <w:bookmarkStart w:id="110" w:name="_Toc150480756"/>
      <w:bookmarkStart w:id="111" w:name="_Toc150774723"/>
      <w:bookmarkStart w:id="112" w:name="_Toc265228356"/>
      <w:bookmarkStart w:id="113" w:name="_Toc150509269"/>
      <w:bookmarkStart w:id="114" w:name="_Toc142311020"/>
      <w:bookmarkStart w:id="115" w:name="_Toc150774618"/>
      <w:bookmarkStart w:id="116" w:name="_Toc195842883"/>
      <w:bookmarkStart w:id="117" w:name="_Toc151193688"/>
      <w:bookmarkStart w:id="118" w:name="_Toc151190145"/>
      <w:bookmarkStart w:id="119" w:name="_Toc151193760"/>
      <w:bookmarkStart w:id="120" w:name="_Toc151193906"/>
      <w:bookmarkStart w:id="121" w:name="_Toc226965791"/>
      <w:r>
        <w:rPr>
          <w:rFonts w:hint="eastAsia" w:ascii="宋体" w:hAnsi="宋体" w:cs="宋体"/>
          <w:color w:val="auto"/>
          <w:sz w:val="28"/>
          <w:highlight w:val="none"/>
        </w:rPr>
        <w:t>一   说  明</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Pr>
          <w:rFonts w:hint="eastAsia" w:ascii="宋体" w:hAnsi="宋体" w:cs="宋体"/>
          <w:color w:val="auto"/>
          <w:sz w:val="28"/>
          <w:highlight w:val="none"/>
        </w:rPr>
        <w:tab/>
      </w:r>
    </w:p>
    <w:p w14:paraId="0CDF74ED">
      <w:pPr>
        <w:keepNext w:val="0"/>
        <w:keepLines w:val="0"/>
        <w:pageBreakBefore w:val="0"/>
        <w:widowControl w:val="0"/>
        <w:numPr>
          <w:ilvl w:val="0"/>
          <w:numId w:val="11"/>
        </w:numPr>
        <w:tabs>
          <w:tab w:val="left" w:pos="360"/>
          <w:tab w:val="clear" w:pos="900"/>
        </w:tabs>
        <w:kinsoku/>
        <w:wordWrap/>
        <w:overflowPunct/>
        <w:topLinePunct w:val="0"/>
        <w:autoSpaceDE/>
        <w:autoSpaceDN/>
        <w:bidi w:val="0"/>
        <w:adjustRightInd/>
        <w:snapToGrid w:val="0"/>
        <w:spacing w:after="0" w:line="360" w:lineRule="auto"/>
        <w:ind w:left="357" w:hanging="357"/>
        <w:textAlignment w:val="auto"/>
        <w:outlineLvl w:val="1"/>
        <w:rPr>
          <w:rFonts w:hint="eastAsia" w:ascii="宋体" w:hAnsi="宋体" w:cs="宋体"/>
          <w:color w:val="auto"/>
          <w:sz w:val="24"/>
          <w:highlight w:val="none"/>
        </w:rPr>
      </w:pPr>
      <w:bookmarkStart w:id="122" w:name="_Toc305158861"/>
      <w:bookmarkStart w:id="123" w:name="_Toc265228357"/>
      <w:bookmarkStart w:id="124" w:name="_Toc264969209"/>
      <w:bookmarkStart w:id="125" w:name="_Toc305158787"/>
      <w:r>
        <w:rPr>
          <w:rFonts w:hint="eastAsia" w:ascii="宋体" w:hAnsi="宋体" w:cs="宋体"/>
          <w:color w:val="auto"/>
          <w:sz w:val="24"/>
          <w:highlight w:val="none"/>
        </w:rPr>
        <w:t>采购人、采购代理机构、投标人</w:t>
      </w:r>
      <w:bookmarkEnd w:id="122"/>
      <w:bookmarkEnd w:id="123"/>
      <w:bookmarkEnd w:id="124"/>
      <w:bookmarkEnd w:id="125"/>
      <w:r>
        <w:rPr>
          <w:rFonts w:hint="eastAsia" w:ascii="宋体" w:hAnsi="宋体" w:cs="宋体"/>
          <w:color w:val="auto"/>
          <w:sz w:val="24"/>
          <w:highlight w:val="none"/>
        </w:rPr>
        <w:t>、联合体</w:t>
      </w:r>
    </w:p>
    <w:p w14:paraId="739572CC">
      <w:pPr>
        <w:keepNext w:val="0"/>
        <w:keepLines w:val="0"/>
        <w:pageBreakBefore w:val="0"/>
        <w:widowControl w:val="0"/>
        <w:numPr>
          <w:ilvl w:val="1"/>
          <w:numId w:val="11"/>
        </w:numPr>
        <w:tabs>
          <w:tab w:val="left" w:pos="1080"/>
          <w:tab w:val="left" w:pos="2014"/>
          <w:tab w:val="left" w:pos="5521"/>
        </w:tabs>
        <w:kinsoku/>
        <w:wordWrap/>
        <w:overflowPunct/>
        <w:topLinePunct w:val="0"/>
        <w:autoSpaceDE/>
        <w:autoSpaceDN/>
        <w:bidi w:val="0"/>
        <w:adjustRightInd/>
        <w:snapToGrid w:val="0"/>
        <w:spacing w:after="0" w:line="360" w:lineRule="auto"/>
        <w:ind w:left="1080" w:hanging="720"/>
        <w:textAlignment w:val="auto"/>
        <w:rPr>
          <w:rFonts w:hint="eastAsia" w:ascii="宋体" w:hAnsi="宋体" w:cs="宋体"/>
          <w:color w:val="auto"/>
          <w:sz w:val="24"/>
          <w:highlight w:val="none"/>
        </w:rPr>
      </w:pPr>
      <w:r>
        <w:rPr>
          <w:rFonts w:hint="eastAsia" w:ascii="宋体" w:hAnsi="宋体" w:cs="宋体"/>
          <w:color w:val="auto"/>
          <w:sz w:val="24"/>
          <w:highlight w:val="none"/>
        </w:rPr>
        <w:t>采购人、采购代理机构：指依法进行政府采购的国家机关、事业单位、团体组织，及其委托的采购代理机构。本项目采购人、采购代理机构见第一章《投标邀请》。</w:t>
      </w:r>
    </w:p>
    <w:p w14:paraId="4761FFFC">
      <w:pPr>
        <w:keepNext w:val="0"/>
        <w:keepLines w:val="0"/>
        <w:pageBreakBefore w:val="0"/>
        <w:widowControl w:val="0"/>
        <w:numPr>
          <w:ilvl w:val="1"/>
          <w:numId w:val="11"/>
        </w:numPr>
        <w:tabs>
          <w:tab w:val="left" w:pos="1080"/>
          <w:tab w:val="left" w:pos="2014"/>
          <w:tab w:val="left" w:pos="5521"/>
        </w:tabs>
        <w:kinsoku/>
        <w:wordWrap/>
        <w:overflowPunct/>
        <w:topLinePunct w:val="0"/>
        <w:autoSpaceDE/>
        <w:autoSpaceDN/>
        <w:bidi w:val="0"/>
        <w:adjustRightInd/>
        <w:snapToGrid w:val="0"/>
        <w:spacing w:after="0" w:line="360" w:lineRule="auto"/>
        <w:ind w:left="1080" w:hanging="720"/>
        <w:textAlignment w:val="auto"/>
        <w:rPr>
          <w:rFonts w:hint="eastAsia" w:ascii="宋体" w:hAnsi="宋体" w:cs="宋体"/>
          <w:color w:val="auto"/>
          <w:sz w:val="24"/>
          <w:highlight w:val="none"/>
        </w:rPr>
      </w:pPr>
      <w:r>
        <w:rPr>
          <w:rFonts w:hint="eastAsia" w:ascii="宋体" w:hAnsi="宋体" w:cs="宋体"/>
          <w:color w:val="auto"/>
          <w:sz w:val="24"/>
          <w:highlight w:val="none"/>
        </w:rPr>
        <w:t>投标人（也称“供应商”、“申请人”）：指向采购人提供货物、工程或者服务的法人、其他组织或者自然人。</w:t>
      </w:r>
    </w:p>
    <w:p w14:paraId="15A63466">
      <w:pPr>
        <w:keepNext w:val="0"/>
        <w:keepLines w:val="0"/>
        <w:pageBreakBefore w:val="0"/>
        <w:widowControl w:val="0"/>
        <w:numPr>
          <w:ilvl w:val="1"/>
          <w:numId w:val="11"/>
        </w:numPr>
        <w:tabs>
          <w:tab w:val="left" w:pos="1080"/>
          <w:tab w:val="left" w:pos="2014"/>
          <w:tab w:val="left" w:pos="5521"/>
        </w:tabs>
        <w:kinsoku/>
        <w:wordWrap/>
        <w:overflowPunct/>
        <w:topLinePunct w:val="0"/>
        <w:autoSpaceDE/>
        <w:autoSpaceDN/>
        <w:bidi w:val="0"/>
        <w:adjustRightInd/>
        <w:snapToGrid w:val="0"/>
        <w:spacing w:after="0" w:line="360" w:lineRule="auto"/>
        <w:ind w:left="1080" w:hanging="720"/>
        <w:textAlignment w:val="auto"/>
        <w:rPr>
          <w:rFonts w:hint="eastAsia" w:ascii="宋体" w:hAnsi="宋体" w:cs="宋体"/>
          <w:color w:val="auto"/>
          <w:sz w:val="24"/>
          <w:highlight w:val="none"/>
        </w:rPr>
      </w:pPr>
      <w:r>
        <w:rPr>
          <w:rFonts w:hint="eastAsia" w:ascii="宋体" w:hAnsi="宋体" w:cs="宋体"/>
          <w:color w:val="auto"/>
          <w:sz w:val="24"/>
          <w:highlight w:val="none"/>
        </w:rPr>
        <w:t>联合体：指两个及两个以上的自然人、法人或者其他组织组成一个联合体，以一个供应商的身份共同参加政府采购。</w:t>
      </w:r>
    </w:p>
    <w:p w14:paraId="2434FC55">
      <w:pPr>
        <w:keepNext w:val="0"/>
        <w:keepLines w:val="0"/>
        <w:pageBreakBefore w:val="0"/>
        <w:widowControl w:val="0"/>
        <w:numPr>
          <w:ilvl w:val="0"/>
          <w:numId w:val="11"/>
        </w:numPr>
        <w:tabs>
          <w:tab w:val="left" w:pos="360"/>
          <w:tab w:val="clear" w:pos="900"/>
        </w:tabs>
        <w:kinsoku/>
        <w:wordWrap/>
        <w:overflowPunct/>
        <w:topLinePunct w:val="0"/>
        <w:autoSpaceDE/>
        <w:autoSpaceDN/>
        <w:bidi w:val="0"/>
        <w:adjustRightInd/>
        <w:snapToGrid w:val="0"/>
        <w:spacing w:after="0" w:line="360" w:lineRule="auto"/>
        <w:ind w:left="357" w:hanging="357"/>
        <w:textAlignment w:val="auto"/>
        <w:outlineLvl w:val="1"/>
        <w:rPr>
          <w:rFonts w:hint="eastAsia" w:ascii="宋体" w:hAnsi="宋体" w:cs="宋体"/>
          <w:color w:val="auto"/>
          <w:sz w:val="24"/>
          <w:highlight w:val="none"/>
        </w:rPr>
      </w:pPr>
      <w:bookmarkStart w:id="126" w:name="_Toc305158862"/>
      <w:bookmarkStart w:id="127" w:name="_Toc151193834"/>
      <w:bookmarkStart w:id="128" w:name="_Toc127161434"/>
      <w:bookmarkStart w:id="129" w:name="_Toc127151520"/>
      <w:bookmarkStart w:id="130" w:name="_Toc151190147"/>
      <w:bookmarkStart w:id="131" w:name="_Toc305158788"/>
      <w:bookmarkStart w:id="132" w:name="_Toc151193762"/>
      <w:bookmarkStart w:id="133" w:name="_Toc226309764"/>
      <w:bookmarkStart w:id="134" w:name="_Toc150774725"/>
      <w:bookmarkStart w:id="135" w:name="_Toc127151721"/>
      <w:bookmarkStart w:id="136" w:name="_Toc150509271"/>
      <w:bookmarkStart w:id="137" w:name="_Toc195842885"/>
      <w:bookmarkStart w:id="138" w:name="_Toc164608789"/>
      <w:bookmarkStart w:id="139" w:name="_Toc264969210"/>
      <w:bookmarkStart w:id="140" w:name="_Toc150480758"/>
      <w:bookmarkStart w:id="141" w:name="_Toc265228358"/>
      <w:bookmarkStart w:id="142" w:name="_Toc142311022"/>
      <w:bookmarkStart w:id="143" w:name="_Toc164229361"/>
      <w:bookmarkStart w:id="144" w:name="_Toc164229215"/>
      <w:bookmarkStart w:id="145" w:name="_Toc151193908"/>
      <w:bookmarkStart w:id="146" w:name="_Toc150774620"/>
      <w:bookmarkStart w:id="147" w:name="_Toc151193618"/>
      <w:bookmarkStart w:id="148" w:name="_Toc164351614"/>
      <w:bookmarkStart w:id="149" w:name="_Toc164608634"/>
      <w:bookmarkStart w:id="150" w:name="_Toc226337216"/>
      <w:bookmarkStart w:id="151" w:name="_Toc151193690"/>
      <w:bookmarkStart w:id="152" w:name="_Toc149720813"/>
      <w:bookmarkStart w:id="153" w:name="_Toc226965793"/>
      <w:bookmarkStart w:id="154" w:name="_Toc226965710"/>
      <w:r>
        <w:rPr>
          <w:rFonts w:hint="eastAsia" w:ascii="宋体" w:hAnsi="宋体" w:cs="宋体"/>
          <w:color w:val="auto"/>
          <w:sz w:val="24"/>
          <w:highlight w:val="none"/>
        </w:rPr>
        <w:t>资金来源</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Pr>
          <w:rFonts w:hint="eastAsia" w:ascii="宋体" w:hAnsi="宋体" w:cs="宋体"/>
          <w:color w:val="auto"/>
          <w:sz w:val="24"/>
          <w:highlight w:val="none"/>
        </w:rPr>
        <w:t>、项目属性、科研仪器设备采购、核心产品</w:t>
      </w:r>
    </w:p>
    <w:p w14:paraId="1FC1031A">
      <w:pPr>
        <w:keepNext w:val="0"/>
        <w:keepLines w:val="0"/>
        <w:pageBreakBefore w:val="0"/>
        <w:widowControl w:val="0"/>
        <w:numPr>
          <w:ilvl w:val="1"/>
          <w:numId w:val="11"/>
        </w:numPr>
        <w:tabs>
          <w:tab w:val="left" w:pos="1080"/>
          <w:tab w:val="left" w:pos="2014"/>
        </w:tabs>
        <w:kinsoku/>
        <w:wordWrap/>
        <w:overflowPunct/>
        <w:topLinePunct w:val="0"/>
        <w:autoSpaceDE/>
        <w:autoSpaceDN/>
        <w:bidi w:val="0"/>
        <w:adjustRightInd/>
        <w:snapToGrid w:val="0"/>
        <w:spacing w:after="0" w:line="360" w:lineRule="auto"/>
        <w:ind w:left="1080" w:hanging="720"/>
        <w:textAlignment w:val="auto"/>
        <w:rPr>
          <w:rFonts w:hint="eastAsia" w:ascii="宋体" w:hAnsi="宋体" w:cs="宋体"/>
          <w:color w:val="auto"/>
          <w:sz w:val="24"/>
          <w:highlight w:val="none"/>
        </w:rPr>
      </w:pPr>
      <w:r>
        <w:rPr>
          <w:rFonts w:hint="eastAsia" w:ascii="宋体" w:hAnsi="宋体" w:cs="宋体"/>
          <w:color w:val="auto"/>
          <w:sz w:val="24"/>
          <w:highlight w:val="none"/>
        </w:rPr>
        <w:t>资金来源为财政性资金和/或本项目采购中无法与财政性资金分割的非财政性资金。</w:t>
      </w:r>
    </w:p>
    <w:p w14:paraId="4AA0B517">
      <w:pPr>
        <w:keepNext w:val="0"/>
        <w:keepLines w:val="0"/>
        <w:pageBreakBefore w:val="0"/>
        <w:widowControl w:val="0"/>
        <w:numPr>
          <w:ilvl w:val="1"/>
          <w:numId w:val="11"/>
        </w:numPr>
        <w:tabs>
          <w:tab w:val="left" w:pos="1080"/>
          <w:tab w:val="left" w:pos="2014"/>
        </w:tabs>
        <w:kinsoku/>
        <w:wordWrap/>
        <w:overflowPunct/>
        <w:topLinePunct w:val="0"/>
        <w:autoSpaceDE/>
        <w:autoSpaceDN/>
        <w:bidi w:val="0"/>
        <w:adjustRightInd/>
        <w:snapToGrid w:val="0"/>
        <w:spacing w:after="0" w:line="360" w:lineRule="auto"/>
        <w:ind w:left="1080" w:hanging="720"/>
        <w:textAlignment w:val="auto"/>
        <w:rPr>
          <w:rFonts w:hint="eastAsia" w:ascii="宋体" w:hAnsi="宋体" w:cs="宋体"/>
          <w:color w:val="auto"/>
          <w:sz w:val="24"/>
          <w:highlight w:val="none"/>
        </w:rPr>
      </w:pPr>
      <w:r>
        <w:rPr>
          <w:rFonts w:hint="eastAsia" w:ascii="宋体" w:hAnsi="宋体" w:cs="宋体"/>
          <w:color w:val="auto"/>
          <w:sz w:val="24"/>
          <w:highlight w:val="none"/>
        </w:rPr>
        <w:t>项目属性见《投标人须知资料表》。</w:t>
      </w:r>
    </w:p>
    <w:p w14:paraId="1250197C">
      <w:pPr>
        <w:keepNext w:val="0"/>
        <w:keepLines w:val="0"/>
        <w:pageBreakBefore w:val="0"/>
        <w:widowControl w:val="0"/>
        <w:numPr>
          <w:ilvl w:val="1"/>
          <w:numId w:val="11"/>
        </w:numPr>
        <w:tabs>
          <w:tab w:val="left" w:pos="1080"/>
          <w:tab w:val="left" w:pos="2014"/>
        </w:tabs>
        <w:kinsoku/>
        <w:wordWrap/>
        <w:overflowPunct/>
        <w:topLinePunct w:val="0"/>
        <w:autoSpaceDE/>
        <w:autoSpaceDN/>
        <w:bidi w:val="0"/>
        <w:adjustRightInd/>
        <w:snapToGrid w:val="0"/>
        <w:spacing w:after="0" w:line="360" w:lineRule="auto"/>
        <w:ind w:left="1080" w:hanging="720"/>
        <w:textAlignment w:val="auto"/>
        <w:rPr>
          <w:rFonts w:hint="eastAsia" w:ascii="宋体" w:hAnsi="宋体" w:cs="宋体"/>
          <w:color w:val="auto"/>
          <w:sz w:val="24"/>
          <w:highlight w:val="none"/>
        </w:rPr>
      </w:pPr>
      <w:r>
        <w:rPr>
          <w:rFonts w:hint="eastAsia" w:ascii="宋体" w:hAnsi="宋体" w:cs="宋体"/>
          <w:color w:val="auto"/>
          <w:sz w:val="24"/>
          <w:highlight w:val="none"/>
        </w:rPr>
        <w:t>是否属于科研仪器设备采购见《投标人须知资料表》。</w:t>
      </w:r>
    </w:p>
    <w:p w14:paraId="25EE73A1">
      <w:pPr>
        <w:keepNext w:val="0"/>
        <w:keepLines w:val="0"/>
        <w:pageBreakBefore w:val="0"/>
        <w:widowControl w:val="0"/>
        <w:numPr>
          <w:ilvl w:val="1"/>
          <w:numId w:val="11"/>
        </w:numPr>
        <w:tabs>
          <w:tab w:val="left" w:pos="1080"/>
          <w:tab w:val="left" w:pos="2014"/>
          <w:tab w:val="left" w:pos="5521"/>
        </w:tabs>
        <w:kinsoku/>
        <w:wordWrap/>
        <w:overflowPunct/>
        <w:topLinePunct w:val="0"/>
        <w:autoSpaceDE/>
        <w:autoSpaceDN/>
        <w:bidi w:val="0"/>
        <w:adjustRightInd/>
        <w:snapToGrid w:val="0"/>
        <w:spacing w:after="0" w:line="360" w:lineRule="auto"/>
        <w:ind w:left="1080" w:hanging="720"/>
        <w:textAlignment w:val="auto"/>
        <w:rPr>
          <w:rFonts w:hint="eastAsia" w:ascii="宋体" w:hAnsi="宋体" w:cs="宋体"/>
          <w:color w:val="auto"/>
          <w:sz w:val="24"/>
          <w:highlight w:val="none"/>
        </w:rPr>
      </w:pPr>
      <w:r>
        <w:rPr>
          <w:rFonts w:hint="eastAsia" w:ascii="宋体" w:hAnsi="宋体" w:cs="宋体"/>
          <w:color w:val="auto"/>
          <w:sz w:val="24"/>
          <w:highlight w:val="none"/>
        </w:rPr>
        <w:t>核心产品见《投标人须知资料表》。</w:t>
      </w:r>
    </w:p>
    <w:p w14:paraId="47D6A933">
      <w:pPr>
        <w:keepNext w:val="0"/>
        <w:keepLines w:val="0"/>
        <w:pageBreakBefore w:val="0"/>
        <w:widowControl w:val="0"/>
        <w:numPr>
          <w:ilvl w:val="0"/>
          <w:numId w:val="11"/>
        </w:numPr>
        <w:tabs>
          <w:tab w:val="left" w:pos="360"/>
        </w:tabs>
        <w:kinsoku/>
        <w:wordWrap/>
        <w:overflowPunct/>
        <w:topLinePunct w:val="0"/>
        <w:autoSpaceDE/>
        <w:autoSpaceDN/>
        <w:bidi w:val="0"/>
        <w:adjustRightInd/>
        <w:snapToGrid w:val="0"/>
        <w:spacing w:after="0" w:line="360" w:lineRule="auto"/>
        <w:ind w:left="357" w:hanging="357"/>
        <w:textAlignment w:val="auto"/>
        <w:outlineLvl w:val="1"/>
        <w:rPr>
          <w:rFonts w:hint="eastAsia" w:ascii="宋体" w:hAnsi="宋体" w:cs="宋体"/>
          <w:color w:val="auto"/>
          <w:sz w:val="24"/>
          <w:highlight w:val="none"/>
        </w:rPr>
      </w:pPr>
      <w:r>
        <w:rPr>
          <w:rFonts w:hint="eastAsia" w:ascii="宋体" w:hAnsi="宋体" w:cs="宋体"/>
          <w:color w:val="auto"/>
          <w:sz w:val="24"/>
          <w:highlight w:val="none"/>
        </w:rPr>
        <w:t>现场考察、开标前答疑会</w:t>
      </w:r>
    </w:p>
    <w:p w14:paraId="1125EED5">
      <w:pPr>
        <w:keepNext w:val="0"/>
        <w:keepLines w:val="0"/>
        <w:pageBreakBefore w:val="0"/>
        <w:widowControl w:val="0"/>
        <w:numPr>
          <w:ilvl w:val="1"/>
          <w:numId w:val="11"/>
        </w:numPr>
        <w:tabs>
          <w:tab w:val="left" w:pos="1080"/>
          <w:tab w:val="left" w:pos="2014"/>
        </w:tabs>
        <w:kinsoku/>
        <w:wordWrap/>
        <w:overflowPunct/>
        <w:topLinePunct w:val="0"/>
        <w:autoSpaceDE/>
        <w:autoSpaceDN/>
        <w:bidi w:val="0"/>
        <w:adjustRightInd/>
        <w:snapToGrid w:val="0"/>
        <w:spacing w:after="0" w:line="360" w:lineRule="auto"/>
        <w:ind w:left="1080" w:hanging="720"/>
        <w:textAlignment w:val="auto"/>
        <w:rPr>
          <w:rFonts w:hint="eastAsia" w:ascii="宋体" w:hAnsi="宋体" w:cs="宋体"/>
          <w:color w:val="auto"/>
          <w:sz w:val="28"/>
          <w:highlight w:val="none"/>
        </w:rPr>
      </w:pPr>
      <w:r>
        <w:rPr>
          <w:rFonts w:hint="eastAsia" w:ascii="宋体" w:hAnsi="宋体" w:cs="宋体"/>
          <w:color w:val="auto"/>
          <w:sz w:val="24"/>
          <w:highlight w:val="none"/>
        </w:rPr>
        <w:t>若《投标人须知资料表》中规定了组织现场考察、召开开标前答疑会，则投标人应按要求在规定的时间和地点参加。</w:t>
      </w:r>
      <w:bookmarkStart w:id="155" w:name="_Toc151190149"/>
      <w:bookmarkStart w:id="156" w:name="_Toc150480760"/>
      <w:bookmarkStart w:id="157" w:name="_Toc150774622"/>
      <w:bookmarkStart w:id="158" w:name="_Toc151193764"/>
      <w:bookmarkStart w:id="159" w:name="_Toc265228360"/>
      <w:bookmarkStart w:id="160" w:name="_Toc520356146"/>
      <w:bookmarkStart w:id="161" w:name="_Toc226965795"/>
      <w:bookmarkStart w:id="162" w:name="_Toc305158864"/>
      <w:bookmarkStart w:id="163" w:name="_Toc226309766"/>
      <w:bookmarkStart w:id="164" w:name="_Toc195842887"/>
      <w:bookmarkStart w:id="165" w:name="_Toc127151522"/>
      <w:bookmarkStart w:id="166" w:name="_Toc226965712"/>
      <w:bookmarkStart w:id="167" w:name="_Toc150509273"/>
      <w:bookmarkStart w:id="168" w:name="_Toc151193836"/>
      <w:bookmarkStart w:id="169" w:name="_Toc151193692"/>
      <w:bookmarkStart w:id="170" w:name="_Toc142311024"/>
      <w:bookmarkStart w:id="171" w:name="_Toc150774727"/>
      <w:bookmarkStart w:id="172" w:name="_Toc151193620"/>
      <w:bookmarkStart w:id="173" w:name="_Toc305158790"/>
      <w:bookmarkStart w:id="174" w:name="_Toc151193910"/>
      <w:bookmarkStart w:id="175" w:name="_Toc226337218"/>
      <w:bookmarkStart w:id="176" w:name="_Toc264969212"/>
    </w:p>
    <w:p w14:paraId="77482B08">
      <w:pPr>
        <w:keepNext w:val="0"/>
        <w:keepLines w:val="0"/>
        <w:pageBreakBefore w:val="0"/>
        <w:widowControl w:val="0"/>
        <w:numPr>
          <w:ilvl w:val="1"/>
          <w:numId w:val="11"/>
        </w:numPr>
        <w:tabs>
          <w:tab w:val="left" w:pos="1080"/>
          <w:tab w:val="left" w:pos="2014"/>
        </w:tabs>
        <w:kinsoku/>
        <w:wordWrap/>
        <w:overflowPunct/>
        <w:topLinePunct w:val="0"/>
        <w:autoSpaceDE/>
        <w:autoSpaceDN/>
        <w:bidi w:val="0"/>
        <w:adjustRightInd/>
        <w:snapToGrid w:val="0"/>
        <w:spacing w:after="0" w:line="360" w:lineRule="auto"/>
        <w:ind w:left="1080" w:hanging="720"/>
        <w:textAlignment w:val="auto"/>
        <w:rPr>
          <w:rFonts w:hint="eastAsia" w:ascii="宋体" w:hAnsi="宋体" w:cs="宋体"/>
          <w:color w:val="auto"/>
          <w:sz w:val="24"/>
          <w:highlight w:val="none"/>
        </w:rPr>
      </w:pPr>
      <w:r>
        <w:rPr>
          <w:rFonts w:hint="eastAsia" w:ascii="宋体" w:hAnsi="宋体" w:cs="宋体"/>
          <w:color w:val="auto"/>
          <w:sz w:val="24"/>
          <w:highlight w:val="none"/>
        </w:rPr>
        <w:t>由于未参加现场考察或开标前答疑会而导致对项目实际情况不了解，影响投标文件编制、投标报价准确性、综合因素响应不全面等问题的，由投标人自行承担不利评审后果。</w:t>
      </w:r>
    </w:p>
    <w:p w14:paraId="26A7C0F4">
      <w:pPr>
        <w:keepNext w:val="0"/>
        <w:keepLines w:val="0"/>
        <w:pageBreakBefore w:val="0"/>
        <w:widowControl w:val="0"/>
        <w:numPr>
          <w:ilvl w:val="0"/>
          <w:numId w:val="11"/>
        </w:numPr>
        <w:tabs>
          <w:tab w:val="left" w:pos="360"/>
        </w:tabs>
        <w:kinsoku/>
        <w:wordWrap/>
        <w:overflowPunct/>
        <w:topLinePunct w:val="0"/>
        <w:autoSpaceDE/>
        <w:autoSpaceDN/>
        <w:bidi w:val="0"/>
        <w:adjustRightInd/>
        <w:snapToGrid w:val="0"/>
        <w:spacing w:after="0" w:line="360" w:lineRule="auto"/>
        <w:ind w:left="357" w:hanging="357"/>
        <w:textAlignment w:val="auto"/>
        <w:outlineLvl w:val="1"/>
        <w:rPr>
          <w:rFonts w:hint="eastAsia" w:ascii="宋体" w:hAnsi="宋体" w:cs="宋体"/>
          <w:color w:val="auto"/>
          <w:sz w:val="24"/>
          <w:highlight w:val="none"/>
        </w:rPr>
      </w:pPr>
      <w:r>
        <w:rPr>
          <w:rFonts w:hint="eastAsia" w:ascii="宋体" w:hAnsi="宋体" w:cs="宋体"/>
          <w:color w:val="auto"/>
          <w:sz w:val="24"/>
          <w:highlight w:val="none"/>
        </w:rPr>
        <w:t>样品</w:t>
      </w:r>
    </w:p>
    <w:p w14:paraId="0CA20B9D">
      <w:pPr>
        <w:keepNext w:val="0"/>
        <w:keepLines w:val="0"/>
        <w:pageBreakBefore w:val="0"/>
        <w:widowControl w:val="0"/>
        <w:numPr>
          <w:ilvl w:val="1"/>
          <w:numId w:val="11"/>
        </w:numPr>
        <w:tabs>
          <w:tab w:val="left" w:pos="1080"/>
          <w:tab w:val="left" w:pos="2014"/>
        </w:tabs>
        <w:kinsoku/>
        <w:wordWrap/>
        <w:overflowPunct/>
        <w:topLinePunct w:val="0"/>
        <w:autoSpaceDE/>
        <w:autoSpaceDN/>
        <w:bidi w:val="0"/>
        <w:adjustRightInd/>
        <w:snapToGrid w:val="0"/>
        <w:spacing w:after="0" w:line="360" w:lineRule="auto"/>
        <w:ind w:left="1080" w:hanging="720"/>
        <w:textAlignment w:val="auto"/>
        <w:rPr>
          <w:rFonts w:hint="eastAsia" w:ascii="宋体" w:hAnsi="宋体" w:cs="宋体"/>
          <w:color w:val="auto"/>
          <w:sz w:val="24"/>
          <w:highlight w:val="none"/>
        </w:rPr>
      </w:pPr>
      <w:r>
        <w:rPr>
          <w:rFonts w:hint="eastAsia" w:ascii="宋体" w:hAnsi="宋体" w:cs="宋体"/>
          <w:color w:val="auto"/>
          <w:sz w:val="24"/>
          <w:highlight w:val="none"/>
        </w:rPr>
        <w:t>本项目是否要求投标人提供样品，以及样品制作的标准和要求、是否需要随样品提交相关检测报告、样品的递交与退还等要求见《投标人须知资料表》。</w:t>
      </w:r>
    </w:p>
    <w:p w14:paraId="3FA437A3">
      <w:pPr>
        <w:keepNext w:val="0"/>
        <w:keepLines w:val="0"/>
        <w:pageBreakBefore w:val="0"/>
        <w:widowControl w:val="0"/>
        <w:numPr>
          <w:ilvl w:val="1"/>
          <w:numId w:val="11"/>
        </w:numPr>
        <w:tabs>
          <w:tab w:val="left" w:pos="1080"/>
          <w:tab w:val="left" w:pos="2014"/>
        </w:tabs>
        <w:kinsoku/>
        <w:wordWrap/>
        <w:overflowPunct/>
        <w:topLinePunct w:val="0"/>
        <w:autoSpaceDE/>
        <w:autoSpaceDN/>
        <w:bidi w:val="0"/>
        <w:adjustRightInd/>
        <w:snapToGrid w:val="0"/>
        <w:spacing w:after="0" w:line="360" w:lineRule="auto"/>
        <w:ind w:left="1080" w:hanging="720"/>
        <w:textAlignment w:val="auto"/>
        <w:rPr>
          <w:rFonts w:hint="eastAsia" w:ascii="宋体" w:hAnsi="宋体" w:cs="宋体"/>
          <w:color w:val="auto"/>
          <w:sz w:val="24"/>
          <w:highlight w:val="none"/>
        </w:rPr>
      </w:pPr>
      <w:r>
        <w:rPr>
          <w:rFonts w:hint="eastAsia" w:ascii="宋体" w:hAnsi="宋体" w:cs="宋体"/>
          <w:color w:val="auto"/>
          <w:sz w:val="24"/>
          <w:highlight w:val="none"/>
        </w:rPr>
        <w:t>样品的评审方法以及评审标准等内容见第四章《评标方法和评标标准》。</w:t>
      </w:r>
    </w:p>
    <w:p w14:paraId="19F74B7F">
      <w:pPr>
        <w:keepNext w:val="0"/>
        <w:keepLines w:val="0"/>
        <w:pageBreakBefore w:val="0"/>
        <w:widowControl w:val="0"/>
        <w:numPr>
          <w:ilvl w:val="0"/>
          <w:numId w:val="11"/>
        </w:numPr>
        <w:tabs>
          <w:tab w:val="left" w:pos="360"/>
          <w:tab w:val="clear" w:pos="900"/>
        </w:tabs>
        <w:kinsoku/>
        <w:wordWrap/>
        <w:overflowPunct/>
        <w:topLinePunct w:val="0"/>
        <w:autoSpaceDE/>
        <w:autoSpaceDN/>
        <w:bidi w:val="0"/>
        <w:adjustRightInd/>
        <w:snapToGrid w:val="0"/>
        <w:spacing w:after="0" w:line="360" w:lineRule="auto"/>
        <w:ind w:left="357" w:hanging="357"/>
        <w:textAlignment w:val="auto"/>
        <w:outlineLvl w:val="1"/>
        <w:rPr>
          <w:rFonts w:hint="eastAsia" w:ascii="宋体" w:hAnsi="宋体" w:cs="宋体"/>
          <w:color w:val="auto"/>
          <w:sz w:val="24"/>
          <w:highlight w:val="none"/>
        </w:rPr>
      </w:pPr>
      <w:r>
        <w:rPr>
          <w:rFonts w:hint="eastAsia" w:ascii="宋体" w:hAnsi="宋体" w:cs="宋体"/>
          <w:color w:val="auto"/>
          <w:sz w:val="24"/>
          <w:highlight w:val="none"/>
        </w:rPr>
        <w:t>政府采购政策（包括但不限于下列具体政策要求）</w:t>
      </w:r>
    </w:p>
    <w:p w14:paraId="3F181477">
      <w:pPr>
        <w:keepNext w:val="0"/>
        <w:keepLines w:val="0"/>
        <w:pageBreakBefore w:val="0"/>
        <w:widowControl w:val="0"/>
        <w:numPr>
          <w:ilvl w:val="1"/>
          <w:numId w:val="11"/>
        </w:numPr>
        <w:tabs>
          <w:tab w:val="left" w:pos="1080"/>
          <w:tab w:val="left" w:pos="2014"/>
        </w:tabs>
        <w:kinsoku/>
        <w:wordWrap/>
        <w:overflowPunct/>
        <w:topLinePunct w:val="0"/>
        <w:autoSpaceDE/>
        <w:autoSpaceDN/>
        <w:bidi w:val="0"/>
        <w:adjustRightInd/>
        <w:snapToGrid w:val="0"/>
        <w:spacing w:after="0" w:line="360" w:lineRule="auto"/>
        <w:ind w:left="1080" w:hanging="720"/>
        <w:textAlignment w:val="auto"/>
        <w:rPr>
          <w:rFonts w:hint="eastAsia" w:ascii="宋体" w:hAnsi="宋体" w:cs="宋体"/>
          <w:color w:val="auto"/>
          <w:sz w:val="24"/>
          <w:highlight w:val="none"/>
        </w:rPr>
      </w:pPr>
      <w:r>
        <w:rPr>
          <w:rFonts w:hint="eastAsia" w:ascii="宋体" w:hAnsi="宋体" w:cs="宋体"/>
          <w:color w:val="auto"/>
          <w:spacing w:val="4"/>
          <w:sz w:val="24"/>
          <w:highlight w:val="none"/>
        </w:rPr>
        <w:t>采购本国货物、工程和服务</w:t>
      </w:r>
    </w:p>
    <w:p w14:paraId="19D5DE18">
      <w:pPr>
        <w:keepNext w:val="0"/>
        <w:keepLines w:val="0"/>
        <w:pageBreakBefore w:val="0"/>
        <w:widowControl w:val="0"/>
        <w:numPr>
          <w:ilvl w:val="2"/>
          <w:numId w:val="11"/>
        </w:numPr>
        <w:tabs>
          <w:tab w:val="left" w:pos="2014"/>
        </w:tabs>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pacing w:val="4"/>
          <w:sz w:val="24"/>
          <w:highlight w:val="none"/>
        </w:rPr>
        <w:t>政府采购应当采购本国货物、工程和服务。但有《中华人民共和国政府采购法》第十条规定情形的除外</w:t>
      </w:r>
      <w:r>
        <w:rPr>
          <w:rFonts w:hint="eastAsia" w:ascii="宋体" w:hAnsi="宋体" w:cs="宋体"/>
          <w:color w:val="auto"/>
          <w:sz w:val="24"/>
          <w:highlight w:val="none"/>
        </w:rPr>
        <w:t>。</w:t>
      </w:r>
    </w:p>
    <w:p w14:paraId="3CB5EF6C">
      <w:pPr>
        <w:keepNext w:val="0"/>
        <w:keepLines w:val="0"/>
        <w:pageBreakBefore w:val="0"/>
        <w:widowControl w:val="0"/>
        <w:numPr>
          <w:ilvl w:val="2"/>
          <w:numId w:val="11"/>
        </w:numPr>
        <w:tabs>
          <w:tab w:val="left" w:pos="2014"/>
        </w:tabs>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pacing w:val="4"/>
          <w:sz w:val="24"/>
          <w:highlight w:val="none"/>
        </w:rPr>
        <w:t>本项目如接受非本国货物、工程、服务参与投标，则具体要求见第五章《采购需求》。</w:t>
      </w:r>
    </w:p>
    <w:p w14:paraId="2AAEDE9F">
      <w:pPr>
        <w:keepNext w:val="0"/>
        <w:keepLines w:val="0"/>
        <w:pageBreakBefore w:val="0"/>
        <w:widowControl w:val="0"/>
        <w:numPr>
          <w:ilvl w:val="2"/>
          <w:numId w:val="11"/>
        </w:numPr>
        <w:tabs>
          <w:tab w:val="left" w:pos="2014"/>
        </w:tabs>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pacing w:val="4"/>
          <w:sz w:val="24"/>
          <w:highlight w:val="none"/>
        </w:rPr>
        <w:t>进口产品指通过中国海关报关验放进入中国境内且产自关境外的产品，包括已经进入中国境内的进口产品。关于进口产品的相关规定依据《政府采购进口产品管理办法》（财库〔2007〕119 号文）、《关于政府采购进口产品管理有关问题的通知》（财办库〔2008〕248号文）</w:t>
      </w:r>
      <w:r>
        <w:rPr>
          <w:rFonts w:hint="eastAsia" w:ascii="宋体" w:hAnsi="宋体" w:cs="宋体"/>
          <w:color w:val="auto"/>
          <w:sz w:val="24"/>
          <w:highlight w:val="none"/>
        </w:rPr>
        <w:t>。</w:t>
      </w:r>
    </w:p>
    <w:p w14:paraId="119F522E">
      <w:pPr>
        <w:keepNext w:val="0"/>
        <w:keepLines w:val="0"/>
        <w:pageBreakBefore w:val="0"/>
        <w:widowControl w:val="0"/>
        <w:numPr>
          <w:ilvl w:val="1"/>
          <w:numId w:val="11"/>
        </w:numPr>
        <w:tabs>
          <w:tab w:val="left" w:pos="1080"/>
          <w:tab w:val="left" w:pos="2014"/>
        </w:tabs>
        <w:kinsoku/>
        <w:wordWrap/>
        <w:overflowPunct/>
        <w:topLinePunct w:val="0"/>
        <w:autoSpaceDE/>
        <w:autoSpaceDN/>
        <w:bidi w:val="0"/>
        <w:adjustRightInd/>
        <w:snapToGrid w:val="0"/>
        <w:spacing w:after="0" w:line="360" w:lineRule="auto"/>
        <w:ind w:left="1080" w:hanging="720"/>
        <w:textAlignment w:val="auto"/>
        <w:rPr>
          <w:rFonts w:hint="eastAsia" w:ascii="宋体" w:hAnsi="宋体" w:cs="宋体"/>
          <w:color w:val="auto"/>
          <w:sz w:val="24"/>
          <w:highlight w:val="none"/>
        </w:rPr>
      </w:pPr>
      <w:r>
        <w:rPr>
          <w:rFonts w:hint="eastAsia" w:ascii="宋体" w:hAnsi="宋体" w:cs="宋体"/>
          <w:color w:val="auto"/>
          <w:sz w:val="24"/>
          <w:highlight w:val="none"/>
        </w:rPr>
        <w:t>中小企业、监狱企业及残疾人福利性单位</w:t>
      </w:r>
    </w:p>
    <w:p w14:paraId="28206F13">
      <w:pPr>
        <w:keepNext w:val="0"/>
        <w:keepLines w:val="0"/>
        <w:pageBreakBefore w:val="0"/>
        <w:widowControl w:val="0"/>
        <w:numPr>
          <w:ilvl w:val="2"/>
          <w:numId w:val="11"/>
        </w:numPr>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中小企业定义：</w:t>
      </w:r>
    </w:p>
    <w:p w14:paraId="7F5206DD">
      <w:pPr>
        <w:pStyle w:val="110"/>
        <w:keepNext w:val="0"/>
        <w:keepLines w:val="0"/>
        <w:pageBreakBefore w:val="0"/>
        <w:widowControl w:val="0"/>
        <w:numPr>
          <w:ilvl w:val="0"/>
          <w:numId w:val="12"/>
        </w:numPr>
        <w:tabs>
          <w:tab w:val="left" w:pos="1980"/>
          <w:tab w:val="left" w:pos="2035"/>
          <w:tab w:val="left" w:pos="2977"/>
        </w:tabs>
        <w:kinsoku/>
        <w:wordWrap/>
        <w:overflowPunct/>
        <w:topLinePunct w:val="0"/>
        <w:autoSpaceDE/>
        <w:autoSpaceDN/>
        <w:bidi w:val="0"/>
        <w:adjustRightInd/>
        <w:snapToGrid w:val="0"/>
        <w:spacing w:after="0" w:line="360" w:lineRule="auto"/>
        <w:ind w:firstLineChars="0"/>
        <w:textAlignment w:val="auto"/>
        <w:rPr>
          <w:rFonts w:hint="eastAsia" w:ascii="宋体" w:hAnsi="宋体" w:cs="宋体"/>
          <w:vanish/>
          <w:color w:val="auto"/>
          <w:sz w:val="24"/>
          <w:szCs w:val="24"/>
          <w:highlight w:val="none"/>
        </w:rPr>
      </w:pPr>
    </w:p>
    <w:p w14:paraId="08DE39C2">
      <w:pPr>
        <w:pStyle w:val="110"/>
        <w:keepNext w:val="0"/>
        <w:keepLines w:val="0"/>
        <w:pageBreakBefore w:val="0"/>
        <w:widowControl w:val="0"/>
        <w:numPr>
          <w:ilvl w:val="0"/>
          <w:numId w:val="12"/>
        </w:numPr>
        <w:tabs>
          <w:tab w:val="left" w:pos="1980"/>
          <w:tab w:val="left" w:pos="2035"/>
          <w:tab w:val="left" w:pos="2977"/>
        </w:tabs>
        <w:kinsoku/>
        <w:wordWrap/>
        <w:overflowPunct/>
        <w:topLinePunct w:val="0"/>
        <w:autoSpaceDE/>
        <w:autoSpaceDN/>
        <w:bidi w:val="0"/>
        <w:adjustRightInd/>
        <w:snapToGrid w:val="0"/>
        <w:spacing w:after="0" w:line="360" w:lineRule="auto"/>
        <w:ind w:firstLineChars="0"/>
        <w:textAlignment w:val="auto"/>
        <w:rPr>
          <w:rFonts w:hint="eastAsia" w:ascii="宋体" w:hAnsi="宋体" w:cs="宋体"/>
          <w:vanish/>
          <w:color w:val="auto"/>
          <w:sz w:val="24"/>
          <w:szCs w:val="24"/>
          <w:highlight w:val="none"/>
        </w:rPr>
      </w:pPr>
    </w:p>
    <w:p w14:paraId="505A897D">
      <w:pPr>
        <w:pStyle w:val="110"/>
        <w:keepNext w:val="0"/>
        <w:keepLines w:val="0"/>
        <w:pageBreakBefore w:val="0"/>
        <w:widowControl w:val="0"/>
        <w:numPr>
          <w:ilvl w:val="0"/>
          <w:numId w:val="12"/>
        </w:numPr>
        <w:tabs>
          <w:tab w:val="left" w:pos="1980"/>
          <w:tab w:val="left" w:pos="2035"/>
          <w:tab w:val="left" w:pos="2977"/>
        </w:tabs>
        <w:kinsoku/>
        <w:wordWrap/>
        <w:overflowPunct/>
        <w:topLinePunct w:val="0"/>
        <w:autoSpaceDE/>
        <w:autoSpaceDN/>
        <w:bidi w:val="0"/>
        <w:adjustRightInd/>
        <w:snapToGrid w:val="0"/>
        <w:spacing w:after="0" w:line="360" w:lineRule="auto"/>
        <w:ind w:firstLineChars="0"/>
        <w:textAlignment w:val="auto"/>
        <w:rPr>
          <w:rFonts w:hint="eastAsia" w:ascii="宋体" w:hAnsi="宋体" w:cs="宋体"/>
          <w:vanish/>
          <w:color w:val="auto"/>
          <w:sz w:val="24"/>
          <w:szCs w:val="24"/>
          <w:highlight w:val="none"/>
        </w:rPr>
      </w:pPr>
    </w:p>
    <w:p w14:paraId="3C595B39">
      <w:pPr>
        <w:pStyle w:val="110"/>
        <w:keepNext w:val="0"/>
        <w:keepLines w:val="0"/>
        <w:pageBreakBefore w:val="0"/>
        <w:widowControl w:val="0"/>
        <w:numPr>
          <w:ilvl w:val="0"/>
          <w:numId w:val="12"/>
        </w:numPr>
        <w:tabs>
          <w:tab w:val="left" w:pos="1980"/>
          <w:tab w:val="left" w:pos="2035"/>
          <w:tab w:val="left" w:pos="2977"/>
        </w:tabs>
        <w:kinsoku/>
        <w:wordWrap/>
        <w:overflowPunct/>
        <w:topLinePunct w:val="0"/>
        <w:autoSpaceDE/>
        <w:autoSpaceDN/>
        <w:bidi w:val="0"/>
        <w:adjustRightInd/>
        <w:snapToGrid w:val="0"/>
        <w:spacing w:after="0" w:line="360" w:lineRule="auto"/>
        <w:ind w:firstLineChars="0"/>
        <w:textAlignment w:val="auto"/>
        <w:rPr>
          <w:rFonts w:hint="eastAsia" w:ascii="宋体" w:hAnsi="宋体" w:cs="宋体"/>
          <w:vanish/>
          <w:color w:val="auto"/>
          <w:sz w:val="24"/>
          <w:szCs w:val="24"/>
          <w:highlight w:val="none"/>
        </w:rPr>
      </w:pPr>
    </w:p>
    <w:p w14:paraId="4B0D793E">
      <w:pPr>
        <w:pStyle w:val="110"/>
        <w:keepNext w:val="0"/>
        <w:keepLines w:val="0"/>
        <w:pageBreakBefore w:val="0"/>
        <w:widowControl w:val="0"/>
        <w:numPr>
          <w:ilvl w:val="0"/>
          <w:numId w:val="12"/>
        </w:numPr>
        <w:tabs>
          <w:tab w:val="left" w:pos="1980"/>
          <w:tab w:val="left" w:pos="2035"/>
          <w:tab w:val="left" w:pos="2977"/>
        </w:tabs>
        <w:kinsoku/>
        <w:wordWrap/>
        <w:overflowPunct/>
        <w:topLinePunct w:val="0"/>
        <w:autoSpaceDE/>
        <w:autoSpaceDN/>
        <w:bidi w:val="0"/>
        <w:adjustRightInd/>
        <w:snapToGrid w:val="0"/>
        <w:spacing w:after="0" w:line="360" w:lineRule="auto"/>
        <w:ind w:firstLineChars="0"/>
        <w:textAlignment w:val="auto"/>
        <w:rPr>
          <w:rFonts w:hint="eastAsia" w:ascii="宋体" w:hAnsi="宋体" w:cs="宋体"/>
          <w:vanish/>
          <w:color w:val="auto"/>
          <w:sz w:val="24"/>
          <w:szCs w:val="24"/>
          <w:highlight w:val="none"/>
        </w:rPr>
      </w:pPr>
    </w:p>
    <w:p w14:paraId="5EF109B3">
      <w:pPr>
        <w:pStyle w:val="110"/>
        <w:keepNext w:val="0"/>
        <w:keepLines w:val="0"/>
        <w:pageBreakBefore w:val="0"/>
        <w:widowControl w:val="0"/>
        <w:numPr>
          <w:ilvl w:val="1"/>
          <w:numId w:val="12"/>
        </w:numPr>
        <w:tabs>
          <w:tab w:val="left" w:pos="1980"/>
          <w:tab w:val="left" w:pos="2035"/>
          <w:tab w:val="left" w:pos="2977"/>
        </w:tabs>
        <w:kinsoku/>
        <w:wordWrap/>
        <w:overflowPunct/>
        <w:topLinePunct w:val="0"/>
        <w:autoSpaceDE/>
        <w:autoSpaceDN/>
        <w:bidi w:val="0"/>
        <w:adjustRightInd/>
        <w:snapToGrid w:val="0"/>
        <w:spacing w:after="0" w:line="360" w:lineRule="auto"/>
        <w:ind w:firstLineChars="0"/>
        <w:textAlignment w:val="auto"/>
        <w:rPr>
          <w:rFonts w:hint="eastAsia" w:ascii="宋体" w:hAnsi="宋体" w:cs="宋体"/>
          <w:vanish/>
          <w:color w:val="auto"/>
          <w:sz w:val="24"/>
          <w:szCs w:val="24"/>
          <w:highlight w:val="none"/>
        </w:rPr>
      </w:pPr>
    </w:p>
    <w:p w14:paraId="600E117C">
      <w:pPr>
        <w:pStyle w:val="110"/>
        <w:keepNext w:val="0"/>
        <w:keepLines w:val="0"/>
        <w:pageBreakBefore w:val="0"/>
        <w:widowControl w:val="0"/>
        <w:numPr>
          <w:ilvl w:val="1"/>
          <w:numId w:val="12"/>
        </w:numPr>
        <w:tabs>
          <w:tab w:val="left" w:pos="1980"/>
          <w:tab w:val="left" w:pos="2035"/>
          <w:tab w:val="left" w:pos="2977"/>
        </w:tabs>
        <w:kinsoku/>
        <w:wordWrap/>
        <w:overflowPunct/>
        <w:topLinePunct w:val="0"/>
        <w:autoSpaceDE/>
        <w:autoSpaceDN/>
        <w:bidi w:val="0"/>
        <w:adjustRightInd/>
        <w:snapToGrid w:val="0"/>
        <w:spacing w:after="0" w:line="360" w:lineRule="auto"/>
        <w:ind w:firstLineChars="0"/>
        <w:textAlignment w:val="auto"/>
        <w:rPr>
          <w:rFonts w:hint="eastAsia" w:ascii="宋体" w:hAnsi="宋体" w:cs="宋体"/>
          <w:vanish/>
          <w:color w:val="auto"/>
          <w:sz w:val="24"/>
          <w:szCs w:val="24"/>
          <w:highlight w:val="none"/>
        </w:rPr>
      </w:pPr>
    </w:p>
    <w:p w14:paraId="16C1ACBF">
      <w:pPr>
        <w:pStyle w:val="110"/>
        <w:keepNext w:val="0"/>
        <w:keepLines w:val="0"/>
        <w:pageBreakBefore w:val="0"/>
        <w:widowControl w:val="0"/>
        <w:numPr>
          <w:ilvl w:val="2"/>
          <w:numId w:val="12"/>
        </w:numPr>
        <w:tabs>
          <w:tab w:val="left" w:pos="2035"/>
          <w:tab w:val="left" w:pos="2977"/>
        </w:tabs>
        <w:kinsoku/>
        <w:wordWrap/>
        <w:overflowPunct/>
        <w:topLinePunct w:val="0"/>
        <w:autoSpaceDE/>
        <w:autoSpaceDN/>
        <w:bidi w:val="0"/>
        <w:adjustRightInd/>
        <w:snapToGrid w:val="0"/>
        <w:spacing w:after="0" w:line="360" w:lineRule="auto"/>
        <w:ind w:firstLineChars="0"/>
        <w:textAlignment w:val="auto"/>
        <w:rPr>
          <w:rFonts w:hint="eastAsia" w:ascii="宋体" w:hAnsi="宋体" w:cs="宋体"/>
          <w:vanish/>
          <w:color w:val="auto"/>
          <w:sz w:val="24"/>
          <w:szCs w:val="24"/>
          <w:highlight w:val="none"/>
        </w:rPr>
      </w:pPr>
    </w:p>
    <w:p w14:paraId="1F0CE80A">
      <w:pPr>
        <w:keepNext w:val="0"/>
        <w:keepLines w:val="0"/>
        <w:pageBreakBefore w:val="0"/>
        <w:widowControl w:val="0"/>
        <w:numPr>
          <w:ilvl w:val="3"/>
          <w:numId w:val="12"/>
        </w:numPr>
        <w:tabs>
          <w:tab w:val="left" w:pos="1980"/>
          <w:tab w:val="left" w:pos="2035"/>
          <w:tab w:val="left" w:pos="2885"/>
          <w:tab w:val="left" w:pos="2977"/>
          <w:tab w:val="clear" w:pos="900"/>
        </w:tabs>
        <w:kinsoku/>
        <w:wordWrap/>
        <w:overflowPunct/>
        <w:topLinePunct w:val="0"/>
        <w:autoSpaceDE/>
        <w:autoSpaceDN/>
        <w:bidi w:val="0"/>
        <w:adjustRightInd/>
        <w:snapToGrid w:val="0"/>
        <w:spacing w:after="0" w:line="360" w:lineRule="auto"/>
        <w:ind w:left="2885"/>
        <w:textAlignment w:val="auto"/>
        <w:rPr>
          <w:rFonts w:hint="eastAsia" w:ascii="宋体" w:hAnsi="宋体" w:cs="宋体"/>
          <w:color w:val="auto"/>
          <w:sz w:val="24"/>
          <w:highlight w:val="none"/>
        </w:rPr>
      </w:pPr>
      <w:r>
        <w:rPr>
          <w:rFonts w:hint="eastAsia" w:ascii="宋体" w:hAnsi="宋体" w:cs="宋体"/>
          <w:color w:val="auto"/>
          <w:spacing w:val="4"/>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2022〕19号）、《政府采购促进中小企业发展管理办法》（财库〔2020〕46号）、《关于印发中小企业划型标准规定的通知》（工信部联企业〔2011〕300号）、《金融业企业划型标准规定》（〔2015〕309号）等国务院批准的中小企业划分标准执行</w:t>
      </w:r>
      <w:r>
        <w:rPr>
          <w:rFonts w:hint="eastAsia" w:ascii="宋体" w:hAnsi="宋体" w:cs="宋体"/>
          <w:color w:val="auto"/>
          <w:sz w:val="24"/>
          <w:highlight w:val="none"/>
        </w:rPr>
        <w:t>。</w:t>
      </w:r>
    </w:p>
    <w:p w14:paraId="4D2E9A81">
      <w:pPr>
        <w:keepNext w:val="0"/>
        <w:keepLines w:val="0"/>
        <w:pageBreakBefore w:val="0"/>
        <w:widowControl w:val="0"/>
        <w:numPr>
          <w:ilvl w:val="3"/>
          <w:numId w:val="12"/>
        </w:numPr>
        <w:tabs>
          <w:tab w:val="left" w:pos="1980"/>
          <w:tab w:val="left" w:pos="2035"/>
          <w:tab w:val="left" w:pos="2885"/>
          <w:tab w:val="left" w:pos="2977"/>
          <w:tab w:val="clear" w:pos="900"/>
        </w:tabs>
        <w:kinsoku/>
        <w:wordWrap/>
        <w:overflowPunct/>
        <w:topLinePunct w:val="0"/>
        <w:autoSpaceDE/>
        <w:autoSpaceDN/>
        <w:bidi w:val="0"/>
        <w:adjustRightInd/>
        <w:snapToGrid w:val="0"/>
        <w:spacing w:after="0" w:line="360" w:lineRule="auto"/>
        <w:ind w:left="2885"/>
        <w:textAlignment w:val="auto"/>
        <w:rPr>
          <w:rFonts w:hint="eastAsia" w:ascii="宋体" w:hAnsi="宋体" w:cs="宋体"/>
          <w:color w:val="auto"/>
          <w:sz w:val="24"/>
          <w:highlight w:val="none"/>
        </w:rPr>
      </w:pPr>
      <w:r>
        <w:rPr>
          <w:rFonts w:hint="eastAsia" w:ascii="宋体" w:hAnsi="宋体" w:cs="宋体"/>
          <w:color w:val="auto"/>
          <w:sz w:val="24"/>
          <w:highlight w:val="none"/>
        </w:rPr>
        <w:t>供应商提供的货物、工程或者服务符合下列情形的，享受中小企业扶持政策：</w:t>
      </w:r>
    </w:p>
    <w:p w14:paraId="0FEA1CA9">
      <w:pPr>
        <w:keepNext w:val="0"/>
        <w:keepLines w:val="0"/>
        <w:pageBreakBefore w:val="0"/>
        <w:widowControl w:val="0"/>
        <w:tabs>
          <w:tab w:val="left" w:pos="1980"/>
        </w:tabs>
        <w:kinsoku/>
        <w:wordWrap/>
        <w:overflowPunct/>
        <w:topLinePunct w:val="0"/>
        <w:autoSpaceDE/>
        <w:autoSpaceDN/>
        <w:bidi w:val="0"/>
        <w:adjustRightInd/>
        <w:snapToGrid w:val="0"/>
        <w:spacing w:after="0" w:line="360" w:lineRule="auto"/>
        <w:ind w:left="2835" w:leftChars="1350"/>
        <w:textAlignment w:val="auto"/>
        <w:rPr>
          <w:rFonts w:hint="eastAsia" w:ascii="宋体" w:hAnsi="宋体" w:cs="宋体"/>
          <w:color w:val="auto"/>
          <w:sz w:val="24"/>
          <w:highlight w:val="none"/>
        </w:rPr>
      </w:pPr>
      <w:r>
        <w:rPr>
          <w:rFonts w:hint="eastAsia" w:ascii="宋体" w:hAnsi="宋体" w:cs="宋体"/>
          <w:color w:val="auto"/>
          <w:sz w:val="24"/>
          <w:highlight w:val="none"/>
        </w:rPr>
        <w:t>（1）在货物采购项目中，货物由中小企业制造，即货物由中小企业生产且使用该中小企业商号或者注册商标；</w:t>
      </w:r>
    </w:p>
    <w:p w14:paraId="235A320C">
      <w:pPr>
        <w:keepNext w:val="0"/>
        <w:keepLines w:val="0"/>
        <w:pageBreakBefore w:val="0"/>
        <w:widowControl w:val="0"/>
        <w:tabs>
          <w:tab w:val="left" w:pos="1980"/>
        </w:tabs>
        <w:kinsoku/>
        <w:wordWrap/>
        <w:overflowPunct/>
        <w:topLinePunct w:val="0"/>
        <w:autoSpaceDE/>
        <w:autoSpaceDN/>
        <w:bidi w:val="0"/>
        <w:adjustRightInd/>
        <w:snapToGrid w:val="0"/>
        <w:spacing w:after="0" w:line="360" w:lineRule="auto"/>
        <w:ind w:left="2835" w:leftChars="1350"/>
        <w:textAlignment w:val="auto"/>
        <w:rPr>
          <w:rFonts w:hint="eastAsia" w:ascii="宋体" w:hAnsi="宋体" w:cs="宋体"/>
          <w:color w:val="auto"/>
          <w:sz w:val="24"/>
          <w:highlight w:val="none"/>
        </w:rPr>
      </w:pPr>
      <w:r>
        <w:rPr>
          <w:rFonts w:hint="eastAsia" w:ascii="宋体" w:hAnsi="宋体" w:cs="宋体"/>
          <w:color w:val="auto"/>
          <w:sz w:val="24"/>
          <w:highlight w:val="none"/>
        </w:rPr>
        <w:t>（2）在工程采购项目中，工程由中小企业承建，即工程施工单位为中小企业；</w:t>
      </w:r>
    </w:p>
    <w:p w14:paraId="563EC81B">
      <w:pPr>
        <w:keepNext w:val="0"/>
        <w:keepLines w:val="0"/>
        <w:pageBreakBefore w:val="0"/>
        <w:widowControl w:val="0"/>
        <w:tabs>
          <w:tab w:val="left" w:pos="1980"/>
        </w:tabs>
        <w:kinsoku/>
        <w:wordWrap/>
        <w:overflowPunct/>
        <w:topLinePunct w:val="0"/>
        <w:autoSpaceDE/>
        <w:autoSpaceDN/>
        <w:bidi w:val="0"/>
        <w:adjustRightInd/>
        <w:snapToGrid w:val="0"/>
        <w:spacing w:after="0" w:line="360" w:lineRule="auto"/>
        <w:ind w:left="2835" w:leftChars="1350"/>
        <w:textAlignment w:val="auto"/>
        <w:rPr>
          <w:rFonts w:hint="eastAsia" w:ascii="宋体" w:hAnsi="宋体" w:cs="宋体"/>
          <w:color w:val="auto"/>
          <w:sz w:val="24"/>
          <w:highlight w:val="none"/>
        </w:rPr>
      </w:pPr>
      <w:r>
        <w:rPr>
          <w:rFonts w:hint="eastAsia" w:ascii="宋体" w:hAnsi="宋体" w:cs="宋体"/>
          <w:color w:val="auto"/>
          <w:sz w:val="24"/>
          <w:highlight w:val="none"/>
        </w:rPr>
        <w:t>（3）在服务采购项目中，服务由中小企业承接，即提供服务的人员为中小企业依照《中华人民共和国劳动合同法》订立劳动合同的从业人员。</w:t>
      </w:r>
    </w:p>
    <w:p w14:paraId="418F942B">
      <w:pPr>
        <w:keepNext w:val="0"/>
        <w:keepLines w:val="0"/>
        <w:pageBreakBefore w:val="0"/>
        <w:widowControl w:val="0"/>
        <w:numPr>
          <w:ilvl w:val="3"/>
          <w:numId w:val="12"/>
        </w:numPr>
        <w:tabs>
          <w:tab w:val="left" w:pos="1980"/>
          <w:tab w:val="left" w:pos="2035"/>
          <w:tab w:val="left" w:pos="2885"/>
          <w:tab w:val="left" w:pos="2977"/>
          <w:tab w:val="clear" w:pos="900"/>
        </w:tabs>
        <w:kinsoku/>
        <w:wordWrap/>
        <w:overflowPunct/>
        <w:topLinePunct w:val="0"/>
        <w:autoSpaceDE/>
        <w:autoSpaceDN/>
        <w:bidi w:val="0"/>
        <w:adjustRightInd/>
        <w:snapToGrid w:val="0"/>
        <w:spacing w:after="0" w:line="360" w:lineRule="auto"/>
        <w:ind w:left="2885"/>
        <w:textAlignment w:val="auto"/>
        <w:rPr>
          <w:rFonts w:hint="eastAsia" w:ascii="宋体" w:hAnsi="宋体" w:cs="宋体"/>
          <w:color w:val="auto"/>
          <w:sz w:val="24"/>
          <w:highlight w:val="none"/>
        </w:rPr>
      </w:pPr>
      <w:r>
        <w:rPr>
          <w:rFonts w:hint="eastAsia" w:ascii="宋体" w:hAnsi="宋体" w:cs="宋体"/>
          <w:color w:val="auto"/>
          <w:sz w:val="24"/>
          <w:highlight w:val="none"/>
        </w:rPr>
        <w:t>在货物采购项目中，供应商提供的货物既有中小企业制造货物，也有大型企业制造货物的，不享受中小企业扶持政策。</w:t>
      </w:r>
    </w:p>
    <w:p w14:paraId="3C33FFBA">
      <w:pPr>
        <w:keepNext w:val="0"/>
        <w:keepLines w:val="0"/>
        <w:pageBreakBefore w:val="0"/>
        <w:widowControl w:val="0"/>
        <w:numPr>
          <w:ilvl w:val="3"/>
          <w:numId w:val="12"/>
        </w:numPr>
        <w:tabs>
          <w:tab w:val="left" w:pos="1980"/>
          <w:tab w:val="left" w:pos="2035"/>
          <w:tab w:val="left" w:pos="2885"/>
          <w:tab w:val="left" w:pos="2977"/>
          <w:tab w:val="clear" w:pos="900"/>
        </w:tabs>
        <w:kinsoku/>
        <w:wordWrap/>
        <w:overflowPunct/>
        <w:topLinePunct w:val="0"/>
        <w:autoSpaceDE/>
        <w:autoSpaceDN/>
        <w:bidi w:val="0"/>
        <w:adjustRightInd/>
        <w:snapToGrid w:val="0"/>
        <w:spacing w:after="0" w:line="360" w:lineRule="auto"/>
        <w:ind w:left="2885"/>
        <w:textAlignment w:val="auto"/>
        <w:rPr>
          <w:rFonts w:hint="eastAsia" w:ascii="宋体" w:hAnsi="宋体" w:cs="宋体"/>
          <w:color w:val="auto"/>
          <w:sz w:val="24"/>
          <w:highlight w:val="none"/>
        </w:rPr>
      </w:pPr>
      <w:r>
        <w:rPr>
          <w:rFonts w:hint="eastAsia" w:ascii="宋体" w:hAnsi="宋体" w:cs="宋体"/>
          <w:color w:val="auto"/>
          <w:sz w:val="24"/>
          <w:highlight w:val="none"/>
        </w:rPr>
        <w:t>以联合体形式参加政府采购活动，联合体各方均为中小企业的，联合体视同中小企业。其中，联合体各方均为小微企业的，联合体视同小微企业。</w:t>
      </w:r>
    </w:p>
    <w:p w14:paraId="31E64EB3">
      <w:pPr>
        <w:keepNext w:val="0"/>
        <w:keepLines w:val="0"/>
        <w:pageBreakBefore w:val="0"/>
        <w:widowControl w:val="0"/>
        <w:numPr>
          <w:ilvl w:val="2"/>
          <w:numId w:val="11"/>
        </w:numPr>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pacing w:val="4"/>
          <w:sz w:val="24"/>
          <w:highlight w:val="none"/>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hint="eastAsia" w:ascii="宋体" w:hAnsi="宋体" w:cs="宋体"/>
          <w:color w:val="auto"/>
          <w:sz w:val="24"/>
          <w:highlight w:val="none"/>
        </w:rPr>
        <w:t>。</w:t>
      </w:r>
    </w:p>
    <w:p w14:paraId="6B65F17B">
      <w:pPr>
        <w:keepNext w:val="0"/>
        <w:keepLines w:val="0"/>
        <w:pageBreakBefore w:val="0"/>
        <w:widowControl w:val="0"/>
        <w:numPr>
          <w:ilvl w:val="2"/>
          <w:numId w:val="11"/>
        </w:numPr>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pacing w:val="4"/>
          <w:sz w:val="24"/>
          <w:highlight w:val="none"/>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r>
        <w:rPr>
          <w:rFonts w:hint="eastAsia" w:ascii="宋体" w:hAnsi="宋体" w:cs="宋体"/>
          <w:color w:val="auto"/>
          <w:sz w:val="24"/>
          <w:highlight w:val="none"/>
        </w:rPr>
        <w:t>：</w:t>
      </w:r>
    </w:p>
    <w:p w14:paraId="40EDEE53">
      <w:pPr>
        <w:pStyle w:val="110"/>
        <w:keepNext w:val="0"/>
        <w:keepLines w:val="0"/>
        <w:pageBreakBefore w:val="0"/>
        <w:widowControl w:val="0"/>
        <w:numPr>
          <w:ilvl w:val="2"/>
          <w:numId w:val="12"/>
        </w:numPr>
        <w:tabs>
          <w:tab w:val="left" w:pos="2035"/>
          <w:tab w:val="left" w:pos="2977"/>
        </w:tabs>
        <w:kinsoku/>
        <w:wordWrap/>
        <w:overflowPunct/>
        <w:topLinePunct w:val="0"/>
        <w:autoSpaceDE/>
        <w:autoSpaceDN/>
        <w:bidi w:val="0"/>
        <w:adjustRightInd/>
        <w:snapToGrid w:val="0"/>
        <w:spacing w:after="0" w:line="360" w:lineRule="auto"/>
        <w:ind w:firstLineChars="0"/>
        <w:textAlignment w:val="auto"/>
        <w:rPr>
          <w:rFonts w:hint="eastAsia" w:ascii="宋体" w:hAnsi="宋体" w:cs="宋体"/>
          <w:vanish/>
          <w:color w:val="auto"/>
          <w:sz w:val="24"/>
          <w:szCs w:val="24"/>
          <w:highlight w:val="none"/>
        </w:rPr>
      </w:pPr>
    </w:p>
    <w:p w14:paraId="02DCBCB3">
      <w:pPr>
        <w:pStyle w:val="110"/>
        <w:keepNext w:val="0"/>
        <w:keepLines w:val="0"/>
        <w:pageBreakBefore w:val="0"/>
        <w:widowControl w:val="0"/>
        <w:numPr>
          <w:ilvl w:val="2"/>
          <w:numId w:val="12"/>
        </w:numPr>
        <w:tabs>
          <w:tab w:val="left" w:pos="2035"/>
          <w:tab w:val="left" w:pos="2977"/>
        </w:tabs>
        <w:kinsoku/>
        <w:wordWrap/>
        <w:overflowPunct/>
        <w:topLinePunct w:val="0"/>
        <w:autoSpaceDE/>
        <w:autoSpaceDN/>
        <w:bidi w:val="0"/>
        <w:adjustRightInd/>
        <w:snapToGrid w:val="0"/>
        <w:spacing w:after="0" w:line="360" w:lineRule="auto"/>
        <w:ind w:firstLineChars="0"/>
        <w:textAlignment w:val="auto"/>
        <w:rPr>
          <w:rFonts w:hint="eastAsia" w:ascii="宋体" w:hAnsi="宋体" w:cs="宋体"/>
          <w:vanish/>
          <w:color w:val="auto"/>
          <w:sz w:val="24"/>
          <w:szCs w:val="24"/>
          <w:highlight w:val="none"/>
        </w:rPr>
      </w:pPr>
    </w:p>
    <w:p w14:paraId="693FCAA2">
      <w:pPr>
        <w:keepNext w:val="0"/>
        <w:keepLines w:val="0"/>
        <w:pageBreakBefore w:val="0"/>
        <w:widowControl w:val="0"/>
        <w:numPr>
          <w:ilvl w:val="3"/>
          <w:numId w:val="12"/>
        </w:numPr>
        <w:tabs>
          <w:tab w:val="left" w:pos="1980"/>
          <w:tab w:val="left" w:pos="2035"/>
          <w:tab w:val="left" w:pos="2885"/>
          <w:tab w:val="left" w:pos="2977"/>
          <w:tab w:val="clear" w:pos="900"/>
        </w:tabs>
        <w:kinsoku/>
        <w:wordWrap/>
        <w:overflowPunct/>
        <w:topLinePunct w:val="0"/>
        <w:autoSpaceDE/>
        <w:autoSpaceDN/>
        <w:bidi w:val="0"/>
        <w:adjustRightInd/>
        <w:snapToGrid w:val="0"/>
        <w:spacing w:after="0" w:line="360" w:lineRule="auto"/>
        <w:ind w:left="2885"/>
        <w:textAlignment w:val="auto"/>
        <w:rPr>
          <w:rFonts w:hint="eastAsia" w:ascii="宋体" w:hAnsi="宋体" w:cs="宋体"/>
          <w:color w:val="auto"/>
          <w:sz w:val="24"/>
          <w:highlight w:val="none"/>
        </w:rPr>
      </w:pPr>
      <w:r>
        <w:rPr>
          <w:rFonts w:hint="eastAsia" w:ascii="宋体" w:hAnsi="宋体" w:cs="宋体"/>
          <w:color w:val="auto"/>
          <w:spacing w:val="4"/>
          <w:sz w:val="24"/>
          <w:highlight w:val="none"/>
        </w:rPr>
        <w:t>安置的残疾人占本单位在职职工人数的比例不低于 25%（含25%），并且安置的残疾人人数不少于10人（含10人）</w:t>
      </w:r>
      <w:r>
        <w:rPr>
          <w:rFonts w:hint="eastAsia" w:ascii="宋体" w:hAnsi="宋体" w:cs="宋体"/>
          <w:color w:val="auto"/>
          <w:sz w:val="24"/>
          <w:highlight w:val="none"/>
        </w:rPr>
        <w:t>；</w:t>
      </w:r>
    </w:p>
    <w:p w14:paraId="4F4D9E1E">
      <w:pPr>
        <w:keepNext w:val="0"/>
        <w:keepLines w:val="0"/>
        <w:pageBreakBefore w:val="0"/>
        <w:widowControl w:val="0"/>
        <w:numPr>
          <w:ilvl w:val="3"/>
          <w:numId w:val="12"/>
        </w:numPr>
        <w:tabs>
          <w:tab w:val="left" w:pos="1980"/>
          <w:tab w:val="left" w:pos="2035"/>
          <w:tab w:val="left" w:pos="2885"/>
          <w:tab w:val="left" w:pos="2977"/>
          <w:tab w:val="clear" w:pos="900"/>
        </w:tabs>
        <w:kinsoku/>
        <w:wordWrap/>
        <w:overflowPunct/>
        <w:topLinePunct w:val="0"/>
        <w:autoSpaceDE/>
        <w:autoSpaceDN/>
        <w:bidi w:val="0"/>
        <w:adjustRightInd/>
        <w:snapToGrid w:val="0"/>
        <w:spacing w:after="0" w:line="360" w:lineRule="auto"/>
        <w:ind w:left="2885"/>
        <w:textAlignment w:val="auto"/>
        <w:rPr>
          <w:rFonts w:hint="eastAsia" w:ascii="宋体" w:hAnsi="宋体" w:cs="宋体"/>
          <w:color w:val="auto"/>
          <w:sz w:val="24"/>
          <w:highlight w:val="none"/>
        </w:rPr>
      </w:pPr>
      <w:r>
        <w:rPr>
          <w:rFonts w:hint="eastAsia" w:ascii="宋体" w:hAnsi="宋体" w:cs="宋体"/>
          <w:color w:val="auto"/>
          <w:spacing w:val="4"/>
          <w:sz w:val="24"/>
          <w:highlight w:val="none"/>
        </w:rPr>
        <w:t>依法与安置的每位残疾人签订了一年以上（含一年）的劳动合同或服务协议</w:t>
      </w:r>
      <w:r>
        <w:rPr>
          <w:rFonts w:hint="eastAsia" w:ascii="宋体" w:hAnsi="宋体" w:cs="宋体"/>
          <w:color w:val="auto"/>
          <w:sz w:val="24"/>
          <w:highlight w:val="none"/>
        </w:rPr>
        <w:t>；</w:t>
      </w:r>
    </w:p>
    <w:p w14:paraId="6FB7B9A4">
      <w:pPr>
        <w:keepNext w:val="0"/>
        <w:keepLines w:val="0"/>
        <w:pageBreakBefore w:val="0"/>
        <w:widowControl w:val="0"/>
        <w:numPr>
          <w:ilvl w:val="3"/>
          <w:numId w:val="12"/>
        </w:numPr>
        <w:tabs>
          <w:tab w:val="left" w:pos="1980"/>
          <w:tab w:val="left" w:pos="2035"/>
          <w:tab w:val="left" w:pos="2885"/>
          <w:tab w:val="left" w:pos="2977"/>
          <w:tab w:val="clear" w:pos="900"/>
        </w:tabs>
        <w:kinsoku/>
        <w:wordWrap/>
        <w:overflowPunct/>
        <w:topLinePunct w:val="0"/>
        <w:autoSpaceDE/>
        <w:autoSpaceDN/>
        <w:bidi w:val="0"/>
        <w:adjustRightInd/>
        <w:snapToGrid w:val="0"/>
        <w:spacing w:after="0" w:line="360" w:lineRule="auto"/>
        <w:ind w:left="2885"/>
        <w:textAlignment w:val="auto"/>
        <w:rPr>
          <w:rFonts w:hint="eastAsia" w:ascii="宋体" w:hAnsi="宋体" w:cs="宋体"/>
          <w:color w:val="auto"/>
          <w:sz w:val="24"/>
          <w:highlight w:val="none"/>
        </w:rPr>
      </w:pPr>
      <w:r>
        <w:rPr>
          <w:rFonts w:hint="eastAsia" w:ascii="宋体" w:hAnsi="宋体" w:cs="宋体"/>
          <w:color w:val="auto"/>
          <w:spacing w:val="4"/>
          <w:sz w:val="24"/>
          <w:highlight w:val="none"/>
        </w:rPr>
        <w:t>为安置的每位残疾人按月足额缴纳了基本养老保险、基本医疗保险、失业保险、工伤保险和生育保险等社会保险费</w:t>
      </w:r>
      <w:r>
        <w:rPr>
          <w:rFonts w:hint="eastAsia" w:ascii="宋体" w:hAnsi="宋体" w:cs="宋体"/>
          <w:color w:val="auto"/>
          <w:sz w:val="24"/>
          <w:highlight w:val="none"/>
        </w:rPr>
        <w:t>；</w:t>
      </w:r>
    </w:p>
    <w:p w14:paraId="7659B320">
      <w:pPr>
        <w:keepNext w:val="0"/>
        <w:keepLines w:val="0"/>
        <w:pageBreakBefore w:val="0"/>
        <w:widowControl w:val="0"/>
        <w:numPr>
          <w:ilvl w:val="3"/>
          <w:numId w:val="12"/>
        </w:numPr>
        <w:tabs>
          <w:tab w:val="left" w:pos="1980"/>
          <w:tab w:val="left" w:pos="2035"/>
          <w:tab w:val="left" w:pos="2885"/>
          <w:tab w:val="left" w:pos="2977"/>
          <w:tab w:val="clear" w:pos="900"/>
        </w:tabs>
        <w:kinsoku/>
        <w:wordWrap/>
        <w:overflowPunct/>
        <w:topLinePunct w:val="0"/>
        <w:autoSpaceDE/>
        <w:autoSpaceDN/>
        <w:bidi w:val="0"/>
        <w:adjustRightInd/>
        <w:snapToGrid w:val="0"/>
        <w:spacing w:after="0" w:line="360" w:lineRule="auto"/>
        <w:ind w:left="2885"/>
        <w:textAlignment w:val="auto"/>
        <w:rPr>
          <w:rFonts w:hint="eastAsia" w:ascii="宋体" w:hAnsi="宋体" w:cs="宋体"/>
          <w:color w:val="auto"/>
          <w:sz w:val="24"/>
          <w:highlight w:val="none"/>
        </w:rPr>
      </w:pPr>
      <w:r>
        <w:rPr>
          <w:rFonts w:hint="eastAsia" w:ascii="宋体" w:hAnsi="宋体" w:cs="宋体"/>
          <w:color w:val="auto"/>
          <w:spacing w:val="4"/>
          <w:sz w:val="24"/>
          <w:highlight w:val="none"/>
        </w:rPr>
        <w:t>通过银行等金融机构向安置的每位残疾人，按月支付了不低于单位所在区县适用的经省级人民政府批准的月最低工资标准的工资</w:t>
      </w:r>
      <w:r>
        <w:rPr>
          <w:rFonts w:hint="eastAsia" w:ascii="宋体" w:hAnsi="宋体" w:cs="宋体"/>
          <w:color w:val="auto"/>
          <w:sz w:val="24"/>
          <w:highlight w:val="none"/>
        </w:rPr>
        <w:t>；</w:t>
      </w:r>
    </w:p>
    <w:p w14:paraId="6A39B7DA">
      <w:pPr>
        <w:keepNext w:val="0"/>
        <w:keepLines w:val="0"/>
        <w:pageBreakBefore w:val="0"/>
        <w:widowControl w:val="0"/>
        <w:numPr>
          <w:ilvl w:val="3"/>
          <w:numId w:val="12"/>
        </w:numPr>
        <w:tabs>
          <w:tab w:val="left" w:pos="1980"/>
          <w:tab w:val="left" w:pos="2035"/>
          <w:tab w:val="left" w:pos="2885"/>
          <w:tab w:val="left" w:pos="2977"/>
          <w:tab w:val="clear" w:pos="900"/>
        </w:tabs>
        <w:kinsoku/>
        <w:wordWrap/>
        <w:overflowPunct/>
        <w:topLinePunct w:val="0"/>
        <w:autoSpaceDE/>
        <w:autoSpaceDN/>
        <w:bidi w:val="0"/>
        <w:adjustRightInd/>
        <w:snapToGrid w:val="0"/>
        <w:spacing w:after="0" w:line="360" w:lineRule="auto"/>
        <w:ind w:left="2885"/>
        <w:textAlignment w:val="auto"/>
        <w:rPr>
          <w:rFonts w:hint="eastAsia" w:ascii="宋体" w:hAnsi="宋体" w:cs="宋体"/>
          <w:color w:val="auto"/>
          <w:sz w:val="24"/>
          <w:highlight w:val="none"/>
        </w:rPr>
      </w:pPr>
      <w:r>
        <w:rPr>
          <w:rFonts w:hint="eastAsia" w:ascii="宋体" w:hAnsi="宋体" w:cs="宋体"/>
          <w:color w:val="auto"/>
          <w:spacing w:val="4"/>
          <w:sz w:val="24"/>
          <w:highlight w:val="none"/>
        </w:rPr>
        <w:t>提供本单位制造的货物、承担的工程或者服务（以下简称产品），或者提供其他残疾人福利性单位制造的货物（不包括使用非残疾人福利性单位注册商标的货物）</w:t>
      </w:r>
      <w:r>
        <w:rPr>
          <w:rFonts w:hint="eastAsia" w:ascii="宋体" w:hAnsi="宋体" w:cs="宋体"/>
          <w:color w:val="auto"/>
          <w:sz w:val="24"/>
          <w:highlight w:val="none"/>
        </w:rPr>
        <w:t>；</w:t>
      </w:r>
    </w:p>
    <w:p w14:paraId="434F0F52">
      <w:pPr>
        <w:keepNext w:val="0"/>
        <w:keepLines w:val="0"/>
        <w:pageBreakBefore w:val="0"/>
        <w:widowControl w:val="0"/>
        <w:numPr>
          <w:ilvl w:val="3"/>
          <w:numId w:val="12"/>
        </w:numPr>
        <w:tabs>
          <w:tab w:val="left" w:pos="1980"/>
          <w:tab w:val="left" w:pos="2035"/>
          <w:tab w:val="left" w:pos="2885"/>
          <w:tab w:val="left" w:pos="2977"/>
          <w:tab w:val="clear" w:pos="900"/>
        </w:tabs>
        <w:kinsoku/>
        <w:wordWrap/>
        <w:overflowPunct/>
        <w:topLinePunct w:val="0"/>
        <w:autoSpaceDE/>
        <w:autoSpaceDN/>
        <w:bidi w:val="0"/>
        <w:adjustRightInd/>
        <w:snapToGrid w:val="0"/>
        <w:spacing w:after="0" w:line="360" w:lineRule="auto"/>
        <w:ind w:left="2885"/>
        <w:textAlignment w:val="auto"/>
        <w:rPr>
          <w:rFonts w:hint="eastAsia" w:ascii="宋体" w:hAnsi="宋体" w:cs="宋体"/>
          <w:color w:val="auto"/>
          <w:sz w:val="24"/>
          <w:highlight w:val="none"/>
        </w:rPr>
      </w:pPr>
      <w:r>
        <w:rPr>
          <w:rFonts w:hint="eastAsia" w:ascii="宋体" w:hAnsi="宋体" w:cs="宋体"/>
          <w:color w:val="auto"/>
          <w:spacing w:val="4"/>
          <w:sz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r>
        <w:rPr>
          <w:rFonts w:hint="eastAsia" w:ascii="宋体" w:hAnsi="宋体" w:cs="宋体"/>
          <w:color w:val="auto"/>
          <w:sz w:val="24"/>
          <w:highlight w:val="none"/>
        </w:rPr>
        <w:t>。</w:t>
      </w:r>
    </w:p>
    <w:p w14:paraId="4B0B908F">
      <w:pPr>
        <w:keepNext w:val="0"/>
        <w:keepLines w:val="0"/>
        <w:pageBreakBefore w:val="0"/>
        <w:widowControl w:val="0"/>
        <w:numPr>
          <w:ilvl w:val="2"/>
          <w:numId w:val="11"/>
        </w:numPr>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本项目是否专门面向中小企业预留采购份额见第一章《投标邀请》。</w:t>
      </w:r>
    </w:p>
    <w:p w14:paraId="15B59AA3">
      <w:pPr>
        <w:keepNext w:val="0"/>
        <w:keepLines w:val="0"/>
        <w:pageBreakBefore w:val="0"/>
        <w:widowControl w:val="0"/>
        <w:numPr>
          <w:ilvl w:val="2"/>
          <w:numId w:val="11"/>
        </w:numPr>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采购标的对应的中小企业划分标准所属行业见《投标人须知资料表》。</w:t>
      </w:r>
    </w:p>
    <w:p w14:paraId="72FA2D23">
      <w:pPr>
        <w:keepNext w:val="0"/>
        <w:keepLines w:val="0"/>
        <w:pageBreakBefore w:val="0"/>
        <w:widowControl w:val="0"/>
        <w:numPr>
          <w:ilvl w:val="2"/>
          <w:numId w:val="11"/>
        </w:numPr>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小微企业价格评审优惠的政策调整：见第四章《评标方法和评标标准》。</w:t>
      </w:r>
    </w:p>
    <w:p w14:paraId="02A29453">
      <w:pPr>
        <w:keepNext w:val="0"/>
        <w:keepLines w:val="0"/>
        <w:pageBreakBefore w:val="0"/>
        <w:widowControl w:val="0"/>
        <w:numPr>
          <w:ilvl w:val="1"/>
          <w:numId w:val="11"/>
        </w:numPr>
        <w:tabs>
          <w:tab w:val="left" w:pos="1080"/>
          <w:tab w:val="left" w:pos="2014"/>
        </w:tabs>
        <w:kinsoku/>
        <w:wordWrap/>
        <w:overflowPunct/>
        <w:topLinePunct w:val="0"/>
        <w:autoSpaceDE/>
        <w:autoSpaceDN/>
        <w:bidi w:val="0"/>
        <w:adjustRightInd/>
        <w:snapToGrid w:val="0"/>
        <w:spacing w:after="0" w:line="360" w:lineRule="auto"/>
        <w:ind w:left="1080" w:hanging="720"/>
        <w:textAlignment w:val="auto"/>
        <w:rPr>
          <w:rFonts w:hint="eastAsia" w:ascii="宋体" w:hAnsi="宋体" w:cs="宋体"/>
          <w:color w:val="auto"/>
          <w:sz w:val="24"/>
          <w:highlight w:val="none"/>
        </w:rPr>
      </w:pPr>
      <w:r>
        <w:rPr>
          <w:rFonts w:hint="eastAsia" w:ascii="宋体" w:hAnsi="宋体" w:cs="宋体"/>
          <w:color w:val="auto"/>
          <w:spacing w:val="4"/>
          <w:sz w:val="24"/>
          <w:highlight w:val="none"/>
        </w:rPr>
        <w:t>政府采购节能产品、环境标志产品</w:t>
      </w:r>
    </w:p>
    <w:p w14:paraId="3220EA54">
      <w:pPr>
        <w:keepNext w:val="0"/>
        <w:keepLines w:val="0"/>
        <w:pageBreakBefore w:val="0"/>
        <w:widowControl w:val="0"/>
        <w:numPr>
          <w:ilvl w:val="2"/>
          <w:numId w:val="11"/>
        </w:numPr>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pacing w:val="4"/>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r>
        <w:rPr>
          <w:rFonts w:hint="eastAsia" w:ascii="宋体" w:hAnsi="宋体" w:cs="宋体"/>
          <w:color w:val="auto"/>
          <w:sz w:val="24"/>
          <w:highlight w:val="none"/>
        </w:rPr>
        <w:t>。</w:t>
      </w:r>
    </w:p>
    <w:p w14:paraId="33CA5882">
      <w:pPr>
        <w:keepNext w:val="0"/>
        <w:keepLines w:val="0"/>
        <w:pageBreakBefore w:val="0"/>
        <w:widowControl w:val="0"/>
        <w:numPr>
          <w:ilvl w:val="2"/>
          <w:numId w:val="11"/>
        </w:numPr>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pacing w:val="4"/>
          <w:sz w:val="24"/>
          <w:highlight w:val="none"/>
        </w:rPr>
        <w:t>采购人拟采购的产品属于品目清单范围的，采购人及其委托的采购代 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w:t>
      </w:r>
    </w:p>
    <w:p w14:paraId="74B24259">
      <w:pPr>
        <w:keepNext w:val="0"/>
        <w:keepLines w:val="0"/>
        <w:pageBreakBefore w:val="0"/>
        <w:widowControl w:val="0"/>
        <w:numPr>
          <w:ilvl w:val="2"/>
          <w:numId w:val="11"/>
        </w:numPr>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pacing w:val="4"/>
          <w:sz w:val="24"/>
          <w:highlight w:val="none"/>
        </w:rPr>
        <w:t>如本项目采购产品属于实施政府强制采购品目清单范围的节能产品，则投标人所报产品必须获得国家确定的认证机构出具的、处于有效期之内的节能产品认证证书，</w:t>
      </w:r>
      <w:r>
        <w:rPr>
          <w:rFonts w:hint="eastAsia" w:ascii="宋体" w:hAnsi="宋体" w:cs="宋体"/>
          <w:b/>
          <w:bCs/>
          <w:color w:val="auto"/>
          <w:spacing w:val="4"/>
          <w:sz w:val="24"/>
          <w:highlight w:val="none"/>
        </w:rPr>
        <w:t>否则投标无效。</w:t>
      </w:r>
    </w:p>
    <w:p w14:paraId="75A84957">
      <w:pPr>
        <w:keepNext w:val="0"/>
        <w:keepLines w:val="0"/>
        <w:pageBreakBefore w:val="0"/>
        <w:widowControl w:val="0"/>
        <w:numPr>
          <w:ilvl w:val="2"/>
          <w:numId w:val="11"/>
        </w:numPr>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pacing w:val="4"/>
          <w:sz w:val="24"/>
          <w:highlight w:val="none"/>
        </w:rPr>
        <w:t>非政府强制采购的节能产品或环境标志产品，依据品目清单和认证证书实施政府优先采购。优先采购的具体规定见第四章《评标程序、评标方法和评标标准》（如涉及）</w:t>
      </w:r>
      <w:r>
        <w:rPr>
          <w:rFonts w:hint="eastAsia" w:ascii="宋体" w:hAnsi="宋体" w:cs="宋体"/>
          <w:color w:val="auto"/>
          <w:sz w:val="24"/>
          <w:highlight w:val="none"/>
        </w:rPr>
        <w:t>。</w:t>
      </w:r>
    </w:p>
    <w:p w14:paraId="541275EE">
      <w:pPr>
        <w:keepNext w:val="0"/>
        <w:keepLines w:val="0"/>
        <w:pageBreakBefore w:val="0"/>
        <w:widowControl w:val="0"/>
        <w:numPr>
          <w:ilvl w:val="1"/>
          <w:numId w:val="11"/>
        </w:numPr>
        <w:tabs>
          <w:tab w:val="left" w:pos="1080"/>
          <w:tab w:val="left" w:pos="2014"/>
        </w:tabs>
        <w:kinsoku/>
        <w:wordWrap/>
        <w:overflowPunct/>
        <w:topLinePunct w:val="0"/>
        <w:autoSpaceDE/>
        <w:autoSpaceDN/>
        <w:bidi w:val="0"/>
        <w:adjustRightInd/>
        <w:snapToGrid w:val="0"/>
        <w:spacing w:after="0" w:line="360" w:lineRule="auto"/>
        <w:ind w:left="1080" w:hanging="720"/>
        <w:textAlignment w:val="auto"/>
        <w:rPr>
          <w:rFonts w:hint="eastAsia" w:ascii="宋体" w:hAnsi="宋体" w:cs="宋体"/>
          <w:color w:val="auto"/>
          <w:sz w:val="24"/>
          <w:highlight w:val="none"/>
        </w:rPr>
      </w:pPr>
      <w:r>
        <w:rPr>
          <w:rFonts w:hint="eastAsia" w:ascii="宋体" w:hAnsi="宋体" w:cs="宋体"/>
          <w:color w:val="auto"/>
          <w:spacing w:val="4"/>
          <w:sz w:val="24"/>
          <w:highlight w:val="none"/>
        </w:rPr>
        <w:t>正版软件</w:t>
      </w:r>
    </w:p>
    <w:p w14:paraId="634317E1">
      <w:pPr>
        <w:keepNext w:val="0"/>
        <w:keepLines w:val="0"/>
        <w:pageBreakBefore w:val="0"/>
        <w:widowControl w:val="0"/>
        <w:numPr>
          <w:ilvl w:val="2"/>
          <w:numId w:val="11"/>
        </w:numPr>
        <w:tabs>
          <w:tab w:val="left" w:pos="2014"/>
        </w:tabs>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pacing w:val="4"/>
          <w:sz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1FF80C93">
      <w:pPr>
        <w:keepNext w:val="0"/>
        <w:keepLines w:val="0"/>
        <w:pageBreakBefore w:val="0"/>
        <w:widowControl w:val="0"/>
        <w:numPr>
          <w:ilvl w:val="1"/>
          <w:numId w:val="11"/>
        </w:numPr>
        <w:tabs>
          <w:tab w:val="left" w:pos="1080"/>
          <w:tab w:val="left" w:pos="2014"/>
        </w:tabs>
        <w:kinsoku/>
        <w:wordWrap/>
        <w:overflowPunct/>
        <w:topLinePunct w:val="0"/>
        <w:autoSpaceDE/>
        <w:autoSpaceDN/>
        <w:bidi w:val="0"/>
        <w:adjustRightInd/>
        <w:snapToGrid w:val="0"/>
        <w:spacing w:after="0" w:line="360" w:lineRule="auto"/>
        <w:ind w:left="1080" w:hanging="720"/>
        <w:textAlignment w:val="auto"/>
        <w:rPr>
          <w:rFonts w:hint="eastAsia" w:ascii="宋体" w:hAnsi="宋体" w:cs="宋体"/>
          <w:color w:val="auto"/>
          <w:sz w:val="24"/>
          <w:highlight w:val="none"/>
        </w:rPr>
      </w:pPr>
      <w:r>
        <w:rPr>
          <w:rFonts w:hint="eastAsia" w:ascii="宋体" w:hAnsi="宋体" w:cs="宋体"/>
          <w:color w:val="auto"/>
          <w:spacing w:val="4"/>
          <w:sz w:val="24"/>
          <w:highlight w:val="none"/>
        </w:rPr>
        <w:t>网络安全专用产品</w:t>
      </w:r>
    </w:p>
    <w:p w14:paraId="0A072438">
      <w:pPr>
        <w:keepNext w:val="0"/>
        <w:keepLines w:val="0"/>
        <w:pageBreakBefore w:val="0"/>
        <w:widowControl w:val="0"/>
        <w:numPr>
          <w:ilvl w:val="2"/>
          <w:numId w:val="11"/>
        </w:numPr>
        <w:tabs>
          <w:tab w:val="left" w:pos="2014"/>
        </w:tabs>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pacing w:val="4"/>
          <w:sz w:val="24"/>
          <w:highlight w:val="none"/>
        </w:rPr>
        <w:t>根据《关于调整网络安全专用产品安全管理有关事项的公告》（2023年第 1 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ascii="宋体" w:hAnsi="宋体" w:cs="宋体"/>
          <w:color w:val="auto"/>
          <w:sz w:val="24"/>
          <w:highlight w:val="none"/>
        </w:rPr>
        <w:t>。</w:t>
      </w:r>
    </w:p>
    <w:p w14:paraId="4F053064">
      <w:pPr>
        <w:keepNext w:val="0"/>
        <w:keepLines w:val="0"/>
        <w:pageBreakBefore w:val="0"/>
        <w:widowControl w:val="0"/>
        <w:numPr>
          <w:ilvl w:val="1"/>
          <w:numId w:val="11"/>
        </w:numPr>
        <w:tabs>
          <w:tab w:val="left" w:pos="1080"/>
          <w:tab w:val="left" w:pos="2014"/>
        </w:tabs>
        <w:kinsoku/>
        <w:wordWrap/>
        <w:overflowPunct/>
        <w:topLinePunct w:val="0"/>
        <w:autoSpaceDE/>
        <w:autoSpaceDN/>
        <w:bidi w:val="0"/>
        <w:adjustRightInd/>
        <w:snapToGrid w:val="0"/>
        <w:spacing w:after="0" w:line="360" w:lineRule="auto"/>
        <w:ind w:left="1080" w:hanging="720"/>
        <w:textAlignment w:val="auto"/>
        <w:rPr>
          <w:rFonts w:hint="eastAsia" w:ascii="宋体" w:hAnsi="宋体" w:cs="宋体"/>
          <w:color w:val="auto"/>
          <w:spacing w:val="4"/>
          <w:sz w:val="24"/>
          <w:highlight w:val="none"/>
        </w:rPr>
      </w:pPr>
      <w:r>
        <w:rPr>
          <w:rFonts w:hint="eastAsia" w:ascii="宋体" w:hAnsi="宋体" w:cs="宋体"/>
          <w:color w:val="auto"/>
          <w:spacing w:val="4"/>
          <w:sz w:val="24"/>
          <w:highlight w:val="none"/>
        </w:rPr>
        <w:t>推广使用低挥发性有机化合物（VOCs）</w:t>
      </w:r>
    </w:p>
    <w:p w14:paraId="151E4113">
      <w:pPr>
        <w:keepNext w:val="0"/>
        <w:keepLines w:val="0"/>
        <w:pageBreakBefore w:val="0"/>
        <w:widowControl w:val="0"/>
        <w:numPr>
          <w:ilvl w:val="2"/>
          <w:numId w:val="11"/>
        </w:numPr>
        <w:tabs>
          <w:tab w:val="left" w:pos="2014"/>
        </w:tabs>
        <w:kinsoku/>
        <w:wordWrap/>
        <w:overflowPunct/>
        <w:topLinePunct w:val="0"/>
        <w:autoSpaceDE/>
        <w:autoSpaceDN/>
        <w:bidi w:val="0"/>
        <w:adjustRightInd/>
        <w:snapToGrid w:val="0"/>
        <w:spacing w:after="0" w:line="360" w:lineRule="auto"/>
        <w:textAlignment w:val="auto"/>
        <w:rPr>
          <w:rFonts w:hint="eastAsia" w:ascii="宋体" w:hAnsi="宋体" w:cs="宋体"/>
          <w:color w:val="auto"/>
          <w:spacing w:val="4"/>
          <w:sz w:val="24"/>
          <w:highlight w:val="none"/>
        </w:rPr>
      </w:pPr>
      <w:r>
        <w:rPr>
          <w:rFonts w:hint="eastAsia" w:ascii="宋体" w:hAnsi="宋体" w:cs="宋体"/>
          <w:color w:val="auto"/>
          <w:spacing w:val="4"/>
          <w:sz w:val="24"/>
          <w:highlight w:val="none"/>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 VOCs 含量限制标准（具体标准见第五章《采购需求》），否则投标无效；属于推荐性标准的，优先采购，具体见第四章《评标程序、评标方法和评标标准》。</w:t>
      </w:r>
    </w:p>
    <w:p w14:paraId="44B33A16">
      <w:pPr>
        <w:keepNext w:val="0"/>
        <w:keepLines w:val="0"/>
        <w:pageBreakBefore w:val="0"/>
        <w:widowControl w:val="0"/>
        <w:numPr>
          <w:ilvl w:val="1"/>
          <w:numId w:val="11"/>
        </w:numPr>
        <w:tabs>
          <w:tab w:val="left" w:pos="1080"/>
          <w:tab w:val="left" w:pos="2014"/>
        </w:tabs>
        <w:kinsoku/>
        <w:wordWrap/>
        <w:overflowPunct/>
        <w:topLinePunct w:val="0"/>
        <w:autoSpaceDE/>
        <w:autoSpaceDN/>
        <w:bidi w:val="0"/>
        <w:adjustRightInd/>
        <w:snapToGrid w:val="0"/>
        <w:spacing w:after="0" w:line="360" w:lineRule="auto"/>
        <w:ind w:left="1080" w:hanging="720"/>
        <w:textAlignment w:val="auto"/>
        <w:rPr>
          <w:rFonts w:hint="eastAsia" w:ascii="宋体" w:hAnsi="宋体" w:cs="宋体"/>
          <w:color w:val="auto"/>
          <w:spacing w:val="4"/>
          <w:sz w:val="24"/>
          <w:highlight w:val="none"/>
        </w:rPr>
      </w:pPr>
      <w:r>
        <w:rPr>
          <w:rFonts w:hint="eastAsia" w:ascii="宋体" w:hAnsi="宋体" w:cs="宋体"/>
          <w:color w:val="auto"/>
          <w:spacing w:val="4"/>
          <w:sz w:val="24"/>
          <w:highlight w:val="none"/>
        </w:rPr>
        <w:t>采购需求标准</w:t>
      </w:r>
    </w:p>
    <w:p w14:paraId="2AC84312">
      <w:pPr>
        <w:keepNext w:val="0"/>
        <w:keepLines w:val="0"/>
        <w:pageBreakBefore w:val="0"/>
        <w:widowControl w:val="0"/>
        <w:numPr>
          <w:ilvl w:val="2"/>
          <w:numId w:val="11"/>
        </w:numPr>
        <w:tabs>
          <w:tab w:val="left" w:pos="2014"/>
        </w:tabs>
        <w:kinsoku/>
        <w:wordWrap/>
        <w:overflowPunct/>
        <w:topLinePunct w:val="0"/>
        <w:autoSpaceDE/>
        <w:autoSpaceDN/>
        <w:bidi w:val="0"/>
        <w:adjustRightInd/>
        <w:snapToGrid w:val="0"/>
        <w:spacing w:after="0" w:line="360" w:lineRule="auto"/>
        <w:textAlignment w:val="auto"/>
        <w:rPr>
          <w:rFonts w:hint="eastAsia" w:ascii="宋体" w:hAnsi="宋体" w:cs="宋体"/>
          <w:color w:val="auto"/>
          <w:spacing w:val="4"/>
          <w:sz w:val="24"/>
          <w:highlight w:val="none"/>
        </w:rPr>
      </w:pPr>
      <w:r>
        <w:rPr>
          <w:rFonts w:hint="eastAsia" w:ascii="宋体" w:hAnsi="宋体" w:cs="宋体"/>
          <w:color w:val="auto"/>
          <w:spacing w:val="4"/>
          <w:sz w:val="24"/>
          <w:highlight w:val="none"/>
        </w:rPr>
        <w:t>商品包装、快递包装政府采购需求标准（试行）</w:t>
      </w:r>
    </w:p>
    <w:p w14:paraId="5FC1E4A6">
      <w:pPr>
        <w:keepNext w:val="0"/>
        <w:keepLines w:val="0"/>
        <w:pageBreakBefore w:val="0"/>
        <w:widowControl w:val="0"/>
        <w:tabs>
          <w:tab w:val="left" w:pos="2014"/>
        </w:tabs>
        <w:kinsoku/>
        <w:wordWrap/>
        <w:overflowPunct/>
        <w:topLinePunct w:val="0"/>
        <w:autoSpaceDE/>
        <w:autoSpaceDN/>
        <w:bidi w:val="0"/>
        <w:adjustRightInd/>
        <w:snapToGrid w:val="0"/>
        <w:spacing w:after="0" w:line="360" w:lineRule="auto"/>
        <w:ind w:left="1080"/>
        <w:textAlignment w:val="auto"/>
        <w:rPr>
          <w:rFonts w:hint="eastAsia" w:ascii="宋体" w:hAnsi="宋体" w:cs="宋体"/>
          <w:color w:val="auto"/>
          <w:spacing w:val="4"/>
          <w:sz w:val="24"/>
          <w:highlight w:val="none"/>
        </w:rPr>
      </w:pPr>
      <w:r>
        <w:rPr>
          <w:rFonts w:hint="eastAsia" w:ascii="宋体" w:hAnsi="宋体" w:cs="宋体"/>
          <w:color w:val="auto"/>
          <w:spacing w:val="4"/>
          <w:sz w:val="24"/>
          <w:highlight w:val="none"/>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2C6DAFB7">
      <w:pPr>
        <w:keepNext w:val="0"/>
        <w:keepLines w:val="0"/>
        <w:pageBreakBefore w:val="0"/>
        <w:widowControl w:val="0"/>
        <w:numPr>
          <w:ilvl w:val="2"/>
          <w:numId w:val="11"/>
        </w:numPr>
        <w:tabs>
          <w:tab w:val="left" w:pos="2014"/>
        </w:tabs>
        <w:kinsoku/>
        <w:wordWrap/>
        <w:overflowPunct/>
        <w:topLinePunct w:val="0"/>
        <w:autoSpaceDE/>
        <w:autoSpaceDN/>
        <w:bidi w:val="0"/>
        <w:adjustRightInd/>
        <w:snapToGrid w:val="0"/>
        <w:spacing w:after="0" w:line="360" w:lineRule="auto"/>
        <w:textAlignment w:val="auto"/>
        <w:rPr>
          <w:rFonts w:hint="eastAsia" w:ascii="宋体" w:hAnsi="宋体" w:cs="宋体"/>
          <w:color w:val="auto"/>
          <w:spacing w:val="4"/>
          <w:sz w:val="24"/>
          <w:highlight w:val="none"/>
        </w:rPr>
      </w:pPr>
      <w:r>
        <w:rPr>
          <w:rFonts w:hint="eastAsia" w:ascii="宋体" w:hAnsi="宋体" w:cs="宋体"/>
          <w:color w:val="auto"/>
          <w:spacing w:val="4"/>
          <w:sz w:val="24"/>
          <w:highlight w:val="none"/>
        </w:rPr>
        <w:t>其他政府采购需求标准</w:t>
      </w:r>
    </w:p>
    <w:p w14:paraId="06FAB92E">
      <w:pPr>
        <w:keepNext w:val="0"/>
        <w:keepLines w:val="0"/>
        <w:pageBreakBefore w:val="0"/>
        <w:widowControl w:val="0"/>
        <w:tabs>
          <w:tab w:val="left" w:pos="2014"/>
        </w:tabs>
        <w:kinsoku/>
        <w:wordWrap/>
        <w:overflowPunct/>
        <w:topLinePunct w:val="0"/>
        <w:autoSpaceDE/>
        <w:autoSpaceDN/>
        <w:bidi w:val="0"/>
        <w:adjustRightInd/>
        <w:snapToGrid w:val="0"/>
        <w:spacing w:after="0" w:line="360" w:lineRule="auto"/>
        <w:ind w:left="1080"/>
        <w:textAlignment w:val="auto"/>
        <w:rPr>
          <w:rFonts w:hint="eastAsia" w:ascii="宋体" w:hAnsi="宋体" w:cs="宋体"/>
          <w:color w:val="auto"/>
          <w:spacing w:val="4"/>
          <w:sz w:val="24"/>
          <w:highlight w:val="none"/>
        </w:rPr>
      </w:pPr>
      <w:r>
        <w:rPr>
          <w:rFonts w:hint="eastAsia" w:ascii="宋体" w:hAnsi="宋体" w:cs="宋体"/>
          <w:color w:val="auto"/>
          <w:spacing w:val="4"/>
          <w:sz w:val="24"/>
          <w:highlight w:val="none"/>
        </w:rPr>
        <w:t>为贯彻落实《深化政府采购制度改革方案》有关要求，推动政府采购需求标准建设，财政部门会同有关部门制定发布的其他政府采购需求标准，本项目如涉及，则具体要求见第五章《采购需求》。</w:t>
      </w:r>
    </w:p>
    <w:p w14:paraId="5B9EC7F1">
      <w:pPr>
        <w:keepNext w:val="0"/>
        <w:keepLines w:val="0"/>
        <w:pageBreakBefore w:val="0"/>
        <w:widowControl w:val="0"/>
        <w:numPr>
          <w:ilvl w:val="0"/>
          <w:numId w:val="11"/>
        </w:numPr>
        <w:tabs>
          <w:tab w:val="left" w:pos="360"/>
        </w:tabs>
        <w:kinsoku/>
        <w:wordWrap/>
        <w:overflowPunct/>
        <w:topLinePunct w:val="0"/>
        <w:autoSpaceDE/>
        <w:autoSpaceDN/>
        <w:bidi w:val="0"/>
        <w:adjustRightInd/>
        <w:snapToGrid w:val="0"/>
        <w:spacing w:after="0" w:line="360" w:lineRule="auto"/>
        <w:ind w:left="357" w:hanging="357"/>
        <w:textAlignment w:val="auto"/>
        <w:outlineLvl w:val="1"/>
        <w:rPr>
          <w:rFonts w:hint="eastAsia" w:ascii="宋体" w:hAnsi="宋体" w:cs="宋体"/>
          <w:color w:val="auto"/>
          <w:sz w:val="24"/>
          <w:highlight w:val="none"/>
        </w:rPr>
      </w:pPr>
      <w:r>
        <w:rPr>
          <w:rFonts w:hint="eastAsia" w:ascii="宋体" w:hAnsi="宋体" w:cs="宋体"/>
          <w:color w:val="auto"/>
          <w:sz w:val="24"/>
          <w:highlight w:val="none"/>
        </w:rPr>
        <w:t>投标费用</w:t>
      </w:r>
    </w:p>
    <w:p w14:paraId="75694529">
      <w:pPr>
        <w:keepNext w:val="0"/>
        <w:keepLines w:val="0"/>
        <w:pageBreakBefore w:val="0"/>
        <w:widowControl w:val="0"/>
        <w:numPr>
          <w:ilvl w:val="1"/>
          <w:numId w:val="11"/>
        </w:numPr>
        <w:tabs>
          <w:tab w:val="left" w:pos="1080"/>
          <w:tab w:val="left" w:pos="2014"/>
        </w:tabs>
        <w:kinsoku/>
        <w:wordWrap/>
        <w:overflowPunct/>
        <w:topLinePunct w:val="0"/>
        <w:autoSpaceDE/>
        <w:autoSpaceDN/>
        <w:bidi w:val="0"/>
        <w:adjustRightInd/>
        <w:snapToGrid w:val="0"/>
        <w:spacing w:after="0" w:line="360" w:lineRule="auto"/>
        <w:ind w:left="1080" w:hanging="720"/>
        <w:textAlignment w:val="auto"/>
        <w:rPr>
          <w:rFonts w:hint="eastAsia" w:ascii="宋体" w:hAnsi="宋体" w:cs="宋体"/>
          <w:color w:val="auto"/>
          <w:sz w:val="24"/>
          <w:highlight w:val="none"/>
        </w:rPr>
      </w:pPr>
      <w:r>
        <w:rPr>
          <w:rFonts w:hint="eastAsia" w:ascii="宋体" w:hAnsi="宋体" w:cs="宋体"/>
          <w:color w:val="auto"/>
          <w:sz w:val="24"/>
          <w:highlight w:val="none"/>
        </w:rPr>
        <w:t>投标人应自行承担所有与准备和参加投标有关的费用，无论投标的结果如何，采购人或采购代理机构在任何情况下均无承担这些费用的义务和责任。</w:t>
      </w:r>
    </w:p>
    <w:p w14:paraId="628F2337">
      <w:pPr>
        <w:tabs>
          <w:tab w:val="left" w:pos="1080"/>
        </w:tabs>
        <w:snapToGrid w:val="0"/>
        <w:spacing w:line="360" w:lineRule="auto"/>
        <w:ind w:left="1080"/>
        <w:rPr>
          <w:rFonts w:hint="eastAsia" w:ascii="宋体" w:hAnsi="宋体" w:cs="宋体"/>
          <w:color w:val="auto"/>
          <w:sz w:val="28"/>
          <w:highlight w:val="none"/>
        </w:rPr>
      </w:pPr>
      <w:bookmarkStart w:id="177" w:name="_1.8_计量单位"/>
      <w:bookmarkEnd w:id="177"/>
    </w:p>
    <w:p w14:paraId="2846CF6C">
      <w:pPr>
        <w:pStyle w:val="3"/>
        <w:ind w:firstLine="562"/>
        <w:rPr>
          <w:rFonts w:hint="eastAsia" w:ascii="宋体" w:hAnsi="宋体" w:cs="宋体"/>
          <w:color w:val="auto"/>
          <w:sz w:val="28"/>
          <w:highlight w:val="none"/>
        </w:rPr>
      </w:pPr>
      <w:r>
        <w:rPr>
          <w:rFonts w:hint="eastAsia" w:ascii="宋体" w:hAnsi="宋体" w:cs="宋体"/>
          <w:color w:val="auto"/>
          <w:sz w:val="28"/>
          <w:highlight w:val="none"/>
        </w:rPr>
        <w:t>二   招标文件</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3F901EED">
      <w:pPr>
        <w:keepNext w:val="0"/>
        <w:keepLines w:val="0"/>
        <w:pageBreakBefore w:val="0"/>
        <w:widowControl w:val="0"/>
        <w:numPr>
          <w:ilvl w:val="0"/>
          <w:numId w:val="11"/>
        </w:numPr>
        <w:tabs>
          <w:tab w:val="left" w:pos="360"/>
        </w:tabs>
        <w:kinsoku/>
        <w:wordWrap/>
        <w:overflowPunct/>
        <w:topLinePunct w:val="0"/>
        <w:autoSpaceDE/>
        <w:autoSpaceDN/>
        <w:bidi w:val="0"/>
        <w:adjustRightInd/>
        <w:snapToGrid w:val="0"/>
        <w:spacing w:after="0" w:line="360" w:lineRule="auto"/>
        <w:ind w:left="357" w:hanging="357"/>
        <w:textAlignment w:val="auto"/>
        <w:outlineLvl w:val="1"/>
        <w:rPr>
          <w:rFonts w:hint="eastAsia" w:ascii="宋体" w:hAnsi="宋体" w:cs="宋体"/>
          <w:color w:val="auto"/>
          <w:sz w:val="24"/>
          <w:highlight w:val="none"/>
        </w:rPr>
      </w:pPr>
      <w:bookmarkStart w:id="178" w:name="_Toc127151724"/>
      <w:bookmarkStart w:id="179" w:name="_Toc520356147"/>
      <w:bookmarkStart w:id="180" w:name="_Toc151190150"/>
      <w:bookmarkStart w:id="181" w:name="_Toc226965796"/>
      <w:bookmarkStart w:id="182" w:name="_Toc305158791"/>
      <w:bookmarkStart w:id="183" w:name="_Toc127161437"/>
      <w:bookmarkStart w:id="184" w:name="_Toc265228361"/>
      <w:bookmarkStart w:id="185" w:name="_Toc164229218"/>
      <w:bookmarkStart w:id="186" w:name="_Toc226965713"/>
      <w:bookmarkStart w:id="187" w:name="_Toc164351617"/>
      <w:bookmarkStart w:id="188" w:name="_Toc149720816"/>
      <w:bookmarkStart w:id="189" w:name="_Toc150774623"/>
      <w:bookmarkStart w:id="190" w:name="_Toc164608637"/>
      <w:bookmarkStart w:id="191" w:name="_Toc195842888"/>
      <w:bookmarkStart w:id="192" w:name="_Toc226309767"/>
      <w:bookmarkStart w:id="193" w:name="_Toc150509274"/>
      <w:bookmarkStart w:id="194" w:name="_Toc142311025"/>
      <w:bookmarkStart w:id="195" w:name="_Toc127151523"/>
      <w:bookmarkStart w:id="196" w:name="_Toc151193765"/>
      <w:bookmarkStart w:id="197" w:name="_Toc305158865"/>
      <w:bookmarkStart w:id="198" w:name="_Toc226337219"/>
      <w:bookmarkStart w:id="199" w:name="_Toc264969213"/>
      <w:bookmarkStart w:id="200" w:name="_Toc151193621"/>
      <w:bookmarkStart w:id="201" w:name="_Toc151193911"/>
      <w:bookmarkStart w:id="202" w:name="_Toc151193837"/>
      <w:bookmarkStart w:id="203" w:name="_Toc151193693"/>
      <w:bookmarkStart w:id="204" w:name="_Toc150774728"/>
      <w:bookmarkStart w:id="205" w:name="_Toc164229364"/>
      <w:bookmarkStart w:id="206" w:name="_Toc164608792"/>
      <w:bookmarkStart w:id="207" w:name="_Toc150480761"/>
      <w:r>
        <w:rPr>
          <w:rFonts w:hint="eastAsia" w:ascii="宋体" w:hAnsi="宋体" w:cs="宋体"/>
          <w:color w:val="auto"/>
          <w:sz w:val="24"/>
          <w:highlight w:val="none"/>
        </w:rPr>
        <w:t>招标文件构</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Pr>
          <w:rFonts w:hint="eastAsia" w:ascii="宋体" w:hAnsi="宋体" w:cs="宋体"/>
          <w:color w:val="auto"/>
          <w:sz w:val="24"/>
          <w:highlight w:val="none"/>
        </w:rPr>
        <w:t>成</w:t>
      </w:r>
    </w:p>
    <w:p w14:paraId="16FF48E3">
      <w:pPr>
        <w:keepNext w:val="0"/>
        <w:keepLines w:val="0"/>
        <w:pageBreakBefore w:val="0"/>
        <w:widowControl w:val="0"/>
        <w:numPr>
          <w:ilvl w:val="1"/>
          <w:numId w:val="11"/>
        </w:numPr>
        <w:tabs>
          <w:tab w:val="left" w:pos="1080"/>
          <w:tab w:val="left" w:pos="2014"/>
        </w:tabs>
        <w:kinsoku/>
        <w:wordWrap/>
        <w:overflowPunct/>
        <w:topLinePunct w:val="0"/>
        <w:autoSpaceDE/>
        <w:autoSpaceDN/>
        <w:bidi w:val="0"/>
        <w:adjustRightInd/>
        <w:snapToGrid w:val="0"/>
        <w:spacing w:after="0" w:line="360" w:lineRule="auto"/>
        <w:ind w:left="1080" w:hanging="720"/>
        <w:textAlignment w:val="auto"/>
        <w:rPr>
          <w:rFonts w:hint="eastAsia" w:ascii="宋体" w:hAnsi="宋体" w:cs="宋体"/>
          <w:color w:val="auto"/>
          <w:sz w:val="24"/>
          <w:highlight w:val="none"/>
        </w:rPr>
      </w:pPr>
      <w:r>
        <w:rPr>
          <w:rFonts w:hint="eastAsia" w:ascii="宋体" w:hAnsi="宋体" w:cs="宋体"/>
          <w:color w:val="auto"/>
          <w:sz w:val="24"/>
          <w:highlight w:val="none"/>
        </w:rPr>
        <w:t>招标文件包括以下部分：</w:t>
      </w:r>
    </w:p>
    <w:p w14:paraId="5A9BD753">
      <w:pPr>
        <w:keepNext w:val="0"/>
        <w:keepLines w:val="0"/>
        <w:pageBreakBefore w:val="0"/>
        <w:widowControl w:val="0"/>
        <w:numPr>
          <w:ilvl w:val="0"/>
          <w:numId w:val="13"/>
        </w:numPr>
        <w:tabs>
          <w:tab w:val="left" w:pos="1980"/>
          <w:tab w:val="left" w:pos="2520"/>
        </w:tabs>
        <w:kinsoku/>
        <w:wordWrap/>
        <w:overflowPunct/>
        <w:topLinePunct w:val="0"/>
        <w:autoSpaceDE/>
        <w:autoSpaceDN/>
        <w:bidi w:val="0"/>
        <w:adjustRightInd/>
        <w:snapToGrid w:val="0"/>
        <w:spacing w:after="0" w:line="360" w:lineRule="auto"/>
        <w:ind w:left="1440" w:firstLine="5"/>
        <w:textAlignment w:val="auto"/>
        <w:rPr>
          <w:rFonts w:hint="eastAsia" w:ascii="宋体" w:hAnsi="宋体" w:cs="宋体"/>
          <w:color w:val="auto"/>
          <w:sz w:val="24"/>
          <w:highlight w:val="none"/>
        </w:rPr>
      </w:pPr>
      <w:r>
        <w:rPr>
          <w:rFonts w:hint="eastAsia" w:ascii="宋体" w:hAnsi="宋体" w:cs="宋体"/>
          <w:color w:val="auto"/>
          <w:sz w:val="24"/>
          <w:highlight w:val="none"/>
        </w:rPr>
        <w:t>投标邀请</w:t>
      </w:r>
    </w:p>
    <w:p w14:paraId="27A06119">
      <w:pPr>
        <w:keepNext w:val="0"/>
        <w:keepLines w:val="0"/>
        <w:pageBreakBefore w:val="0"/>
        <w:widowControl w:val="0"/>
        <w:numPr>
          <w:ilvl w:val="0"/>
          <w:numId w:val="13"/>
        </w:numPr>
        <w:tabs>
          <w:tab w:val="left" w:pos="1980"/>
          <w:tab w:val="left" w:pos="2520"/>
        </w:tabs>
        <w:kinsoku/>
        <w:wordWrap/>
        <w:overflowPunct/>
        <w:topLinePunct w:val="0"/>
        <w:autoSpaceDE/>
        <w:autoSpaceDN/>
        <w:bidi w:val="0"/>
        <w:adjustRightInd/>
        <w:snapToGrid w:val="0"/>
        <w:spacing w:after="0" w:line="360" w:lineRule="auto"/>
        <w:ind w:left="1440" w:firstLine="5"/>
        <w:textAlignment w:val="auto"/>
        <w:rPr>
          <w:rFonts w:hint="eastAsia" w:ascii="宋体" w:hAnsi="宋体" w:cs="宋体"/>
          <w:color w:val="auto"/>
          <w:sz w:val="24"/>
          <w:highlight w:val="none"/>
        </w:rPr>
      </w:pPr>
      <w:r>
        <w:rPr>
          <w:rFonts w:hint="eastAsia" w:ascii="宋体" w:hAnsi="宋体" w:cs="宋体"/>
          <w:color w:val="auto"/>
          <w:sz w:val="24"/>
          <w:highlight w:val="none"/>
        </w:rPr>
        <w:t>投标人须知</w:t>
      </w:r>
    </w:p>
    <w:p w14:paraId="4EB9BCAB">
      <w:pPr>
        <w:keepNext w:val="0"/>
        <w:keepLines w:val="0"/>
        <w:pageBreakBefore w:val="0"/>
        <w:widowControl w:val="0"/>
        <w:numPr>
          <w:ilvl w:val="0"/>
          <w:numId w:val="13"/>
        </w:numPr>
        <w:tabs>
          <w:tab w:val="left" w:pos="1980"/>
          <w:tab w:val="left" w:pos="2520"/>
        </w:tabs>
        <w:kinsoku/>
        <w:wordWrap/>
        <w:overflowPunct/>
        <w:topLinePunct w:val="0"/>
        <w:autoSpaceDE/>
        <w:autoSpaceDN/>
        <w:bidi w:val="0"/>
        <w:adjustRightInd/>
        <w:snapToGrid w:val="0"/>
        <w:spacing w:after="0" w:line="360" w:lineRule="auto"/>
        <w:ind w:left="1440" w:firstLine="5"/>
        <w:textAlignment w:val="auto"/>
        <w:rPr>
          <w:rFonts w:hint="eastAsia" w:ascii="宋体" w:hAnsi="宋体" w:cs="宋体"/>
          <w:color w:val="auto"/>
          <w:sz w:val="24"/>
          <w:highlight w:val="none"/>
        </w:rPr>
      </w:pPr>
      <w:r>
        <w:rPr>
          <w:rFonts w:hint="eastAsia" w:ascii="宋体" w:hAnsi="宋体" w:cs="宋体"/>
          <w:color w:val="auto"/>
          <w:sz w:val="24"/>
          <w:highlight w:val="none"/>
        </w:rPr>
        <w:t>资格审查</w:t>
      </w:r>
    </w:p>
    <w:p w14:paraId="4687DBFD">
      <w:pPr>
        <w:keepNext w:val="0"/>
        <w:keepLines w:val="0"/>
        <w:pageBreakBefore w:val="0"/>
        <w:widowControl w:val="0"/>
        <w:numPr>
          <w:ilvl w:val="0"/>
          <w:numId w:val="13"/>
        </w:numPr>
        <w:tabs>
          <w:tab w:val="left" w:pos="1980"/>
          <w:tab w:val="left" w:pos="2520"/>
        </w:tabs>
        <w:kinsoku/>
        <w:wordWrap/>
        <w:overflowPunct/>
        <w:topLinePunct w:val="0"/>
        <w:autoSpaceDE/>
        <w:autoSpaceDN/>
        <w:bidi w:val="0"/>
        <w:adjustRightInd/>
        <w:snapToGrid w:val="0"/>
        <w:spacing w:after="0" w:line="360" w:lineRule="auto"/>
        <w:ind w:left="1440" w:firstLine="5"/>
        <w:textAlignment w:val="auto"/>
        <w:rPr>
          <w:rFonts w:hint="eastAsia" w:ascii="宋体" w:hAnsi="宋体" w:cs="宋体"/>
          <w:color w:val="auto"/>
          <w:sz w:val="24"/>
          <w:highlight w:val="none"/>
        </w:rPr>
      </w:pPr>
      <w:r>
        <w:rPr>
          <w:rFonts w:hint="eastAsia" w:ascii="宋体" w:hAnsi="宋体" w:cs="宋体"/>
          <w:color w:val="auto"/>
          <w:sz w:val="24"/>
          <w:highlight w:val="none"/>
        </w:rPr>
        <w:t>评标程序、评标方法和评标标准</w:t>
      </w:r>
    </w:p>
    <w:p w14:paraId="650F5A04">
      <w:pPr>
        <w:keepNext w:val="0"/>
        <w:keepLines w:val="0"/>
        <w:pageBreakBefore w:val="0"/>
        <w:widowControl w:val="0"/>
        <w:numPr>
          <w:ilvl w:val="0"/>
          <w:numId w:val="13"/>
        </w:numPr>
        <w:tabs>
          <w:tab w:val="left" w:pos="1980"/>
          <w:tab w:val="left" w:pos="2520"/>
        </w:tabs>
        <w:kinsoku/>
        <w:wordWrap/>
        <w:overflowPunct/>
        <w:topLinePunct w:val="0"/>
        <w:autoSpaceDE/>
        <w:autoSpaceDN/>
        <w:bidi w:val="0"/>
        <w:adjustRightInd/>
        <w:snapToGrid w:val="0"/>
        <w:spacing w:after="0" w:line="360" w:lineRule="auto"/>
        <w:ind w:left="1440" w:firstLine="5"/>
        <w:textAlignment w:val="auto"/>
        <w:rPr>
          <w:rFonts w:hint="eastAsia" w:ascii="宋体" w:hAnsi="宋体" w:cs="宋体"/>
          <w:color w:val="auto"/>
          <w:sz w:val="24"/>
          <w:highlight w:val="none"/>
        </w:rPr>
      </w:pPr>
      <w:r>
        <w:rPr>
          <w:rFonts w:hint="eastAsia" w:ascii="宋体" w:hAnsi="宋体" w:cs="宋体"/>
          <w:color w:val="auto"/>
          <w:sz w:val="24"/>
          <w:highlight w:val="none"/>
        </w:rPr>
        <w:t>采购需求</w:t>
      </w:r>
    </w:p>
    <w:p w14:paraId="18FD34E1">
      <w:pPr>
        <w:keepNext w:val="0"/>
        <w:keepLines w:val="0"/>
        <w:pageBreakBefore w:val="0"/>
        <w:widowControl w:val="0"/>
        <w:numPr>
          <w:ilvl w:val="0"/>
          <w:numId w:val="13"/>
        </w:numPr>
        <w:tabs>
          <w:tab w:val="left" w:pos="1980"/>
          <w:tab w:val="left" w:pos="2520"/>
        </w:tabs>
        <w:kinsoku/>
        <w:wordWrap/>
        <w:overflowPunct/>
        <w:topLinePunct w:val="0"/>
        <w:autoSpaceDE/>
        <w:autoSpaceDN/>
        <w:bidi w:val="0"/>
        <w:adjustRightInd/>
        <w:snapToGrid w:val="0"/>
        <w:spacing w:after="0" w:line="360" w:lineRule="auto"/>
        <w:ind w:left="1440" w:firstLine="5"/>
        <w:textAlignment w:val="auto"/>
        <w:rPr>
          <w:rFonts w:hint="eastAsia" w:ascii="宋体" w:hAnsi="宋体" w:cs="宋体"/>
          <w:color w:val="auto"/>
          <w:sz w:val="24"/>
          <w:highlight w:val="none"/>
        </w:rPr>
      </w:pPr>
      <w:r>
        <w:rPr>
          <w:rFonts w:hint="eastAsia" w:ascii="宋体" w:hAnsi="宋体" w:cs="宋体"/>
          <w:color w:val="auto"/>
          <w:sz w:val="24"/>
          <w:highlight w:val="none"/>
        </w:rPr>
        <w:t>拟签订的合同文本</w:t>
      </w:r>
    </w:p>
    <w:p w14:paraId="44E26505">
      <w:pPr>
        <w:keepNext w:val="0"/>
        <w:keepLines w:val="0"/>
        <w:pageBreakBefore w:val="0"/>
        <w:widowControl w:val="0"/>
        <w:numPr>
          <w:ilvl w:val="0"/>
          <w:numId w:val="13"/>
        </w:numPr>
        <w:tabs>
          <w:tab w:val="left" w:pos="1980"/>
          <w:tab w:val="left" w:pos="2520"/>
        </w:tabs>
        <w:kinsoku/>
        <w:wordWrap/>
        <w:overflowPunct/>
        <w:topLinePunct w:val="0"/>
        <w:autoSpaceDE/>
        <w:autoSpaceDN/>
        <w:bidi w:val="0"/>
        <w:adjustRightInd/>
        <w:snapToGrid w:val="0"/>
        <w:spacing w:after="0" w:line="360" w:lineRule="auto"/>
        <w:ind w:left="1440" w:firstLine="5"/>
        <w:textAlignment w:val="auto"/>
        <w:rPr>
          <w:rFonts w:hint="eastAsia" w:ascii="宋体" w:hAnsi="宋体" w:cs="宋体"/>
          <w:color w:val="auto"/>
          <w:sz w:val="24"/>
          <w:highlight w:val="none"/>
        </w:rPr>
      </w:pPr>
      <w:r>
        <w:rPr>
          <w:rFonts w:hint="eastAsia" w:ascii="宋体" w:hAnsi="宋体" w:cs="宋体"/>
          <w:color w:val="auto"/>
          <w:sz w:val="24"/>
          <w:highlight w:val="none"/>
        </w:rPr>
        <w:t>投标文件格式</w:t>
      </w:r>
    </w:p>
    <w:p w14:paraId="3C4A3D05">
      <w:pPr>
        <w:keepNext w:val="0"/>
        <w:keepLines w:val="0"/>
        <w:pageBreakBefore w:val="0"/>
        <w:widowControl w:val="0"/>
        <w:numPr>
          <w:ilvl w:val="1"/>
          <w:numId w:val="11"/>
        </w:numPr>
        <w:tabs>
          <w:tab w:val="left" w:pos="1080"/>
          <w:tab w:val="left" w:pos="2014"/>
        </w:tabs>
        <w:kinsoku/>
        <w:wordWrap/>
        <w:overflowPunct/>
        <w:topLinePunct w:val="0"/>
        <w:autoSpaceDE/>
        <w:autoSpaceDN/>
        <w:bidi w:val="0"/>
        <w:adjustRightInd/>
        <w:snapToGrid w:val="0"/>
        <w:spacing w:after="0" w:line="360" w:lineRule="auto"/>
        <w:ind w:left="1080" w:hanging="720"/>
        <w:textAlignment w:val="auto"/>
        <w:rPr>
          <w:rFonts w:hint="eastAsia" w:ascii="宋体" w:hAnsi="宋体" w:cs="宋体"/>
          <w:color w:val="auto"/>
          <w:sz w:val="24"/>
          <w:highlight w:val="none"/>
        </w:rPr>
      </w:pPr>
      <w:r>
        <w:rPr>
          <w:rFonts w:hint="eastAsia" w:ascii="宋体" w:hAnsi="宋体" w:cs="宋体"/>
          <w:color w:val="auto"/>
          <w:sz w:val="24"/>
          <w:highlight w:val="none"/>
        </w:rPr>
        <w:t>投标人应认真阅读招标文件的全部内容。投标人应按照招标文件要求提交投标文件并保证所提供的全部资料的真实性，并对招标文件做出实质性响应，否则</w:t>
      </w:r>
      <w:r>
        <w:rPr>
          <w:rFonts w:hint="eastAsia" w:ascii="宋体" w:hAnsi="宋体" w:cs="宋体"/>
          <w:b/>
          <w:color w:val="auto"/>
          <w:sz w:val="24"/>
          <w:highlight w:val="none"/>
        </w:rPr>
        <w:t>投标无效</w:t>
      </w:r>
      <w:r>
        <w:rPr>
          <w:rFonts w:hint="eastAsia" w:ascii="宋体" w:hAnsi="宋体" w:cs="宋体"/>
          <w:color w:val="auto"/>
          <w:sz w:val="24"/>
          <w:highlight w:val="none"/>
        </w:rPr>
        <w:t>。</w:t>
      </w:r>
    </w:p>
    <w:p w14:paraId="0713B83F">
      <w:pPr>
        <w:keepNext w:val="0"/>
        <w:keepLines w:val="0"/>
        <w:pageBreakBefore w:val="0"/>
        <w:widowControl w:val="0"/>
        <w:numPr>
          <w:ilvl w:val="0"/>
          <w:numId w:val="11"/>
        </w:numPr>
        <w:tabs>
          <w:tab w:val="left" w:pos="1080"/>
          <w:tab w:val="left" w:pos="2014"/>
        </w:tabs>
        <w:kinsoku/>
        <w:wordWrap/>
        <w:overflowPunct/>
        <w:topLinePunct w:val="0"/>
        <w:autoSpaceDE/>
        <w:autoSpaceDN/>
        <w:bidi w:val="0"/>
        <w:adjustRightInd/>
        <w:snapToGrid w:val="0"/>
        <w:spacing w:after="0" w:line="360" w:lineRule="auto"/>
        <w:ind w:left="357" w:hanging="357"/>
        <w:textAlignment w:val="auto"/>
        <w:outlineLvl w:val="1"/>
        <w:rPr>
          <w:rFonts w:hint="eastAsia" w:ascii="宋体" w:hAnsi="宋体" w:cs="宋体"/>
          <w:color w:val="auto"/>
          <w:sz w:val="24"/>
          <w:highlight w:val="none"/>
        </w:rPr>
      </w:pPr>
      <w:r>
        <w:rPr>
          <w:rFonts w:hint="eastAsia" w:ascii="宋体" w:hAnsi="宋体" w:cs="宋体"/>
          <w:color w:val="auto"/>
          <w:sz w:val="24"/>
          <w:highlight w:val="none"/>
        </w:rPr>
        <w:t>对招标文件的澄清或修改</w:t>
      </w:r>
    </w:p>
    <w:p w14:paraId="1A8FEAAF">
      <w:pPr>
        <w:keepNext w:val="0"/>
        <w:keepLines w:val="0"/>
        <w:pageBreakBefore w:val="0"/>
        <w:widowControl w:val="0"/>
        <w:numPr>
          <w:ilvl w:val="1"/>
          <w:numId w:val="11"/>
        </w:numPr>
        <w:tabs>
          <w:tab w:val="left" w:pos="1080"/>
          <w:tab w:val="left" w:pos="1561"/>
          <w:tab w:val="left" w:pos="2014"/>
        </w:tabs>
        <w:kinsoku/>
        <w:wordWrap/>
        <w:overflowPunct/>
        <w:topLinePunct w:val="0"/>
        <w:autoSpaceDE/>
        <w:autoSpaceDN/>
        <w:bidi w:val="0"/>
        <w:adjustRightInd/>
        <w:snapToGrid w:val="0"/>
        <w:spacing w:after="0" w:line="360" w:lineRule="auto"/>
        <w:ind w:left="1080" w:hanging="720"/>
        <w:textAlignment w:val="auto"/>
        <w:rPr>
          <w:rFonts w:hint="eastAsia" w:ascii="宋体" w:hAnsi="宋体" w:cs="宋体"/>
          <w:color w:val="auto"/>
          <w:sz w:val="24"/>
          <w:highlight w:val="none"/>
        </w:rPr>
      </w:pPr>
      <w:r>
        <w:rPr>
          <w:rFonts w:hint="eastAsia" w:ascii="宋体" w:hAnsi="宋体" w:cs="宋体"/>
          <w:color w:val="auto"/>
          <w:sz w:val="24"/>
          <w:highlight w:val="none"/>
        </w:rPr>
        <w:t>采购人或采购代理机构对已发出的招标文件进行必要澄清或者修改的，将在原公告发布媒体上发布更正公告，并以书面形式通知所有获取招标文件的潜在投标人。</w:t>
      </w:r>
    </w:p>
    <w:p w14:paraId="1E2AEBFB">
      <w:pPr>
        <w:keepNext w:val="0"/>
        <w:keepLines w:val="0"/>
        <w:pageBreakBefore w:val="0"/>
        <w:widowControl w:val="0"/>
        <w:numPr>
          <w:ilvl w:val="1"/>
          <w:numId w:val="11"/>
        </w:numPr>
        <w:tabs>
          <w:tab w:val="left" w:pos="1080"/>
          <w:tab w:val="left" w:pos="1561"/>
          <w:tab w:val="left" w:pos="2014"/>
        </w:tabs>
        <w:kinsoku/>
        <w:wordWrap/>
        <w:overflowPunct/>
        <w:topLinePunct w:val="0"/>
        <w:autoSpaceDE/>
        <w:autoSpaceDN/>
        <w:bidi w:val="0"/>
        <w:adjustRightInd/>
        <w:snapToGrid w:val="0"/>
        <w:spacing w:after="0" w:line="360" w:lineRule="auto"/>
        <w:ind w:left="1080" w:hanging="720"/>
        <w:textAlignment w:val="auto"/>
        <w:rPr>
          <w:rFonts w:hint="eastAsia" w:ascii="宋体" w:hAnsi="宋体" w:cs="宋体"/>
          <w:color w:val="auto"/>
          <w:sz w:val="24"/>
          <w:highlight w:val="none"/>
        </w:rPr>
      </w:pPr>
      <w:r>
        <w:rPr>
          <w:rFonts w:hint="eastAsia" w:ascii="宋体" w:hAnsi="宋体" w:cs="宋体"/>
          <w:color w:val="auto"/>
          <w:sz w:val="24"/>
          <w:highlight w:val="none"/>
        </w:rPr>
        <w:t>上述书面通知，按照获取招标文件的潜在投标人提供的联系方式发出，因提供的信息有误导致通知延迟或无法通知的，采购人或采购代理机构不承担责任。</w:t>
      </w:r>
    </w:p>
    <w:p w14:paraId="6FABBCB2">
      <w:pPr>
        <w:keepNext w:val="0"/>
        <w:keepLines w:val="0"/>
        <w:pageBreakBefore w:val="0"/>
        <w:widowControl w:val="0"/>
        <w:numPr>
          <w:ilvl w:val="1"/>
          <w:numId w:val="11"/>
        </w:numPr>
        <w:tabs>
          <w:tab w:val="left" w:pos="1080"/>
          <w:tab w:val="left" w:pos="1561"/>
          <w:tab w:val="left" w:pos="2014"/>
        </w:tabs>
        <w:kinsoku/>
        <w:wordWrap/>
        <w:overflowPunct/>
        <w:topLinePunct w:val="0"/>
        <w:autoSpaceDE/>
        <w:autoSpaceDN/>
        <w:bidi w:val="0"/>
        <w:adjustRightInd/>
        <w:snapToGrid w:val="0"/>
        <w:spacing w:after="0" w:line="360" w:lineRule="auto"/>
        <w:ind w:left="1080" w:hanging="720"/>
        <w:textAlignment w:val="auto"/>
        <w:rPr>
          <w:rFonts w:hint="eastAsia" w:ascii="宋体" w:hAnsi="宋体" w:cs="宋体"/>
          <w:color w:val="auto"/>
          <w:sz w:val="24"/>
          <w:highlight w:val="none"/>
        </w:rPr>
      </w:pPr>
      <w:r>
        <w:rPr>
          <w:rFonts w:hint="eastAsia" w:ascii="宋体" w:hAnsi="宋体" w:cs="宋体"/>
          <w:color w:val="auto"/>
          <w:sz w:val="24"/>
          <w:highlight w:val="none"/>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2A72E191">
      <w:pPr>
        <w:tabs>
          <w:tab w:val="left" w:pos="1080"/>
          <w:tab w:val="left" w:pos="1561"/>
        </w:tabs>
        <w:snapToGrid w:val="0"/>
        <w:spacing w:line="360" w:lineRule="auto"/>
        <w:ind w:left="1080"/>
        <w:rPr>
          <w:rFonts w:hint="eastAsia" w:ascii="宋体" w:hAnsi="宋体" w:cs="宋体"/>
          <w:color w:val="auto"/>
          <w:sz w:val="28"/>
          <w:highlight w:val="none"/>
        </w:rPr>
      </w:pPr>
      <w:bookmarkStart w:id="208" w:name="_Toc516367020"/>
      <w:bookmarkStart w:id="209" w:name="_Toc151193840"/>
      <w:bookmarkStart w:id="210" w:name="_Toc151193696"/>
      <w:bookmarkStart w:id="211" w:name="_Toc127151526"/>
      <w:bookmarkStart w:id="212" w:name="_Toc226337222"/>
      <w:bookmarkStart w:id="213" w:name="_Toc195842891"/>
      <w:bookmarkStart w:id="214" w:name="_Toc226965799"/>
      <w:bookmarkStart w:id="215" w:name="_Toc226965716"/>
      <w:bookmarkStart w:id="216" w:name="_Toc151193624"/>
      <w:bookmarkStart w:id="217" w:name="_Toc305158794"/>
      <w:bookmarkStart w:id="218" w:name="_Toc265228364"/>
      <w:bookmarkStart w:id="219" w:name="_Toc520356150"/>
      <w:bookmarkStart w:id="220" w:name="_Toc151193768"/>
      <w:bookmarkStart w:id="221" w:name="_Toc151190153"/>
      <w:bookmarkStart w:id="222" w:name="_Toc226309770"/>
      <w:bookmarkStart w:id="223" w:name="_Toc151193914"/>
      <w:bookmarkStart w:id="224" w:name="_Toc150480764"/>
      <w:bookmarkStart w:id="225" w:name="_Toc150774731"/>
      <w:bookmarkStart w:id="226" w:name="_Toc150509277"/>
      <w:bookmarkStart w:id="227" w:name="_Toc305158868"/>
      <w:bookmarkStart w:id="228" w:name="_Toc264969216"/>
      <w:bookmarkStart w:id="229" w:name="_Toc150774626"/>
      <w:bookmarkStart w:id="230" w:name="_Toc142311028"/>
    </w:p>
    <w:p w14:paraId="1444368B">
      <w:pPr>
        <w:pStyle w:val="3"/>
        <w:ind w:firstLine="562"/>
        <w:rPr>
          <w:rFonts w:hint="eastAsia" w:ascii="宋体" w:hAnsi="宋体" w:cs="宋体"/>
          <w:color w:val="auto"/>
          <w:sz w:val="28"/>
          <w:highlight w:val="none"/>
        </w:rPr>
      </w:pPr>
      <w:r>
        <w:rPr>
          <w:rFonts w:hint="eastAsia" w:ascii="宋体" w:hAnsi="宋体" w:cs="宋体"/>
          <w:color w:val="auto"/>
          <w:sz w:val="28"/>
          <w:highlight w:val="none"/>
        </w:rPr>
        <w:t>三   投标文件</w:t>
      </w:r>
      <w:bookmarkEnd w:id="208"/>
      <w:r>
        <w:rPr>
          <w:rFonts w:hint="eastAsia" w:ascii="宋体" w:hAnsi="宋体" w:cs="宋体"/>
          <w:color w:val="auto"/>
          <w:sz w:val="28"/>
          <w:highlight w:val="none"/>
        </w:rPr>
        <w:t>的编制</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17ED352F">
      <w:pPr>
        <w:keepNext w:val="0"/>
        <w:keepLines w:val="0"/>
        <w:pageBreakBefore w:val="0"/>
        <w:widowControl w:val="0"/>
        <w:numPr>
          <w:ilvl w:val="0"/>
          <w:numId w:val="11"/>
        </w:numPr>
        <w:tabs>
          <w:tab w:val="left" w:pos="360"/>
        </w:tabs>
        <w:kinsoku/>
        <w:wordWrap/>
        <w:overflowPunct/>
        <w:topLinePunct w:val="0"/>
        <w:autoSpaceDE/>
        <w:autoSpaceDN/>
        <w:bidi w:val="0"/>
        <w:adjustRightInd/>
        <w:snapToGrid w:val="0"/>
        <w:spacing w:after="0" w:line="360" w:lineRule="auto"/>
        <w:ind w:left="357" w:hanging="357"/>
        <w:textAlignment w:val="auto"/>
        <w:outlineLvl w:val="1"/>
        <w:rPr>
          <w:rFonts w:hint="eastAsia" w:ascii="宋体" w:hAnsi="宋体" w:cs="宋体"/>
          <w:color w:val="auto"/>
          <w:sz w:val="24"/>
          <w:highlight w:val="none"/>
        </w:rPr>
      </w:pPr>
      <w:bookmarkStart w:id="231" w:name="_Toc127161441"/>
      <w:bookmarkStart w:id="232" w:name="_Toc164351621"/>
      <w:bookmarkStart w:id="233" w:name="_Toc127151728"/>
      <w:bookmarkStart w:id="234" w:name="_Toc150509278"/>
      <w:bookmarkStart w:id="235" w:name="_Toc150774627"/>
      <w:bookmarkStart w:id="236" w:name="_Toc151193625"/>
      <w:bookmarkStart w:id="237" w:name="_Toc151193697"/>
      <w:bookmarkStart w:id="238" w:name="_Toc151190154"/>
      <w:bookmarkStart w:id="239" w:name="_Toc127151527"/>
      <w:bookmarkStart w:id="240" w:name="_Toc151193915"/>
      <w:bookmarkStart w:id="241" w:name="_Toc142311029"/>
      <w:bookmarkStart w:id="242" w:name="_Toc150480765"/>
      <w:bookmarkStart w:id="243" w:name="_Toc305158795"/>
      <w:bookmarkStart w:id="244" w:name="_Toc149720820"/>
      <w:bookmarkStart w:id="245" w:name="_Toc164608641"/>
      <w:bookmarkStart w:id="246" w:name="_Toc520356151"/>
      <w:bookmarkStart w:id="247" w:name="_Toc305158869"/>
      <w:bookmarkStart w:id="248" w:name="_Toc164229222"/>
      <w:bookmarkStart w:id="249" w:name="_Toc151193769"/>
      <w:bookmarkStart w:id="250" w:name="_Toc164608796"/>
      <w:bookmarkStart w:id="251" w:name="_Toc226337223"/>
      <w:bookmarkStart w:id="252" w:name="_Toc516367021"/>
      <w:bookmarkStart w:id="253" w:name="_Toc164229368"/>
      <w:bookmarkStart w:id="254" w:name="_Toc265228365"/>
      <w:bookmarkStart w:id="255" w:name="_Toc226965717"/>
      <w:bookmarkStart w:id="256" w:name="_Toc226309771"/>
      <w:bookmarkStart w:id="257" w:name="_Toc195842892"/>
      <w:bookmarkStart w:id="258" w:name="_Toc264969217"/>
      <w:bookmarkStart w:id="259" w:name="_Toc151193841"/>
      <w:bookmarkStart w:id="260" w:name="_Toc150774732"/>
      <w:bookmarkStart w:id="261" w:name="_Toc226965800"/>
      <w:r>
        <w:rPr>
          <w:rFonts w:hint="eastAsia" w:ascii="宋体" w:hAnsi="宋体" w:cs="宋体"/>
          <w:color w:val="auto"/>
          <w:sz w:val="24"/>
          <w:highlight w:val="none"/>
        </w:rPr>
        <w:t>投标范围、投标文件中计量单位的使用</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Pr>
          <w:rFonts w:hint="eastAsia" w:ascii="宋体" w:hAnsi="宋体" w:cs="宋体"/>
          <w:color w:val="auto"/>
          <w:sz w:val="24"/>
          <w:highlight w:val="none"/>
        </w:rPr>
        <w:t>及投标语言</w:t>
      </w:r>
    </w:p>
    <w:p w14:paraId="021E18E1">
      <w:pPr>
        <w:keepNext w:val="0"/>
        <w:keepLines w:val="0"/>
        <w:pageBreakBefore w:val="0"/>
        <w:widowControl w:val="0"/>
        <w:numPr>
          <w:ilvl w:val="1"/>
          <w:numId w:val="11"/>
        </w:numPr>
        <w:tabs>
          <w:tab w:val="left" w:pos="1080"/>
          <w:tab w:val="left" w:pos="2014"/>
        </w:tabs>
        <w:kinsoku/>
        <w:wordWrap/>
        <w:overflowPunct/>
        <w:topLinePunct w:val="0"/>
        <w:autoSpaceDE/>
        <w:autoSpaceDN/>
        <w:bidi w:val="0"/>
        <w:adjustRightInd/>
        <w:snapToGrid w:val="0"/>
        <w:spacing w:after="0" w:line="360" w:lineRule="auto"/>
        <w:ind w:left="1080" w:hanging="720"/>
        <w:textAlignment w:val="auto"/>
        <w:rPr>
          <w:rFonts w:hint="eastAsia" w:ascii="宋体" w:hAnsi="宋体" w:cs="宋体"/>
          <w:color w:val="auto"/>
          <w:sz w:val="24"/>
          <w:highlight w:val="none"/>
        </w:rPr>
      </w:pPr>
      <w:r>
        <w:rPr>
          <w:rFonts w:hint="eastAsia" w:ascii="宋体" w:hAnsi="宋体" w:cs="宋体"/>
          <w:color w:val="auto"/>
          <w:sz w:val="24"/>
          <w:highlight w:val="none"/>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hint="eastAsia" w:ascii="宋体" w:hAnsi="宋体" w:cs="宋体"/>
          <w:b/>
          <w:color w:val="auto"/>
          <w:sz w:val="24"/>
          <w:highlight w:val="none"/>
        </w:rPr>
        <w:t>无效投标</w:t>
      </w:r>
      <w:r>
        <w:rPr>
          <w:rFonts w:hint="eastAsia" w:ascii="宋体" w:hAnsi="宋体" w:cs="宋体"/>
          <w:color w:val="auto"/>
          <w:sz w:val="24"/>
          <w:highlight w:val="none"/>
        </w:rPr>
        <w:t>。</w:t>
      </w:r>
    </w:p>
    <w:p w14:paraId="57AD2A2E">
      <w:pPr>
        <w:keepNext w:val="0"/>
        <w:keepLines w:val="0"/>
        <w:pageBreakBefore w:val="0"/>
        <w:widowControl w:val="0"/>
        <w:numPr>
          <w:ilvl w:val="1"/>
          <w:numId w:val="11"/>
        </w:numPr>
        <w:tabs>
          <w:tab w:val="left" w:pos="1080"/>
          <w:tab w:val="left" w:pos="2014"/>
        </w:tabs>
        <w:kinsoku/>
        <w:wordWrap/>
        <w:overflowPunct/>
        <w:topLinePunct w:val="0"/>
        <w:autoSpaceDE/>
        <w:autoSpaceDN/>
        <w:bidi w:val="0"/>
        <w:adjustRightInd/>
        <w:snapToGrid w:val="0"/>
        <w:spacing w:after="0" w:line="360" w:lineRule="auto"/>
        <w:ind w:left="1080" w:hanging="720"/>
        <w:textAlignment w:val="auto"/>
        <w:rPr>
          <w:rFonts w:hint="eastAsia" w:ascii="宋体" w:hAnsi="宋体" w:cs="宋体"/>
          <w:color w:val="auto"/>
          <w:sz w:val="24"/>
          <w:highlight w:val="none"/>
        </w:rPr>
      </w:pPr>
      <w:r>
        <w:rPr>
          <w:rFonts w:hint="eastAsia" w:ascii="宋体" w:hAnsi="宋体" w:cs="宋体"/>
          <w:color w:val="auto"/>
          <w:sz w:val="24"/>
          <w:highlight w:val="none"/>
        </w:rPr>
        <w:t>除招标文件有特殊要求外，本项目投标所使用的计量单位，应采用中华人民共和国法定计量单位。</w:t>
      </w:r>
    </w:p>
    <w:p w14:paraId="29381AA1">
      <w:pPr>
        <w:keepNext w:val="0"/>
        <w:keepLines w:val="0"/>
        <w:pageBreakBefore w:val="0"/>
        <w:widowControl w:val="0"/>
        <w:numPr>
          <w:ilvl w:val="1"/>
          <w:numId w:val="11"/>
        </w:numPr>
        <w:tabs>
          <w:tab w:val="left" w:pos="1080"/>
          <w:tab w:val="left" w:pos="2014"/>
        </w:tabs>
        <w:kinsoku/>
        <w:wordWrap/>
        <w:overflowPunct/>
        <w:topLinePunct w:val="0"/>
        <w:autoSpaceDE/>
        <w:autoSpaceDN/>
        <w:bidi w:val="0"/>
        <w:adjustRightInd/>
        <w:snapToGrid w:val="0"/>
        <w:spacing w:after="0" w:line="360" w:lineRule="auto"/>
        <w:ind w:left="1080" w:hanging="720"/>
        <w:textAlignment w:val="auto"/>
        <w:rPr>
          <w:rFonts w:hint="eastAsia" w:ascii="宋体" w:hAnsi="宋体" w:cs="宋体"/>
          <w:color w:val="auto"/>
          <w:sz w:val="24"/>
          <w:highlight w:val="none"/>
        </w:rPr>
      </w:pPr>
      <w:r>
        <w:rPr>
          <w:rFonts w:hint="eastAsia" w:ascii="宋体" w:hAnsi="宋体" w:cs="宋体"/>
          <w:color w:val="auto"/>
          <w:sz w:val="24"/>
          <w:highlight w:val="none"/>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68625CE4">
      <w:pPr>
        <w:keepNext w:val="0"/>
        <w:keepLines w:val="0"/>
        <w:pageBreakBefore w:val="0"/>
        <w:widowControl w:val="0"/>
        <w:numPr>
          <w:ilvl w:val="1"/>
          <w:numId w:val="11"/>
        </w:numPr>
        <w:tabs>
          <w:tab w:val="left" w:pos="1080"/>
          <w:tab w:val="left" w:pos="2014"/>
        </w:tabs>
        <w:kinsoku/>
        <w:wordWrap/>
        <w:overflowPunct/>
        <w:topLinePunct w:val="0"/>
        <w:autoSpaceDE/>
        <w:autoSpaceDN/>
        <w:bidi w:val="0"/>
        <w:adjustRightInd/>
        <w:snapToGrid w:val="0"/>
        <w:spacing w:after="0" w:line="360" w:lineRule="auto"/>
        <w:ind w:left="1080" w:hanging="720"/>
        <w:textAlignment w:val="auto"/>
        <w:rPr>
          <w:rFonts w:hint="eastAsia" w:ascii="宋体" w:hAnsi="宋体" w:cs="宋体"/>
          <w:color w:val="auto"/>
          <w:sz w:val="24"/>
          <w:highlight w:val="none"/>
        </w:rPr>
      </w:pPr>
      <w:r>
        <w:rPr>
          <w:rFonts w:hint="eastAsia" w:ascii="宋体" w:hAnsi="宋体" w:cs="宋体"/>
          <w:color w:val="auto"/>
          <w:sz w:val="24"/>
          <w:highlight w:val="none"/>
        </w:rPr>
        <w:t>若供应商对本项目的多个包(如有)同时进行响应，则响应文件的编制、包装要求见《投标人须知资料表》。</w:t>
      </w:r>
    </w:p>
    <w:p w14:paraId="20927ED5">
      <w:pPr>
        <w:keepNext w:val="0"/>
        <w:keepLines w:val="0"/>
        <w:pageBreakBefore w:val="0"/>
        <w:widowControl w:val="0"/>
        <w:numPr>
          <w:ilvl w:val="0"/>
          <w:numId w:val="11"/>
        </w:numPr>
        <w:tabs>
          <w:tab w:val="left" w:pos="360"/>
        </w:tabs>
        <w:kinsoku/>
        <w:wordWrap/>
        <w:overflowPunct/>
        <w:topLinePunct w:val="0"/>
        <w:autoSpaceDE/>
        <w:autoSpaceDN/>
        <w:bidi w:val="0"/>
        <w:adjustRightInd/>
        <w:snapToGrid w:val="0"/>
        <w:spacing w:after="0" w:line="360" w:lineRule="auto"/>
        <w:ind w:left="357" w:hanging="357"/>
        <w:textAlignment w:val="auto"/>
        <w:outlineLvl w:val="1"/>
        <w:rPr>
          <w:rFonts w:hint="eastAsia" w:ascii="宋体" w:hAnsi="宋体" w:cs="宋体"/>
          <w:color w:val="auto"/>
          <w:sz w:val="24"/>
          <w:highlight w:val="none"/>
        </w:rPr>
      </w:pPr>
      <w:bookmarkStart w:id="262" w:name="_Ref467306676"/>
      <w:bookmarkStart w:id="263" w:name="_Toc516367022"/>
      <w:bookmarkStart w:id="264" w:name="_Ref467306195"/>
      <w:bookmarkStart w:id="265" w:name="_Toc226965718"/>
      <w:bookmarkStart w:id="266" w:name="_Toc150509279"/>
      <w:bookmarkStart w:id="267" w:name="_Toc150774628"/>
      <w:bookmarkStart w:id="268" w:name="_Toc226309772"/>
      <w:bookmarkStart w:id="269" w:name="_Toc151193916"/>
      <w:bookmarkStart w:id="270" w:name="_Toc150774733"/>
      <w:bookmarkStart w:id="271" w:name="_Toc226965801"/>
      <w:bookmarkStart w:id="272" w:name="_Toc127161442"/>
      <w:bookmarkStart w:id="273" w:name="_Toc226337224"/>
      <w:bookmarkStart w:id="274" w:name="_Toc164608642"/>
      <w:bookmarkStart w:id="275" w:name="_Toc305158870"/>
      <w:bookmarkStart w:id="276" w:name="_Toc151193770"/>
      <w:bookmarkStart w:id="277" w:name="_Toc195842893"/>
      <w:bookmarkStart w:id="278" w:name="_Toc142311030"/>
      <w:bookmarkStart w:id="279" w:name="_Toc151190155"/>
      <w:bookmarkStart w:id="280" w:name="_Toc127151528"/>
      <w:bookmarkStart w:id="281" w:name="_Toc265228366"/>
      <w:bookmarkStart w:id="282" w:name="_Toc149720821"/>
      <w:bookmarkStart w:id="283" w:name="_Toc127151729"/>
      <w:bookmarkStart w:id="284" w:name="_Toc151193842"/>
      <w:bookmarkStart w:id="285" w:name="_Toc150480766"/>
      <w:bookmarkStart w:id="286" w:name="_Toc151193698"/>
      <w:bookmarkStart w:id="287" w:name="_Toc164351622"/>
      <w:bookmarkStart w:id="288" w:name="_Toc151193626"/>
      <w:bookmarkStart w:id="289" w:name="_Toc264969218"/>
      <w:bookmarkStart w:id="290" w:name="_Toc164608797"/>
      <w:bookmarkStart w:id="291" w:name="_Toc305158796"/>
      <w:bookmarkStart w:id="292" w:name="_Toc164229223"/>
      <w:bookmarkStart w:id="293" w:name="_Toc164229369"/>
      <w:bookmarkStart w:id="294" w:name="_Toc520356152"/>
      <w:r>
        <w:rPr>
          <w:rFonts w:hint="eastAsia" w:ascii="宋体" w:hAnsi="宋体" w:cs="宋体"/>
          <w:color w:val="auto"/>
          <w:sz w:val="24"/>
          <w:highlight w:val="none"/>
        </w:rPr>
        <w:t>投标文件</w:t>
      </w:r>
      <w:bookmarkEnd w:id="262"/>
      <w:bookmarkEnd w:id="263"/>
      <w:bookmarkEnd w:id="264"/>
      <w:r>
        <w:rPr>
          <w:rFonts w:hint="eastAsia" w:ascii="宋体" w:hAnsi="宋体" w:cs="宋体"/>
          <w:color w:val="auto"/>
          <w:sz w:val="24"/>
          <w:highlight w:val="none"/>
        </w:rPr>
        <w:t>构成</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2F18695A">
      <w:pPr>
        <w:keepNext w:val="0"/>
        <w:keepLines w:val="0"/>
        <w:pageBreakBefore w:val="0"/>
        <w:widowControl w:val="0"/>
        <w:numPr>
          <w:ilvl w:val="1"/>
          <w:numId w:val="11"/>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bookmarkStart w:id="295" w:name="_Ref467052588"/>
      <w:r>
        <w:rPr>
          <w:rFonts w:hint="eastAsia" w:ascii="宋体" w:hAnsi="宋体" w:cs="宋体"/>
          <w:color w:val="auto"/>
          <w:sz w:val="24"/>
          <w:highlight w:val="none"/>
        </w:rPr>
        <w:t>投标人应当按照招标文件的要求编制投标文件。投标文件应由《资格证明文件》、《商务技术文件》两部分构成。投标文件的部分格式要求，见第七章《投标文件格式》。</w:t>
      </w:r>
    </w:p>
    <w:p w14:paraId="568E6F78">
      <w:pPr>
        <w:keepNext w:val="0"/>
        <w:keepLines w:val="0"/>
        <w:pageBreakBefore w:val="0"/>
        <w:widowControl w:val="0"/>
        <w:numPr>
          <w:ilvl w:val="2"/>
          <w:numId w:val="11"/>
        </w:numPr>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每包投标文件（《资格证明文件》、《商务技术文件》（技术部分可单独成册））：正本1份、副本4份，均单独胶装，电子版：U盘一份【WORD格式、PDF格式（应为完整的正本扫描件）】。</w:t>
      </w:r>
    </w:p>
    <w:p w14:paraId="31573D44">
      <w:pPr>
        <w:keepNext w:val="0"/>
        <w:keepLines w:val="0"/>
        <w:pageBreakBefore w:val="0"/>
        <w:widowControl w:val="0"/>
        <w:numPr>
          <w:ilvl w:val="2"/>
          <w:numId w:val="11"/>
        </w:numPr>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①投标文件电子版应单独密封、②投标文件另封装在1个或多个密封包内，所有密封包应分别密封、同时提交。密封处须加盖投标人公章，或由法定代表人（负责人）或授权代表盖章或签字。</w:t>
      </w:r>
    </w:p>
    <w:p w14:paraId="7AD6180A">
      <w:pPr>
        <w:keepNext w:val="0"/>
        <w:keepLines w:val="0"/>
        <w:pageBreakBefore w:val="0"/>
        <w:widowControl w:val="0"/>
        <w:numPr>
          <w:ilvl w:val="2"/>
          <w:numId w:val="11"/>
        </w:numPr>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密封包外封面上均应标明：</w:t>
      </w:r>
    </w:p>
    <w:p w14:paraId="02653CA2">
      <w:pPr>
        <w:keepNext w:val="0"/>
        <w:keepLines w:val="0"/>
        <w:pageBreakBefore w:val="0"/>
        <w:widowControl w:val="0"/>
        <w:tabs>
          <w:tab w:val="left" w:pos="1980"/>
        </w:tabs>
        <w:kinsoku/>
        <w:wordWrap/>
        <w:overflowPunct/>
        <w:topLinePunct w:val="0"/>
        <w:autoSpaceDE/>
        <w:autoSpaceDN/>
        <w:bidi w:val="0"/>
        <w:adjustRightInd/>
        <w:snapToGrid w:val="0"/>
        <w:spacing w:after="0" w:line="360" w:lineRule="auto"/>
        <w:ind w:left="1980"/>
        <w:textAlignment w:val="auto"/>
        <w:rPr>
          <w:rFonts w:hint="eastAsia" w:ascii="宋体" w:hAnsi="宋体" w:cs="宋体"/>
          <w:color w:val="auto"/>
          <w:sz w:val="24"/>
          <w:highlight w:val="none"/>
        </w:rPr>
      </w:pPr>
      <w:r>
        <w:rPr>
          <w:rFonts w:hint="eastAsia" w:ascii="宋体" w:hAnsi="宋体" w:cs="宋体"/>
          <w:color w:val="auto"/>
          <w:sz w:val="24"/>
          <w:highlight w:val="none"/>
        </w:rPr>
        <w:t>（1）根据封装内容分别标明：“投标文件电子版”/“投标文件”</w:t>
      </w:r>
    </w:p>
    <w:p w14:paraId="00D3D637">
      <w:pPr>
        <w:keepNext w:val="0"/>
        <w:keepLines w:val="0"/>
        <w:pageBreakBefore w:val="0"/>
        <w:widowControl w:val="0"/>
        <w:tabs>
          <w:tab w:val="left" w:pos="1980"/>
        </w:tabs>
        <w:kinsoku/>
        <w:wordWrap/>
        <w:overflowPunct/>
        <w:topLinePunct w:val="0"/>
        <w:autoSpaceDE/>
        <w:autoSpaceDN/>
        <w:bidi w:val="0"/>
        <w:adjustRightInd/>
        <w:snapToGrid w:val="0"/>
        <w:spacing w:after="0" w:line="360" w:lineRule="auto"/>
        <w:ind w:left="1980"/>
        <w:textAlignment w:val="auto"/>
        <w:rPr>
          <w:rFonts w:hint="eastAsia" w:ascii="宋体" w:hAnsi="宋体" w:cs="宋体"/>
          <w:color w:val="auto"/>
          <w:sz w:val="24"/>
          <w:highlight w:val="none"/>
        </w:rPr>
      </w:pPr>
      <w:r>
        <w:rPr>
          <w:rFonts w:hint="eastAsia" w:ascii="宋体" w:hAnsi="宋体" w:cs="宋体"/>
          <w:color w:val="auto"/>
          <w:sz w:val="24"/>
          <w:highlight w:val="none"/>
        </w:rPr>
        <w:t>（2）招标项目名称：（项目名称）</w:t>
      </w:r>
    </w:p>
    <w:p w14:paraId="59CDBAC5">
      <w:pPr>
        <w:keepNext w:val="0"/>
        <w:keepLines w:val="0"/>
        <w:pageBreakBefore w:val="0"/>
        <w:widowControl w:val="0"/>
        <w:tabs>
          <w:tab w:val="left" w:pos="1980"/>
        </w:tabs>
        <w:kinsoku/>
        <w:wordWrap/>
        <w:overflowPunct/>
        <w:topLinePunct w:val="0"/>
        <w:autoSpaceDE/>
        <w:autoSpaceDN/>
        <w:bidi w:val="0"/>
        <w:adjustRightInd/>
        <w:snapToGrid w:val="0"/>
        <w:spacing w:after="0" w:line="360" w:lineRule="auto"/>
        <w:ind w:left="1980"/>
        <w:textAlignment w:val="auto"/>
        <w:rPr>
          <w:rFonts w:hint="eastAsia" w:ascii="宋体" w:hAnsi="宋体" w:cs="宋体"/>
          <w:color w:val="auto"/>
          <w:sz w:val="24"/>
          <w:highlight w:val="none"/>
        </w:rPr>
      </w:pPr>
      <w:r>
        <w:rPr>
          <w:rFonts w:hint="eastAsia" w:ascii="宋体" w:hAnsi="宋体" w:cs="宋体"/>
          <w:color w:val="auto"/>
          <w:sz w:val="24"/>
          <w:highlight w:val="none"/>
        </w:rPr>
        <w:t>（3）项目编号/包号：（项目编号/包号）</w:t>
      </w:r>
    </w:p>
    <w:p w14:paraId="448310A5">
      <w:pPr>
        <w:keepNext w:val="0"/>
        <w:keepLines w:val="0"/>
        <w:pageBreakBefore w:val="0"/>
        <w:widowControl w:val="0"/>
        <w:tabs>
          <w:tab w:val="left" w:pos="1980"/>
        </w:tabs>
        <w:kinsoku/>
        <w:wordWrap/>
        <w:overflowPunct/>
        <w:topLinePunct w:val="0"/>
        <w:autoSpaceDE/>
        <w:autoSpaceDN/>
        <w:bidi w:val="0"/>
        <w:adjustRightInd/>
        <w:snapToGrid w:val="0"/>
        <w:spacing w:after="0" w:line="360" w:lineRule="auto"/>
        <w:ind w:left="1980"/>
        <w:textAlignment w:val="auto"/>
        <w:rPr>
          <w:rFonts w:hint="eastAsia" w:ascii="宋体" w:hAnsi="宋体" w:cs="宋体"/>
          <w:color w:val="auto"/>
          <w:sz w:val="24"/>
          <w:highlight w:val="none"/>
        </w:rPr>
      </w:pPr>
      <w:r>
        <w:rPr>
          <w:rFonts w:hint="eastAsia" w:ascii="宋体" w:hAnsi="宋体" w:cs="宋体"/>
          <w:color w:val="auto"/>
          <w:sz w:val="24"/>
          <w:highlight w:val="none"/>
        </w:rPr>
        <w:t>（4）投标人名称：</w:t>
      </w:r>
    </w:p>
    <w:p w14:paraId="7322650D">
      <w:pPr>
        <w:keepNext w:val="0"/>
        <w:keepLines w:val="0"/>
        <w:pageBreakBefore w:val="0"/>
        <w:widowControl w:val="0"/>
        <w:kinsoku/>
        <w:wordWrap/>
        <w:overflowPunct/>
        <w:topLinePunct w:val="0"/>
        <w:autoSpaceDE/>
        <w:autoSpaceDN/>
        <w:bidi w:val="0"/>
        <w:adjustRightInd/>
        <w:snapToGrid w:val="0"/>
        <w:spacing w:after="0" w:line="360" w:lineRule="auto"/>
        <w:ind w:left="1980"/>
        <w:textAlignment w:val="auto"/>
        <w:rPr>
          <w:rFonts w:hint="eastAsia" w:ascii="宋体" w:hAnsi="宋体" w:cs="宋体"/>
          <w:color w:val="auto"/>
          <w:sz w:val="24"/>
          <w:highlight w:val="none"/>
        </w:rPr>
      </w:pPr>
      <w:r>
        <w:rPr>
          <w:rFonts w:hint="eastAsia" w:ascii="宋体" w:hAnsi="宋体" w:cs="宋体"/>
          <w:color w:val="auto"/>
          <w:sz w:val="24"/>
          <w:highlight w:val="none"/>
        </w:rPr>
        <w:t>（5）“（招标文件规定的开标日期、时间）之前不得启封”的字样。</w:t>
      </w:r>
    </w:p>
    <w:p w14:paraId="098B9F22">
      <w:pPr>
        <w:keepNext w:val="0"/>
        <w:keepLines w:val="0"/>
        <w:pageBreakBefore w:val="0"/>
        <w:widowControl w:val="0"/>
        <w:numPr>
          <w:ilvl w:val="1"/>
          <w:numId w:val="11"/>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若供应商对本项目的多个包(如有)同时进行投标，则投标文件的编制、包装要求</w:t>
      </w:r>
      <w:r>
        <w:rPr>
          <w:rFonts w:hint="eastAsia" w:ascii="宋体" w:hAnsi="宋体" w:cs="宋体"/>
          <w:color w:val="auto"/>
          <w:kern w:val="0"/>
          <w:sz w:val="24"/>
          <w:highlight w:val="none"/>
        </w:rPr>
        <w:t>以10.1中的规定为准。</w:t>
      </w:r>
    </w:p>
    <w:p w14:paraId="4C64951F">
      <w:pPr>
        <w:keepNext w:val="0"/>
        <w:keepLines w:val="0"/>
        <w:pageBreakBefore w:val="0"/>
        <w:widowControl w:val="0"/>
        <w:numPr>
          <w:ilvl w:val="1"/>
          <w:numId w:val="11"/>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kern w:val="0"/>
          <w:sz w:val="24"/>
          <w:highlight w:val="none"/>
        </w:rPr>
        <w:t>对于招标文件中标记了“实质性格式”文件的，</w:t>
      </w:r>
      <w:r>
        <w:rPr>
          <w:rFonts w:hint="eastAsia" w:ascii="宋体" w:hAnsi="宋体" w:cs="宋体"/>
          <w:color w:val="auto"/>
          <w:sz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color w:val="auto"/>
          <w:kern w:val="0"/>
          <w:sz w:val="24"/>
          <w:highlight w:val="none"/>
        </w:rPr>
        <w:t>否则</w:t>
      </w:r>
      <w:r>
        <w:rPr>
          <w:rFonts w:hint="eastAsia" w:ascii="宋体" w:hAnsi="宋体" w:cs="宋体"/>
          <w:b/>
          <w:color w:val="auto"/>
          <w:kern w:val="0"/>
          <w:sz w:val="24"/>
          <w:highlight w:val="none"/>
        </w:rPr>
        <w:t>投标无效</w:t>
      </w:r>
      <w:r>
        <w:rPr>
          <w:rFonts w:hint="eastAsia" w:ascii="宋体" w:hAnsi="宋体" w:cs="宋体"/>
          <w:color w:val="auto"/>
          <w:kern w:val="0"/>
          <w:sz w:val="24"/>
          <w:highlight w:val="none"/>
        </w:rPr>
        <w:t>。未标记“实质性格式”的文件和招标文件未提供格式的内容，可由投标人自行编写。</w:t>
      </w:r>
    </w:p>
    <w:p w14:paraId="49B9A1D3">
      <w:pPr>
        <w:keepNext w:val="0"/>
        <w:keepLines w:val="0"/>
        <w:pageBreakBefore w:val="0"/>
        <w:widowControl w:val="0"/>
        <w:numPr>
          <w:ilvl w:val="1"/>
          <w:numId w:val="11"/>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第四章《评标程序、评标方法和评标标准》中涉及的证明文件。</w:t>
      </w:r>
    </w:p>
    <w:p w14:paraId="7181F424">
      <w:pPr>
        <w:keepNext w:val="0"/>
        <w:keepLines w:val="0"/>
        <w:pageBreakBefore w:val="0"/>
        <w:widowControl w:val="0"/>
        <w:numPr>
          <w:ilvl w:val="1"/>
          <w:numId w:val="11"/>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217FF6C6">
      <w:pPr>
        <w:keepNext w:val="0"/>
        <w:keepLines w:val="0"/>
        <w:pageBreakBefore w:val="0"/>
        <w:widowControl w:val="0"/>
        <w:numPr>
          <w:ilvl w:val="1"/>
          <w:numId w:val="11"/>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投标人认为应附的其他材料。</w:t>
      </w:r>
      <w:bookmarkEnd w:id="295"/>
    </w:p>
    <w:p w14:paraId="452AE0C6">
      <w:pPr>
        <w:keepNext w:val="0"/>
        <w:keepLines w:val="0"/>
        <w:pageBreakBefore w:val="0"/>
        <w:widowControl w:val="0"/>
        <w:numPr>
          <w:ilvl w:val="0"/>
          <w:numId w:val="11"/>
        </w:numPr>
        <w:tabs>
          <w:tab w:val="left" w:pos="360"/>
        </w:tabs>
        <w:kinsoku/>
        <w:wordWrap/>
        <w:overflowPunct/>
        <w:topLinePunct w:val="0"/>
        <w:autoSpaceDE/>
        <w:autoSpaceDN/>
        <w:bidi w:val="0"/>
        <w:adjustRightInd/>
        <w:snapToGrid w:val="0"/>
        <w:spacing w:after="0" w:line="360" w:lineRule="auto"/>
        <w:ind w:left="357" w:hanging="357"/>
        <w:textAlignment w:val="auto"/>
        <w:outlineLvl w:val="1"/>
        <w:rPr>
          <w:rFonts w:hint="eastAsia" w:ascii="宋体" w:hAnsi="宋体" w:cs="宋体"/>
          <w:color w:val="auto"/>
          <w:sz w:val="24"/>
          <w:highlight w:val="none"/>
        </w:rPr>
      </w:pPr>
      <w:bookmarkStart w:id="296" w:name="_Toc164608644"/>
      <w:bookmarkStart w:id="297" w:name="_Toc127151731"/>
      <w:bookmarkStart w:id="298" w:name="_Toc127151530"/>
      <w:bookmarkStart w:id="299" w:name="_Toc150774630"/>
      <w:bookmarkStart w:id="300" w:name="_Toc164351624"/>
      <w:bookmarkStart w:id="301" w:name="_Toc151193628"/>
      <w:bookmarkStart w:id="302" w:name="_Toc520356155"/>
      <w:bookmarkStart w:id="303" w:name="_Toc151193772"/>
      <w:bookmarkStart w:id="304" w:name="_Toc151193918"/>
      <w:bookmarkStart w:id="305" w:name="_Toc150480768"/>
      <w:bookmarkStart w:id="306" w:name="_Toc151193700"/>
      <w:bookmarkStart w:id="307" w:name="_Toc150509281"/>
      <w:bookmarkStart w:id="308" w:name="_Toc151190157"/>
      <w:bookmarkStart w:id="309" w:name="_Toc127161444"/>
      <w:bookmarkStart w:id="310" w:name="_Toc149720823"/>
      <w:bookmarkStart w:id="311" w:name="_Toc142311032"/>
      <w:bookmarkStart w:id="312" w:name="_Toc195842895"/>
      <w:bookmarkStart w:id="313" w:name="_Toc164229371"/>
      <w:bookmarkStart w:id="314" w:name="_Toc164608799"/>
      <w:bookmarkStart w:id="315" w:name="_Toc150774735"/>
      <w:bookmarkStart w:id="316" w:name="_Toc164229225"/>
      <w:bookmarkStart w:id="317" w:name="_Toc151193844"/>
      <w:r>
        <w:rPr>
          <w:rFonts w:hint="eastAsia" w:ascii="宋体" w:hAnsi="宋体" w:cs="宋体"/>
          <w:color w:val="auto"/>
          <w:sz w:val="24"/>
          <w:highlight w:val="none"/>
        </w:rPr>
        <w:t>投标报价</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18FDD36A">
      <w:pPr>
        <w:keepNext w:val="0"/>
        <w:keepLines w:val="0"/>
        <w:pageBreakBefore w:val="0"/>
        <w:widowControl w:val="0"/>
        <w:numPr>
          <w:ilvl w:val="1"/>
          <w:numId w:val="11"/>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所有投标均以人民币报价。</w:t>
      </w:r>
    </w:p>
    <w:p w14:paraId="5CA447EC">
      <w:pPr>
        <w:keepNext w:val="0"/>
        <w:keepLines w:val="0"/>
        <w:pageBreakBefore w:val="0"/>
        <w:widowControl w:val="0"/>
        <w:numPr>
          <w:ilvl w:val="1"/>
          <w:numId w:val="11"/>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投标人的报价应包括为完成本项目所发生的一切费用和税费，招标人将不再支付报价以外的任何费用。投标人的报价应包括但不限于下列内容，《投标人须知资料表》中有特殊规定的，从其规定。</w:t>
      </w:r>
    </w:p>
    <w:p w14:paraId="25680E57">
      <w:pPr>
        <w:keepNext w:val="0"/>
        <w:keepLines w:val="0"/>
        <w:pageBreakBefore w:val="0"/>
        <w:widowControl w:val="0"/>
        <w:numPr>
          <w:ilvl w:val="2"/>
          <w:numId w:val="11"/>
        </w:numPr>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23FADEC6">
      <w:pPr>
        <w:keepNext w:val="0"/>
        <w:keepLines w:val="0"/>
        <w:pageBreakBefore w:val="0"/>
        <w:widowControl w:val="0"/>
        <w:numPr>
          <w:ilvl w:val="2"/>
          <w:numId w:val="11"/>
        </w:numPr>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按照招标文件要求完成本项目的全部相关服务费用。 </w:t>
      </w:r>
    </w:p>
    <w:p w14:paraId="6A410A20">
      <w:pPr>
        <w:keepNext w:val="0"/>
        <w:keepLines w:val="0"/>
        <w:pageBreakBefore w:val="0"/>
        <w:widowControl w:val="0"/>
        <w:numPr>
          <w:ilvl w:val="1"/>
          <w:numId w:val="11"/>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采购人不得向供应商索要或者接受其给予的赠品、回扣或者与采购无关的其他商品、服务。</w:t>
      </w:r>
    </w:p>
    <w:p w14:paraId="5C2E504E">
      <w:pPr>
        <w:keepNext w:val="0"/>
        <w:keepLines w:val="0"/>
        <w:pageBreakBefore w:val="0"/>
        <w:widowControl w:val="0"/>
        <w:numPr>
          <w:ilvl w:val="1"/>
          <w:numId w:val="11"/>
        </w:numPr>
        <w:tabs>
          <w:tab w:val="left" w:pos="1080"/>
          <w:tab w:val="left" w:pos="2014"/>
        </w:tabs>
        <w:kinsoku/>
        <w:wordWrap/>
        <w:overflowPunct/>
        <w:topLinePunct w:val="0"/>
        <w:autoSpaceDE/>
        <w:autoSpaceDN/>
        <w:bidi w:val="0"/>
        <w:adjustRightInd/>
        <w:snapToGrid w:val="0"/>
        <w:spacing w:after="0" w:line="360" w:lineRule="auto"/>
        <w:ind w:left="1080" w:hanging="720"/>
        <w:textAlignment w:val="auto"/>
        <w:rPr>
          <w:rFonts w:hint="eastAsia" w:ascii="宋体" w:hAnsi="宋体" w:cs="宋体"/>
          <w:color w:val="auto"/>
          <w:sz w:val="24"/>
          <w:highlight w:val="none"/>
        </w:rPr>
      </w:pPr>
      <w:r>
        <w:rPr>
          <w:rFonts w:hint="eastAsia" w:ascii="宋体" w:hAnsi="宋体" w:cs="宋体"/>
          <w:color w:val="auto"/>
          <w:sz w:val="24"/>
          <w:highlight w:val="none"/>
        </w:rPr>
        <w:t>投标人不能提供任何有选择性或可调整的报价（招标文件另有规定的除外）</w:t>
      </w:r>
      <w:r>
        <w:rPr>
          <w:rFonts w:hint="eastAsia" w:ascii="宋体" w:hAnsi="宋体" w:cs="宋体"/>
          <w:color w:val="auto"/>
          <w:sz w:val="24"/>
          <w:highlight w:val="none"/>
        </w:rPr>
        <w:t>，否则其</w:t>
      </w:r>
      <w:r>
        <w:rPr>
          <w:rFonts w:hint="eastAsia" w:ascii="宋体" w:hAnsi="宋体" w:cs="宋体"/>
          <w:b/>
          <w:color w:val="auto"/>
          <w:sz w:val="24"/>
          <w:highlight w:val="none"/>
        </w:rPr>
        <w:t>投标无效</w:t>
      </w:r>
      <w:r>
        <w:rPr>
          <w:rFonts w:hint="eastAsia" w:ascii="宋体" w:hAnsi="宋体" w:cs="宋体"/>
          <w:color w:val="auto"/>
          <w:sz w:val="24"/>
          <w:highlight w:val="none"/>
        </w:rPr>
        <w:t>。</w:t>
      </w:r>
    </w:p>
    <w:p w14:paraId="77CBA2A4">
      <w:pPr>
        <w:keepNext w:val="0"/>
        <w:keepLines w:val="0"/>
        <w:pageBreakBefore w:val="0"/>
        <w:widowControl w:val="0"/>
        <w:numPr>
          <w:ilvl w:val="0"/>
          <w:numId w:val="11"/>
        </w:numPr>
        <w:tabs>
          <w:tab w:val="left" w:pos="360"/>
        </w:tabs>
        <w:kinsoku/>
        <w:wordWrap/>
        <w:overflowPunct/>
        <w:topLinePunct w:val="0"/>
        <w:autoSpaceDE/>
        <w:autoSpaceDN/>
        <w:bidi w:val="0"/>
        <w:adjustRightInd/>
        <w:snapToGrid w:val="0"/>
        <w:spacing w:after="0" w:line="360" w:lineRule="auto"/>
        <w:ind w:left="357" w:hanging="357"/>
        <w:textAlignment w:val="auto"/>
        <w:outlineLvl w:val="1"/>
        <w:rPr>
          <w:rFonts w:hint="eastAsia" w:ascii="宋体" w:hAnsi="宋体" w:cs="宋体"/>
          <w:color w:val="auto"/>
          <w:sz w:val="24"/>
          <w:highlight w:val="none"/>
        </w:rPr>
      </w:pPr>
      <w:bookmarkStart w:id="318" w:name="_Toc164229226"/>
      <w:bookmarkStart w:id="319" w:name="_Toc151193629"/>
      <w:bookmarkStart w:id="320" w:name="_Ref467306513"/>
      <w:bookmarkStart w:id="321" w:name="_Toc164351625"/>
      <w:bookmarkStart w:id="322" w:name="_Toc265228369"/>
      <w:bookmarkStart w:id="323" w:name="_Toc142311033"/>
      <w:bookmarkStart w:id="324" w:name="_Toc520356156"/>
      <w:bookmarkStart w:id="325" w:name="_Toc151193919"/>
      <w:bookmarkStart w:id="326" w:name="_Toc150774736"/>
      <w:bookmarkStart w:id="327" w:name="_Toc150509282"/>
      <w:bookmarkStart w:id="328" w:name="_Toc127161445"/>
      <w:bookmarkStart w:id="329" w:name="_Toc305158873"/>
      <w:bookmarkStart w:id="330" w:name="_Toc195842896"/>
      <w:bookmarkStart w:id="331" w:name="_Toc151193701"/>
      <w:bookmarkStart w:id="332" w:name="_Toc127151531"/>
      <w:bookmarkStart w:id="333" w:name="_Toc164229372"/>
      <w:bookmarkStart w:id="334" w:name="_Toc149720824"/>
      <w:bookmarkStart w:id="335" w:name="_Toc226337227"/>
      <w:bookmarkStart w:id="336" w:name="_Toc226965804"/>
      <w:bookmarkStart w:id="337" w:name="_Toc164608800"/>
      <w:bookmarkStart w:id="338" w:name="_Toc264969221"/>
      <w:bookmarkStart w:id="339" w:name="_Toc164608645"/>
      <w:bookmarkStart w:id="340" w:name="_Toc226309775"/>
      <w:bookmarkStart w:id="341" w:name="_Toc151193845"/>
      <w:bookmarkStart w:id="342" w:name="_Toc150774631"/>
      <w:bookmarkStart w:id="343" w:name="_Toc127151732"/>
      <w:bookmarkStart w:id="344" w:name="_Toc151190158"/>
      <w:bookmarkStart w:id="345" w:name="_Toc305158799"/>
      <w:bookmarkStart w:id="346" w:name="_Toc226965721"/>
      <w:bookmarkStart w:id="347" w:name="_Toc151193773"/>
      <w:bookmarkStart w:id="348" w:name="_Toc150480769"/>
      <w:r>
        <w:rPr>
          <w:rFonts w:hint="eastAsia" w:ascii="宋体" w:hAnsi="宋体" w:cs="宋体"/>
          <w:color w:val="auto"/>
          <w:sz w:val="24"/>
          <w:highlight w:val="none"/>
        </w:rPr>
        <w:t>投标保证金</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5A2B5368">
      <w:pPr>
        <w:keepNext w:val="0"/>
        <w:keepLines w:val="0"/>
        <w:pageBreakBefore w:val="0"/>
        <w:widowControl w:val="0"/>
        <w:numPr>
          <w:ilvl w:val="1"/>
          <w:numId w:val="11"/>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bookmarkStart w:id="349" w:name="_Ref467306302"/>
      <w:r>
        <w:rPr>
          <w:rFonts w:hint="eastAsia" w:ascii="宋体" w:hAnsi="宋体" w:cs="宋体"/>
          <w:color w:val="auto"/>
          <w:sz w:val="24"/>
          <w:highlight w:val="none"/>
        </w:rPr>
        <w:t>投标人应按《投标人须知资料表》中规定的金额及要求交纳投标保证金</w:t>
      </w:r>
      <w:bookmarkEnd w:id="349"/>
      <w:r>
        <w:rPr>
          <w:rFonts w:hint="eastAsia" w:ascii="宋体" w:hAnsi="宋体" w:cs="宋体"/>
          <w:color w:val="auto"/>
          <w:sz w:val="24"/>
          <w:highlight w:val="none"/>
        </w:rPr>
        <w:t>。投</w:t>
      </w:r>
    </w:p>
    <w:p w14:paraId="4B2B90ED">
      <w:pPr>
        <w:keepNext w:val="0"/>
        <w:keepLines w:val="0"/>
        <w:pageBreakBefore w:val="0"/>
        <w:widowControl w:val="0"/>
        <w:tabs>
          <w:tab w:val="left" w:pos="1080"/>
          <w:tab w:val="left" w:pos="2014"/>
        </w:tabs>
        <w:kinsoku/>
        <w:wordWrap/>
        <w:overflowPunct/>
        <w:topLinePunct w:val="0"/>
        <w:autoSpaceDE/>
        <w:autoSpaceDN/>
        <w:bidi w:val="0"/>
        <w:adjustRightInd/>
        <w:snapToGrid w:val="0"/>
        <w:spacing w:after="0" w:line="360" w:lineRule="auto"/>
        <w:ind w:left="357" w:firstLine="720" w:firstLineChars="300"/>
        <w:textAlignment w:val="auto"/>
        <w:rPr>
          <w:rFonts w:hint="eastAsia" w:ascii="宋体" w:hAnsi="宋体" w:cs="宋体"/>
          <w:color w:val="auto"/>
          <w:sz w:val="24"/>
          <w:highlight w:val="none"/>
        </w:rPr>
      </w:pPr>
      <w:r>
        <w:rPr>
          <w:rFonts w:hint="eastAsia" w:ascii="宋体" w:hAnsi="宋体" w:cs="宋体"/>
          <w:color w:val="auto"/>
          <w:sz w:val="24"/>
          <w:highlight w:val="none"/>
        </w:rPr>
        <w:t>标人自愿超额缴纳投标保证金的，投标文件不做无效处理。</w:t>
      </w:r>
    </w:p>
    <w:p w14:paraId="6163AD43">
      <w:pPr>
        <w:keepNext w:val="0"/>
        <w:keepLines w:val="0"/>
        <w:pageBreakBefore w:val="0"/>
        <w:widowControl w:val="0"/>
        <w:numPr>
          <w:ilvl w:val="1"/>
          <w:numId w:val="11"/>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交纳投标保证金可采用的形式：政府采购法律法规接受的支票、汇票、本票、网上银行支付或者金融机构、担保机构出具的保函等非现金形式。</w:t>
      </w:r>
    </w:p>
    <w:p w14:paraId="47FAC306">
      <w:pPr>
        <w:keepNext w:val="0"/>
        <w:keepLines w:val="0"/>
        <w:pageBreakBefore w:val="0"/>
        <w:widowControl w:val="0"/>
        <w:numPr>
          <w:ilvl w:val="1"/>
          <w:numId w:val="11"/>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Pr>
          <w:rFonts w:hint="eastAsia" w:ascii="宋体" w:hAnsi="宋体" w:cs="宋体"/>
          <w:b/>
          <w:color w:val="auto"/>
          <w:sz w:val="24"/>
          <w:highlight w:val="none"/>
        </w:rPr>
        <w:t>投标无效</w:t>
      </w:r>
      <w:r>
        <w:rPr>
          <w:rFonts w:hint="eastAsia" w:ascii="宋体" w:hAnsi="宋体" w:cs="宋体"/>
          <w:color w:val="auto"/>
          <w:sz w:val="24"/>
          <w:highlight w:val="none"/>
        </w:rPr>
        <w:t>。</w:t>
      </w:r>
    </w:p>
    <w:p w14:paraId="7A18954B">
      <w:pPr>
        <w:keepNext w:val="0"/>
        <w:keepLines w:val="0"/>
        <w:pageBreakBefore w:val="0"/>
        <w:widowControl w:val="0"/>
        <w:numPr>
          <w:ilvl w:val="1"/>
          <w:numId w:val="11"/>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投标保证金（保函）有效期同投标有效期。</w:t>
      </w:r>
    </w:p>
    <w:p w14:paraId="1C244F77">
      <w:pPr>
        <w:keepNext w:val="0"/>
        <w:keepLines w:val="0"/>
        <w:pageBreakBefore w:val="0"/>
        <w:widowControl w:val="0"/>
        <w:numPr>
          <w:ilvl w:val="1"/>
          <w:numId w:val="11"/>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联合体投标的，可以由联合体中的一方或者共同提交投标保证金，以一方名义提交投标保证金的，对联合体各方均具有约束力。</w:t>
      </w:r>
    </w:p>
    <w:p w14:paraId="38094D64">
      <w:pPr>
        <w:keepNext w:val="0"/>
        <w:keepLines w:val="0"/>
        <w:pageBreakBefore w:val="0"/>
        <w:widowControl w:val="0"/>
        <w:numPr>
          <w:ilvl w:val="1"/>
          <w:numId w:val="11"/>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采购人、采购代理机构将及时退还投标人的投标保证金，采用银行保函、担保机构担保函等形式递交的投标保证金，经供应商同意后采购人、采购代理机构可以不再退还，但因投标人自身原因导致无法及时退还的除外：</w:t>
      </w:r>
    </w:p>
    <w:p w14:paraId="57EAC1E7">
      <w:pPr>
        <w:keepNext w:val="0"/>
        <w:keepLines w:val="0"/>
        <w:pageBreakBefore w:val="0"/>
        <w:widowControl w:val="0"/>
        <w:numPr>
          <w:ilvl w:val="2"/>
          <w:numId w:val="11"/>
        </w:numPr>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投标人在投标截止时间前撤回已提交的投标文件的，自收到投标人书面撤回通知之日起5个工作日内退还已收取的投标保证金；</w:t>
      </w:r>
    </w:p>
    <w:p w14:paraId="641DAD2F">
      <w:pPr>
        <w:keepNext w:val="0"/>
        <w:keepLines w:val="0"/>
        <w:pageBreakBefore w:val="0"/>
        <w:widowControl w:val="0"/>
        <w:numPr>
          <w:ilvl w:val="2"/>
          <w:numId w:val="11"/>
        </w:numPr>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中标人的投标保证金，自采购合同签订之日起5个工作日内退还中标人；</w:t>
      </w:r>
    </w:p>
    <w:p w14:paraId="6189BDFD">
      <w:pPr>
        <w:keepNext w:val="0"/>
        <w:keepLines w:val="0"/>
        <w:pageBreakBefore w:val="0"/>
        <w:widowControl w:val="0"/>
        <w:numPr>
          <w:ilvl w:val="2"/>
          <w:numId w:val="11"/>
        </w:numPr>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未中标投标人的投标保证金，自中标通知书发出之日起5个工作日内退还未中标人；</w:t>
      </w:r>
    </w:p>
    <w:p w14:paraId="7C4A6B8C">
      <w:pPr>
        <w:keepNext w:val="0"/>
        <w:keepLines w:val="0"/>
        <w:pageBreakBefore w:val="0"/>
        <w:widowControl w:val="0"/>
        <w:numPr>
          <w:ilvl w:val="2"/>
          <w:numId w:val="11"/>
        </w:numPr>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终止招标项目已经收取投标保证金的，自终止采购活动后5个工作日内退还已收取的投标保证金及其在银行产生的孳息。</w:t>
      </w:r>
    </w:p>
    <w:p w14:paraId="4E0CD57E">
      <w:pPr>
        <w:keepNext w:val="0"/>
        <w:keepLines w:val="0"/>
        <w:pageBreakBefore w:val="0"/>
        <w:widowControl w:val="0"/>
        <w:numPr>
          <w:ilvl w:val="1"/>
          <w:numId w:val="11"/>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有下列情形之一的，采购人或采购代理机构可以不予退还投标保证金：</w:t>
      </w:r>
    </w:p>
    <w:p w14:paraId="5D671186">
      <w:pPr>
        <w:keepNext w:val="0"/>
        <w:keepLines w:val="0"/>
        <w:pageBreakBefore w:val="0"/>
        <w:widowControl w:val="0"/>
        <w:numPr>
          <w:ilvl w:val="2"/>
          <w:numId w:val="11"/>
        </w:numPr>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投标有效期内投标人撤销投标文件的；</w:t>
      </w:r>
    </w:p>
    <w:p w14:paraId="561817D9">
      <w:pPr>
        <w:keepNext w:val="0"/>
        <w:keepLines w:val="0"/>
        <w:pageBreakBefore w:val="0"/>
        <w:widowControl w:val="0"/>
        <w:numPr>
          <w:ilvl w:val="2"/>
          <w:numId w:val="11"/>
        </w:numPr>
        <w:tabs>
          <w:tab w:val="left" w:pos="900"/>
          <w:tab w:val="left" w:pos="1080"/>
          <w:tab w:val="left" w:pos="2014"/>
        </w:tabs>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《投标人须知资料表》中规定的其他情形。</w:t>
      </w:r>
    </w:p>
    <w:p w14:paraId="7557B553">
      <w:pPr>
        <w:keepNext w:val="0"/>
        <w:keepLines w:val="0"/>
        <w:pageBreakBefore w:val="0"/>
        <w:widowControl w:val="0"/>
        <w:numPr>
          <w:ilvl w:val="0"/>
          <w:numId w:val="11"/>
        </w:numPr>
        <w:tabs>
          <w:tab w:val="left" w:pos="360"/>
        </w:tabs>
        <w:kinsoku/>
        <w:wordWrap/>
        <w:overflowPunct/>
        <w:topLinePunct w:val="0"/>
        <w:autoSpaceDE/>
        <w:autoSpaceDN/>
        <w:bidi w:val="0"/>
        <w:adjustRightInd/>
        <w:snapToGrid w:val="0"/>
        <w:spacing w:after="0" w:line="360" w:lineRule="auto"/>
        <w:ind w:left="357" w:hanging="357"/>
        <w:textAlignment w:val="auto"/>
        <w:outlineLvl w:val="1"/>
        <w:rPr>
          <w:rFonts w:hint="eastAsia" w:ascii="宋体" w:hAnsi="宋体" w:cs="宋体"/>
          <w:color w:val="auto"/>
          <w:sz w:val="24"/>
          <w:highlight w:val="none"/>
        </w:rPr>
      </w:pPr>
      <w:bookmarkStart w:id="350" w:name="_Toc164229227"/>
      <w:bookmarkStart w:id="351" w:name="_Toc164608801"/>
      <w:bookmarkStart w:id="352" w:name="_Toc195842897"/>
      <w:bookmarkStart w:id="353" w:name="_Toc149720825"/>
      <w:bookmarkStart w:id="354" w:name="_Toc226337228"/>
      <w:bookmarkStart w:id="355" w:name="_Toc305158800"/>
      <w:bookmarkStart w:id="356" w:name="_Toc226965722"/>
      <w:bookmarkStart w:id="357" w:name="_Toc127151532"/>
      <w:bookmarkStart w:id="358" w:name="_Toc164351626"/>
      <w:bookmarkStart w:id="359" w:name="_Toc150774737"/>
      <w:bookmarkStart w:id="360" w:name="_Toc151193846"/>
      <w:bookmarkStart w:id="361" w:name="_Toc151190159"/>
      <w:bookmarkStart w:id="362" w:name="_Toc305158874"/>
      <w:bookmarkStart w:id="363" w:name="_Toc142311034"/>
      <w:bookmarkStart w:id="364" w:name="_Toc164608646"/>
      <w:bookmarkStart w:id="365" w:name="_Toc127151733"/>
      <w:bookmarkStart w:id="366" w:name="_Toc127161446"/>
      <w:bookmarkStart w:id="367" w:name="_Toc164229373"/>
      <w:bookmarkStart w:id="368" w:name="_Toc226309776"/>
      <w:bookmarkStart w:id="369" w:name="_Toc226965805"/>
      <w:bookmarkStart w:id="370" w:name="_Toc151193774"/>
      <w:bookmarkStart w:id="371" w:name="_Toc150480770"/>
      <w:bookmarkStart w:id="372" w:name="_Toc265228370"/>
      <w:bookmarkStart w:id="373" w:name="_Toc150509283"/>
      <w:bookmarkStart w:id="374" w:name="_Toc151193630"/>
      <w:bookmarkStart w:id="375" w:name="_Toc151193702"/>
      <w:bookmarkStart w:id="376" w:name="_Toc264969222"/>
      <w:bookmarkStart w:id="377" w:name="_Toc150774632"/>
      <w:bookmarkStart w:id="378" w:name="_Toc151193920"/>
      <w:bookmarkStart w:id="379" w:name="_Toc520356157"/>
      <w:r>
        <w:rPr>
          <w:rFonts w:hint="eastAsia" w:ascii="宋体" w:hAnsi="宋体" w:cs="宋体"/>
          <w:color w:val="auto"/>
          <w:sz w:val="24"/>
          <w:highlight w:val="none"/>
        </w:rPr>
        <w:t>投标有效期</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40D414A8">
      <w:pPr>
        <w:keepNext w:val="0"/>
        <w:keepLines w:val="0"/>
        <w:pageBreakBefore w:val="0"/>
        <w:widowControl w:val="0"/>
        <w:numPr>
          <w:ilvl w:val="1"/>
          <w:numId w:val="11"/>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投标文件应在本招标文件《投标人须知资料表》中规定的投标有效期内保持有效，投标有效期少于招标文件规定期限的，其</w:t>
      </w:r>
      <w:r>
        <w:rPr>
          <w:rFonts w:hint="eastAsia" w:ascii="宋体" w:hAnsi="宋体" w:cs="宋体"/>
          <w:b/>
          <w:color w:val="auto"/>
          <w:sz w:val="24"/>
          <w:highlight w:val="none"/>
        </w:rPr>
        <w:t>投标无效</w:t>
      </w:r>
      <w:r>
        <w:rPr>
          <w:rFonts w:hint="eastAsia" w:ascii="宋体" w:hAnsi="宋体" w:cs="宋体"/>
          <w:color w:val="auto"/>
          <w:sz w:val="24"/>
          <w:highlight w:val="none"/>
        </w:rPr>
        <w:t>。</w:t>
      </w:r>
    </w:p>
    <w:p w14:paraId="23295344">
      <w:pPr>
        <w:keepNext w:val="0"/>
        <w:keepLines w:val="0"/>
        <w:pageBreakBefore w:val="0"/>
        <w:widowControl w:val="0"/>
        <w:numPr>
          <w:ilvl w:val="0"/>
          <w:numId w:val="11"/>
        </w:numPr>
        <w:tabs>
          <w:tab w:val="left" w:pos="360"/>
        </w:tabs>
        <w:kinsoku/>
        <w:wordWrap/>
        <w:overflowPunct/>
        <w:topLinePunct w:val="0"/>
        <w:autoSpaceDE/>
        <w:autoSpaceDN/>
        <w:bidi w:val="0"/>
        <w:adjustRightInd/>
        <w:snapToGrid w:val="0"/>
        <w:spacing w:after="0" w:line="360" w:lineRule="auto"/>
        <w:ind w:left="357" w:hanging="357"/>
        <w:textAlignment w:val="auto"/>
        <w:outlineLvl w:val="1"/>
        <w:rPr>
          <w:rFonts w:hint="eastAsia" w:ascii="宋体" w:hAnsi="宋体" w:cs="宋体"/>
          <w:color w:val="auto"/>
          <w:sz w:val="24"/>
          <w:highlight w:val="none"/>
        </w:rPr>
      </w:pPr>
      <w:bookmarkStart w:id="380" w:name="_Toc164608647"/>
      <w:bookmarkStart w:id="381" w:name="_Toc151193631"/>
      <w:bookmarkStart w:id="382" w:name="_Toc164351627"/>
      <w:bookmarkStart w:id="383" w:name="_Toc265228371"/>
      <w:bookmarkStart w:id="384" w:name="_Toc305158801"/>
      <w:bookmarkStart w:id="385" w:name="_Toc149720826"/>
      <w:bookmarkStart w:id="386" w:name="_Toc151193847"/>
      <w:bookmarkStart w:id="387" w:name="_Toc164229228"/>
      <w:bookmarkStart w:id="388" w:name="_Toc164608802"/>
      <w:bookmarkStart w:id="389" w:name="_Toc150774633"/>
      <w:bookmarkStart w:id="390" w:name="_Toc264969223"/>
      <w:bookmarkStart w:id="391" w:name="_Toc226965806"/>
      <w:bookmarkStart w:id="392" w:name="_Toc520356158"/>
      <w:bookmarkStart w:id="393" w:name="_Toc226337229"/>
      <w:bookmarkStart w:id="394" w:name="_Toc226965723"/>
      <w:bookmarkStart w:id="395" w:name="_Toc305158875"/>
      <w:bookmarkStart w:id="396" w:name="_Toc226309777"/>
      <w:bookmarkStart w:id="397" w:name="_Toc127151734"/>
      <w:bookmarkStart w:id="398" w:name="_Toc151193921"/>
      <w:bookmarkStart w:id="399" w:name="_Toc151190160"/>
      <w:bookmarkStart w:id="400" w:name="_Toc150774738"/>
      <w:bookmarkStart w:id="401" w:name="_Toc151193775"/>
      <w:bookmarkStart w:id="402" w:name="_Toc127151533"/>
      <w:bookmarkStart w:id="403" w:name="_Toc127161447"/>
      <w:bookmarkStart w:id="404" w:name="_Toc195842898"/>
      <w:bookmarkStart w:id="405" w:name="_Toc142311035"/>
      <w:bookmarkStart w:id="406" w:name="_Toc150480771"/>
      <w:bookmarkStart w:id="407" w:name="_Toc150509284"/>
      <w:bookmarkStart w:id="408" w:name="_Toc164229374"/>
      <w:bookmarkStart w:id="409" w:name="_Toc151193703"/>
      <w:r>
        <w:rPr>
          <w:rFonts w:hint="eastAsia" w:ascii="宋体" w:hAnsi="宋体" w:cs="宋体"/>
          <w:color w:val="auto"/>
          <w:sz w:val="24"/>
          <w:highlight w:val="none"/>
        </w:rPr>
        <w:t>投标文件的签署</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Pr>
          <w:rFonts w:hint="eastAsia" w:ascii="宋体" w:hAnsi="宋体" w:cs="宋体"/>
          <w:color w:val="auto"/>
          <w:sz w:val="24"/>
          <w:highlight w:val="none"/>
        </w:rPr>
        <w:t>、盖章</w:t>
      </w:r>
    </w:p>
    <w:p w14:paraId="036C1034">
      <w:pPr>
        <w:keepNext w:val="0"/>
        <w:keepLines w:val="0"/>
        <w:pageBreakBefore w:val="0"/>
        <w:widowControl w:val="0"/>
        <w:numPr>
          <w:ilvl w:val="1"/>
          <w:numId w:val="11"/>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bookmarkStart w:id="410" w:name="_Toc151193848"/>
      <w:bookmarkStart w:id="411" w:name="_Toc142311036"/>
      <w:bookmarkStart w:id="412" w:name="_Toc226965807"/>
      <w:bookmarkStart w:id="413" w:name="_Toc151193776"/>
      <w:bookmarkStart w:id="414" w:name="_Toc226309778"/>
      <w:bookmarkStart w:id="415" w:name="_Toc151190161"/>
      <w:bookmarkStart w:id="416" w:name="_Toc264969224"/>
      <w:bookmarkStart w:id="417" w:name="_Toc150480772"/>
      <w:bookmarkStart w:id="418" w:name="_Toc151193922"/>
      <w:bookmarkStart w:id="419" w:name="_Toc226337230"/>
      <w:bookmarkStart w:id="420" w:name="_Toc151193704"/>
      <w:bookmarkStart w:id="421" w:name="_Toc150509285"/>
      <w:bookmarkStart w:id="422" w:name="_Toc151193632"/>
      <w:bookmarkStart w:id="423" w:name="_Toc520356159"/>
      <w:bookmarkStart w:id="424" w:name="_Toc305158802"/>
      <w:bookmarkStart w:id="425" w:name="_Toc305158876"/>
      <w:bookmarkStart w:id="426" w:name="_Toc127151534"/>
      <w:bookmarkStart w:id="427" w:name="_Toc265228372"/>
      <w:bookmarkStart w:id="428" w:name="_Toc195842899"/>
      <w:bookmarkStart w:id="429" w:name="_Toc150774634"/>
      <w:bookmarkStart w:id="430" w:name="_Toc226965724"/>
      <w:bookmarkStart w:id="431" w:name="_Toc150774739"/>
      <w:r>
        <w:rPr>
          <w:rFonts w:hint="eastAsia" w:ascii="宋体" w:hAnsi="宋体" w:cs="宋体"/>
          <w:color w:val="auto"/>
          <w:sz w:val="24"/>
          <w:highlight w:val="none"/>
        </w:rPr>
        <w:t>按照第七章“投标文件格式”的要求进行签字和（或）盖章；</w:t>
      </w:r>
    </w:p>
    <w:p w14:paraId="63B64CB7">
      <w:pPr>
        <w:keepNext w:val="0"/>
        <w:keepLines w:val="0"/>
        <w:pageBreakBefore w:val="0"/>
        <w:widowControl w:val="0"/>
        <w:numPr>
          <w:ilvl w:val="1"/>
          <w:numId w:val="11"/>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若为联合体投标，投标文件中投标人落款处需填写联合体所有组成成员单位的名称，仅由联合体牵头人进行签字和（或）盖章即可（联合协议除外）。</w:t>
      </w:r>
    </w:p>
    <w:p w14:paraId="63AA00AA">
      <w:pPr>
        <w:keepNext w:val="0"/>
        <w:keepLines w:val="0"/>
        <w:pageBreakBefore w:val="0"/>
        <w:widowControl w:val="0"/>
        <w:numPr>
          <w:ilvl w:val="1"/>
          <w:numId w:val="11"/>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除法定代表人（单位负责人）身份证明和授权委托书外，投标人公章可用有效的专用章代替，但应提供其有效证明。</w:t>
      </w:r>
    </w:p>
    <w:p w14:paraId="0BE86116">
      <w:pPr>
        <w:tabs>
          <w:tab w:val="left" w:pos="900"/>
          <w:tab w:val="left" w:pos="1080"/>
        </w:tabs>
        <w:snapToGrid w:val="0"/>
        <w:spacing w:line="360" w:lineRule="auto"/>
        <w:ind w:left="357"/>
        <w:rPr>
          <w:rFonts w:hint="eastAsia" w:ascii="宋体" w:hAnsi="宋体" w:cs="宋体"/>
          <w:color w:val="auto"/>
          <w:highlight w:val="none"/>
        </w:rPr>
      </w:pPr>
    </w:p>
    <w:p w14:paraId="6CE14EF9">
      <w:pPr>
        <w:pStyle w:val="3"/>
        <w:ind w:firstLine="562"/>
        <w:rPr>
          <w:rFonts w:hint="eastAsia" w:ascii="宋体" w:hAnsi="宋体" w:cs="宋体"/>
          <w:color w:val="auto"/>
          <w:sz w:val="28"/>
          <w:highlight w:val="none"/>
        </w:rPr>
      </w:pPr>
      <w:r>
        <w:rPr>
          <w:rFonts w:hint="eastAsia" w:ascii="宋体" w:hAnsi="宋体" w:cs="宋体"/>
          <w:color w:val="auto"/>
          <w:sz w:val="28"/>
          <w:highlight w:val="none"/>
        </w:rPr>
        <w:t>四   投标文件的提交</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1A9F9953">
      <w:pPr>
        <w:keepNext w:val="0"/>
        <w:keepLines w:val="0"/>
        <w:pageBreakBefore w:val="0"/>
        <w:widowControl w:val="0"/>
        <w:numPr>
          <w:ilvl w:val="0"/>
          <w:numId w:val="11"/>
        </w:numPr>
        <w:tabs>
          <w:tab w:val="left" w:pos="360"/>
        </w:tabs>
        <w:kinsoku/>
        <w:wordWrap/>
        <w:overflowPunct/>
        <w:topLinePunct w:val="0"/>
        <w:autoSpaceDE/>
        <w:autoSpaceDN/>
        <w:bidi w:val="0"/>
        <w:adjustRightInd/>
        <w:snapToGrid w:val="0"/>
        <w:spacing w:after="0" w:line="360" w:lineRule="auto"/>
        <w:ind w:left="357" w:hanging="357"/>
        <w:textAlignment w:val="auto"/>
        <w:outlineLvl w:val="1"/>
        <w:rPr>
          <w:rFonts w:hint="eastAsia" w:ascii="宋体" w:hAnsi="宋体" w:cs="宋体"/>
          <w:color w:val="auto"/>
          <w:sz w:val="24"/>
          <w:highlight w:val="none"/>
        </w:rPr>
      </w:pPr>
      <w:bookmarkStart w:id="432" w:name="_Toc151193705"/>
      <w:bookmarkStart w:id="433" w:name="_Toc520356160"/>
      <w:bookmarkStart w:id="434" w:name="_Toc150774635"/>
      <w:bookmarkStart w:id="435" w:name="_Toc149720828"/>
      <w:bookmarkStart w:id="436" w:name="_Toc151193849"/>
      <w:bookmarkStart w:id="437" w:name="_Toc164229376"/>
      <w:bookmarkStart w:id="438" w:name="_Toc127151535"/>
      <w:bookmarkStart w:id="439" w:name="_Toc164608649"/>
      <w:bookmarkStart w:id="440" w:name="_Toc164229230"/>
      <w:bookmarkStart w:id="441" w:name="_Toc226309779"/>
      <w:bookmarkStart w:id="442" w:name="_Toc226337231"/>
      <w:bookmarkStart w:id="443" w:name="_Toc150509286"/>
      <w:bookmarkStart w:id="444" w:name="_Toc164351629"/>
      <w:bookmarkStart w:id="445" w:name="_Toc226965808"/>
      <w:bookmarkStart w:id="446" w:name="_Toc151193633"/>
      <w:bookmarkStart w:id="447" w:name="_Toc195842900"/>
      <w:bookmarkStart w:id="448" w:name="_Toc265228373"/>
      <w:bookmarkStart w:id="449" w:name="_Toc151193923"/>
      <w:bookmarkStart w:id="450" w:name="_Toc151190162"/>
      <w:bookmarkStart w:id="451" w:name="_Toc150774740"/>
      <w:bookmarkStart w:id="452" w:name="_Toc127161449"/>
      <w:bookmarkStart w:id="453" w:name="_Toc264969225"/>
      <w:bookmarkStart w:id="454" w:name="_Toc305158803"/>
      <w:bookmarkStart w:id="455" w:name="_Toc226965725"/>
      <w:bookmarkStart w:id="456" w:name="_Toc151193777"/>
      <w:bookmarkStart w:id="457" w:name="_Toc305158877"/>
      <w:bookmarkStart w:id="458" w:name="_Toc142311037"/>
      <w:bookmarkStart w:id="459" w:name="_Toc150480773"/>
      <w:bookmarkStart w:id="460" w:name="_Toc127151736"/>
      <w:bookmarkStart w:id="461" w:name="_Toc164608804"/>
      <w:r>
        <w:rPr>
          <w:rFonts w:hint="eastAsia" w:ascii="宋体" w:hAnsi="宋体" w:cs="宋体"/>
          <w:color w:val="auto"/>
          <w:sz w:val="24"/>
          <w:highlight w:val="none"/>
        </w:rPr>
        <w:t>投标文件的</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Pr>
          <w:rFonts w:hint="eastAsia" w:ascii="宋体" w:hAnsi="宋体" w:cs="宋体"/>
          <w:color w:val="auto"/>
          <w:sz w:val="24"/>
          <w:highlight w:val="none"/>
        </w:rPr>
        <w:t>提交</w:t>
      </w:r>
    </w:p>
    <w:p w14:paraId="77C9CA29">
      <w:pPr>
        <w:keepNext w:val="0"/>
        <w:keepLines w:val="0"/>
        <w:pageBreakBefore w:val="0"/>
        <w:widowControl w:val="0"/>
        <w:numPr>
          <w:ilvl w:val="1"/>
          <w:numId w:val="11"/>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本项目</w:t>
      </w:r>
      <w:r>
        <w:rPr>
          <w:rFonts w:hint="eastAsia" w:ascii="宋体" w:hAnsi="宋体" w:cs="宋体"/>
          <w:color w:val="auto"/>
          <w:sz w:val="24"/>
          <w:highlight w:val="none"/>
          <w:lang w:bidi="ar"/>
        </w:rPr>
        <w:t>采用政府采购电子化招标（线上线下相结合形式）</w:t>
      </w:r>
      <w:r>
        <w:rPr>
          <w:rFonts w:hint="eastAsia" w:ascii="宋体" w:hAnsi="宋体" w:cs="宋体"/>
          <w:color w:val="auto"/>
          <w:sz w:val="24"/>
          <w:highlight w:val="none"/>
        </w:rPr>
        <w:t>。投标人根据招标文件要求编制、并提交投标文件。</w:t>
      </w:r>
    </w:p>
    <w:p w14:paraId="135D6BE7">
      <w:pPr>
        <w:keepNext w:val="0"/>
        <w:keepLines w:val="0"/>
        <w:pageBreakBefore w:val="0"/>
        <w:widowControl w:val="0"/>
        <w:numPr>
          <w:ilvl w:val="1"/>
          <w:numId w:val="11"/>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采购人及采购代理机构招标文件规定以外任何形式提交的投标文件，投标保证金除外。</w:t>
      </w:r>
    </w:p>
    <w:p w14:paraId="02012AB4">
      <w:pPr>
        <w:keepNext w:val="0"/>
        <w:keepLines w:val="0"/>
        <w:pageBreakBefore w:val="0"/>
        <w:widowControl w:val="0"/>
        <w:numPr>
          <w:ilvl w:val="0"/>
          <w:numId w:val="11"/>
        </w:numPr>
        <w:tabs>
          <w:tab w:val="left" w:pos="360"/>
        </w:tabs>
        <w:kinsoku/>
        <w:wordWrap/>
        <w:overflowPunct/>
        <w:topLinePunct w:val="0"/>
        <w:autoSpaceDE/>
        <w:autoSpaceDN/>
        <w:bidi w:val="0"/>
        <w:adjustRightInd/>
        <w:snapToGrid w:val="0"/>
        <w:spacing w:after="0" w:line="360" w:lineRule="auto"/>
        <w:ind w:left="357" w:hanging="357"/>
        <w:textAlignment w:val="auto"/>
        <w:outlineLvl w:val="1"/>
        <w:rPr>
          <w:rFonts w:hint="eastAsia" w:ascii="宋体" w:hAnsi="宋体" w:cs="宋体"/>
          <w:color w:val="auto"/>
          <w:sz w:val="24"/>
          <w:highlight w:val="none"/>
        </w:rPr>
      </w:pPr>
      <w:bookmarkStart w:id="462" w:name="_Toc226309780"/>
      <w:bookmarkStart w:id="463" w:name="_Toc150774636"/>
      <w:bookmarkStart w:id="464" w:name="_Toc265228374"/>
      <w:bookmarkStart w:id="465" w:name="_Toc151193778"/>
      <w:bookmarkStart w:id="466" w:name="_Toc127151536"/>
      <w:bookmarkStart w:id="467" w:name="_Toc164608805"/>
      <w:bookmarkStart w:id="468" w:name="_Toc150509287"/>
      <w:bookmarkStart w:id="469" w:name="_Toc226965726"/>
      <w:bookmarkStart w:id="470" w:name="_Toc226337232"/>
      <w:bookmarkStart w:id="471" w:name="_Toc127151737"/>
      <w:bookmarkStart w:id="472" w:name="_Toc150480774"/>
      <w:bookmarkStart w:id="473" w:name="_Toc127161450"/>
      <w:bookmarkStart w:id="474" w:name="_Toc164351630"/>
      <w:bookmarkStart w:id="475" w:name="_Toc164229231"/>
      <w:bookmarkStart w:id="476" w:name="_Toc151193924"/>
      <w:bookmarkStart w:id="477" w:name="_Toc151193706"/>
      <w:bookmarkStart w:id="478" w:name="_Toc149720829"/>
      <w:bookmarkStart w:id="479" w:name="_Toc151193634"/>
      <w:bookmarkStart w:id="480" w:name="_Toc305158878"/>
      <w:bookmarkStart w:id="481" w:name="_Toc164229377"/>
      <w:bookmarkStart w:id="482" w:name="_Toc226965809"/>
      <w:bookmarkStart w:id="483" w:name="_Toc164608650"/>
      <w:bookmarkStart w:id="484" w:name="_Toc150774741"/>
      <w:bookmarkStart w:id="485" w:name="_Toc264969226"/>
      <w:bookmarkStart w:id="486" w:name="_Toc520356161"/>
      <w:bookmarkStart w:id="487" w:name="_Toc142311038"/>
      <w:bookmarkStart w:id="488" w:name="_Toc195842901"/>
      <w:bookmarkStart w:id="489" w:name="_Toc151193850"/>
      <w:bookmarkStart w:id="490" w:name="_Toc305158804"/>
      <w:bookmarkStart w:id="491" w:name="_Toc151190163"/>
      <w:r>
        <w:rPr>
          <w:rFonts w:hint="eastAsia" w:ascii="宋体" w:hAnsi="宋体" w:cs="宋体"/>
          <w:color w:val="auto"/>
          <w:sz w:val="24"/>
          <w:highlight w:val="none"/>
        </w:rPr>
        <w:t>投标截止</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r>
        <w:rPr>
          <w:rFonts w:hint="eastAsia" w:ascii="宋体" w:hAnsi="宋体" w:cs="宋体"/>
          <w:color w:val="auto"/>
          <w:sz w:val="24"/>
          <w:highlight w:val="none"/>
        </w:rPr>
        <w:t>时间</w:t>
      </w:r>
    </w:p>
    <w:p w14:paraId="01CFEE32">
      <w:pPr>
        <w:keepNext w:val="0"/>
        <w:keepLines w:val="0"/>
        <w:pageBreakBefore w:val="0"/>
        <w:widowControl w:val="0"/>
        <w:numPr>
          <w:ilvl w:val="1"/>
          <w:numId w:val="11"/>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见招标文件第一章 投标邀请。</w:t>
      </w:r>
    </w:p>
    <w:p w14:paraId="20F1AD7D">
      <w:pPr>
        <w:keepNext w:val="0"/>
        <w:keepLines w:val="0"/>
        <w:pageBreakBefore w:val="0"/>
        <w:widowControl w:val="0"/>
        <w:numPr>
          <w:ilvl w:val="0"/>
          <w:numId w:val="11"/>
        </w:numPr>
        <w:tabs>
          <w:tab w:val="left" w:pos="360"/>
        </w:tabs>
        <w:kinsoku/>
        <w:wordWrap/>
        <w:overflowPunct/>
        <w:topLinePunct w:val="0"/>
        <w:autoSpaceDE/>
        <w:autoSpaceDN/>
        <w:bidi w:val="0"/>
        <w:adjustRightInd/>
        <w:snapToGrid w:val="0"/>
        <w:spacing w:after="0" w:line="360" w:lineRule="auto"/>
        <w:ind w:left="357" w:hanging="357"/>
        <w:textAlignment w:val="auto"/>
        <w:outlineLvl w:val="1"/>
        <w:rPr>
          <w:rFonts w:hint="eastAsia" w:ascii="宋体" w:hAnsi="宋体" w:cs="宋体"/>
          <w:color w:val="auto"/>
          <w:sz w:val="24"/>
          <w:highlight w:val="none"/>
        </w:rPr>
      </w:pPr>
      <w:bookmarkStart w:id="492" w:name="_Toc150774637"/>
      <w:bookmarkStart w:id="493" w:name="_Toc149720830"/>
      <w:bookmarkStart w:id="494" w:name="_Toc164351631"/>
      <w:bookmarkStart w:id="495" w:name="_Toc150480775"/>
      <w:bookmarkStart w:id="496" w:name="_Toc305158879"/>
      <w:bookmarkStart w:id="497" w:name="_Toc127151738"/>
      <w:bookmarkStart w:id="498" w:name="_Toc164229378"/>
      <w:bookmarkStart w:id="499" w:name="_Toc265228375"/>
      <w:bookmarkStart w:id="500" w:name="_Toc226965810"/>
      <w:bookmarkStart w:id="501" w:name="_Toc151193925"/>
      <w:bookmarkStart w:id="502" w:name="_Toc127151537"/>
      <w:bookmarkStart w:id="503" w:name="_Toc264969227"/>
      <w:bookmarkStart w:id="504" w:name="_Toc164608806"/>
      <w:bookmarkStart w:id="505" w:name="_Toc150774742"/>
      <w:bookmarkStart w:id="506" w:name="_Toc151193707"/>
      <w:bookmarkStart w:id="507" w:name="_Toc151193635"/>
      <w:bookmarkStart w:id="508" w:name="_Toc305158805"/>
      <w:bookmarkStart w:id="509" w:name="_Toc127161451"/>
      <w:bookmarkStart w:id="510" w:name="_Toc195842902"/>
      <w:bookmarkStart w:id="511" w:name="_Toc226337233"/>
      <w:bookmarkStart w:id="512" w:name="_Toc226309781"/>
      <w:bookmarkStart w:id="513" w:name="_Toc150509288"/>
      <w:bookmarkStart w:id="514" w:name="_Toc164229232"/>
      <w:bookmarkStart w:id="515" w:name="_Toc151193851"/>
      <w:bookmarkStart w:id="516" w:name="_Toc520356162"/>
      <w:bookmarkStart w:id="517" w:name="_Toc142311039"/>
      <w:bookmarkStart w:id="518" w:name="_Toc151190164"/>
      <w:bookmarkStart w:id="519" w:name="_Toc164608651"/>
      <w:bookmarkStart w:id="520" w:name="_Toc226965727"/>
      <w:bookmarkStart w:id="521" w:name="_Toc151193779"/>
      <w:r>
        <w:rPr>
          <w:rFonts w:hint="eastAsia" w:ascii="宋体" w:hAnsi="宋体" w:cs="宋体"/>
          <w:color w:val="auto"/>
          <w:sz w:val="24"/>
          <w:highlight w:val="none"/>
        </w:rPr>
        <w:t>投标文件的修改与撤回</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14:paraId="72995D28">
      <w:pPr>
        <w:keepNext w:val="0"/>
        <w:keepLines w:val="0"/>
        <w:pageBreakBefore w:val="0"/>
        <w:widowControl w:val="0"/>
        <w:numPr>
          <w:ilvl w:val="1"/>
          <w:numId w:val="11"/>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投标人在投标截止时间前，可以对所递交的投标文件进行补充、修改或者撤回，并以书面通知采购人或者采购代理机构。</w:t>
      </w:r>
    </w:p>
    <w:p w14:paraId="0097CE68">
      <w:pPr>
        <w:keepNext w:val="0"/>
        <w:keepLines w:val="0"/>
        <w:pageBreakBefore w:val="0"/>
        <w:widowControl w:val="0"/>
        <w:numPr>
          <w:ilvl w:val="1"/>
          <w:numId w:val="11"/>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投标人对投标文件的补充、修改的内容应当按照招标文件要求签署、盖章，作为投标文件的组成部分。</w:t>
      </w:r>
    </w:p>
    <w:p w14:paraId="5AD61D75">
      <w:pPr>
        <w:spacing w:line="360" w:lineRule="auto"/>
        <w:rPr>
          <w:rFonts w:hint="eastAsia" w:ascii="宋体" w:hAnsi="宋体" w:cs="宋体"/>
          <w:color w:val="auto"/>
          <w:sz w:val="24"/>
          <w:highlight w:val="none"/>
        </w:rPr>
      </w:pPr>
    </w:p>
    <w:p w14:paraId="6334FBC0">
      <w:pPr>
        <w:pStyle w:val="3"/>
        <w:ind w:firstLine="562"/>
        <w:rPr>
          <w:rFonts w:hint="eastAsia" w:ascii="宋体" w:hAnsi="宋体" w:cs="宋体"/>
          <w:color w:val="auto"/>
          <w:sz w:val="28"/>
          <w:highlight w:val="none"/>
        </w:rPr>
      </w:pPr>
      <w:bookmarkStart w:id="522" w:name="_Toc150774638"/>
      <w:bookmarkStart w:id="523" w:name="_Toc195842903"/>
      <w:bookmarkStart w:id="524" w:name="_Toc264969228"/>
      <w:bookmarkStart w:id="525" w:name="_Toc127151538"/>
      <w:bookmarkStart w:id="526" w:name="_Toc305158806"/>
      <w:bookmarkStart w:id="527" w:name="_Toc150480776"/>
      <w:bookmarkStart w:id="528" w:name="_Toc151190165"/>
      <w:bookmarkStart w:id="529" w:name="_Toc226309782"/>
      <w:bookmarkStart w:id="530" w:name="_Toc226965728"/>
      <w:bookmarkStart w:id="531" w:name="_Toc305158880"/>
      <w:bookmarkStart w:id="532" w:name="_Toc520356163"/>
      <w:bookmarkStart w:id="533" w:name="_Toc150509289"/>
      <w:bookmarkStart w:id="534" w:name="_Toc151193636"/>
      <w:bookmarkStart w:id="535" w:name="_Toc151193780"/>
      <w:bookmarkStart w:id="536" w:name="_Toc150774743"/>
      <w:bookmarkStart w:id="537" w:name="_Toc151193926"/>
      <w:bookmarkStart w:id="538" w:name="_Toc226965811"/>
      <w:bookmarkStart w:id="539" w:name="_Toc151193708"/>
      <w:bookmarkStart w:id="540" w:name="_Toc226337234"/>
      <w:bookmarkStart w:id="541" w:name="_Toc142311040"/>
      <w:bookmarkStart w:id="542" w:name="_Toc151193852"/>
      <w:bookmarkStart w:id="543" w:name="_Toc265228376"/>
      <w:r>
        <w:rPr>
          <w:rFonts w:hint="eastAsia" w:ascii="宋体" w:hAnsi="宋体" w:cs="宋体"/>
          <w:color w:val="auto"/>
          <w:sz w:val="28"/>
          <w:highlight w:val="none"/>
        </w:rPr>
        <w:t>五   开标、资格审查及评标</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14:paraId="02AAEFC9">
      <w:pPr>
        <w:keepNext w:val="0"/>
        <w:keepLines w:val="0"/>
        <w:pageBreakBefore w:val="0"/>
        <w:widowControl w:val="0"/>
        <w:numPr>
          <w:ilvl w:val="0"/>
          <w:numId w:val="11"/>
        </w:numPr>
        <w:tabs>
          <w:tab w:val="left" w:pos="360"/>
        </w:tabs>
        <w:kinsoku/>
        <w:wordWrap/>
        <w:overflowPunct/>
        <w:topLinePunct w:val="0"/>
        <w:autoSpaceDE/>
        <w:autoSpaceDN/>
        <w:bidi w:val="0"/>
        <w:adjustRightInd/>
        <w:snapToGrid w:val="0"/>
        <w:spacing w:after="0" w:line="360" w:lineRule="auto"/>
        <w:ind w:left="357" w:hanging="357"/>
        <w:textAlignment w:val="auto"/>
        <w:outlineLvl w:val="1"/>
        <w:rPr>
          <w:rFonts w:hint="eastAsia" w:ascii="宋体" w:hAnsi="宋体" w:cs="宋体"/>
          <w:color w:val="auto"/>
          <w:sz w:val="24"/>
          <w:highlight w:val="none"/>
        </w:rPr>
      </w:pPr>
      <w:bookmarkStart w:id="544" w:name="_Toc127161453"/>
      <w:bookmarkStart w:id="545" w:name="_Toc150774744"/>
      <w:bookmarkStart w:id="546" w:name="_Toc164608808"/>
      <w:bookmarkStart w:id="547" w:name="_Toc151193927"/>
      <w:bookmarkStart w:id="548" w:name="_Toc164351633"/>
      <w:bookmarkStart w:id="549" w:name="_Toc164229234"/>
      <w:bookmarkStart w:id="550" w:name="_Toc226337235"/>
      <w:bookmarkStart w:id="551" w:name="_Toc150774639"/>
      <w:bookmarkStart w:id="552" w:name="_Toc226965812"/>
      <w:bookmarkStart w:id="553" w:name="_Toc226309783"/>
      <w:bookmarkStart w:id="554" w:name="_Toc127151539"/>
      <w:bookmarkStart w:id="555" w:name="_Toc149720832"/>
      <w:bookmarkStart w:id="556" w:name="_Toc164229380"/>
      <w:bookmarkStart w:id="557" w:name="_Toc264969229"/>
      <w:bookmarkStart w:id="558" w:name="_Toc226965729"/>
      <w:bookmarkStart w:id="559" w:name="_Toc305158807"/>
      <w:bookmarkStart w:id="560" w:name="_Toc151193781"/>
      <w:bookmarkStart w:id="561" w:name="_Toc151193853"/>
      <w:bookmarkStart w:id="562" w:name="_Toc520356164"/>
      <w:bookmarkStart w:id="563" w:name="_Toc195842904"/>
      <w:bookmarkStart w:id="564" w:name="_Toc151190166"/>
      <w:bookmarkStart w:id="565" w:name="_Toc127151740"/>
      <w:bookmarkStart w:id="566" w:name="_Toc164608653"/>
      <w:bookmarkStart w:id="567" w:name="_Toc151193637"/>
      <w:bookmarkStart w:id="568" w:name="_Toc265228377"/>
      <w:bookmarkStart w:id="569" w:name="_Toc150480777"/>
      <w:bookmarkStart w:id="570" w:name="_Toc150509290"/>
      <w:bookmarkStart w:id="571" w:name="_Toc142311041"/>
      <w:bookmarkStart w:id="572" w:name="_Toc151193709"/>
      <w:bookmarkStart w:id="573" w:name="_Toc305158881"/>
      <w:r>
        <w:rPr>
          <w:rFonts w:hint="eastAsia" w:ascii="宋体" w:hAnsi="宋体" w:cs="宋体"/>
          <w:color w:val="auto"/>
          <w:sz w:val="24"/>
          <w:highlight w:val="none"/>
        </w:rPr>
        <w:t>开标</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 w14:paraId="72BDAF3C">
      <w:pPr>
        <w:keepNext w:val="0"/>
        <w:keepLines w:val="0"/>
        <w:pageBreakBefore w:val="0"/>
        <w:widowControl w:val="0"/>
        <w:numPr>
          <w:ilvl w:val="1"/>
          <w:numId w:val="11"/>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采购代理机构将按招标公告或投标邀请的规定，在投标截止时间的同一时间和预先确定的地点组织公开开标。</w:t>
      </w:r>
    </w:p>
    <w:p w14:paraId="71F879FF">
      <w:pPr>
        <w:keepNext w:val="0"/>
        <w:keepLines w:val="0"/>
        <w:pageBreakBefore w:val="0"/>
        <w:widowControl w:val="0"/>
        <w:numPr>
          <w:ilvl w:val="1"/>
          <w:numId w:val="11"/>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开标由采购人或者采购代理机构主持，邀请投标人、采购人和有关方面代表参加。评标委员会成员不得参加开标活动。投标人可委派代表参加开标并按投标人须知前附表的规定提交身份证明材料。参加开标的投标人代表应签名报到以证明其出席。</w:t>
      </w:r>
    </w:p>
    <w:p w14:paraId="646D1D73">
      <w:pPr>
        <w:keepNext w:val="0"/>
        <w:keepLines w:val="0"/>
        <w:pageBreakBefore w:val="0"/>
        <w:widowControl w:val="0"/>
        <w:numPr>
          <w:ilvl w:val="1"/>
          <w:numId w:val="11"/>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采购人或者采购代理机构应当对开标、评标现场活动进行全程录音录像。</w:t>
      </w:r>
    </w:p>
    <w:p w14:paraId="490FC1AF">
      <w:pPr>
        <w:keepNext w:val="0"/>
        <w:keepLines w:val="0"/>
        <w:pageBreakBefore w:val="0"/>
        <w:widowControl w:val="0"/>
        <w:numPr>
          <w:ilvl w:val="1"/>
          <w:numId w:val="11"/>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开标时，应当由投标人或者其推选的代表检查投标文件的密封情况，经确认无误后，由采购人或者采购代理机构工作人员当众拆封，宣布投标人名称、投标价格、是否提交投标保证金、价格折扣声明（如有）和招标文件规定的需要宣布的其他内容。</w:t>
      </w:r>
    </w:p>
    <w:p w14:paraId="7C86288B">
      <w:pPr>
        <w:keepNext w:val="0"/>
        <w:keepLines w:val="0"/>
        <w:pageBreakBefore w:val="0"/>
        <w:widowControl w:val="0"/>
        <w:numPr>
          <w:ilvl w:val="1"/>
          <w:numId w:val="11"/>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41CE51C2">
      <w:pPr>
        <w:keepNext w:val="0"/>
        <w:keepLines w:val="0"/>
        <w:pageBreakBefore w:val="0"/>
        <w:widowControl w:val="0"/>
        <w:numPr>
          <w:ilvl w:val="1"/>
          <w:numId w:val="11"/>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开标时未宣读的投标价格、价格折扣等实质内容，评标时不予承认。</w:t>
      </w:r>
    </w:p>
    <w:p w14:paraId="232363A8">
      <w:pPr>
        <w:keepNext w:val="0"/>
        <w:keepLines w:val="0"/>
        <w:pageBreakBefore w:val="0"/>
        <w:widowControl w:val="0"/>
        <w:numPr>
          <w:ilvl w:val="1"/>
          <w:numId w:val="11"/>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除了按照本须知的规定应当拒收的投标文件之外，开标时将不得拒绝任何投标。</w:t>
      </w:r>
    </w:p>
    <w:p w14:paraId="1FB2F841">
      <w:pPr>
        <w:keepNext w:val="0"/>
        <w:keepLines w:val="0"/>
        <w:pageBreakBefore w:val="0"/>
        <w:widowControl w:val="0"/>
        <w:tabs>
          <w:tab w:val="left" w:pos="1080"/>
          <w:tab w:val="left" w:pos="1589"/>
          <w:tab w:val="left" w:pos="2014"/>
        </w:tabs>
        <w:kinsoku/>
        <w:wordWrap/>
        <w:overflowPunct/>
        <w:topLinePunct w:val="0"/>
        <w:autoSpaceDE/>
        <w:autoSpaceDN/>
        <w:bidi w:val="0"/>
        <w:adjustRightInd/>
        <w:snapToGrid w:val="0"/>
        <w:spacing w:after="0" w:line="360" w:lineRule="auto"/>
        <w:ind w:left="1077"/>
        <w:textAlignment w:val="auto"/>
        <w:rPr>
          <w:rFonts w:hint="eastAsia" w:ascii="宋体" w:hAnsi="宋体" w:cs="宋体"/>
          <w:color w:val="auto"/>
          <w:sz w:val="24"/>
          <w:highlight w:val="none"/>
        </w:rPr>
      </w:pPr>
      <w:r>
        <w:rPr>
          <w:rFonts w:hint="eastAsia" w:ascii="宋体" w:hAnsi="宋体" w:cs="宋体"/>
          <w:color w:val="auto"/>
          <w:sz w:val="24"/>
          <w:highlight w:val="none"/>
        </w:rPr>
        <w:t>采购代理机构将对唱标内容做开标记录，由参加开标的各投标人代表和相关工作人员签字确认。投标人未参加开标的，视同认可开标结果。</w:t>
      </w:r>
      <w:bookmarkStart w:id="574" w:name="_Toc520356165"/>
    </w:p>
    <w:p w14:paraId="2FEA8F62">
      <w:pPr>
        <w:keepNext w:val="0"/>
        <w:keepLines w:val="0"/>
        <w:pageBreakBefore w:val="0"/>
        <w:widowControl w:val="0"/>
        <w:numPr>
          <w:ilvl w:val="1"/>
          <w:numId w:val="11"/>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投标人不足3家的，不予开标。</w:t>
      </w:r>
    </w:p>
    <w:p w14:paraId="548B7E2A">
      <w:pPr>
        <w:keepNext w:val="0"/>
        <w:keepLines w:val="0"/>
        <w:pageBreakBefore w:val="0"/>
        <w:widowControl w:val="0"/>
        <w:numPr>
          <w:ilvl w:val="0"/>
          <w:numId w:val="11"/>
        </w:numPr>
        <w:tabs>
          <w:tab w:val="left" w:pos="360"/>
        </w:tabs>
        <w:kinsoku/>
        <w:wordWrap/>
        <w:overflowPunct/>
        <w:topLinePunct w:val="0"/>
        <w:autoSpaceDE/>
        <w:autoSpaceDN/>
        <w:bidi w:val="0"/>
        <w:adjustRightInd/>
        <w:snapToGrid w:val="0"/>
        <w:spacing w:after="0" w:line="360" w:lineRule="auto"/>
        <w:ind w:left="357" w:hanging="357"/>
        <w:textAlignment w:val="auto"/>
        <w:outlineLvl w:val="1"/>
        <w:rPr>
          <w:rFonts w:hint="eastAsia" w:ascii="宋体" w:hAnsi="宋体" w:cs="宋体"/>
          <w:color w:val="auto"/>
          <w:sz w:val="24"/>
          <w:highlight w:val="none"/>
        </w:rPr>
      </w:pPr>
      <w:r>
        <w:rPr>
          <w:rFonts w:hint="eastAsia" w:ascii="宋体" w:hAnsi="宋体" w:cs="宋体"/>
          <w:color w:val="auto"/>
          <w:sz w:val="24"/>
          <w:highlight w:val="none"/>
        </w:rPr>
        <w:t>资格审查</w:t>
      </w:r>
    </w:p>
    <w:p w14:paraId="0673E9C1">
      <w:pPr>
        <w:keepNext w:val="0"/>
        <w:keepLines w:val="0"/>
        <w:pageBreakBefore w:val="0"/>
        <w:widowControl w:val="0"/>
        <w:numPr>
          <w:ilvl w:val="1"/>
          <w:numId w:val="11"/>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见第三章《资格审查》。</w:t>
      </w:r>
    </w:p>
    <w:bookmarkEnd w:id="574"/>
    <w:p w14:paraId="27DB3215">
      <w:pPr>
        <w:keepNext w:val="0"/>
        <w:keepLines w:val="0"/>
        <w:pageBreakBefore w:val="0"/>
        <w:widowControl w:val="0"/>
        <w:numPr>
          <w:ilvl w:val="0"/>
          <w:numId w:val="11"/>
        </w:numPr>
        <w:tabs>
          <w:tab w:val="left" w:pos="360"/>
        </w:tabs>
        <w:kinsoku/>
        <w:wordWrap/>
        <w:overflowPunct/>
        <w:topLinePunct w:val="0"/>
        <w:autoSpaceDE/>
        <w:autoSpaceDN/>
        <w:bidi w:val="0"/>
        <w:adjustRightInd/>
        <w:snapToGrid w:val="0"/>
        <w:spacing w:after="0" w:line="360" w:lineRule="auto"/>
        <w:ind w:left="357" w:hanging="357"/>
        <w:textAlignment w:val="auto"/>
        <w:outlineLvl w:val="1"/>
        <w:rPr>
          <w:rFonts w:hint="eastAsia" w:ascii="宋体" w:hAnsi="宋体" w:cs="宋体"/>
          <w:color w:val="auto"/>
          <w:sz w:val="24"/>
          <w:highlight w:val="none"/>
        </w:rPr>
      </w:pPr>
      <w:bookmarkStart w:id="575" w:name="_Toc164608654"/>
      <w:bookmarkStart w:id="576" w:name="_Toc265228378"/>
      <w:bookmarkStart w:id="577" w:name="_Toc164229235"/>
      <w:bookmarkStart w:id="578" w:name="_Toc164351634"/>
      <w:bookmarkStart w:id="579" w:name="_Toc151190167"/>
      <w:bookmarkStart w:id="580" w:name="_Toc127151741"/>
      <w:bookmarkStart w:id="581" w:name="_Toc305158808"/>
      <w:bookmarkStart w:id="582" w:name="_Toc151193854"/>
      <w:bookmarkStart w:id="583" w:name="_Toc151193638"/>
      <w:bookmarkStart w:id="584" w:name="_Toc195842905"/>
      <w:bookmarkStart w:id="585" w:name="_Toc164229381"/>
      <w:bookmarkStart w:id="586" w:name="_Toc226337236"/>
      <w:bookmarkStart w:id="587" w:name="_Toc151193928"/>
      <w:bookmarkStart w:id="588" w:name="_Toc150480778"/>
      <w:bookmarkStart w:id="589" w:name="_Toc151193782"/>
      <w:bookmarkStart w:id="590" w:name="_Toc150509291"/>
      <w:bookmarkStart w:id="591" w:name="_Toc142311042"/>
      <w:bookmarkStart w:id="592" w:name="_Toc149720833"/>
      <w:bookmarkStart w:id="593" w:name="_Toc127151540"/>
      <w:bookmarkStart w:id="594" w:name="_Toc226309784"/>
      <w:bookmarkStart w:id="595" w:name="_Toc150774640"/>
      <w:bookmarkStart w:id="596" w:name="_Toc226965730"/>
      <w:bookmarkStart w:id="597" w:name="_Toc151193710"/>
      <w:bookmarkStart w:id="598" w:name="_Toc305158882"/>
      <w:bookmarkStart w:id="599" w:name="_Toc226965813"/>
      <w:bookmarkStart w:id="600" w:name="_Toc164608809"/>
      <w:bookmarkStart w:id="601" w:name="_Toc264969230"/>
      <w:bookmarkStart w:id="602" w:name="_Toc150774745"/>
      <w:bookmarkStart w:id="603" w:name="_Toc127161454"/>
      <w:r>
        <w:rPr>
          <w:rFonts w:hint="eastAsia" w:ascii="宋体" w:hAnsi="宋体" w:cs="宋体"/>
          <w:color w:val="auto"/>
          <w:sz w:val="24"/>
          <w:highlight w:val="none"/>
        </w:rPr>
        <w:t>评标委员会</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14:paraId="1F1D2679">
      <w:pPr>
        <w:keepNext w:val="0"/>
        <w:keepLines w:val="0"/>
        <w:pageBreakBefore w:val="0"/>
        <w:widowControl w:val="0"/>
        <w:numPr>
          <w:ilvl w:val="1"/>
          <w:numId w:val="11"/>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评标委员会根据政府采购有关规定和本次招标采购项目的特点进行组建，并负责具体评标事务，独立履行职责。</w:t>
      </w:r>
      <w:bookmarkStart w:id="604" w:name="_Toc520356166"/>
    </w:p>
    <w:p w14:paraId="3C59B770">
      <w:pPr>
        <w:keepNext w:val="0"/>
        <w:keepLines w:val="0"/>
        <w:pageBreakBefore w:val="0"/>
        <w:widowControl w:val="0"/>
        <w:numPr>
          <w:ilvl w:val="1"/>
          <w:numId w:val="11"/>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604"/>
      <w:bookmarkStart w:id="605" w:name="_Toc520356169"/>
    </w:p>
    <w:p w14:paraId="58DF2877">
      <w:pPr>
        <w:keepNext w:val="0"/>
        <w:keepLines w:val="0"/>
        <w:pageBreakBefore w:val="0"/>
        <w:widowControl w:val="0"/>
        <w:numPr>
          <w:ilvl w:val="0"/>
          <w:numId w:val="11"/>
        </w:numPr>
        <w:tabs>
          <w:tab w:val="left" w:pos="360"/>
        </w:tabs>
        <w:kinsoku/>
        <w:wordWrap/>
        <w:overflowPunct/>
        <w:topLinePunct w:val="0"/>
        <w:autoSpaceDE/>
        <w:autoSpaceDN/>
        <w:bidi w:val="0"/>
        <w:adjustRightInd/>
        <w:snapToGrid w:val="0"/>
        <w:spacing w:after="0" w:line="360" w:lineRule="auto"/>
        <w:ind w:left="357" w:hanging="357"/>
        <w:textAlignment w:val="auto"/>
        <w:outlineLvl w:val="1"/>
        <w:rPr>
          <w:rFonts w:hint="eastAsia" w:ascii="宋体" w:hAnsi="宋体" w:cs="宋体"/>
          <w:color w:val="auto"/>
          <w:sz w:val="24"/>
          <w:highlight w:val="none"/>
        </w:rPr>
      </w:pPr>
      <w:r>
        <w:rPr>
          <w:rFonts w:hint="eastAsia" w:ascii="宋体" w:hAnsi="宋体" w:cs="宋体"/>
          <w:color w:val="auto"/>
          <w:sz w:val="24"/>
          <w:highlight w:val="none"/>
        </w:rPr>
        <w:t>评标程序、评标方法和评标标准</w:t>
      </w:r>
    </w:p>
    <w:p w14:paraId="042042D6">
      <w:pPr>
        <w:keepNext w:val="0"/>
        <w:keepLines w:val="0"/>
        <w:pageBreakBefore w:val="0"/>
        <w:widowControl w:val="0"/>
        <w:numPr>
          <w:ilvl w:val="1"/>
          <w:numId w:val="11"/>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见第四章《评标程序、评标方法和评标标准》。</w:t>
      </w:r>
    </w:p>
    <w:p w14:paraId="64B0CAE8">
      <w:pPr>
        <w:tabs>
          <w:tab w:val="left" w:pos="360"/>
          <w:tab w:val="left" w:pos="1080"/>
        </w:tabs>
        <w:snapToGrid w:val="0"/>
        <w:spacing w:line="360" w:lineRule="auto"/>
        <w:ind w:left="1080"/>
        <w:rPr>
          <w:rFonts w:hint="eastAsia" w:ascii="宋体" w:hAnsi="宋体" w:cs="宋体"/>
          <w:color w:val="auto"/>
          <w:sz w:val="24"/>
          <w:highlight w:val="none"/>
        </w:rPr>
      </w:pPr>
    </w:p>
    <w:p w14:paraId="6D6504D7">
      <w:pPr>
        <w:pStyle w:val="3"/>
        <w:ind w:firstLine="562"/>
        <w:rPr>
          <w:rFonts w:hint="eastAsia" w:ascii="宋体" w:hAnsi="宋体" w:cs="宋体"/>
          <w:color w:val="auto"/>
          <w:sz w:val="28"/>
          <w:highlight w:val="none"/>
        </w:rPr>
      </w:pPr>
      <w:bookmarkStart w:id="606" w:name="_Toc226965735"/>
      <w:bookmarkStart w:id="607" w:name="_Toc150774750"/>
      <w:bookmarkStart w:id="608" w:name="_Toc150480783"/>
      <w:bookmarkStart w:id="609" w:name="_Toc151193859"/>
      <w:bookmarkStart w:id="610" w:name="_Toc305158887"/>
      <w:bookmarkStart w:id="611" w:name="_Toc226309789"/>
      <w:bookmarkStart w:id="612" w:name="_Toc151193715"/>
      <w:bookmarkStart w:id="613" w:name="_Toc264969235"/>
      <w:bookmarkStart w:id="614" w:name="_Toc151193643"/>
      <w:bookmarkStart w:id="615" w:name="_Toc150509296"/>
      <w:bookmarkStart w:id="616" w:name="_Toc305158813"/>
      <w:bookmarkStart w:id="617" w:name="_Toc226337241"/>
      <w:bookmarkStart w:id="618" w:name="_Toc150774645"/>
      <w:bookmarkStart w:id="619" w:name="_Toc151190172"/>
      <w:bookmarkStart w:id="620" w:name="_Toc226965818"/>
      <w:bookmarkStart w:id="621" w:name="_Toc127151545"/>
      <w:bookmarkStart w:id="622" w:name="_Toc195842910"/>
      <w:bookmarkStart w:id="623" w:name="_Toc265228383"/>
      <w:bookmarkStart w:id="624" w:name="_Toc142311047"/>
      <w:bookmarkStart w:id="625" w:name="_Toc151193787"/>
      <w:bookmarkStart w:id="626" w:name="_Toc151193933"/>
      <w:r>
        <w:rPr>
          <w:rFonts w:hint="eastAsia" w:ascii="宋体" w:hAnsi="宋体" w:cs="宋体"/>
          <w:color w:val="auto"/>
          <w:sz w:val="28"/>
          <w:highlight w:val="none"/>
        </w:rPr>
        <w:t xml:space="preserve">六   </w:t>
      </w:r>
      <w:bookmarkEnd w:id="605"/>
      <w:r>
        <w:rPr>
          <w:rFonts w:hint="eastAsia" w:ascii="宋体" w:hAnsi="宋体" w:cs="宋体"/>
          <w:color w:val="auto"/>
          <w:sz w:val="28"/>
          <w:highlight w:val="none"/>
        </w:rPr>
        <w:t>确定中标</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Start w:id="627" w:name="_Toc164229388"/>
      <w:bookmarkStart w:id="628" w:name="_Toc164608816"/>
      <w:bookmarkStart w:id="629" w:name="_Toc264969237"/>
      <w:bookmarkStart w:id="630" w:name="_Toc226337243"/>
      <w:bookmarkStart w:id="631" w:name="_Toc150509298"/>
      <w:bookmarkStart w:id="632" w:name="_Toc226965737"/>
      <w:bookmarkStart w:id="633" w:name="_Toc151193861"/>
      <w:bookmarkStart w:id="634" w:name="_Toc164351641"/>
      <w:bookmarkStart w:id="635" w:name="_Toc151190174"/>
      <w:bookmarkStart w:id="636" w:name="_Toc305158889"/>
      <w:bookmarkStart w:id="637" w:name="_Toc127151748"/>
      <w:bookmarkStart w:id="638" w:name="_Toc164608661"/>
      <w:bookmarkStart w:id="639" w:name="_Toc151193645"/>
      <w:bookmarkStart w:id="640" w:name="_Toc150774647"/>
      <w:bookmarkStart w:id="641" w:name="_Toc149720840"/>
      <w:bookmarkStart w:id="642" w:name="_Toc151193789"/>
      <w:bookmarkStart w:id="643" w:name="_Toc151193935"/>
      <w:bookmarkStart w:id="644" w:name="_Toc127151547"/>
      <w:bookmarkStart w:id="645" w:name="_Toc226309791"/>
      <w:bookmarkStart w:id="646" w:name="_Toc195842912"/>
      <w:bookmarkStart w:id="647" w:name="_Toc142311049"/>
      <w:bookmarkStart w:id="648" w:name="_Toc164229242"/>
      <w:bookmarkStart w:id="649" w:name="_Toc150480785"/>
      <w:bookmarkStart w:id="650" w:name="_Toc127161461"/>
      <w:bookmarkStart w:id="651" w:name="_Toc265228385"/>
      <w:bookmarkStart w:id="652" w:name="_Toc151193717"/>
      <w:bookmarkStart w:id="653" w:name="_Toc305158815"/>
      <w:bookmarkStart w:id="654" w:name="_Toc150774752"/>
      <w:bookmarkStart w:id="655" w:name="_Toc226965820"/>
    </w:p>
    <w:p w14:paraId="57778EC9">
      <w:pPr>
        <w:keepNext w:val="0"/>
        <w:keepLines w:val="0"/>
        <w:pageBreakBefore w:val="0"/>
        <w:widowControl w:val="0"/>
        <w:numPr>
          <w:ilvl w:val="0"/>
          <w:numId w:val="11"/>
        </w:numPr>
        <w:tabs>
          <w:tab w:val="left" w:pos="360"/>
        </w:tabs>
        <w:kinsoku/>
        <w:wordWrap/>
        <w:overflowPunct/>
        <w:topLinePunct w:val="0"/>
        <w:autoSpaceDE/>
        <w:autoSpaceDN/>
        <w:bidi w:val="0"/>
        <w:adjustRightInd/>
        <w:snapToGrid w:val="0"/>
        <w:spacing w:after="0" w:line="360" w:lineRule="auto"/>
        <w:ind w:left="357" w:hanging="357"/>
        <w:textAlignment w:val="auto"/>
        <w:outlineLvl w:val="1"/>
        <w:rPr>
          <w:rFonts w:hint="eastAsia" w:ascii="宋体" w:hAnsi="宋体" w:cs="宋体"/>
          <w:color w:val="auto"/>
          <w:sz w:val="24"/>
          <w:highlight w:val="none"/>
        </w:rPr>
      </w:pPr>
      <w:r>
        <w:rPr>
          <w:rFonts w:hint="eastAsia" w:ascii="宋体" w:hAnsi="宋体" w:cs="宋体"/>
          <w:color w:val="auto"/>
          <w:sz w:val="24"/>
          <w:highlight w:val="none"/>
        </w:rPr>
        <w:t>确定中标人</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p w14:paraId="20AD9767">
      <w:pPr>
        <w:keepNext w:val="0"/>
        <w:keepLines w:val="0"/>
        <w:pageBreakBefore w:val="0"/>
        <w:widowControl w:val="0"/>
        <w:numPr>
          <w:ilvl w:val="1"/>
          <w:numId w:val="11"/>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w:t>
      </w:r>
      <w:r>
        <w:rPr>
          <w:rFonts w:hint="eastAsia" w:ascii="宋体" w:hAnsi="宋体" w:cs="宋体"/>
          <w:color w:val="auto"/>
          <w:sz w:val="24"/>
          <w:highlight w:val="none"/>
        </w:rPr>
        <w:t>中标人</w:t>
      </w:r>
      <w:r>
        <w:rPr>
          <w:rFonts w:hint="eastAsia" w:ascii="宋体" w:hAnsi="宋体" w:cs="宋体"/>
          <w:color w:val="auto"/>
          <w:sz w:val="24"/>
          <w:highlight w:val="none"/>
        </w:rPr>
        <w:t>。</w:t>
      </w:r>
    </w:p>
    <w:p w14:paraId="3E9610DA">
      <w:pPr>
        <w:keepNext w:val="0"/>
        <w:keepLines w:val="0"/>
        <w:pageBreakBefore w:val="0"/>
        <w:widowControl w:val="0"/>
        <w:numPr>
          <w:ilvl w:val="0"/>
          <w:numId w:val="11"/>
        </w:numPr>
        <w:tabs>
          <w:tab w:val="left" w:pos="360"/>
        </w:tabs>
        <w:kinsoku/>
        <w:wordWrap/>
        <w:overflowPunct/>
        <w:topLinePunct w:val="0"/>
        <w:autoSpaceDE/>
        <w:autoSpaceDN/>
        <w:bidi w:val="0"/>
        <w:adjustRightInd/>
        <w:snapToGrid w:val="0"/>
        <w:spacing w:after="0" w:line="360" w:lineRule="auto"/>
        <w:ind w:left="357" w:hanging="357"/>
        <w:textAlignment w:val="auto"/>
        <w:outlineLvl w:val="1"/>
        <w:rPr>
          <w:rFonts w:hint="eastAsia" w:ascii="宋体" w:hAnsi="宋体" w:cs="宋体"/>
          <w:color w:val="auto"/>
          <w:sz w:val="24"/>
          <w:highlight w:val="none"/>
        </w:rPr>
      </w:pPr>
      <w:bookmarkStart w:id="656" w:name="_Toc305158817"/>
      <w:bookmarkStart w:id="657" w:name="_Toc305158891"/>
      <w:bookmarkStart w:id="658" w:name="_Toc151193863"/>
      <w:bookmarkStart w:id="659" w:name="_Toc164229244"/>
      <w:bookmarkStart w:id="660" w:name="_Toc265228387"/>
      <w:bookmarkStart w:id="661" w:name="_Toc150480787"/>
      <w:bookmarkStart w:id="662" w:name="_Toc127151549"/>
      <w:bookmarkStart w:id="663" w:name="_Toc264969239"/>
      <w:bookmarkStart w:id="664" w:name="_Toc226309793"/>
      <w:bookmarkStart w:id="665" w:name="_Toc127151750"/>
      <w:bookmarkStart w:id="666" w:name="_Toc150774649"/>
      <w:bookmarkStart w:id="667" w:name="_Toc164608818"/>
      <w:bookmarkStart w:id="668" w:name="_Toc195842914"/>
      <w:bookmarkStart w:id="669" w:name="_Toc151193647"/>
      <w:bookmarkStart w:id="670" w:name="_Toc151193937"/>
      <w:bookmarkStart w:id="671" w:name="_Toc226337245"/>
      <w:bookmarkStart w:id="672" w:name="_Toc226965822"/>
      <w:bookmarkStart w:id="673" w:name="_Toc150774754"/>
      <w:bookmarkStart w:id="674" w:name="_Toc164608663"/>
      <w:bookmarkStart w:id="675" w:name="_Toc226965739"/>
      <w:bookmarkStart w:id="676" w:name="_Toc151193791"/>
      <w:bookmarkStart w:id="677" w:name="_Toc127161463"/>
      <w:bookmarkStart w:id="678" w:name="_Toc164351643"/>
      <w:bookmarkStart w:id="679" w:name="_Toc142311051"/>
      <w:bookmarkStart w:id="680" w:name="_Toc149720842"/>
      <w:bookmarkStart w:id="681" w:name="_Toc151190176"/>
      <w:bookmarkStart w:id="682" w:name="_Toc151193719"/>
      <w:bookmarkStart w:id="683" w:name="_Toc164229390"/>
      <w:bookmarkStart w:id="684" w:name="_Toc150509300"/>
      <w:bookmarkStart w:id="685" w:name="_Ref467306425"/>
      <w:bookmarkStart w:id="686" w:name="_Ref467307090"/>
      <w:bookmarkStart w:id="687" w:name="_Toc520356176"/>
      <w:r>
        <w:rPr>
          <w:rFonts w:hint="eastAsia" w:ascii="宋体" w:hAnsi="宋体" w:cs="宋体"/>
          <w:color w:val="auto"/>
          <w:sz w:val="24"/>
          <w:highlight w:val="none"/>
        </w:rPr>
        <w:t>中标公告与中标通知书</w:t>
      </w:r>
      <w:bookmarkEnd w:id="656"/>
      <w:bookmarkEnd w:id="657"/>
    </w:p>
    <w:p w14:paraId="1E114B25">
      <w:pPr>
        <w:keepNext w:val="0"/>
        <w:keepLines w:val="0"/>
        <w:pageBreakBefore w:val="0"/>
        <w:widowControl w:val="0"/>
        <w:numPr>
          <w:ilvl w:val="1"/>
          <w:numId w:val="11"/>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采购人或采购代理机构自中标人确定之日起2个工作日内，</w:t>
      </w:r>
      <w:r>
        <w:rPr>
          <w:rFonts w:hint="eastAsia" w:ascii="宋体" w:hAnsi="宋体" w:cs="宋体"/>
          <w:color w:val="auto"/>
          <w:kern w:val="0"/>
          <w:sz w:val="24"/>
          <w:highlight w:val="none"/>
        </w:rPr>
        <w:t>在北京市政府采购网公告中标结果</w:t>
      </w:r>
      <w:r>
        <w:rPr>
          <w:rFonts w:hint="eastAsia" w:ascii="宋体" w:hAnsi="宋体" w:cs="宋体"/>
          <w:color w:val="auto"/>
          <w:sz w:val="24"/>
          <w:highlight w:val="none"/>
        </w:rPr>
        <w:t>，同时向中标人发出中标通知书，中标公告期限为1个工作日。</w:t>
      </w:r>
    </w:p>
    <w:p w14:paraId="187C9D04">
      <w:pPr>
        <w:keepNext w:val="0"/>
        <w:keepLines w:val="0"/>
        <w:pageBreakBefore w:val="0"/>
        <w:widowControl w:val="0"/>
        <w:numPr>
          <w:ilvl w:val="1"/>
          <w:numId w:val="11"/>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中标通知书对采购人和中标供应商均具有法律效力。中标通知书发出后，采购人改变中标结果的，或者中标供应商放弃中标项目的，应当依法承担法律责任。</w:t>
      </w:r>
    </w:p>
    <w:p w14:paraId="7FA05C5E">
      <w:pPr>
        <w:keepNext w:val="0"/>
        <w:keepLines w:val="0"/>
        <w:pageBreakBefore w:val="0"/>
        <w:widowControl w:val="0"/>
        <w:numPr>
          <w:ilvl w:val="0"/>
          <w:numId w:val="11"/>
        </w:numPr>
        <w:tabs>
          <w:tab w:val="left" w:pos="360"/>
        </w:tabs>
        <w:kinsoku/>
        <w:wordWrap/>
        <w:overflowPunct/>
        <w:topLinePunct w:val="0"/>
        <w:autoSpaceDE/>
        <w:autoSpaceDN/>
        <w:bidi w:val="0"/>
        <w:adjustRightInd/>
        <w:snapToGrid w:val="0"/>
        <w:spacing w:after="0" w:line="360" w:lineRule="auto"/>
        <w:ind w:left="357" w:hanging="357"/>
        <w:textAlignment w:val="auto"/>
        <w:outlineLvl w:val="1"/>
        <w:rPr>
          <w:rFonts w:hint="eastAsia" w:ascii="宋体" w:hAnsi="宋体" w:cs="宋体"/>
          <w:color w:val="auto"/>
          <w:sz w:val="24"/>
          <w:highlight w:val="none"/>
        </w:rPr>
      </w:pPr>
      <w:r>
        <w:rPr>
          <w:rFonts w:hint="eastAsia" w:ascii="宋体" w:hAnsi="宋体" w:cs="宋体"/>
          <w:color w:val="auto"/>
          <w:sz w:val="24"/>
          <w:highlight w:val="none"/>
        </w:rPr>
        <w:t>废标</w:t>
      </w:r>
    </w:p>
    <w:p w14:paraId="46049203">
      <w:pPr>
        <w:keepNext w:val="0"/>
        <w:keepLines w:val="0"/>
        <w:pageBreakBefore w:val="0"/>
        <w:widowControl w:val="0"/>
        <w:numPr>
          <w:ilvl w:val="1"/>
          <w:numId w:val="11"/>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在招标采购中，出现下列情形之一的，应予废标：</w:t>
      </w:r>
    </w:p>
    <w:p w14:paraId="38624D57">
      <w:pPr>
        <w:keepNext w:val="0"/>
        <w:keepLines w:val="0"/>
        <w:pageBreakBefore w:val="0"/>
        <w:widowControl w:val="0"/>
        <w:numPr>
          <w:ilvl w:val="2"/>
          <w:numId w:val="11"/>
        </w:numPr>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符合专业条件的供应商或者对招标文件作实质响应的供应商不足三家的；</w:t>
      </w:r>
    </w:p>
    <w:p w14:paraId="2E3DCAB0">
      <w:pPr>
        <w:keepNext w:val="0"/>
        <w:keepLines w:val="0"/>
        <w:pageBreakBefore w:val="0"/>
        <w:widowControl w:val="0"/>
        <w:numPr>
          <w:ilvl w:val="2"/>
          <w:numId w:val="11"/>
        </w:numPr>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出现影响采购公正的违法、违规行为的；</w:t>
      </w:r>
    </w:p>
    <w:p w14:paraId="139591BD">
      <w:pPr>
        <w:keepNext w:val="0"/>
        <w:keepLines w:val="0"/>
        <w:pageBreakBefore w:val="0"/>
        <w:widowControl w:val="0"/>
        <w:numPr>
          <w:ilvl w:val="2"/>
          <w:numId w:val="11"/>
        </w:numPr>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投标人的报价均超过了采购预算，采购人不能支付的；</w:t>
      </w:r>
    </w:p>
    <w:p w14:paraId="6C04C44B">
      <w:pPr>
        <w:keepNext w:val="0"/>
        <w:keepLines w:val="0"/>
        <w:pageBreakBefore w:val="0"/>
        <w:widowControl w:val="0"/>
        <w:numPr>
          <w:ilvl w:val="2"/>
          <w:numId w:val="11"/>
        </w:numPr>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因重大变故，采购任务取消的。</w:t>
      </w:r>
    </w:p>
    <w:p w14:paraId="0DEB59C6">
      <w:pPr>
        <w:keepNext w:val="0"/>
        <w:keepLines w:val="0"/>
        <w:pageBreakBefore w:val="0"/>
        <w:widowControl w:val="0"/>
        <w:numPr>
          <w:ilvl w:val="1"/>
          <w:numId w:val="11"/>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废标后，采购人将废标理由通知所有投标人。</w:t>
      </w:r>
    </w:p>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14:paraId="18DFC365">
      <w:pPr>
        <w:keepNext w:val="0"/>
        <w:keepLines w:val="0"/>
        <w:pageBreakBefore w:val="0"/>
        <w:widowControl w:val="0"/>
        <w:numPr>
          <w:ilvl w:val="0"/>
          <w:numId w:val="11"/>
        </w:numPr>
        <w:tabs>
          <w:tab w:val="left" w:pos="360"/>
        </w:tabs>
        <w:kinsoku/>
        <w:wordWrap/>
        <w:overflowPunct/>
        <w:topLinePunct w:val="0"/>
        <w:autoSpaceDE/>
        <w:autoSpaceDN/>
        <w:bidi w:val="0"/>
        <w:adjustRightInd/>
        <w:snapToGrid w:val="0"/>
        <w:spacing w:after="0" w:line="360" w:lineRule="auto"/>
        <w:ind w:left="357" w:hanging="357"/>
        <w:textAlignment w:val="auto"/>
        <w:outlineLvl w:val="1"/>
        <w:rPr>
          <w:rFonts w:hint="eastAsia" w:ascii="宋体" w:hAnsi="宋体" w:cs="宋体"/>
          <w:color w:val="auto"/>
          <w:sz w:val="24"/>
          <w:highlight w:val="none"/>
        </w:rPr>
      </w:pPr>
      <w:bookmarkStart w:id="688" w:name="_Toc150774650"/>
      <w:bookmarkStart w:id="689" w:name="_Toc127161464"/>
      <w:bookmarkStart w:id="690" w:name="_Toc520356175"/>
      <w:bookmarkStart w:id="691" w:name="_Toc151193792"/>
      <w:bookmarkStart w:id="692" w:name="_Toc164608819"/>
      <w:bookmarkStart w:id="693" w:name="_Toc226965823"/>
      <w:bookmarkStart w:id="694" w:name="_Toc150509301"/>
      <w:bookmarkStart w:id="695" w:name="_Toc150774755"/>
      <w:bookmarkStart w:id="696" w:name="_Toc142311052"/>
      <w:bookmarkStart w:id="697" w:name="_Ref467306377"/>
      <w:bookmarkStart w:id="698" w:name="_Ref467306978"/>
      <w:bookmarkStart w:id="699" w:name="_Toc150480788"/>
      <w:bookmarkStart w:id="700" w:name="_Toc151193864"/>
      <w:bookmarkStart w:id="701" w:name="_Toc226965740"/>
      <w:bookmarkStart w:id="702" w:name="_Toc164351644"/>
      <w:bookmarkStart w:id="703" w:name="_Toc195842915"/>
      <w:bookmarkStart w:id="704" w:name="_Toc265228388"/>
      <w:bookmarkStart w:id="705" w:name="_Toc151193720"/>
      <w:bookmarkStart w:id="706" w:name="_Toc264969240"/>
      <w:bookmarkStart w:id="707" w:name="_Ref467307204"/>
      <w:bookmarkStart w:id="708" w:name="_Toc151193648"/>
      <w:bookmarkStart w:id="709" w:name="_Toc151193938"/>
      <w:bookmarkStart w:id="710" w:name="_Toc164229245"/>
      <w:bookmarkStart w:id="711" w:name="_Toc151190177"/>
      <w:bookmarkStart w:id="712" w:name="_Toc226337246"/>
      <w:bookmarkStart w:id="713" w:name="_Ref467307062"/>
      <w:bookmarkStart w:id="714" w:name="_Toc164229391"/>
      <w:bookmarkStart w:id="715" w:name="_Toc127151550"/>
      <w:bookmarkStart w:id="716" w:name="_Toc164608664"/>
      <w:bookmarkStart w:id="717" w:name="_Toc226309794"/>
      <w:bookmarkStart w:id="718" w:name="_Toc149720843"/>
      <w:bookmarkStart w:id="719" w:name="_Toc305158818"/>
      <w:bookmarkStart w:id="720" w:name="_Toc127151751"/>
      <w:bookmarkStart w:id="721" w:name="_Toc305158892"/>
      <w:r>
        <w:rPr>
          <w:rFonts w:hint="eastAsia" w:ascii="宋体" w:hAnsi="宋体" w:cs="宋体"/>
          <w:color w:val="auto"/>
          <w:sz w:val="24"/>
          <w:highlight w:val="none"/>
        </w:rPr>
        <w:t>签订合同</w:t>
      </w:r>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p w14:paraId="5B57B196">
      <w:pPr>
        <w:keepNext w:val="0"/>
        <w:keepLines w:val="0"/>
        <w:pageBreakBefore w:val="0"/>
        <w:widowControl w:val="0"/>
        <w:numPr>
          <w:ilvl w:val="1"/>
          <w:numId w:val="11"/>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中标人、采购人应当自中标通知书发出之日起30日内，按照招标文件和中标人投标文件的规定签订书面合同。所签订的合同不得对招标文件确定的事项和中标人投标文件作实质性修改。</w:t>
      </w:r>
    </w:p>
    <w:p w14:paraId="4E44B4AA">
      <w:pPr>
        <w:keepNext w:val="0"/>
        <w:keepLines w:val="0"/>
        <w:pageBreakBefore w:val="0"/>
        <w:widowControl w:val="0"/>
        <w:numPr>
          <w:ilvl w:val="1"/>
          <w:numId w:val="11"/>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中标人拒绝与采购人签订合同的，采购人可以按照评标报告推荐的中标候选人名单排序，确定下一候选人为中标人，也可以重新开展政府采购活动。</w:t>
      </w:r>
    </w:p>
    <w:p w14:paraId="3CD3AA2F">
      <w:pPr>
        <w:keepNext w:val="0"/>
        <w:keepLines w:val="0"/>
        <w:pageBreakBefore w:val="0"/>
        <w:widowControl w:val="0"/>
        <w:numPr>
          <w:ilvl w:val="1"/>
          <w:numId w:val="11"/>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联合体中标的，联合体各方应当共同与采购人签订合同，就中标项目向采购人承担连带责任。</w:t>
      </w:r>
    </w:p>
    <w:p w14:paraId="1F34B168">
      <w:pPr>
        <w:keepNext w:val="0"/>
        <w:keepLines w:val="0"/>
        <w:pageBreakBefore w:val="0"/>
        <w:widowControl w:val="0"/>
        <w:numPr>
          <w:ilvl w:val="1"/>
          <w:numId w:val="11"/>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政府采购合同不能转包。</w:t>
      </w:r>
    </w:p>
    <w:p w14:paraId="43869E93">
      <w:pPr>
        <w:keepNext w:val="0"/>
        <w:keepLines w:val="0"/>
        <w:pageBreakBefore w:val="0"/>
        <w:widowControl w:val="0"/>
        <w:numPr>
          <w:ilvl w:val="1"/>
          <w:numId w:val="11"/>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hint="eastAsia" w:ascii="宋体" w:hAnsi="宋体" w:cs="宋体"/>
          <w:b/>
          <w:color w:val="auto"/>
          <w:sz w:val="24"/>
          <w:highlight w:val="none"/>
        </w:rPr>
        <w:t>，</w:t>
      </w:r>
      <w:r>
        <w:rPr>
          <w:rFonts w:hint="eastAsia" w:ascii="宋体" w:hAnsi="宋体" w:cs="宋体"/>
          <w:color w:val="auto"/>
          <w:sz w:val="24"/>
          <w:highlight w:val="none"/>
        </w:rPr>
        <w:t>否则</w:t>
      </w:r>
      <w:r>
        <w:rPr>
          <w:rFonts w:hint="eastAsia" w:ascii="宋体" w:hAnsi="宋体" w:cs="宋体"/>
          <w:b/>
          <w:color w:val="auto"/>
          <w:sz w:val="24"/>
          <w:highlight w:val="none"/>
        </w:rPr>
        <w:t>投标无效</w:t>
      </w:r>
      <w:r>
        <w:rPr>
          <w:rFonts w:hint="eastAsia" w:ascii="宋体" w:hAnsi="宋体" w:cs="宋体"/>
          <w:color w:val="auto"/>
          <w:sz w:val="24"/>
          <w:highlight w:val="none"/>
        </w:rPr>
        <w:t>。中标人就采购项目和分包项目向采购人负责，分包供应商就分包项目承担责任。</w:t>
      </w:r>
    </w:p>
    <w:p w14:paraId="1E7E454C">
      <w:pPr>
        <w:keepNext w:val="0"/>
        <w:keepLines w:val="0"/>
        <w:pageBreakBefore w:val="0"/>
        <w:widowControl w:val="0"/>
        <w:numPr>
          <w:ilvl w:val="1"/>
          <w:numId w:val="11"/>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“政采贷”融资指引：详见《投标人须知资料表》</w:t>
      </w:r>
      <w:r>
        <w:rPr>
          <w:rFonts w:hint="eastAsia" w:ascii="宋体" w:hAnsi="宋体" w:cs="宋体"/>
          <w:color w:val="auto"/>
          <w:sz w:val="24"/>
          <w:highlight w:val="none"/>
        </w:rPr>
        <w:t>。</w:t>
      </w:r>
    </w:p>
    <w:bookmarkEnd w:id="685"/>
    <w:bookmarkEnd w:id="686"/>
    <w:bookmarkEnd w:id="687"/>
    <w:p w14:paraId="6D352A8E">
      <w:pPr>
        <w:keepNext w:val="0"/>
        <w:keepLines w:val="0"/>
        <w:pageBreakBefore w:val="0"/>
        <w:widowControl w:val="0"/>
        <w:numPr>
          <w:ilvl w:val="0"/>
          <w:numId w:val="11"/>
        </w:numPr>
        <w:tabs>
          <w:tab w:val="left" w:pos="360"/>
        </w:tabs>
        <w:kinsoku/>
        <w:wordWrap/>
        <w:overflowPunct/>
        <w:topLinePunct w:val="0"/>
        <w:autoSpaceDE/>
        <w:autoSpaceDN/>
        <w:bidi w:val="0"/>
        <w:adjustRightInd/>
        <w:snapToGrid w:val="0"/>
        <w:spacing w:after="0" w:line="360" w:lineRule="auto"/>
        <w:ind w:left="357" w:hanging="357"/>
        <w:textAlignment w:val="auto"/>
        <w:outlineLvl w:val="1"/>
        <w:rPr>
          <w:rFonts w:hint="eastAsia" w:ascii="宋体" w:hAnsi="宋体" w:cs="宋体"/>
          <w:color w:val="auto"/>
          <w:sz w:val="24"/>
          <w:highlight w:val="none"/>
        </w:rPr>
      </w:pPr>
      <w:r>
        <w:rPr>
          <w:rFonts w:hint="eastAsia" w:ascii="宋体" w:hAnsi="宋体" w:cs="宋体"/>
          <w:color w:val="auto"/>
          <w:sz w:val="24"/>
          <w:highlight w:val="none"/>
        </w:rPr>
        <w:t>询问与质疑</w:t>
      </w:r>
    </w:p>
    <w:p w14:paraId="2BAE8166">
      <w:pPr>
        <w:keepNext w:val="0"/>
        <w:keepLines w:val="0"/>
        <w:pageBreakBefore w:val="0"/>
        <w:widowControl w:val="0"/>
        <w:numPr>
          <w:ilvl w:val="1"/>
          <w:numId w:val="11"/>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询问</w:t>
      </w:r>
    </w:p>
    <w:p w14:paraId="60A6EA9D">
      <w:pPr>
        <w:keepNext w:val="0"/>
        <w:keepLines w:val="0"/>
        <w:pageBreakBefore w:val="0"/>
        <w:widowControl w:val="0"/>
        <w:numPr>
          <w:ilvl w:val="2"/>
          <w:numId w:val="11"/>
        </w:numPr>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投标人对政府采购活动事项有疑问的，可依法提出询问，并按《投标人须知资料表》载明的形式送达采购人或采购代理机构。</w:t>
      </w:r>
    </w:p>
    <w:p w14:paraId="7E836A97">
      <w:pPr>
        <w:keepNext w:val="0"/>
        <w:keepLines w:val="0"/>
        <w:pageBreakBefore w:val="0"/>
        <w:widowControl w:val="0"/>
        <w:numPr>
          <w:ilvl w:val="2"/>
          <w:numId w:val="11"/>
        </w:numPr>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采购人或采购代理机构对供应商依法提出的询问，在3个工作日内作出答复，但答复的内容不得涉及商业秘密。</w:t>
      </w:r>
    </w:p>
    <w:p w14:paraId="129D0FBB">
      <w:pPr>
        <w:keepNext w:val="0"/>
        <w:keepLines w:val="0"/>
        <w:pageBreakBefore w:val="0"/>
        <w:widowControl w:val="0"/>
        <w:numPr>
          <w:ilvl w:val="1"/>
          <w:numId w:val="11"/>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质疑</w:t>
      </w:r>
    </w:p>
    <w:p w14:paraId="2E712990">
      <w:pPr>
        <w:keepNext w:val="0"/>
        <w:keepLines w:val="0"/>
        <w:pageBreakBefore w:val="0"/>
        <w:widowControl w:val="0"/>
        <w:numPr>
          <w:ilvl w:val="2"/>
          <w:numId w:val="11"/>
        </w:numPr>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w:t>
      </w:r>
    </w:p>
    <w:p w14:paraId="46544EBB">
      <w:pPr>
        <w:keepNext w:val="0"/>
        <w:keepLines w:val="0"/>
        <w:pageBreakBefore w:val="0"/>
        <w:widowControl w:val="0"/>
        <w:numPr>
          <w:ilvl w:val="2"/>
          <w:numId w:val="11"/>
        </w:numPr>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质疑函须使用财政部制定的范本文件。投标人为自然人的，质疑函应当由本人签字；投标人为法人或者其他组织的，质疑函应当由法定代表人、主要负责人，或者其授权代表签字或者盖章，并加盖公章。</w:t>
      </w:r>
    </w:p>
    <w:p w14:paraId="2B5D3879">
      <w:pPr>
        <w:keepNext w:val="0"/>
        <w:keepLines w:val="0"/>
        <w:pageBreakBefore w:val="0"/>
        <w:widowControl w:val="0"/>
        <w:numPr>
          <w:ilvl w:val="2"/>
          <w:numId w:val="11"/>
        </w:numPr>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324C39F2">
      <w:pPr>
        <w:keepNext w:val="0"/>
        <w:keepLines w:val="0"/>
        <w:pageBreakBefore w:val="0"/>
        <w:widowControl w:val="0"/>
        <w:numPr>
          <w:ilvl w:val="2"/>
          <w:numId w:val="11"/>
        </w:numPr>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投标人应在法定质疑期内一次性提出针对同一采购程序环节的质疑，法定质疑期内针对同一采购程序环节再次提出的质疑，采购人、采购代理机构有权不予答复。</w:t>
      </w:r>
    </w:p>
    <w:p w14:paraId="3157D766">
      <w:pPr>
        <w:keepNext w:val="0"/>
        <w:keepLines w:val="0"/>
        <w:pageBreakBefore w:val="0"/>
        <w:widowControl w:val="0"/>
        <w:numPr>
          <w:ilvl w:val="1"/>
          <w:numId w:val="11"/>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接收询问和质疑的联系部门、联系电话和通讯地址见《投标人须知资料表》。</w:t>
      </w:r>
    </w:p>
    <w:p w14:paraId="11EF3FC5">
      <w:pPr>
        <w:keepNext w:val="0"/>
        <w:keepLines w:val="0"/>
        <w:pageBreakBefore w:val="0"/>
        <w:widowControl w:val="0"/>
        <w:numPr>
          <w:ilvl w:val="0"/>
          <w:numId w:val="11"/>
        </w:numPr>
        <w:tabs>
          <w:tab w:val="left" w:pos="360"/>
        </w:tabs>
        <w:kinsoku/>
        <w:wordWrap/>
        <w:overflowPunct/>
        <w:topLinePunct w:val="0"/>
        <w:autoSpaceDE/>
        <w:autoSpaceDN/>
        <w:bidi w:val="0"/>
        <w:adjustRightInd/>
        <w:snapToGrid w:val="0"/>
        <w:spacing w:after="0" w:line="360" w:lineRule="auto"/>
        <w:ind w:left="357" w:hanging="357"/>
        <w:textAlignment w:val="auto"/>
        <w:outlineLvl w:val="1"/>
        <w:rPr>
          <w:rFonts w:hint="eastAsia" w:ascii="宋体" w:hAnsi="宋体" w:cs="宋体"/>
          <w:color w:val="auto"/>
          <w:sz w:val="24"/>
          <w:highlight w:val="none"/>
        </w:rPr>
      </w:pPr>
      <w:r>
        <w:rPr>
          <w:rFonts w:hint="eastAsia" w:ascii="宋体" w:hAnsi="宋体" w:cs="宋体"/>
          <w:color w:val="auto"/>
          <w:sz w:val="24"/>
          <w:highlight w:val="none"/>
        </w:rPr>
        <w:t>代理费</w:t>
      </w:r>
    </w:p>
    <w:p w14:paraId="226E28A2">
      <w:pPr>
        <w:keepNext w:val="0"/>
        <w:keepLines w:val="0"/>
        <w:pageBreakBefore w:val="0"/>
        <w:widowControl w:val="0"/>
        <w:numPr>
          <w:ilvl w:val="1"/>
          <w:numId w:val="11"/>
        </w:numPr>
        <w:tabs>
          <w:tab w:val="left" w:pos="1080"/>
          <w:tab w:val="left" w:pos="2014"/>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收费对象、收费标准及缴纳时间见《投标人须知资料表》。由中标人支付的，中标人须一次性向采购代理机构缴纳代理费，投标报价应包含代理费用。</w:t>
      </w:r>
    </w:p>
    <w:p w14:paraId="536201F4">
      <w:pPr>
        <w:spacing w:line="360" w:lineRule="auto"/>
        <w:jc w:val="center"/>
        <w:outlineLvl w:val="0"/>
        <w:rPr>
          <w:rFonts w:hint="eastAsia" w:ascii="宋体" w:hAnsi="宋体" w:cs="宋体"/>
          <w:b/>
          <w:color w:val="auto"/>
          <w:sz w:val="36"/>
          <w:szCs w:val="36"/>
          <w:highlight w:val="none"/>
        </w:rPr>
      </w:pPr>
      <w:bookmarkStart w:id="722" w:name="_Toc353873664"/>
      <w:bookmarkStart w:id="723" w:name="_Toc226337250"/>
      <w:bookmarkStart w:id="724" w:name="_Toc353873934"/>
      <w:bookmarkStart w:id="725" w:name="_Toc264969244"/>
      <w:bookmarkStart w:id="726" w:name="_Toc127151554"/>
      <w:bookmarkStart w:id="727" w:name="_Toc142311056"/>
      <w:bookmarkStart w:id="728" w:name="_Toc265228392"/>
      <w:bookmarkStart w:id="729" w:name="_Toc305158896"/>
      <w:bookmarkStart w:id="730" w:name="_Toc305158822"/>
      <w:bookmarkStart w:id="731" w:name="_Toc353825544"/>
      <w:bookmarkStart w:id="732" w:name="_Toc150480792"/>
      <w:bookmarkStart w:id="733" w:name="_Toc150774759"/>
      <w:bookmarkStart w:id="734" w:name="_Toc226965827"/>
      <w:r>
        <w:rPr>
          <w:rFonts w:hint="eastAsia" w:ascii="宋体" w:hAnsi="宋体" w:cs="宋体"/>
          <w:color w:val="auto"/>
          <w:sz w:val="24"/>
          <w:highlight w:val="none"/>
        </w:rPr>
        <w:br w:type="page"/>
      </w:r>
      <w:bookmarkStart w:id="735" w:name="_Toc148368071"/>
      <w:bookmarkStart w:id="736" w:name="_Toc29314"/>
      <w:bookmarkStart w:id="737" w:name="_Toc17324"/>
      <w:r>
        <w:rPr>
          <w:rFonts w:hint="eastAsia" w:ascii="宋体" w:hAnsi="宋体" w:cs="宋体"/>
          <w:b/>
          <w:color w:val="auto"/>
          <w:sz w:val="36"/>
          <w:szCs w:val="36"/>
          <w:highlight w:val="none"/>
        </w:rPr>
        <w:t xml:space="preserve">第三章   </w:t>
      </w:r>
      <w:bookmarkEnd w:id="722"/>
      <w:bookmarkEnd w:id="723"/>
      <w:bookmarkEnd w:id="724"/>
      <w:bookmarkEnd w:id="725"/>
      <w:bookmarkEnd w:id="726"/>
      <w:bookmarkEnd w:id="727"/>
      <w:bookmarkEnd w:id="728"/>
      <w:bookmarkEnd w:id="729"/>
      <w:bookmarkEnd w:id="730"/>
      <w:bookmarkEnd w:id="731"/>
      <w:bookmarkEnd w:id="732"/>
      <w:bookmarkEnd w:id="733"/>
      <w:bookmarkEnd w:id="734"/>
      <w:r>
        <w:rPr>
          <w:rFonts w:hint="eastAsia" w:ascii="宋体" w:hAnsi="宋体" w:cs="宋体"/>
          <w:b/>
          <w:color w:val="auto"/>
          <w:sz w:val="36"/>
          <w:szCs w:val="36"/>
          <w:highlight w:val="none"/>
        </w:rPr>
        <w:t>资格审查</w:t>
      </w:r>
      <w:bookmarkEnd w:id="735"/>
      <w:bookmarkEnd w:id="736"/>
      <w:bookmarkEnd w:id="737"/>
      <w:bookmarkStart w:id="738" w:name="_Toc487900382"/>
    </w:p>
    <w:p w14:paraId="71F1D68A">
      <w:pPr>
        <w:tabs>
          <w:tab w:val="left" w:pos="360"/>
          <w:tab w:val="left" w:pos="900"/>
        </w:tabs>
        <w:snapToGrid w:val="0"/>
        <w:spacing w:line="360" w:lineRule="auto"/>
        <w:jc w:val="center"/>
        <w:outlineLvl w:val="1"/>
        <w:rPr>
          <w:rFonts w:hint="eastAsia" w:ascii="宋体" w:hAnsi="宋体" w:cs="宋体"/>
          <w:b/>
          <w:color w:val="auto"/>
          <w:sz w:val="24"/>
          <w:highlight w:val="none"/>
        </w:rPr>
      </w:pPr>
      <w:bookmarkStart w:id="739" w:name="_Toc99301422"/>
      <w:r>
        <w:rPr>
          <w:rFonts w:hint="eastAsia" w:ascii="宋体" w:hAnsi="宋体" w:cs="宋体"/>
          <w:b/>
          <w:color w:val="auto"/>
          <w:sz w:val="24"/>
          <w:highlight w:val="none"/>
        </w:rPr>
        <w:t>一、资格审查程序</w:t>
      </w:r>
      <w:bookmarkEnd w:id="739"/>
    </w:p>
    <w:p w14:paraId="65C0515C">
      <w:pPr>
        <w:keepNext w:val="0"/>
        <w:keepLines w:val="0"/>
        <w:pageBreakBefore w:val="0"/>
        <w:widowControl w:val="0"/>
        <w:numPr>
          <w:ilvl w:val="0"/>
          <w:numId w:val="14"/>
        </w:numPr>
        <w:tabs>
          <w:tab w:val="left" w:pos="426"/>
          <w:tab w:val="left" w:pos="851"/>
          <w:tab w:val="clear" w:pos="900"/>
        </w:tabs>
        <w:kinsoku/>
        <w:wordWrap/>
        <w:overflowPunct/>
        <w:topLinePunct w:val="0"/>
        <w:autoSpaceDE/>
        <w:autoSpaceDN/>
        <w:bidi w:val="0"/>
        <w:adjustRightInd/>
        <w:snapToGrid w:val="0"/>
        <w:spacing w:after="0" w:line="360" w:lineRule="auto"/>
        <w:ind w:left="425" w:hanging="425"/>
        <w:textAlignment w:val="auto"/>
        <w:rPr>
          <w:rFonts w:hint="eastAsia" w:ascii="宋体" w:hAnsi="宋体" w:cs="宋体"/>
          <w:color w:val="auto"/>
          <w:sz w:val="24"/>
          <w:highlight w:val="none"/>
        </w:rPr>
      </w:pPr>
      <w:r>
        <w:rPr>
          <w:rFonts w:hint="eastAsia" w:ascii="宋体" w:hAnsi="宋体" w:cs="宋体"/>
          <w:color w:val="auto"/>
          <w:sz w:val="24"/>
          <w:highlight w:val="none"/>
        </w:rPr>
        <w:t>开标结束后，采购人或采购代理机构将根据《资格审查要求》中的规定，对投标人进行资格审查，并形成资格审查结果。</w:t>
      </w:r>
    </w:p>
    <w:p w14:paraId="1DFE1F8C">
      <w:pPr>
        <w:keepNext w:val="0"/>
        <w:keepLines w:val="0"/>
        <w:pageBreakBefore w:val="0"/>
        <w:widowControl w:val="0"/>
        <w:numPr>
          <w:ilvl w:val="0"/>
          <w:numId w:val="14"/>
        </w:numPr>
        <w:tabs>
          <w:tab w:val="left" w:pos="426"/>
          <w:tab w:val="left" w:pos="851"/>
          <w:tab w:val="clear" w:pos="900"/>
        </w:tabs>
        <w:kinsoku/>
        <w:wordWrap/>
        <w:overflowPunct/>
        <w:topLinePunct w:val="0"/>
        <w:autoSpaceDE/>
        <w:autoSpaceDN/>
        <w:bidi w:val="0"/>
        <w:adjustRightInd/>
        <w:snapToGrid w:val="0"/>
        <w:spacing w:after="0" w:line="360" w:lineRule="auto"/>
        <w:ind w:left="425" w:hanging="425"/>
        <w:textAlignment w:val="auto"/>
        <w:rPr>
          <w:rFonts w:hint="eastAsia" w:ascii="宋体" w:hAnsi="宋体" w:cs="宋体"/>
          <w:color w:val="auto"/>
          <w:sz w:val="24"/>
          <w:highlight w:val="none"/>
        </w:rPr>
      </w:pPr>
      <w:r>
        <w:rPr>
          <w:rFonts w:hint="eastAsia" w:ascii="宋体" w:hAnsi="宋体" w:cs="宋体"/>
          <w:color w:val="auto"/>
          <w:sz w:val="24"/>
          <w:highlight w:val="none"/>
        </w:rPr>
        <w:t>《资格审查要求》中对格式有要求的，除招标文件另有规定外，均为“实质性格式”文件。</w:t>
      </w:r>
    </w:p>
    <w:p w14:paraId="390D11A1">
      <w:pPr>
        <w:keepNext w:val="0"/>
        <w:keepLines w:val="0"/>
        <w:pageBreakBefore w:val="0"/>
        <w:widowControl w:val="0"/>
        <w:numPr>
          <w:ilvl w:val="0"/>
          <w:numId w:val="14"/>
        </w:numPr>
        <w:tabs>
          <w:tab w:val="left" w:pos="426"/>
          <w:tab w:val="left" w:pos="851"/>
          <w:tab w:val="clear" w:pos="900"/>
        </w:tabs>
        <w:kinsoku/>
        <w:wordWrap/>
        <w:overflowPunct/>
        <w:topLinePunct w:val="0"/>
        <w:autoSpaceDE/>
        <w:autoSpaceDN/>
        <w:bidi w:val="0"/>
        <w:adjustRightInd/>
        <w:snapToGrid w:val="0"/>
        <w:spacing w:after="0" w:line="360" w:lineRule="auto"/>
        <w:ind w:left="425" w:hanging="425"/>
        <w:textAlignment w:val="auto"/>
        <w:rPr>
          <w:rFonts w:hint="eastAsia" w:ascii="宋体" w:hAnsi="宋体" w:cs="宋体"/>
          <w:color w:val="auto"/>
          <w:sz w:val="24"/>
          <w:highlight w:val="none"/>
        </w:rPr>
      </w:pPr>
      <w:r>
        <w:rPr>
          <w:rFonts w:hint="eastAsia" w:ascii="宋体" w:hAnsi="宋体" w:cs="宋体"/>
          <w:color w:val="auto"/>
          <w:sz w:val="24"/>
          <w:highlight w:val="none"/>
        </w:rPr>
        <w:t>投标人《资格证明文件》有任何一项不符合《资格审查要求》的，资格审查不合格，其</w:t>
      </w:r>
      <w:r>
        <w:rPr>
          <w:rFonts w:hint="eastAsia" w:ascii="宋体" w:hAnsi="宋体" w:cs="宋体"/>
          <w:b/>
          <w:color w:val="auto"/>
          <w:sz w:val="24"/>
          <w:highlight w:val="none"/>
        </w:rPr>
        <w:t>投标无效</w:t>
      </w:r>
      <w:r>
        <w:rPr>
          <w:rFonts w:hint="eastAsia" w:ascii="宋体" w:hAnsi="宋体" w:cs="宋体"/>
          <w:color w:val="auto"/>
          <w:sz w:val="24"/>
          <w:highlight w:val="none"/>
        </w:rPr>
        <w:t>。</w:t>
      </w:r>
    </w:p>
    <w:p w14:paraId="456A2A2D">
      <w:pPr>
        <w:keepNext w:val="0"/>
        <w:keepLines w:val="0"/>
        <w:pageBreakBefore w:val="0"/>
        <w:widowControl w:val="0"/>
        <w:numPr>
          <w:ilvl w:val="0"/>
          <w:numId w:val="14"/>
        </w:numPr>
        <w:tabs>
          <w:tab w:val="left" w:pos="426"/>
          <w:tab w:val="left" w:pos="851"/>
          <w:tab w:val="clear" w:pos="900"/>
        </w:tabs>
        <w:kinsoku/>
        <w:wordWrap/>
        <w:overflowPunct/>
        <w:topLinePunct w:val="0"/>
        <w:autoSpaceDE/>
        <w:autoSpaceDN/>
        <w:bidi w:val="0"/>
        <w:adjustRightInd/>
        <w:snapToGrid w:val="0"/>
        <w:spacing w:after="0" w:line="360" w:lineRule="auto"/>
        <w:ind w:left="425" w:hanging="425"/>
        <w:textAlignment w:val="auto"/>
        <w:rPr>
          <w:rFonts w:hint="eastAsia" w:ascii="宋体" w:hAnsi="宋体" w:cs="宋体"/>
          <w:color w:val="auto"/>
          <w:sz w:val="24"/>
          <w:highlight w:val="none"/>
        </w:rPr>
      </w:pPr>
      <w:r>
        <w:rPr>
          <w:rFonts w:hint="eastAsia" w:ascii="宋体" w:hAnsi="宋体" w:cs="宋体"/>
          <w:color w:val="auto"/>
          <w:sz w:val="24"/>
          <w:highlight w:val="none"/>
        </w:rPr>
        <w:t>资格审查合格的投标人不足3家的，不进行评标。</w:t>
      </w:r>
    </w:p>
    <w:p w14:paraId="14E0CE47">
      <w:pPr>
        <w:widowControl/>
        <w:jc w:val="left"/>
        <w:rPr>
          <w:rFonts w:hint="eastAsia" w:ascii="宋体" w:hAnsi="宋体" w:cs="宋体"/>
          <w:color w:val="auto"/>
          <w:sz w:val="24"/>
          <w:highlight w:val="none"/>
        </w:rPr>
      </w:pPr>
    </w:p>
    <w:p w14:paraId="0F5629AD">
      <w:pPr>
        <w:tabs>
          <w:tab w:val="left" w:pos="360"/>
          <w:tab w:val="left" w:pos="900"/>
        </w:tabs>
        <w:snapToGrid w:val="0"/>
        <w:spacing w:line="360" w:lineRule="auto"/>
        <w:jc w:val="center"/>
        <w:outlineLvl w:val="1"/>
        <w:rPr>
          <w:rFonts w:hint="eastAsia" w:ascii="宋体" w:hAnsi="宋体" w:cs="宋体"/>
          <w:b/>
          <w:color w:val="auto"/>
          <w:sz w:val="24"/>
          <w:highlight w:val="none"/>
        </w:rPr>
      </w:pPr>
      <w:r>
        <w:rPr>
          <w:rFonts w:hint="eastAsia" w:ascii="宋体" w:hAnsi="宋体" w:cs="宋体"/>
          <w:b/>
          <w:color w:val="auto"/>
          <w:sz w:val="24"/>
          <w:highlight w:val="none"/>
        </w:rPr>
        <w:t>二、资格审查要求</w:t>
      </w:r>
    </w:p>
    <w:tbl>
      <w:tblPr>
        <w:tblStyle w:val="4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8"/>
        <w:gridCol w:w="1859"/>
        <w:gridCol w:w="4532"/>
        <w:gridCol w:w="1540"/>
      </w:tblGrid>
      <w:tr w14:paraId="7E654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3" w:type="pct"/>
            <w:vAlign w:val="center"/>
          </w:tcPr>
          <w:p w14:paraId="778987F1">
            <w:pPr>
              <w:keepNext w:val="0"/>
              <w:keepLines w:val="0"/>
              <w:pageBreakBefore w:val="0"/>
              <w:widowControl w:val="0"/>
              <w:tabs>
                <w:tab w:val="left" w:pos="1080"/>
              </w:tabs>
              <w:kinsoku/>
              <w:wordWrap/>
              <w:overflowPunct/>
              <w:topLinePunct w:val="0"/>
              <w:bidi w:val="0"/>
              <w:adjustRightInd/>
              <w:snapToGrid w:val="0"/>
              <w:spacing w:after="0" w:line="320" w:lineRule="exact"/>
              <w:jc w:val="center"/>
              <w:textAlignment w:val="auto"/>
              <w:rPr>
                <w:rFonts w:hint="eastAsia" w:ascii="宋体" w:hAnsi="宋体" w:cs="宋体"/>
                <w:b/>
                <w:color w:val="auto"/>
                <w:sz w:val="24"/>
                <w:highlight w:val="none"/>
              </w:rPr>
            </w:pPr>
            <w:bookmarkStart w:id="740" w:name="_Hlt487972895"/>
            <w:bookmarkEnd w:id="740"/>
            <w:r>
              <w:rPr>
                <w:rFonts w:hint="eastAsia" w:ascii="宋体" w:hAnsi="宋体" w:cs="宋体"/>
                <w:b/>
                <w:color w:val="auto"/>
                <w:sz w:val="24"/>
                <w:highlight w:val="none"/>
              </w:rPr>
              <w:t>序号</w:t>
            </w:r>
          </w:p>
        </w:tc>
        <w:tc>
          <w:tcPr>
            <w:tcW w:w="1066" w:type="pct"/>
            <w:vAlign w:val="center"/>
          </w:tcPr>
          <w:p w14:paraId="72312E4C">
            <w:pPr>
              <w:keepNext w:val="0"/>
              <w:keepLines w:val="0"/>
              <w:pageBreakBefore w:val="0"/>
              <w:widowControl w:val="0"/>
              <w:tabs>
                <w:tab w:val="left" w:pos="1080"/>
              </w:tabs>
              <w:kinsoku/>
              <w:wordWrap/>
              <w:overflowPunct/>
              <w:topLinePunct w:val="0"/>
              <w:bidi w:val="0"/>
              <w:adjustRightInd/>
              <w:snapToGrid w:val="0"/>
              <w:spacing w:after="0" w:line="320" w:lineRule="exact"/>
              <w:jc w:val="center"/>
              <w:textAlignment w:val="auto"/>
              <w:rPr>
                <w:rFonts w:hint="eastAsia" w:ascii="宋体" w:hAnsi="宋体" w:cs="宋体"/>
                <w:b/>
                <w:color w:val="auto"/>
                <w:sz w:val="24"/>
                <w:highlight w:val="none"/>
              </w:rPr>
            </w:pPr>
            <w:r>
              <w:rPr>
                <w:rFonts w:hint="eastAsia" w:ascii="宋体" w:hAnsi="宋体" w:cs="宋体"/>
                <w:b/>
                <w:color w:val="auto"/>
                <w:sz w:val="24"/>
                <w:highlight w:val="none"/>
              </w:rPr>
              <w:t>审查因素</w:t>
            </w:r>
          </w:p>
        </w:tc>
        <w:tc>
          <w:tcPr>
            <w:tcW w:w="2596" w:type="pct"/>
            <w:vAlign w:val="center"/>
          </w:tcPr>
          <w:p w14:paraId="63C9FC4A">
            <w:pPr>
              <w:keepNext w:val="0"/>
              <w:keepLines w:val="0"/>
              <w:pageBreakBefore w:val="0"/>
              <w:widowControl w:val="0"/>
              <w:tabs>
                <w:tab w:val="left" w:pos="1080"/>
              </w:tabs>
              <w:kinsoku/>
              <w:wordWrap/>
              <w:overflowPunct/>
              <w:topLinePunct w:val="0"/>
              <w:bidi w:val="0"/>
              <w:adjustRightInd/>
              <w:snapToGrid w:val="0"/>
              <w:spacing w:after="0" w:line="320" w:lineRule="exact"/>
              <w:jc w:val="center"/>
              <w:textAlignment w:val="auto"/>
              <w:rPr>
                <w:rFonts w:hint="eastAsia" w:ascii="宋体" w:hAnsi="宋体" w:cs="宋体"/>
                <w:b/>
                <w:color w:val="auto"/>
                <w:sz w:val="24"/>
                <w:highlight w:val="none"/>
              </w:rPr>
            </w:pPr>
            <w:r>
              <w:rPr>
                <w:rFonts w:hint="eastAsia" w:ascii="宋体" w:hAnsi="宋体" w:cs="宋体"/>
                <w:b/>
                <w:color w:val="auto"/>
                <w:sz w:val="24"/>
                <w:highlight w:val="none"/>
              </w:rPr>
              <w:t>审查内容</w:t>
            </w:r>
          </w:p>
        </w:tc>
        <w:tc>
          <w:tcPr>
            <w:tcW w:w="882" w:type="pct"/>
            <w:vAlign w:val="center"/>
          </w:tcPr>
          <w:p w14:paraId="56E08543">
            <w:pPr>
              <w:keepNext w:val="0"/>
              <w:keepLines w:val="0"/>
              <w:pageBreakBefore w:val="0"/>
              <w:widowControl w:val="0"/>
              <w:tabs>
                <w:tab w:val="left" w:pos="1080"/>
              </w:tabs>
              <w:kinsoku/>
              <w:wordWrap/>
              <w:overflowPunct/>
              <w:topLinePunct w:val="0"/>
              <w:bidi w:val="0"/>
              <w:adjustRightInd/>
              <w:snapToGrid w:val="0"/>
              <w:spacing w:after="0" w:line="320" w:lineRule="exact"/>
              <w:jc w:val="center"/>
              <w:textAlignment w:val="auto"/>
              <w:rPr>
                <w:rFonts w:hint="eastAsia" w:ascii="宋体" w:hAnsi="宋体" w:cs="宋体"/>
                <w:b/>
                <w:color w:val="auto"/>
                <w:sz w:val="24"/>
                <w:highlight w:val="none"/>
              </w:rPr>
            </w:pPr>
            <w:r>
              <w:rPr>
                <w:rFonts w:hint="eastAsia" w:ascii="宋体" w:hAnsi="宋体" w:cs="宋体"/>
                <w:b/>
                <w:color w:val="auto"/>
                <w:sz w:val="24"/>
                <w:highlight w:val="none"/>
              </w:rPr>
              <w:t>格式要求</w:t>
            </w:r>
          </w:p>
        </w:tc>
      </w:tr>
      <w:tr w14:paraId="17BC6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3" w:type="pct"/>
            <w:vAlign w:val="center"/>
          </w:tcPr>
          <w:p w14:paraId="0E8D36AB">
            <w:pPr>
              <w:keepNext w:val="0"/>
              <w:keepLines w:val="0"/>
              <w:pageBreakBefore w:val="0"/>
              <w:widowControl w:val="0"/>
              <w:tabs>
                <w:tab w:val="left" w:pos="1080"/>
              </w:tabs>
              <w:kinsoku/>
              <w:wordWrap/>
              <w:overflowPunct/>
              <w:topLinePunct w:val="0"/>
              <w:bidi w:val="0"/>
              <w:adjustRightInd/>
              <w:snapToGrid w:val="0"/>
              <w:spacing w:after="0" w:line="32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1</w:t>
            </w:r>
          </w:p>
        </w:tc>
        <w:tc>
          <w:tcPr>
            <w:tcW w:w="1066" w:type="pct"/>
            <w:vAlign w:val="center"/>
          </w:tcPr>
          <w:p w14:paraId="5A76EA67">
            <w:pPr>
              <w:keepNext w:val="0"/>
              <w:keepLines w:val="0"/>
              <w:pageBreakBefore w:val="0"/>
              <w:widowControl w:val="0"/>
              <w:tabs>
                <w:tab w:val="left" w:pos="1080"/>
              </w:tabs>
              <w:kinsoku/>
              <w:wordWrap/>
              <w:overflowPunct/>
              <w:topLinePunct w:val="0"/>
              <w:bidi w:val="0"/>
              <w:adjustRightInd/>
              <w:snapToGrid w:val="0"/>
              <w:spacing w:after="0" w:line="32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满足《中华人民共和国政府采购法》第二十二条规定及法律法规的其他规定</w:t>
            </w:r>
          </w:p>
        </w:tc>
        <w:tc>
          <w:tcPr>
            <w:tcW w:w="2596" w:type="pct"/>
            <w:vAlign w:val="center"/>
          </w:tcPr>
          <w:p w14:paraId="1F0B58AC">
            <w:pPr>
              <w:keepNext w:val="0"/>
              <w:keepLines w:val="0"/>
              <w:pageBreakBefore w:val="0"/>
              <w:widowControl w:val="0"/>
              <w:tabs>
                <w:tab w:val="left" w:pos="1080"/>
              </w:tabs>
              <w:kinsoku/>
              <w:wordWrap/>
              <w:overflowPunct/>
              <w:topLinePunct w:val="0"/>
              <w:bidi w:val="0"/>
              <w:adjustRightInd/>
              <w:snapToGrid w:val="0"/>
              <w:spacing w:after="0"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具体规定见第一章《投标邀请》</w:t>
            </w:r>
          </w:p>
        </w:tc>
        <w:tc>
          <w:tcPr>
            <w:tcW w:w="882" w:type="pct"/>
            <w:vAlign w:val="center"/>
          </w:tcPr>
          <w:p w14:paraId="11557D81">
            <w:pPr>
              <w:keepNext w:val="0"/>
              <w:keepLines w:val="0"/>
              <w:pageBreakBefore w:val="0"/>
              <w:widowControl w:val="0"/>
              <w:tabs>
                <w:tab w:val="left" w:pos="1080"/>
              </w:tabs>
              <w:kinsoku/>
              <w:wordWrap/>
              <w:overflowPunct/>
              <w:topLinePunct w:val="0"/>
              <w:bidi w:val="0"/>
              <w:adjustRightInd/>
              <w:snapToGrid w:val="0"/>
              <w:spacing w:after="0" w:line="320" w:lineRule="exact"/>
              <w:textAlignment w:val="auto"/>
              <w:rPr>
                <w:rFonts w:hint="eastAsia" w:ascii="宋体" w:hAnsi="宋体" w:cs="宋体"/>
                <w:color w:val="auto"/>
                <w:sz w:val="24"/>
                <w:highlight w:val="none"/>
              </w:rPr>
            </w:pPr>
          </w:p>
        </w:tc>
      </w:tr>
      <w:tr w14:paraId="1F7F9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3" w:type="pct"/>
            <w:vAlign w:val="center"/>
          </w:tcPr>
          <w:p w14:paraId="31F35830">
            <w:pPr>
              <w:keepNext w:val="0"/>
              <w:keepLines w:val="0"/>
              <w:pageBreakBefore w:val="0"/>
              <w:widowControl w:val="0"/>
              <w:tabs>
                <w:tab w:val="left" w:pos="1080"/>
              </w:tabs>
              <w:kinsoku/>
              <w:wordWrap/>
              <w:overflowPunct/>
              <w:topLinePunct w:val="0"/>
              <w:bidi w:val="0"/>
              <w:adjustRightInd/>
              <w:snapToGrid w:val="0"/>
              <w:spacing w:after="0" w:line="32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1-1</w:t>
            </w:r>
          </w:p>
        </w:tc>
        <w:tc>
          <w:tcPr>
            <w:tcW w:w="1066" w:type="pct"/>
            <w:vAlign w:val="center"/>
          </w:tcPr>
          <w:p w14:paraId="5F8AE4A1">
            <w:pPr>
              <w:keepNext w:val="0"/>
              <w:keepLines w:val="0"/>
              <w:pageBreakBefore w:val="0"/>
              <w:widowControl w:val="0"/>
              <w:tabs>
                <w:tab w:val="left" w:pos="1080"/>
              </w:tabs>
              <w:kinsoku/>
              <w:wordWrap/>
              <w:overflowPunct/>
              <w:topLinePunct w:val="0"/>
              <w:bidi w:val="0"/>
              <w:adjustRightInd/>
              <w:snapToGrid w:val="0"/>
              <w:spacing w:after="0" w:line="32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营业执照等证明文件</w:t>
            </w:r>
          </w:p>
        </w:tc>
        <w:tc>
          <w:tcPr>
            <w:tcW w:w="2596" w:type="pct"/>
            <w:vAlign w:val="center"/>
          </w:tcPr>
          <w:p w14:paraId="6E71E15B">
            <w:pPr>
              <w:pStyle w:val="263"/>
              <w:keepNext w:val="0"/>
              <w:keepLines w:val="0"/>
              <w:pageBreakBefore w:val="0"/>
              <w:widowControl w:val="0"/>
              <w:kinsoku/>
              <w:wordWrap/>
              <w:overflowPunct/>
              <w:topLinePunct w:val="0"/>
              <w:bidi w:val="0"/>
              <w:adjustRightInd/>
              <w:spacing w:after="0" w:line="320" w:lineRule="exact"/>
              <w:ind w:left="108" w:right="95"/>
              <w:textAlignment w:val="auto"/>
              <w:rPr>
                <w:rFonts w:hint="eastAsia"/>
                <w:color w:val="auto"/>
                <w:spacing w:val="4"/>
                <w:sz w:val="24"/>
                <w:szCs w:val="24"/>
                <w:highlight w:val="none"/>
                <w:lang w:eastAsia="zh-CN"/>
              </w:rPr>
            </w:pPr>
            <w:r>
              <w:rPr>
                <w:rFonts w:hint="eastAsia"/>
                <w:color w:val="auto"/>
                <w:spacing w:val="4"/>
                <w:sz w:val="24"/>
                <w:szCs w:val="24"/>
                <w:highlight w:val="none"/>
                <w:lang w:eastAsia="zh-CN"/>
              </w:rPr>
              <w:t>投标人为企业（包括合伙企业）的，应提供</w:t>
            </w:r>
            <w:r>
              <w:rPr>
                <w:rFonts w:hint="eastAsia"/>
                <w:color w:val="auto"/>
                <w:spacing w:val="4"/>
                <w:w w:val="110"/>
                <w:sz w:val="24"/>
                <w:szCs w:val="24"/>
                <w:highlight w:val="none"/>
                <w:lang w:eastAsia="zh-CN"/>
              </w:rPr>
              <w:t>有效的“营业执照”；</w:t>
            </w:r>
          </w:p>
          <w:p w14:paraId="21DF5D57">
            <w:pPr>
              <w:pStyle w:val="263"/>
              <w:keepNext w:val="0"/>
              <w:keepLines w:val="0"/>
              <w:pageBreakBefore w:val="0"/>
              <w:widowControl w:val="0"/>
              <w:kinsoku/>
              <w:wordWrap/>
              <w:overflowPunct/>
              <w:topLinePunct w:val="0"/>
              <w:bidi w:val="0"/>
              <w:adjustRightInd/>
              <w:spacing w:after="0" w:line="320" w:lineRule="exact"/>
              <w:ind w:left="108" w:right="95"/>
              <w:textAlignment w:val="auto"/>
              <w:rPr>
                <w:rFonts w:hint="eastAsia"/>
                <w:color w:val="auto"/>
                <w:spacing w:val="4"/>
                <w:sz w:val="24"/>
                <w:szCs w:val="24"/>
                <w:highlight w:val="none"/>
                <w:lang w:eastAsia="zh-CN"/>
              </w:rPr>
            </w:pPr>
            <w:r>
              <w:rPr>
                <w:rFonts w:hint="eastAsia"/>
                <w:color w:val="auto"/>
                <w:spacing w:val="4"/>
                <w:sz w:val="24"/>
                <w:szCs w:val="24"/>
                <w:highlight w:val="none"/>
                <w:lang w:eastAsia="zh-CN"/>
              </w:rPr>
              <w:t>投标人为事业单位的，应提供有效的“事业单</w:t>
            </w:r>
            <w:r>
              <w:rPr>
                <w:rFonts w:hint="eastAsia"/>
                <w:color w:val="auto"/>
                <w:spacing w:val="4"/>
                <w:w w:val="115"/>
                <w:sz w:val="24"/>
                <w:szCs w:val="24"/>
                <w:highlight w:val="none"/>
                <w:lang w:eastAsia="zh-CN"/>
              </w:rPr>
              <w:t>位法人证书”；</w:t>
            </w:r>
          </w:p>
          <w:p w14:paraId="110CA10F">
            <w:pPr>
              <w:pStyle w:val="263"/>
              <w:keepNext w:val="0"/>
              <w:keepLines w:val="0"/>
              <w:pageBreakBefore w:val="0"/>
              <w:widowControl w:val="0"/>
              <w:kinsoku/>
              <w:wordWrap/>
              <w:overflowPunct/>
              <w:topLinePunct w:val="0"/>
              <w:bidi w:val="0"/>
              <w:adjustRightInd/>
              <w:spacing w:after="0" w:line="320" w:lineRule="exact"/>
              <w:ind w:left="108" w:right="95"/>
              <w:textAlignment w:val="auto"/>
              <w:rPr>
                <w:rFonts w:hint="eastAsia"/>
                <w:color w:val="auto"/>
                <w:spacing w:val="4"/>
                <w:sz w:val="24"/>
                <w:szCs w:val="24"/>
                <w:highlight w:val="none"/>
                <w:lang w:eastAsia="zh-CN"/>
              </w:rPr>
            </w:pPr>
            <w:r>
              <w:rPr>
                <w:rFonts w:hint="eastAsia"/>
                <w:color w:val="auto"/>
                <w:spacing w:val="4"/>
                <w:sz w:val="24"/>
                <w:szCs w:val="24"/>
                <w:highlight w:val="none"/>
                <w:lang w:eastAsia="zh-CN"/>
              </w:rPr>
              <w:t>投标人是非企业机构的，应提供有效的“执业</w:t>
            </w:r>
            <w:r>
              <w:rPr>
                <w:rFonts w:hint="eastAsia"/>
                <w:color w:val="auto"/>
                <w:spacing w:val="4"/>
                <w:w w:val="105"/>
                <w:sz w:val="24"/>
                <w:szCs w:val="24"/>
                <w:highlight w:val="none"/>
                <w:lang w:eastAsia="zh-CN"/>
              </w:rPr>
              <w:t>许可证</w:t>
            </w:r>
            <w:r>
              <w:rPr>
                <w:rFonts w:hint="eastAsia"/>
                <w:color w:val="auto"/>
                <w:spacing w:val="4"/>
                <w:w w:val="135"/>
                <w:sz w:val="24"/>
                <w:szCs w:val="24"/>
                <w:highlight w:val="none"/>
                <w:lang w:eastAsia="zh-CN"/>
              </w:rPr>
              <w:t>”</w:t>
            </w:r>
            <w:r>
              <w:rPr>
                <w:rFonts w:hint="eastAsia"/>
                <w:color w:val="auto"/>
                <w:spacing w:val="4"/>
                <w:w w:val="105"/>
                <w:sz w:val="24"/>
                <w:szCs w:val="24"/>
                <w:highlight w:val="none"/>
                <w:lang w:eastAsia="zh-CN"/>
              </w:rPr>
              <w:t>、</w:t>
            </w:r>
            <w:r>
              <w:rPr>
                <w:rFonts w:hint="eastAsia"/>
                <w:color w:val="auto"/>
                <w:spacing w:val="4"/>
                <w:w w:val="135"/>
                <w:sz w:val="24"/>
                <w:szCs w:val="24"/>
                <w:highlight w:val="none"/>
                <w:lang w:eastAsia="zh-CN"/>
              </w:rPr>
              <w:t>“</w:t>
            </w:r>
            <w:r>
              <w:rPr>
                <w:rFonts w:hint="eastAsia"/>
                <w:color w:val="auto"/>
                <w:spacing w:val="4"/>
                <w:w w:val="105"/>
                <w:sz w:val="24"/>
                <w:szCs w:val="24"/>
                <w:highlight w:val="none"/>
                <w:lang w:eastAsia="zh-CN"/>
              </w:rPr>
              <w:t>登记证书</w:t>
            </w:r>
            <w:r>
              <w:rPr>
                <w:rFonts w:hint="eastAsia"/>
                <w:color w:val="auto"/>
                <w:spacing w:val="4"/>
                <w:w w:val="135"/>
                <w:sz w:val="24"/>
                <w:szCs w:val="24"/>
                <w:highlight w:val="none"/>
                <w:lang w:eastAsia="zh-CN"/>
              </w:rPr>
              <w:t>”</w:t>
            </w:r>
            <w:r>
              <w:rPr>
                <w:rFonts w:hint="eastAsia"/>
                <w:color w:val="auto"/>
                <w:spacing w:val="4"/>
                <w:w w:val="105"/>
                <w:sz w:val="24"/>
                <w:szCs w:val="24"/>
                <w:highlight w:val="none"/>
                <w:lang w:eastAsia="zh-CN"/>
              </w:rPr>
              <w:t>等证明文件；</w:t>
            </w:r>
          </w:p>
          <w:p w14:paraId="2C8B76BF">
            <w:pPr>
              <w:pStyle w:val="263"/>
              <w:keepNext w:val="0"/>
              <w:keepLines w:val="0"/>
              <w:pageBreakBefore w:val="0"/>
              <w:widowControl w:val="0"/>
              <w:kinsoku/>
              <w:wordWrap/>
              <w:overflowPunct/>
              <w:topLinePunct w:val="0"/>
              <w:bidi w:val="0"/>
              <w:adjustRightInd/>
              <w:spacing w:after="0" w:line="320" w:lineRule="exact"/>
              <w:ind w:left="108" w:right="95"/>
              <w:textAlignment w:val="auto"/>
              <w:rPr>
                <w:rFonts w:hint="eastAsia"/>
                <w:color w:val="auto"/>
                <w:spacing w:val="4"/>
                <w:sz w:val="24"/>
                <w:szCs w:val="24"/>
                <w:highlight w:val="none"/>
                <w:lang w:eastAsia="zh-CN"/>
              </w:rPr>
            </w:pPr>
            <w:r>
              <w:rPr>
                <w:rFonts w:hint="eastAsia"/>
                <w:color w:val="auto"/>
                <w:spacing w:val="4"/>
                <w:sz w:val="24"/>
                <w:szCs w:val="24"/>
                <w:highlight w:val="none"/>
                <w:lang w:eastAsia="zh-CN"/>
              </w:rPr>
              <w:t>投标人是个体工商户的，应提供有效的“个体</w:t>
            </w:r>
            <w:r>
              <w:rPr>
                <w:rFonts w:hint="eastAsia"/>
                <w:color w:val="auto"/>
                <w:spacing w:val="4"/>
                <w:w w:val="110"/>
                <w:sz w:val="24"/>
                <w:szCs w:val="24"/>
                <w:highlight w:val="none"/>
                <w:lang w:eastAsia="zh-CN"/>
              </w:rPr>
              <w:t>工商户营业执照”；</w:t>
            </w:r>
          </w:p>
          <w:p w14:paraId="7D573CFF">
            <w:pPr>
              <w:pStyle w:val="263"/>
              <w:keepNext w:val="0"/>
              <w:keepLines w:val="0"/>
              <w:pageBreakBefore w:val="0"/>
              <w:widowControl w:val="0"/>
              <w:kinsoku/>
              <w:wordWrap/>
              <w:overflowPunct/>
              <w:topLinePunct w:val="0"/>
              <w:bidi w:val="0"/>
              <w:adjustRightInd/>
              <w:spacing w:after="0" w:line="320" w:lineRule="exact"/>
              <w:ind w:left="108" w:right="95"/>
              <w:textAlignment w:val="auto"/>
              <w:rPr>
                <w:rFonts w:hint="eastAsia"/>
                <w:color w:val="auto"/>
                <w:spacing w:val="4"/>
                <w:sz w:val="24"/>
                <w:szCs w:val="24"/>
                <w:highlight w:val="none"/>
                <w:lang w:eastAsia="zh-CN"/>
              </w:rPr>
            </w:pPr>
            <w:r>
              <w:rPr>
                <w:rFonts w:hint="eastAsia"/>
                <w:color w:val="auto"/>
                <w:spacing w:val="4"/>
                <w:sz w:val="24"/>
                <w:szCs w:val="24"/>
                <w:highlight w:val="none"/>
                <w:lang w:eastAsia="zh-CN"/>
              </w:rPr>
              <w:t>投标人是自然人的，应提供有效的自然人身份证明。</w:t>
            </w:r>
          </w:p>
          <w:p w14:paraId="16CC0B02">
            <w:pPr>
              <w:pStyle w:val="263"/>
              <w:keepNext w:val="0"/>
              <w:keepLines w:val="0"/>
              <w:pageBreakBefore w:val="0"/>
              <w:widowControl w:val="0"/>
              <w:kinsoku/>
              <w:wordWrap/>
              <w:overflowPunct/>
              <w:topLinePunct w:val="0"/>
              <w:bidi w:val="0"/>
              <w:adjustRightInd/>
              <w:spacing w:after="0" w:line="320" w:lineRule="exact"/>
              <w:ind w:left="108" w:right="95"/>
              <w:jc w:val="both"/>
              <w:textAlignment w:val="auto"/>
              <w:rPr>
                <w:rFonts w:hint="eastAsia"/>
                <w:color w:val="auto"/>
                <w:sz w:val="24"/>
                <w:highlight w:val="none"/>
                <w:lang w:eastAsia="zh-CN"/>
              </w:rPr>
            </w:pPr>
            <w:r>
              <w:rPr>
                <w:rFonts w:hint="eastAsia"/>
                <w:color w:val="auto"/>
                <w:spacing w:val="4"/>
                <w:sz w:val="24"/>
                <w:szCs w:val="24"/>
                <w:highlight w:val="none"/>
                <w:lang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w:t>
            </w:r>
            <w:r>
              <w:rPr>
                <w:rFonts w:hint="eastAsia"/>
                <w:color w:val="auto"/>
                <w:spacing w:val="4"/>
                <w:sz w:val="24"/>
                <w:highlight w:val="none"/>
                <w:lang w:eastAsia="zh-CN"/>
              </w:rPr>
              <w:t>属法人/其他组织的有关文件或制度等能够证明授权其独立开展业务的证明材料。</w:t>
            </w:r>
          </w:p>
        </w:tc>
        <w:tc>
          <w:tcPr>
            <w:tcW w:w="882" w:type="pct"/>
            <w:vAlign w:val="center"/>
          </w:tcPr>
          <w:p w14:paraId="2CCF15AF">
            <w:pPr>
              <w:keepNext w:val="0"/>
              <w:keepLines w:val="0"/>
              <w:pageBreakBefore w:val="0"/>
              <w:widowControl w:val="0"/>
              <w:tabs>
                <w:tab w:val="left" w:pos="1080"/>
              </w:tabs>
              <w:kinsoku/>
              <w:wordWrap/>
              <w:overflowPunct/>
              <w:topLinePunct w:val="0"/>
              <w:bidi w:val="0"/>
              <w:adjustRightInd/>
              <w:snapToGrid w:val="0"/>
              <w:spacing w:after="0"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提供证明文件并加盖投标人公章</w:t>
            </w:r>
          </w:p>
        </w:tc>
      </w:tr>
      <w:tr w14:paraId="7DB96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3" w:type="pct"/>
            <w:vAlign w:val="center"/>
          </w:tcPr>
          <w:p w14:paraId="7D1467E6">
            <w:pPr>
              <w:keepNext w:val="0"/>
              <w:keepLines w:val="0"/>
              <w:pageBreakBefore w:val="0"/>
              <w:widowControl w:val="0"/>
              <w:tabs>
                <w:tab w:val="left" w:pos="1080"/>
              </w:tabs>
              <w:kinsoku/>
              <w:wordWrap/>
              <w:overflowPunct/>
              <w:topLinePunct w:val="0"/>
              <w:bidi w:val="0"/>
              <w:adjustRightInd/>
              <w:snapToGrid w:val="0"/>
              <w:spacing w:after="0" w:line="32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1-2</w:t>
            </w:r>
          </w:p>
        </w:tc>
        <w:tc>
          <w:tcPr>
            <w:tcW w:w="1066" w:type="pct"/>
            <w:vAlign w:val="center"/>
          </w:tcPr>
          <w:p w14:paraId="12E2D473">
            <w:pPr>
              <w:keepNext w:val="0"/>
              <w:keepLines w:val="0"/>
              <w:pageBreakBefore w:val="0"/>
              <w:widowControl w:val="0"/>
              <w:tabs>
                <w:tab w:val="left" w:pos="1080"/>
              </w:tabs>
              <w:kinsoku/>
              <w:wordWrap/>
              <w:overflowPunct/>
              <w:topLinePunct w:val="0"/>
              <w:bidi w:val="0"/>
              <w:adjustRightInd/>
              <w:snapToGrid w:val="0"/>
              <w:spacing w:after="0" w:line="32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投标人资格声明书</w:t>
            </w:r>
          </w:p>
        </w:tc>
        <w:tc>
          <w:tcPr>
            <w:tcW w:w="2596" w:type="pct"/>
            <w:vAlign w:val="center"/>
          </w:tcPr>
          <w:p w14:paraId="22FCF6DA">
            <w:pPr>
              <w:keepNext w:val="0"/>
              <w:keepLines w:val="0"/>
              <w:pageBreakBefore w:val="0"/>
              <w:widowControl w:val="0"/>
              <w:tabs>
                <w:tab w:val="left" w:pos="1080"/>
              </w:tabs>
              <w:kinsoku/>
              <w:wordWrap/>
              <w:overflowPunct/>
              <w:topLinePunct w:val="0"/>
              <w:bidi w:val="0"/>
              <w:adjustRightInd/>
              <w:snapToGrid w:val="0"/>
              <w:spacing w:after="0"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提供了符合招标文件要求的《投标人资格声明书》。</w:t>
            </w:r>
          </w:p>
        </w:tc>
        <w:tc>
          <w:tcPr>
            <w:tcW w:w="882" w:type="pct"/>
            <w:vAlign w:val="center"/>
          </w:tcPr>
          <w:p w14:paraId="5D96D013">
            <w:pPr>
              <w:keepNext w:val="0"/>
              <w:keepLines w:val="0"/>
              <w:pageBreakBefore w:val="0"/>
              <w:widowControl w:val="0"/>
              <w:tabs>
                <w:tab w:val="left" w:pos="1080"/>
              </w:tabs>
              <w:kinsoku/>
              <w:wordWrap/>
              <w:overflowPunct/>
              <w:topLinePunct w:val="0"/>
              <w:bidi w:val="0"/>
              <w:adjustRightInd/>
              <w:snapToGrid w:val="0"/>
              <w:spacing w:after="0"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格式见《投标文件格式》</w:t>
            </w:r>
          </w:p>
        </w:tc>
      </w:tr>
      <w:tr w14:paraId="13CEC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3" w:type="pct"/>
            <w:vAlign w:val="center"/>
          </w:tcPr>
          <w:p w14:paraId="4C0ACD9A">
            <w:pPr>
              <w:keepNext w:val="0"/>
              <w:keepLines w:val="0"/>
              <w:pageBreakBefore w:val="0"/>
              <w:widowControl w:val="0"/>
              <w:tabs>
                <w:tab w:val="left" w:pos="1080"/>
              </w:tabs>
              <w:kinsoku/>
              <w:wordWrap/>
              <w:overflowPunct/>
              <w:topLinePunct w:val="0"/>
              <w:bidi w:val="0"/>
              <w:adjustRightInd/>
              <w:snapToGrid w:val="0"/>
              <w:spacing w:after="0" w:line="32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1-3</w:t>
            </w:r>
          </w:p>
        </w:tc>
        <w:tc>
          <w:tcPr>
            <w:tcW w:w="1066" w:type="pct"/>
            <w:vAlign w:val="center"/>
          </w:tcPr>
          <w:p w14:paraId="557E6F7A">
            <w:pPr>
              <w:keepNext w:val="0"/>
              <w:keepLines w:val="0"/>
              <w:pageBreakBefore w:val="0"/>
              <w:widowControl w:val="0"/>
              <w:tabs>
                <w:tab w:val="left" w:pos="1080"/>
              </w:tabs>
              <w:kinsoku/>
              <w:wordWrap/>
              <w:overflowPunct/>
              <w:topLinePunct w:val="0"/>
              <w:bidi w:val="0"/>
              <w:adjustRightInd/>
              <w:snapToGrid w:val="0"/>
              <w:spacing w:after="0" w:line="32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投标人信用记录</w:t>
            </w:r>
          </w:p>
        </w:tc>
        <w:tc>
          <w:tcPr>
            <w:tcW w:w="2596" w:type="pct"/>
            <w:vAlign w:val="center"/>
          </w:tcPr>
          <w:p w14:paraId="6E876FB0">
            <w:pPr>
              <w:keepNext w:val="0"/>
              <w:keepLines w:val="0"/>
              <w:pageBreakBefore w:val="0"/>
              <w:widowControl w:val="0"/>
              <w:tabs>
                <w:tab w:val="left" w:pos="1080"/>
              </w:tabs>
              <w:kinsoku/>
              <w:wordWrap/>
              <w:overflowPunct/>
              <w:topLinePunct w:val="0"/>
              <w:bidi w:val="0"/>
              <w:adjustRightInd/>
              <w:snapToGrid w:val="0"/>
              <w:spacing w:after="0"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查询渠道：信用中国网站和中国政府采购网（</w:t>
            </w:r>
            <w:r>
              <w:rPr>
                <w:rFonts w:hint="eastAsia" w:ascii="宋体" w:hAnsi="宋体" w:cs="宋体"/>
                <w:color w:val="auto"/>
                <w:highlight w:val="none"/>
              </w:rPr>
              <w:t>www.creditchina.gov.cn</w:t>
            </w:r>
            <w:r>
              <w:rPr>
                <w:rFonts w:hint="eastAsia" w:ascii="宋体" w:hAnsi="宋体" w:cs="宋体"/>
                <w:color w:val="auto"/>
                <w:sz w:val="24"/>
                <w:highlight w:val="none"/>
              </w:rPr>
              <w:t>、</w:t>
            </w:r>
            <w:r>
              <w:rPr>
                <w:rFonts w:hint="eastAsia" w:ascii="宋体" w:hAnsi="宋体" w:cs="宋体"/>
                <w:color w:val="auto"/>
                <w:highlight w:val="none"/>
              </w:rPr>
              <w:t>www.ccgp.gov.cn</w:t>
            </w:r>
            <w:r>
              <w:rPr>
                <w:rFonts w:hint="eastAsia" w:ascii="宋体" w:hAnsi="宋体" w:cs="宋体"/>
                <w:color w:val="auto"/>
                <w:sz w:val="24"/>
                <w:highlight w:val="none"/>
              </w:rPr>
              <w:t>）；</w:t>
            </w:r>
          </w:p>
          <w:p w14:paraId="5CD4A101">
            <w:pPr>
              <w:keepNext w:val="0"/>
              <w:keepLines w:val="0"/>
              <w:pageBreakBefore w:val="0"/>
              <w:widowControl w:val="0"/>
              <w:tabs>
                <w:tab w:val="left" w:pos="900"/>
                <w:tab w:val="left" w:pos="1980"/>
              </w:tabs>
              <w:kinsoku/>
              <w:wordWrap/>
              <w:overflowPunct/>
              <w:topLinePunct w:val="0"/>
              <w:bidi w:val="0"/>
              <w:adjustRightInd/>
              <w:snapToGrid w:val="0"/>
              <w:spacing w:after="0"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截止时点：投标截止时间以后、资格审查阶段采购人或采购代理机构的实际查询时间；</w:t>
            </w:r>
          </w:p>
          <w:p w14:paraId="64319D1F">
            <w:pPr>
              <w:keepNext w:val="0"/>
              <w:keepLines w:val="0"/>
              <w:pageBreakBefore w:val="0"/>
              <w:widowControl w:val="0"/>
              <w:tabs>
                <w:tab w:val="left" w:pos="900"/>
                <w:tab w:val="left" w:pos="1980"/>
              </w:tabs>
              <w:kinsoku/>
              <w:wordWrap/>
              <w:overflowPunct/>
              <w:topLinePunct w:val="0"/>
              <w:bidi w:val="0"/>
              <w:adjustRightInd/>
              <w:snapToGrid w:val="0"/>
              <w:spacing w:after="0"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信用信息查询记录和证据留存具体方式：查询结果网页打印页作为查询记录和证据，与其他采购文件一并保存；</w:t>
            </w:r>
          </w:p>
          <w:p w14:paraId="5E658E78">
            <w:pPr>
              <w:keepNext w:val="0"/>
              <w:keepLines w:val="0"/>
              <w:pageBreakBefore w:val="0"/>
              <w:widowControl w:val="0"/>
              <w:tabs>
                <w:tab w:val="left" w:pos="1080"/>
              </w:tabs>
              <w:kinsoku/>
              <w:wordWrap/>
              <w:overflowPunct/>
              <w:topLinePunct w:val="0"/>
              <w:bidi w:val="0"/>
              <w:adjustRightInd/>
              <w:snapToGrid w:val="0"/>
              <w:spacing w:after="0"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信用信息的使用原则：经认定的被列入失信被执行人、重大税收违法案件当事人名单、政府采购严重违法失信行为记录名单的投标人，其</w:t>
            </w:r>
            <w:r>
              <w:rPr>
                <w:rFonts w:hint="eastAsia" w:ascii="宋体" w:hAnsi="宋体" w:cs="宋体"/>
                <w:b/>
                <w:color w:val="auto"/>
                <w:sz w:val="24"/>
                <w:highlight w:val="none"/>
              </w:rPr>
              <w:t>投标无效</w:t>
            </w:r>
            <w:r>
              <w:rPr>
                <w:rFonts w:hint="eastAsia" w:ascii="宋体" w:hAnsi="宋体" w:cs="宋体"/>
                <w:color w:val="auto"/>
                <w:sz w:val="24"/>
                <w:highlight w:val="none"/>
              </w:rPr>
              <w:t>。联合体形式投标的，联合体成员存在不良信用记录，视同联合体存在不良信用记录。</w:t>
            </w:r>
          </w:p>
        </w:tc>
        <w:tc>
          <w:tcPr>
            <w:tcW w:w="882" w:type="pct"/>
            <w:vAlign w:val="center"/>
          </w:tcPr>
          <w:p w14:paraId="7917741F">
            <w:pPr>
              <w:keepNext w:val="0"/>
              <w:keepLines w:val="0"/>
              <w:pageBreakBefore w:val="0"/>
              <w:widowControl w:val="0"/>
              <w:tabs>
                <w:tab w:val="left" w:pos="1080"/>
              </w:tabs>
              <w:kinsoku/>
              <w:wordWrap/>
              <w:overflowPunct/>
              <w:topLinePunct w:val="0"/>
              <w:bidi w:val="0"/>
              <w:adjustRightInd/>
              <w:snapToGrid w:val="0"/>
              <w:spacing w:after="0"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无须投标人提供，由采购人或采购代理机构查询。</w:t>
            </w:r>
          </w:p>
        </w:tc>
      </w:tr>
      <w:tr w14:paraId="1C02B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3" w:type="pct"/>
            <w:vAlign w:val="center"/>
          </w:tcPr>
          <w:p w14:paraId="7E41D57D">
            <w:pPr>
              <w:pStyle w:val="263"/>
              <w:keepNext w:val="0"/>
              <w:keepLines w:val="0"/>
              <w:pageBreakBefore w:val="0"/>
              <w:widowControl w:val="0"/>
              <w:kinsoku/>
              <w:wordWrap/>
              <w:overflowPunct/>
              <w:topLinePunct w:val="0"/>
              <w:bidi w:val="0"/>
              <w:adjustRightInd/>
              <w:spacing w:after="0" w:line="320" w:lineRule="exact"/>
              <w:ind w:left="10" w:right="3"/>
              <w:jc w:val="center"/>
              <w:textAlignment w:val="auto"/>
              <w:rPr>
                <w:rFonts w:hint="eastAsia"/>
                <w:color w:val="auto"/>
                <w:sz w:val="24"/>
                <w:highlight w:val="none"/>
              </w:rPr>
            </w:pPr>
            <w:r>
              <w:rPr>
                <w:rFonts w:hint="eastAsia"/>
                <w:color w:val="auto"/>
                <w:spacing w:val="4"/>
                <w:w w:val="110"/>
                <w:sz w:val="24"/>
                <w:szCs w:val="24"/>
                <w:highlight w:val="none"/>
              </w:rPr>
              <w:t>1-</w:t>
            </w:r>
            <w:r>
              <w:rPr>
                <w:rFonts w:hint="eastAsia"/>
                <w:color w:val="auto"/>
                <w:spacing w:val="4"/>
                <w:w w:val="115"/>
                <w:sz w:val="24"/>
                <w:szCs w:val="24"/>
                <w:highlight w:val="none"/>
              </w:rPr>
              <w:t>4</w:t>
            </w:r>
          </w:p>
        </w:tc>
        <w:tc>
          <w:tcPr>
            <w:tcW w:w="1066" w:type="pct"/>
            <w:vAlign w:val="center"/>
          </w:tcPr>
          <w:p w14:paraId="3EA82408">
            <w:pPr>
              <w:pStyle w:val="263"/>
              <w:keepNext w:val="0"/>
              <w:keepLines w:val="0"/>
              <w:pageBreakBefore w:val="0"/>
              <w:widowControl w:val="0"/>
              <w:kinsoku/>
              <w:wordWrap/>
              <w:overflowPunct/>
              <w:topLinePunct w:val="0"/>
              <w:bidi w:val="0"/>
              <w:adjustRightInd/>
              <w:spacing w:after="0" w:line="320" w:lineRule="exact"/>
              <w:jc w:val="center"/>
              <w:textAlignment w:val="auto"/>
              <w:rPr>
                <w:rFonts w:hint="eastAsia"/>
                <w:color w:val="auto"/>
                <w:spacing w:val="4"/>
                <w:sz w:val="24"/>
                <w:szCs w:val="24"/>
                <w:highlight w:val="none"/>
                <w:lang w:eastAsia="zh-CN"/>
              </w:rPr>
            </w:pPr>
            <w:r>
              <w:rPr>
                <w:rFonts w:hint="eastAsia"/>
                <w:color w:val="auto"/>
                <w:spacing w:val="4"/>
                <w:sz w:val="24"/>
                <w:szCs w:val="24"/>
                <w:highlight w:val="none"/>
                <w:lang w:eastAsia="zh-CN"/>
              </w:rPr>
              <w:t>法律、行政法规</w:t>
            </w:r>
          </w:p>
          <w:p w14:paraId="537B180D">
            <w:pPr>
              <w:pStyle w:val="263"/>
              <w:keepNext w:val="0"/>
              <w:keepLines w:val="0"/>
              <w:pageBreakBefore w:val="0"/>
              <w:widowControl w:val="0"/>
              <w:kinsoku/>
              <w:wordWrap/>
              <w:overflowPunct/>
              <w:topLinePunct w:val="0"/>
              <w:bidi w:val="0"/>
              <w:adjustRightInd/>
              <w:spacing w:after="0" w:line="320" w:lineRule="exact"/>
              <w:jc w:val="center"/>
              <w:textAlignment w:val="auto"/>
              <w:rPr>
                <w:rFonts w:hint="eastAsia"/>
                <w:color w:val="auto"/>
                <w:sz w:val="24"/>
                <w:highlight w:val="none"/>
                <w:lang w:eastAsia="zh-CN"/>
              </w:rPr>
            </w:pPr>
            <w:r>
              <w:rPr>
                <w:rFonts w:hint="eastAsia"/>
                <w:color w:val="auto"/>
                <w:spacing w:val="4"/>
                <w:sz w:val="24"/>
                <w:szCs w:val="24"/>
                <w:highlight w:val="none"/>
                <w:lang w:eastAsia="zh-CN"/>
              </w:rPr>
              <w:t>规定的其他条件</w:t>
            </w:r>
          </w:p>
        </w:tc>
        <w:tc>
          <w:tcPr>
            <w:tcW w:w="2596" w:type="pct"/>
            <w:vAlign w:val="center"/>
          </w:tcPr>
          <w:p w14:paraId="3456A010">
            <w:pPr>
              <w:pStyle w:val="263"/>
              <w:keepNext w:val="0"/>
              <w:keepLines w:val="0"/>
              <w:pageBreakBefore w:val="0"/>
              <w:widowControl w:val="0"/>
              <w:kinsoku/>
              <w:wordWrap/>
              <w:overflowPunct/>
              <w:topLinePunct w:val="0"/>
              <w:bidi w:val="0"/>
              <w:adjustRightInd/>
              <w:spacing w:after="0" w:line="320" w:lineRule="exact"/>
              <w:ind w:left="108"/>
              <w:textAlignment w:val="auto"/>
              <w:rPr>
                <w:rFonts w:hint="eastAsia"/>
                <w:color w:val="auto"/>
                <w:sz w:val="24"/>
                <w:highlight w:val="none"/>
                <w:lang w:eastAsia="zh-CN"/>
              </w:rPr>
            </w:pPr>
            <w:r>
              <w:rPr>
                <w:rFonts w:hint="eastAsia"/>
                <w:color w:val="auto"/>
                <w:spacing w:val="4"/>
                <w:sz w:val="24"/>
                <w:szCs w:val="24"/>
                <w:highlight w:val="none"/>
                <w:lang w:eastAsia="zh-CN"/>
              </w:rPr>
              <w:t>法律、行政法规规定的其他条件</w:t>
            </w:r>
          </w:p>
        </w:tc>
        <w:tc>
          <w:tcPr>
            <w:tcW w:w="882" w:type="pct"/>
            <w:vAlign w:val="center"/>
          </w:tcPr>
          <w:p w14:paraId="7A474A85">
            <w:pPr>
              <w:pStyle w:val="263"/>
              <w:keepNext w:val="0"/>
              <w:keepLines w:val="0"/>
              <w:pageBreakBefore w:val="0"/>
              <w:widowControl w:val="0"/>
              <w:kinsoku/>
              <w:wordWrap/>
              <w:overflowPunct/>
              <w:topLinePunct w:val="0"/>
              <w:bidi w:val="0"/>
              <w:adjustRightInd/>
              <w:spacing w:after="0" w:line="320" w:lineRule="exact"/>
              <w:jc w:val="center"/>
              <w:textAlignment w:val="auto"/>
              <w:rPr>
                <w:rFonts w:hint="eastAsia"/>
                <w:color w:val="auto"/>
                <w:sz w:val="24"/>
                <w:highlight w:val="none"/>
              </w:rPr>
            </w:pPr>
            <w:r>
              <w:rPr>
                <w:rFonts w:hint="eastAsia"/>
                <w:color w:val="auto"/>
                <w:spacing w:val="4"/>
                <w:sz w:val="24"/>
                <w:szCs w:val="24"/>
                <w:highlight w:val="none"/>
              </w:rPr>
              <w:t>/</w:t>
            </w:r>
          </w:p>
        </w:tc>
      </w:tr>
      <w:tr w14:paraId="4B6A6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3" w:type="pct"/>
            <w:vAlign w:val="center"/>
          </w:tcPr>
          <w:p w14:paraId="30854CD4">
            <w:pPr>
              <w:keepNext w:val="0"/>
              <w:keepLines w:val="0"/>
              <w:pageBreakBefore w:val="0"/>
              <w:widowControl w:val="0"/>
              <w:tabs>
                <w:tab w:val="left" w:pos="1080"/>
              </w:tabs>
              <w:kinsoku/>
              <w:wordWrap/>
              <w:overflowPunct/>
              <w:topLinePunct w:val="0"/>
              <w:bidi w:val="0"/>
              <w:adjustRightInd/>
              <w:snapToGrid w:val="0"/>
              <w:spacing w:after="0" w:line="32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2</w:t>
            </w:r>
          </w:p>
        </w:tc>
        <w:tc>
          <w:tcPr>
            <w:tcW w:w="1066" w:type="pct"/>
            <w:vAlign w:val="center"/>
          </w:tcPr>
          <w:p w14:paraId="04E138B0">
            <w:pPr>
              <w:keepNext w:val="0"/>
              <w:keepLines w:val="0"/>
              <w:pageBreakBefore w:val="0"/>
              <w:widowControl w:val="0"/>
              <w:tabs>
                <w:tab w:val="left" w:pos="1080"/>
              </w:tabs>
              <w:kinsoku/>
              <w:wordWrap/>
              <w:overflowPunct/>
              <w:topLinePunct w:val="0"/>
              <w:bidi w:val="0"/>
              <w:adjustRightInd/>
              <w:snapToGrid w:val="0"/>
              <w:spacing w:after="0" w:line="32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落实政府采购政策需满足的资格要求</w:t>
            </w:r>
          </w:p>
        </w:tc>
        <w:tc>
          <w:tcPr>
            <w:tcW w:w="2596" w:type="pct"/>
            <w:vAlign w:val="center"/>
          </w:tcPr>
          <w:p w14:paraId="4F4858FB">
            <w:pPr>
              <w:keepNext w:val="0"/>
              <w:keepLines w:val="0"/>
              <w:pageBreakBefore w:val="0"/>
              <w:widowControl w:val="0"/>
              <w:tabs>
                <w:tab w:val="left" w:pos="1080"/>
              </w:tabs>
              <w:kinsoku/>
              <w:wordWrap/>
              <w:overflowPunct/>
              <w:topLinePunct w:val="0"/>
              <w:bidi w:val="0"/>
              <w:adjustRightInd/>
              <w:snapToGrid w:val="0"/>
              <w:spacing w:after="0"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具体要求见第一章《投标邀请》</w:t>
            </w:r>
          </w:p>
        </w:tc>
        <w:tc>
          <w:tcPr>
            <w:tcW w:w="882" w:type="pct"/>
            <w:vAlign w:val="center"/>
          </w:tcPr>
          <w:p w14:paraId="258A72FF">
            <w:pPr>
              <w:keepNext w:val="0"/>
              <w:keepLines w:val="0"/>
              <w:pageBreakBefore w:val="0"/>
              <w:widowControl w:val="0"/>
              <w:tabs>
                <w:tab w:val="left" w:pos="1080"/>
              </w:tabs>
              <w:kinsoku/>
              <w:wordWrap/>
              <w:overflowPunct/>
              <w:topLinePunct w:val="0"/>
              <w:bidi w:val="0"/>
              <w:adjustRightInd/>
              <w:snapToGrid w:val="0"/>
              <w:spacing w:after="0" w:line="320" w:lineRule="exact"/>
              <w:textAlignment w:val="auto"/>
              <w:rPr>
                <w:rFonts w:hint="eastAsia" w:ascii="宋体" w:hAnsi="宋体" w:cs="宋体"/>
                <w:color w:val="auto"/>
                <w:sz w:val="24"/>
                <w:highlight w:val="none"/>
              </w:rPr>
            </w:pPr>
          </w:p>
        </w:tc>
      </w:tr>
      <w:tr w14:paraId="36193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3" w:type="pct"/>
            <w:vAlign w:val="center"/>
          </w:tcPr>
          <w:p w14:paraId="4B8B12CA">
            <w:pPr>
              <w:keepNext w:val="0"/>
              <w:keepLines w:val="0"/>
              <w:pageBreakBefore w:val="0"/>
              <w:widowControl w:val="0"/>
              <w:tabs>
                <w:tab w:val="left" w:pos="1080"/>
              </w:tabs>
              <w:kinsoku/>
              <w:wordWrap/>
              <w:overflowPunct/>
              <w:topLinePunct w:val="0"/>
              <w:bidi w:val="0"/>
              <w:adjustRightInd/>
              <w:snapToGrid w:val="0"/>
              <w:spacing w:after="0" w:line="32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2-1</w:t>
            </w:r>
          </w:p>
        </w:tc>
        <w:tc>
          <w:tcPr>
            <w:tcW w:w="1066" w:type="pct"/>
            <w:vAlign w:val="center"/>
          </w:tcPr>
          <w:p w14:paraId="315CB177">
            <w:pPr>
              <w:keepNext w:val="0"/>
              <w:keepLines w:val="0"/>
              <w:pageBreakBefore w:val="0"/>
              <w:widowControl w:val="0"/>
              <w:tabs>
                <w:tab w:val="left" w:pos="1080"/>
              </w:tabs>
              <w:kinsoku/>
              <w:wordWrap/>
              <w:overflowPunct/>
              <w:topLinePunct w:val="0"/>
              <w:bidi w:val="0"/>
              <w:adjustRightInd/>
              <w:snapToGrid w:val="0"/>
              <w:spacing w:after="0" w:line="32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中小企业声明函</w:t>
            </w:r>
          </w:p>
        </w:tc>
        <w:tc>
          <w:tcPr>
            <w:tcW w:w="2596" w:type="pct"/>
            <w:vAlign w:val="center"/>
          </w:tcPr>
          <w:p w14:paraId="4C10F327">
            <w:pPr>
              <w:pStyle w:val="263"/>
              <w:keepNext w:val="0"/>
              <w:keepLines w:val="0"/>
              <w:pageBreakBefore w:val="0"/>
              <w:widowControl w:val="0"/>
              <w:kinsoku/>
              <w:wordWrap/>
              <w:overflowPunct/>
              <w:topLinePunct w:val="0"/>
              <w:bidi w:val="0"/>
              <w:adjustRightInd/>
              <w:spacing w:after="0" w:line="320" w:lineRule="exact"/>
              <w:ind w:left="108" w:right="95"/>
              <w:jc w:val="both"/>
              <w:textAlignment w:val="auto"/>
              <w:rPr>
                <w:rFonts w:hint="eastAsia"/>
                <w:color w:val="auto"/>
                <w:spacing w:val="4"/>
                <w:sz w:val="24"/>
                <w:szCs w:val="24"/>
                <w:highlight w:val="none"/>
                <w:lang w:eastAsia="zh-CN"/>
              </w:rPr>
            </w:pPr>
            <w:r>
              <w:rPr>
                <w:rFonts w:hint="eastAsia"/>
                <w:color w:val="auto"/>
                <w:spacing w:val="4"/>
                <w:sz w:val="24"/>
                <w:szCs w:val="24"/>
                <w:highlight w:val="none"/>
                <w:lang w:eastAsia="zh-CN"/>
              </w:rPr>
              <w:t>当本项目（包）涉及预留份额专门面向中小企业采购，此时建议在《资格证明文件》中提供。</w:t>
            </w:r>
          </w:p>
          <w:p w14:paraId="414CFF9A">
            <w:pPr>
              <w:pStyle w:val="263"/>
              <w:keepNext w:val="0"/>
              <w:keepLines w:val="0"/>
              <w:pageBreakBefore w:val="0"/>
              <w:widowControl w:val="0"/>
              <w:kinsoku/>
              <w:wordWrap/>
              <w:overflowPunct/>
              <w:topLinePunct w:val="0"/>
              <w:bidi w:val="0"/>
              <w:adjustRightInd/>
              <w:spacing w:after="0" w:line="320" w:lineRule="exact"/>
              <w:ind w:left="108" w:right="95"/>
              <w:jc w:val="both"/>
              <w:textAlignment w:val="auto"/>
              <w:rPr>
                <w:rFonts w:hint="eastAsia"/>
                <w:color w:val="auto"/>
                <w:spacing w:val="4"/>
                <w:sz w:val="24"/>
                <w:szCs w:val="24"/>
                <w:highlight w:val="none"/>
                <w:lang w:eastAsia="zh-CN"/>
              </w:rPr>
            </w:pPr>
            <w:r>
              <w:rPr>
                <w:rFonts w:hint="eastAsia"/>
                <w:color w:val="auto"/>
                <w:spacing w:val="4"/>
                <w:sz w:val="24"/>
                <w:szCs w:val="24"/>
                <w:highlight w:val="none"/>
                <w:lang w:eastAsia="zh-CN"/>
              </w:rPr>
              <w:t>1、投标人单独投标的，应提供《中小企业声明函》或《残疾人福利性单位声明函》或由省级以上监狱管理局、戒毒管理局（含新疆生产建设兵团）出具的属于监狱企业的证明文件。</w:t>
            </w:r>
          </w:p>
          <w:p w14:paraId="41F68805">
            <w:pPr>
              <w:keepNext w:val="0"/>
              <w:keepLines w:val="0"/>
              <w:pageBreakBefore w:val="0"/>
              <w:widowControl w:val="0"/>
              <w:tabs>
                <w:tab w:val="left" w:pos="1080"/>
              </w:tabs>
              <w:kinsoku/>
              <w:wordWrap/>
              <w:overflowPunct/>
              <w:topLinePunct w:val="0"/>
              <w:bidi w:val="0"/>
              <w:adjustRightInd/>
              <w:snapToGrid w:val="0"/>
              <w:spacing w:after="0" w:line="320" w:lineRule="exact"/>
              <w:textAlignment w:val="auto"/>
              <w:rPr>
                <w:rFonts w:hint="eastAsia" w:ascii="宋体" w:hAnsi="宋体" w:cs="宋体"/>
                <w:color w:val="auto"/>
                <w:sz w:val="24"/>
                <w:highlight w:val="none"/>
              </w:rPr>
            </w:pPr>
            <w:r>
              <w:rPr>
                <w:rFonts w:hint="eastAsia" w:ascii="宋体" w:hAnsi="宋体" w:cs="宋体"/>
                <w:color w:val="auto"/>
                <w:spacing w:val="4"/>
                <w:sz w:val="24"/>
                <w:highlight w:val="none"/>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882" w:type="pct"/>
            <w:vAlign w:val="center"/>
          </w:tcPr>
          <w:p w14:paraId="29CCEFD3">
            <w:pPr>
              <w:keepNext w:val="0"/>
              <w:keepLines w:val="0"/>
              <w:pageBreakBefore w:val="0"/>
              <w:widowControl w:val="0"/>
              <w:tabs>
                <w:tab w:val="left" w:pos="1080"/>
              </w:tabs>
              <w:kinsoku/>
              <w:wordWrap/>
              <w:overflowPunct/>
              <w:topLinePunct w:val="0"/>
              <w:bidi w:val="0"/>
              <w:adjustRightInd/>
              <w:snapToGrid w:val="0"/>
              <w:spacing w:after="0"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格式见《投标文件格式》</w:t>
            </w:r>
          </w:p>
        </w:tc>
      </w:tr>
      <w:tr w14:paraId="22EB9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3" w:type="pct"/>
            <w:vAlign w:val="center"/>
          </w:tcPr>
          <w:p w14:paraId="00E56FCE">
            <w:pPr>
              <w:keepNext w:val="0"/>
              <w:keepLines w:val="0"/>
              <w:pageBreakBefore w:val="0"/>
              <w:widowControl w:val="0"/>
              <w:tabs>
                <w:tab w:val="left" w:pos="1080"/>
              </w:tabs>
              <w:kinsoku/>
              <w:wordWrap/>
              <w:overflowPunct/>
              <w:topLinePunct w:val="0"/>
              <w:bidi w:val="0"/>
              <w:adjustRightInd/>
              <w:snapToGrid w:val="0"/>
              <w:spacing w:after="0" w:line="32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2-2</w:t>
            </w:r>
          </w:p>
        </w:tc>
        <w:tc>
          <w:tcPr>
            <w:tcW w:w="1066" w:type="pct"/>
            <w:vAlign w:val="center"/>
          </w:tcPr>
          <w:p w14:paraId="7CFEF39F">
            <w:pPr>
              <w:keepNext w:val="0"/>
              <w:keepLines w:val="0"/>
              <w:pageBreakBefore w:val="0"/>
              <w:widowControl w:val="0"/>
              <w:tabs>
                <w:tab w:val="left" w:pos="1080"/>
              </w:tabs>
              <w:kinsoku/>
              <w:wordWrap/>
              <w:overflowPunct/>
              <w:topLinePunct w:val="0"/>
              <w:bidi w:val="0"/>
              <w:adjustRightInd/>
              <w:snapToGrid w:val="0"/>
              <w:spacing w:after="0" w:line="32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其它落实政府采购政策的资格要求</w:t>
            </w:r>
          </w:p>
        </w:tc>
        <w:tc>
          <w:tcPr>
            <w:tcW w:w="2596" w:type="pct"/>
            <w:vAlign w:val="center"/>
          </w:tcPr>
          <w:p w14:paraId="5BD50708">
            <w:pPr>
              <w:keepNext w:val="0"/>
              <w:keepLines w:val="0"/>
              <w:pageBreakBefore w:val="0"/>
              <w:widowControl w:val="0"/>
              <w:tabs>
                <w:tab w:val="left" w:pos="1080"/>
              </w:tabs>
              <w:kinsoku/>
              <w:wordWrap/>
              <w:overflowPunct/>
              <w:topLinePunct w:val="0"/>
              <w:bidi w:val="0"/>
              <w:adjustRightInd/>
              <w:snapToGrid w:val="0"/>
              <w:spacing w:after="0"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如有，见第一章《投标邀请》</w:t>
            </w:r>
          </w:p>
        </w:tc>
        <w:tc>
          <w:tcPr>
            <w:tcW w:w="882" w:type="pct"/>
            <w:vAlign w:val="center"/>
          </w:tcPr>
          <w:p w14:paraId="167BB56B">
            <w:pPr>
              <w:keepNext w:val="0"/>
              <w:keepLines w:val="0"/>
              <w:pageBreakBefore w:val="0"/>
              <w:widowControl w:val="0"/>
              <w:tabs>
                <w:tab w:val="left" w:pos="1080"/>
              </w:tabs>
              <w:kinsoku/>
              <w:wordWrap/>
              <w:overflowPunct/>
              <w:topLinePunct w:val="0"/>
              <w:bidi w:val="0"/>
              <w:adjustRightInd/>
              <w:snapToGrid w:val="0"/>
              <w:spacing w:after="0"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提供证明文件并加盖投标人公章</w:t>
            </w:r>
          </w:p>
        </w:tc>
      </w:tr>
      <w:tr w14:paraId="37872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3" w:type="pct"/>
            <w:vAlign w:val="center"/>
          </w:tcPr>
          <w:p w14:paraId="4353818B">
            <w:pPr>
              <w:keepNext w:val="0"/>
              <w:keepLines w:val="0"/>
              <w:pageBreakBefore w:val="0"/>
              <w:widowControl w:val="0"/>
              <w:tabs>
                <w:tab w:val="left" w:pos="1080"/>
              </w:tabs>
              <w:kinsoku/>
              <w:wordWrap/>
              <w:overflowPunct/>
              <w:topLinePunct w:val="0"/>
              <w:bidi w:val="0"/>
              <w:adjustRightInd/>
              <w:snapToGrid w:val="0"/>
              <w:spacing w:after="0" w:line="32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3</w:t>
            </w:r>
          </w:p>
        </w:tc>
        <w:tc>
          <w:tcPr>
            <w:tcW w:w="1066" w:type="pct"/>
            <w:vAlign w:val="center"/>
          </w:tcPr>
          <w:p w14:paraId="759D7AA0">
            <w:pPr>
              <w:keepNext w:val="0"/>
              <w:keepLines w:val="0"/>
              <w:pageBreakBefore w:val="0"/>
              <w:widowControl w:val="0"/>
              <w:tabs>
                <w:tab w:val="left" w:pos="1080"/>
              </w:tabs>
              <w:kinsoku/>
              <w:wordWrap/>
              <w:overflowPunct/>
              <w:topLinePunct w:val="0"/>
              <w:bidi w:val="0"/>
              <w:adjustRightInd/>
              <w:snapToGrid w:val="0"/>
              <w:spacing w:after="0" w:line="32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本项目的特定资格要求</w:t>
            </w:r>
          </w:p>
        </w:tc>
        <w:tc>
          <w:tcPr>
            <w:tcW w:w="2596" w:type="pct"/>
            <w:vAlign w:val="center"/>
          </w:tcPr>
          <w:p w14:paraId="357630C1">
            <w:pPr>
              <w:keepNext w:val="0"/>
              <w:keepLines w:val="0"/>
              <w:pageBreakBefore w:val="0"/>
              <w:widowControl w:val="0"/>
              <w:tabs>
                <w:tab w:val="left" w:pos="1080"/>
              </w:tabs>
              <w:kinsoku/>
              <w:wordWrap/>
              <w:overflowPunct/>
              <w:topLinePunct w:val="0"/>
              <w:bidi w:val="0"/>
              <w:adjustRightInd/>
              <w:snapToGrid w:val="0"/>
              <w:spacing w:after="0"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如有，见第一章《投标邀请》</w:t>
            </w:r>
          </w:p>
        </w:tc>
        <w:tc>
          <w:tcPr>
            <w:tcW w:w="882" w:type="pct"/>
            <w:vAlign w:val="center"/>
          </w:tcPr>
          <w:p w14:paraId="123933DC">
            <w:pPr>
              <w:keepNext w:val="0"/>
              <w:keepLines w:val="0"/>
              <w:pageBreakBefore w:val="0"/>
              <w:widowControl w:val="0"/>
              <w:tabs>
                <w:tab w:val="left" w:pos="1080"/>
              </w:tabs>
              <w:kinsoku/>
              <w:wordWrap/>
              <w:overflowPunct/>
              <w:topLinePunct w:val="0"/>
              <w:bidi w:val="0"/>
              <w:adjustRightInd/>
              <w:snapToGrid w:val="0"/>
              <w:spacing w:after="0" w:line="320" w:lineRule="exact"/>
              <w:textAlignment w:val="auto"/>
              <w:rPr>
                <w:rFonts w:hint="eastAsia" w:ascii="宋体" w:hAnsi="宋体" w:cs="宋体"/>
                <w:color w:val="auto"/>
                <w:sz w:val="24"/>
                <w:highlight w:val="none"/>
              </w:rPr>
            </w:pPr>
          </w:p>
        </w:tc>
      </w:tr>
      <w:tr w14:paraId="50888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3" w:type="pct"/>
            <w:vAlign w:val="center"/>
          </w:tcPr>
          <w:p w14:paraId="56ED7883">
            <w:pPr>
              <w:keepNext w:val="0"/>
              <w:keepLines w:val="0"/>
              <w:pageBreakBefore w:val="0"/>
              <w:widowControl w:val="0"/>
              <w:tabs>
                <w:tab w:val="left" w:pos="1080"/>
              </w:tabs>
              <w:kinsoku/>
              <w:wordWrap/>
              <w:overflowPunct/>
              <w:topLinePunct w:val="0"/>
              <w:bidi w:val="0"/>
              <w:adjustRightInd/>
              <w:snapToGrid w:val="0"/>
              <w:spacing w:after="0" w:line="32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3-1</w:t>
            </w:r>
          </w:p>
        </w:tc>
        <w:tc>
          <w:tcPr>
            <w:tcW w:w="1066" w:type="pct"/>
            <w:vAlign w:val="center"/>
          </w:tcPr>
          <w:p w14:paraId="6F3523B0">
            <w:pPr>
              <w:keepNext w:val="0"/>
              <w:keepLines w:val="0"/>
              <w:pageBreakBefore w:val="0"/>
              <w:widowControl w:val="0"/>
              <w:kinsoku/>
              <w:wordWrap/>
              <w:overflowPunct/>
              <w:topLinePunct w:val="0"/>
              <w:bidi w:val="0"/>
              <w:adjustRightInd/>
              <w:spacing w:after="0" w:line="32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其他特定资格要</w:t>
            </w:r>
          </w:p>
          <w:p w14:paraId="64A6F891">
            <w:pPr>
              <w:keepNext w:val="0"/>
              <w:keepLines w:val="0"/>
              <w:pageBreakBefore w:val="0"/>
              <w:widowControl w:val="0"/>
              <w:tabs>
                <w:tab w:val="left" w:pos="1080"/>
              </w:tabs>
              <w:kinsoku/>
              <w:wordWrap/>
              <w:overflowPunct/>
              <w:topLinePunct w:val="0"/>
              <w:bidi w:val="0"/>
              <w:adjustRightInd/>
              <w:snapToGrid w:val="0"/>
              <w:spacing w:after="0" w:line="32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求</w:t>
            </w:r>
          </w:p>
        </w:tc>
        <w:tc>
          <w:tcPr>
            <w:tcW w:w="2596" w:type="pct"/>
            <w:vAlign w:val="center"/>
          </w:tcPr>
          <w:p w14:paraId="749AC696">
            <w:pPr>
              <w:pStyle w:val="263"/>
              <w:keepNext w:val="0"/>
              <w:keepLines w:val="0"/>
              <w:pageBreakBefore w:val="0"/>
              <w:widowControl w:val="0"/>
              <w:kinsoku/>
              <w:wordWrap/>
              <w:overflowPunct/>
              <w:topLinePunct w:val="0"/>
              <w:bidi w:val="0"/>
              <w:adjustRightInd/>
              <w:spacing w:after="0" w:line="320" w:lineRule="exact"/>
              <w:textAlignment w:val="auto"/>
              <w:rPr>
                <w:rFonts w:hint="eastAsia"/>
                <w:color w:val="auto"/>
                <w:spacing w:val="4"/>
                <w:sz w:val="24"/>
                <w:szCs w:val="24"/>
                <w:highlight w:val="none"/>
                <w:lang w:eastAsia="zh-CN"/>
              </w:rPr>
            </w:pPr>
            <w:r>
              <w:rPr>
                <w:rFonts w:hint="eastAsia"/>
                <w:color w:val="auto"/>
                <w:spacing w:val="4"/>
                <w:sz w:val="24"/>
                <w:szCs w:val="24"/>
                <w:highlight w:val="none"/>
                <w:lang w:eastAsia="zh-CN"/>
              </w:rPr>
              <w:t>如有，见第一章《投标邀请》</w:t>
            </w:r>
          </w:p>
          <w:p w14:paraId="70C1689E">
            <w:pPr>
              <w:keepNext w:val="0"/>
              <w:keepLines w:val="0"/>
              <w:pageBreakBefore w:val="0"/>
              <w:widowControl w:val="0"/>
              <w:tabs>
                <w:tab w:val="left" w:pos="1080"/>
              </w:tabs>
              <w:kinsoku/>
              <w:wordWrap/>
              <w:overflowPunct/>
              <w:topLinePunct w:val="0"/>
              <w:bidi w:val="0"/>
              <w:adjustRightInd/>
              <w:snapToGrid w:val="0"/>
              <w:spacing w:after="0" w:line="320" w:lineRule="exact"/>
              <w:textAlignment w:val="auto"/>
              <w:rPr>
                <w:rFonts w:hint="eastAsia" w:ascii="宋体" w:hAnsi="宋体" w:cs="宋体"/>
                <w:color w:val="auto"/>
                <w:sz w:val="24"/>
                <w:highlight w:val="none"/>
              </w:rPr>
            </w:pPr>
            <w:r>
              <w:rPr>
                <w:rFonts w:hint="eastAsia" w:ascii="宋体" w:hAnsi="宋体" w:cs="宋体"/>
                <w:color w:val="auto"/>
                <w:spacing w:val="4"/>
                <w:sz w:val="24"/>
                <w:highlight w:val="none"/>
              </w:rPr>
              <w:t>注：如联合体中有同类资质的供应商按照联合体分工承担相同工作的，均应当提供资质证书电子件或电子证照。</w:t>
            </w:r>
          </w:p>
        </w:tc>
        <w:tc>
          <w:tcPr>
            <w:tcW w:w="882" w:type="pct"/>
            <w:vAlign w:val="center"/>
          </w:tcPr>
          <w:p w14:paraId="46D7669D">
            <w:pPr>
              <w:keepNext w:val="0"/>
              <w:keepLines w:val="0"/>
              <w:pageBreakBefore w:val="0"/>
              <w:widowControl w:val="0"/>
              <w:tabs>
                <w:tab w:val="left" w:pos="1080"/>
              </w:tabs>
              <w:kinsoku/>
              <w:wordWrap/>
              <w:overflowPunct/>
              <w:topLinePunct w:val="0"/>
              <w:bidi w:val="0"/>
              <w:adjustRightInd/>
              <w:snapToGrid w:val="0"/>
              <w:spacing w:after="0"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提供证明文件并加盖投标人公章</w:t>
            </w:r>
          </w:p>
        </w:tc>
      </w:tr>
      <w:tr w14:paraId="179CC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91" w:hRule="atLeast"/>
        </w:trPr>
        <w:tc>
          <w:tcPr>
            <w:tcW w:w="453" w:type="pct"/>
            <w:vAlign w:val="center"/>
          </w:tcPr>
          <w:p w14:paraId="1FB8BA87">
            <w:pPr>
              <w:keepNext w:val="0"/>
              <w:keepLines w:val="0"/>
              <w:pageBreakBefore w:val="0"/>
              <w:widowControl w:val="0"/>
              <w:tabs>
                <w:tab w:val="left" w:pos="1080"/>
              </w:tabs>
              <w:kinsoku/>
              <w:wordWrap/>
              <w:overflowPunct/>
              <w:topLinePunct w:val="0"/>
              <w:bidi w:val="0"/>
              <w:adjustRightInd/>
              <w:snapToGrid w:val="0"/>
              <w:spacing w:after="0" w:line="32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4</w:t>
            </w:r>
          </w:p>
        </w:tc>
        <w:tc>
          <w:tcPr>
            <w:tcW w:w="1066" w:type="pct"/>
            <w:vAlign w:val="center"/>
          </w:tcPr>
          <w:p w14:paraId="0CD898F3">
            <w:pPr>
              <w:keepNext w:val="0"/>
              <w:keepLines w:val="0"/>
              <w:pageBreakBefore w:val="0"/>
              <w:widowControl w:val="0"/>
              <w:tabs>
                <w:tab w:val="left" w:pos="1080"/>
              </w:tabs>
              <w:kinsoku/>
              <w:wordWrap/>
              <w:overflowPunct/>
              <w:topLinePunct w:val="0"/>
              <w:bidi w:val="0"/>
              <w:adjustRightInd/>
              <w:snapToGrid w:val="0"/>
              <w:spacing w:after="0" w:line="32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投标保证金</w:t>
            </w:r>
          </w:p>
        </w:tc>
        <w:tc>
          <w:tcPr>
            <w:tcW w:w="2596" w:type="pct"/>
            <w:vAlign w:val="center"/>
          </w:tcPr>
          <w:p w14:paraId="6C7055D3">
            <w:pPr>
              <w:keepNext w:val="0"/>
              <w:keepLines w:val="0"/>
              <w:pageBreakBefore w:val="0"/>
              <w:widowControl w:val="0"/>
              <w:tabs>
                <w:tab w:val="left" w:pos="1080"/>
              </w:tabs>
              <w:kinsoku/>
              <w:wordWrap/>
              <w:overflowPunct/>
              <w:topLinePunct w:val="0"/>
              <w:bidi w:val="0"/>
              <w:adjustRightInd/>
              <w:snapToGrid w:val="0"/>
              <w:spacing w:after="0" w:line="320" w:lineRule="exact"/>
              <w:textAlignment w:val="auto"/>
              <w:rPr>
                <w:rFonts w:hint="eastAsia" w:ascii="宋体" w:hAnsi="宋体" w:cs="宋体"/>
                <w:color w:val="auto"/>
                <w:sz w:val="24"/>
                <w:highlight w:val="none"/>
              </w:rPr>
            </w:pPr>
            <w:r>
              <w:rPr>
                <w:rFonts w:hint="eastAsia" w:ascii="宋体" w:hAnsi="宋体" w:cs="宋体"/>
                <w:color w:val="auto"/>
                <w:kern w:val="0"/>
                <w:sz w:val="24"/>
                <w:highlight w:val="none"/>
              </w:rPr>
              <w:t>按照招标文件的规定提交投标保证金。</w:t>
            </w:r>
          </w:p>
        </w:tc>
        <w:tc>
          <w:tcPr>
            <w:tcW w:w="882" w:type="pct"/>
            <w:vAlign w:val="center"/>
          </w:tcPr>
          <w:p w14:paraId="2C997EA8">
            <w:pPr>
              <w:keepNext w:val="0"/>
              <w:keepLines w:val="0"/>
              <w:pageBreakBefore w:val="0"/>
              <w:widowControl w:val="0"/>
              <w:tabs>
                <w:tab w:val="left" w:pos="1080"/>
              </w:tabs>
              <w:kinsoku/>
              <w:wordWrap/>
              <w:overflowPunct/>
              <w:topLinePunct w:val="0"/>
              <w:bidi w:val="0"/>
              <w:adjustRightInd/>
              <w:snapToGrid w:val="0"/>
              <w:spacing w:after="0" w:line="320" w:lineRule="exact"/>
              <w:textAlignment w:val="auto"/>
              <w:rPr>
                <w:rFonts w:hint="eastAsia" w:ascii="宋体" w:hAnsi="宋体" w:cs="宋体"/>
                <w:color w:val="auto"/>
                <w:sz w:val="24"/>
                <w:highlight w:val="none"/>
              </w:rPr>
            </w:pPr>
          </w:p>
        </w:tc>
        <w:bookmarkStart w:id="741" w:name="_Hlt522424701"/>
        <w:bookmarkStart w:id="742" w:name="_Hlt487900425"/>
      </w:tr>
      <w:tr w14:paraId="30EDA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3" w:type="pct"/>
            <w:vAlign w:val="center"/>
          </w:tcPr>
          <w:p w14:paraId="74BFE071">
            <w:pPr>
              <w:keepNext w:val="0"/>
              <w:keepLines w:val="0"/>
              <w:pageBreakBefore w:val="0"/>
              <w:widowControl w:val="0"/>
              <w:tabs>
                <w:tab w:val="left" w:pos="1080"/>
              </w:tabs>
              <w:kinsoku/>
              <w:wordWrap/>
              <w:overflowPunct/>
              <w:topLinePunct w:val="0"/>
              <w:bidi w:val="0"/>
              <w:adjustRightInd/>
              <w:snapToGrid w:val="0"/>
              <w:spacing w:after="0" w:line="320" w:lineRule="exact"/>
              <w:jc w:val="center"/>
              <w:textAlignment w:val="auto"/>
              <w:rPr>
                <w:rFonts w:hint="eastAsia" w:ascii="宋体" w:hAnsi="宋体" w:cs="宋体"/>
                <w:color w:val="auto"/>
                <w:sz w:val="24"/>
                <w:highlight w:val="none"/>
              </w:rPr>
            </w:pPr>
            <w:bookmarkStart w:id="743" w:name="_Toc353873940"/>
            <w:bookmarkStart w:id="744" w:name="_Toc226965858"/>
            <w:bookmarkStart w:id="745" w:name="_Toc353825550"/>
            <w:bookmarkStart w:id="746" w:name="_Toc127151779"/>
            <w:bookmarkStart w:id="747" w:name="_Toc127161490"/>
            <w:r>
              <w:rPr>
                <w:rFonts w:hint="eastAsia" w:ascii="宋体" w:hAnsi="宋体" w:cs="宋体"/>
                <w:color w:val="auto"/>
                <w:sz w:val="24"/>
                <w:highlight w:val="none"/>
              </w:rPr>
              <w:t>5</w:t>
            </w:r>
          </w:p>
        </w:tc>
        <w:tc>
          <w:tcPr>
            <w:tcW w:w="1066" w:type="pct"/>
            <w:vAlign w:val="center"/>
          </w:tcPr>
          <w:p w14:paraId="00123987">
            <w:pPr>
              <w:pStyle w:val="263"/>
              <w:keepNext w:val="0"/>
              <w:keepLines w:val="0"/>
              <w:pageBreakBefore w:val="0"/>
              <w:widowControl w:val="0"/>
              <w:kinsoku/>
              <w:wordWrap/>
              <w:overflowPunct/>
              <w:topLinePunct w:val="0"/>
              <w:bidi w:val="0"/>
              <w:adjustRightInd/>
              <w:spacing w:after="0" w:line="320" w:lineRule="exact"/>
              <w:ind w:left="108" w:right="95"/>
              <w:jc w:val="center"/>
              <w:textAlignment w:val="auto"/>
              <w:rPr>
                <w:rFonts w:hint="eastAsia"/>
                <w:color w:val="auto"/>
                <w:kern w:val="2"/>
                <w:sz w:val="24"/>
                <w:szCs w:val="24"/>
                <w:highlight w:val="none"/>
                <w:lang w:eastAsia="zh-CN"/>
              </w:rPr>
            </w:pPr>
            <w:r>
              <w:rPr>
                <w:rFonts w:hint="eastAsia"/>
                <w:color w:val="auto"/>
                <w:kern w:val="2"/>
                <w:sz w:val="24"/>
                <w:szCs w:val="24"/>
                <w:highlight w:val="none"/>
                <w:lang w:eastAsia="zh-CN"/>
              </w:rPr>
              <w:t>获取招标文件</w:t>
            </w:r>
          </w:p>
        </w:tc>
        <w:tc>
          <w:tcPr>
            <w:tcW w:w="2596" w:type="pct"/>
            <w:vAlign w:val="center"/>
          </w:tcPr>
          <w:p w14:paraId="5635A7DD">
            <w:pPr>
              <w:pStyle w:val="263"/>
              <w:keepNext w:val="0"/>
              <w:keepLines w:val="0"/>
              <w:pageBreakBefore w:val="0"/>
              <w:widowControl w:val="0"/>
              <w:kinsoku/>
              <w:wordWrap/>
              <w:overflowPunct/>
              <w:topLinePunct w:val="0"/>
              <w:bidi w:val="0"/>
              <w:adjustRightInd/>
              <w:spacing w:after="0" w:line="320" w:lineRule="exact"/>
              <w:ind w:right="95"/>
              <w:textAlignment w:val="auto"/>
              <w:rPr>
                <w:rFonts w:hint="eastAsia"/>
                <w:color w:val="auto"/>
                <w:kern w:val="2"/>
                <w:sz w:val="24"/>
                <w:szCs w:val="24"/>
                <w:highlight w:val="none"/>
                <w:lang w:eastAsia="zh-CN"/>
              </w:rPr>
            </w:pPr>
            <w:r>
              <w:rPr>
                <w:rFonts w:hint="eastAsia"/>
                <w:color w:val="auto"/>
                <w:kern w:val="2"/>
                <w:sz w:val="24"/>
                <w:szCs w:val="24"/>
                <w:highlight w:val="none"/>
                <w:lang w:eastAsia="zh-CN"/>
              </w:rPr>
              <w:t>在规定期限内通过北京市政府采购电子交易平台获取所参与包的招标文件。</w:t>
            </w:r>
          </w:p>
          <w:p w14:paraId="6375AF7D">
            <w:pPr>
              <w:pStyle w:val="263"/>
              <w:keepNext w:val="0"/>
              <w:keepLines w:val="0"/>
              <w:pageBreakBefore w:val="0"/>
              <w:widowControl w:val="0"/>
              <w:kinsoku/>
              <w:wordWrap/>
              <w:overflowPunct/>
              <w:topLinePunct w:val="0"/>
              <w:bidi w:val="0"/>
              <w:adjustRightInd/>
              <w:spacing w:after="0" w:line="320" w:lineRule="exact"/>
              <w:ind w:right="95"/>
              <w:textAlignment w:val="auto"/>
              <w:rPr>
                <w:rFonts w:hint="eastAsia"/>
                <w:color w:val="auto"/>
                <w:kern w:val="2"/>
                <w:sz w:val="24"/>
                <w:szCs w:val="24"/>
                <w:highlight w:val="none"/>
                <w:lang w:eastAsia="zh-CN"/>
              </w:rPr>
            </w:pPr>
            <w:r>
              <w:rPr>
                <w:rFonts w:hint="eastAsia"/>
                <w:color w:val="auto"/>
                <w:kern w:val="2"/>
                <w:sz w:val="24"/>
                <w:szCs w:val="24"/>
                <w:highlight w:val="none"/>
                <w:lang w:eastAsia="zh-CN"/>
              </w:rPr>
              <w:t>注：如本项目接受联合体，且供应商为联合体时，联合体中任一成员获取文件即视为满足要求。</w:t>
            </w:r>
          </w:p>
        </w:tc>
        <w:tc>
          <w:tcPr>
            <w:tcW w:w="882" w:type="pct"/>
            <w:vAlign w:val="center"/>
          </w:tcPr>
          <w:p w14:paraId="34DA2C99">
            <w:pPr>
              <w:keepNext w:val="0"/>
              <w:keepLines w:val="0"/>
              <w:pageBreakBefore w:val="0"/>
              <w:widowControl w:val="0"/>
              <w:tabs>
                <w:tab w:val="left" w:pos="1080"/>
              </w:tabs>
              <w:kinsoku/>
              <w:wordWrap/>
              <w:overflowPunct/>
              <w:topLinePunct w:val="0"/>
              <w:bidi w:val="0"/>
              <w:adjustRightInd/>
              <w:snapToGrid w:val="0"/>
              <w:spacing w:after="0" w:line="320" w:lineRule="exact"/>
              <w:textAlignment w:val="auto"/>
              <w:rPr>
                <w:rFonts w:hint="eastAsia" w:ascii="宋体" w:hAnsi="宋体" w:cs="宋体"/>
                <w:color w:val="auto"/>
                <w:sz w:val="24"/>
                <w:highlight w:val="none"/>
              </w:rPr>
            </w:pPr>
          </w:p>
        </w:tc>
      </w:t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738"/>
      <w:bookmarkEnd w:id="741"/>
      <w:bookmarkEnd w:id="742"/>
    </w:tbl>
    <w:p w14:paraId="288964C9">
      <w:pPr>
        <w:widowControl/>
        <w:jc w:val="left"/>
        <w:rPr>
          <w:rFonts w:hint="eastAsia" w:ascii="宋体" w:hAnsi="宋体" w:cs="宋体"/>
          <w:color w:val="auto"/>
          <w:sz w:val="24"/>
          <w:highlight w:val="none"/>
        </w:rPr>
      </w:pPr>
      <w:r>
        <w:rPr>
          <w:rFonts w:hint="eastAsia" w:ascii="宋体" w:hAnsi="宋体" w:cs="宋体"/>
          <w:color w:val="auto"/>
          <w:sz w:val="24"/>
          <w:highlight w:val="none"/>
        </w:rPr>
        <w:br w:type="page"/>
      </w:r>
    </w:p>
    <w:p w14:paraId="39EC309C">
      <w:pPr>
        <w:spacing w:line="360" w:lineRule="auto"/>
        <w:jc w:val="center"/>
        <w:outlineLvl w:val="0"/>
        <w:rPr>
          <w:rFonts w:hint="eastAsia" w:ascii="宋体" w:hAnsi="宋体" w:cs="宋体"/>
          <w:b/>
          <w:color w:val="auto"/>
          <w:sz w:val="36"/>
          <w:szCs w:val="36"/>
          <w:highlight w:val="none"/>
        </w:rPr>
      </w:pPr>
      <w:bookmarkStart w:id="748" w:name="_Toc148368072"/>
      <w:bookmarkStart w:id="749" w:name="_Toc6358"/>
      <w:bookmarkStart w:id="750" w:name="_Toc26640"/>
      <w:r>
        <w:rPr>
          <w:rFonts w:hint="eastAsia" w:ascii="宋体" w:hAnsi="宋体" w:cs="宋体"/>
          <w:b/>
          <w:color w:val="auto"/>
          <w:sz w:val="36"/>
          <w:szCs w:val="36"/>
          <w:highlight w:val="none"/>
        </w:rPr>
        <w:t xml:space="preserve">第四章   </w:t>
      </w:r>
      <w:bookmarkEnd w:id="743"/>
      <w:bookmarkEnd w:id="744"/>
      <w:bookmarkEnd w:id="745"/>
      <w:bookmarkEnd w:id="746"/>
      <w:bookmarkEnd w:id="747"/>
      <w:bookmarkStart w:id="751" w:name="_Hlt164229061"/>
      <w:bookmarkEnd w:id="751"/>
      <w:bookmarkStart w:id="752" w:name="_Hlk112838431"/>
      <w:r>
        <w:rPr>
          <w:rFonts w:hint="eastAsia" w:ascii="宋体" w:hAnsi="宋体" w:cs="宋体"/>
          <w:b/>
          <w:color w:val="auto"/>
          <w:sz w:val="36"/>
          <w:szCs w:val="36"/>
          <w:highlight w:val="none"/>
        </w:rPr>
        <w:t>评标程序、评标方法和评标标准</w:t>
      </w:r>
      <w:bookmarkEnd w:id="748"/>
      <w:bookmarkEnd w:id="749"/>
      <w:bookmarkEnd w:id="750"/>
      <w:bookmarkEnd w:id="752"/>
    </w:p>
    <w:p w14:paraId="3511B65A">
      <w:pPr>
        <w:tabs>
          <w:tab w:val="left" w:pos="360"/>
          <w:tab w:val="left" w:pos="900"/>
        </w:tabs>
        <w:snapToGrid w:val="0"/>
        <w:spacing w:line="360" w:lineRule="auto"/>
        <w:jc w:val="center"/>
        <w:outlineLvl w:val="1"/>
        <w:rPr>
          <w:rFonts w:hint="eastAsia" w:ascii="宋体" w:hAnsi="宋体" w:cs="宋体"/>
          <w:b/>
          <w:color w:val="auto"/>
          <w:highlight w:val="none"/>
        </w:rPr>
      </w:pPr>
      <w:r>
        <w:rPr>
          <w:rFonts w:hint="eastAsia" w:ascii="宋体" w:hAnsi="宋体" w:cs="宋体"/>
          <w:b/>
          <w:color w:val="auto"/>
          <w:sz w:val="24"/>
          <w:highlight w:val="none"/>
        </w:rPr>
        <w:t>一、评标方法</w:t>
      </w:r>
    </w:p>
    <w:p w14:paraId="038D60D5">
      <w:pPr>
        <w:keepNext w:val="0"/>
        <w:keepLines w:val="0"/>
        <w:pageBreakBefore w:val="0"/>
        <w:widowControl w:val="0"/>
        <w:numPr>
          <w:ilvl w:val="0"/>
          <w:numId w:val="15"/>
        </w:numPr>
        <w:tabs>
          <w:tab w:val="left" w:pos="360"/>
        </w:tabs>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bookmarkStart w:id="753" w:name="_Toc264969231"/>
      <w:bookmarkStart w:id="754" w:name="_Toc142311043"/>
      <w:bookmarkStart w:id="755" w:name="_Toc151193639"/>
      <w:bookmarkStart w:id="756" w:name="_Toc151190168"/>
      <w:bookmarkStart w:id="757" w:name="_Toc164351635"/>
      <w:bookmarkStart w:id="758" w:name="_Toc305158809"/>
      <w:bookmarkStart w:id="759" w:name="_Toc164608810"/>
      <w:bookmarkStart w:id="760" w:name="_Toc127151541"/>
      <w:bookmarkStart w:id="761" w:name="_Toc150480779"/>
      <w:bookmarkStart w:id="762" w:name="_Toc151193929"/>
      <w:bookmarkStart w:id="763" w:name="_Toc151193855"/>
      <w:bookmarkStart w:id="764" w:name="_Toc164229236"/>
      <w:bookmarkStart w:id="765" w:name="_Toc150509292"/>
      <w:bookmarkStart w:id="766" w:name="_Toc151193783"/>
      <w:bookmarkStart w:id="767" w:name="_Toc164229382"/>
      <w:bookmarkStart w:id="768" w:name="_Toc305158883"/>
      <w:bookmarkStart w:id="769" w:name="_Toc226309785"/>
      <w:bookmarkStart w:id="770" w:name="_Toc127151742"/>
      <w:bookmarkStart w:id="771" w:name="_Toc151193711"/>
      <w:bookmarkStart w:id="772" w:name="_Toc127161455"/>
      <w:bookmarkStart w:id="773" w:name="_Toc195842906"/>
      <w:bookmarkStart w:id="774" w:name="_Toc164608655"/>
      <w:bookmarkStart w:id="775" w:name="_Toc265228379"/>
      <w:bookmarkStart w:id="776" w:name="_Toc226337237"/>
      <w:bookmarkStart w:id="777" w:name="_Toc150774746"/>
      <w:bookmarkStart w:id="778" w:name="_Toc226965814"/>
      <w:bookmarkStart w:id="779" w:name="_Toc226965731"/>
      <w:bookmarkStart w:id="780" w:name="_Toc150774641"/>
      <w:bookmarkStart w:id="781" w:name="_Toc149720834"/>
      <w:bookmarkStart w:id="782" w:name="_Toc353825551"/>
      <w:bookmarkStart w:id="783" w:name="_Toc353873941"/>
      <w:bookmarkStart w:id="784" w:name="_Toc305158897"/>
      <w:bookmarkStart w:id="785" w:name="_Toc226337251"/>
      <w:bookmarkStart w:id="786" w:name="_Toc305158823"/>
      <w:bookmarkStart w:id="787" w:name="_Toc265228393"/>
      <w:bookmarkStart w:id="788" w:name="_Toc150774760"/>
      <w:bookmarkStart w:id="789" w:name="_Toc150480793"/>
      <w:bookmarkStart w:id="790" w:name="_Toc195842920"/>
      <w:bookmarkStart w:id="791" w:name="_Toc353825545"/>
      <w:bookmarkStart w:id="792" w:name="_Toc353873935"/>
      <w:bookmarkStart w:id="793" w:name="_Toc264969245"/>
      <w:bookmarkStart w:id="794" w:name="_Toc142311057"/>
      <w:bookmarkStart w:id="795" w:name="_Toc127151555"/>
      <w:bookmarkStart w:id="796" w:name="_Toc353873665"/>
      <w:bookmarkStart w:id="797" w:name="_Toc226965828"/>
      <w:r>
        <w:rPr>
          <w:rFonts w:hint="eastAsia" w:ascii="宋体" w:hAnsi="宋体" w:cs="宋体"/>
          <w:color w:val="auto"/>
          <w:sz w:val="24"/>
          <w:highlight w:val="none"/>
        </w:rPr>
        <w:t>投标文件的符合性审查</w:t>
      </w:r>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p>
    <w:p w14:paraId="61C87F74">
      <w:pPr>
        <w:keepNext w:val="0"/>
        <w:keepLines w:val="0"/>
        <w:pageBreakBefore w:val="0"/>
        <w:widowControl w:val="0"/>
        <w:numPr>
          <w:ilvl w:val="1"/>
          <w:numId w:val="15"/>
        </w:numPr>
        <w:tabs>
          <w:tab w:val="left" w:pos="1080"/>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评标委员会对资格审查合格的投标人的投标文件进行符合性审查，以确定其是否满足招标文件的实质性要求。</w:t>
      </w:r>
      <w:bookmarkStart w:id="798" w:name="_Toc520356167"/>
    </w:p>
    <w:p w14:paraId="63CE6832">
      <w:pPr>
        <w:keepNext w:val="0"/>
        <w:keepLines w:val="0"/>
        <w:pageBreakBefore w:val="0"/>
        <w:widowControl w:val="0"/>
        <w:numPr>
          <w:ilvl w:val="1"/>
          <w:numId w:val="15"/>
        </w:numPr>
        <w:tabs>
          <w:tab w:val="left" w:pos="1080"/>
        </w:tabs>
        <w:kinsoku/>
        <w:wordWrap/>
        <w:overflowPunct/>
        <w:topLinePunct w:val="0"/>
        <w:autoSpaceDE/>
        <w:autoSpaceDN/>
        <w:bidi w:val="0"/>
        <w:adjustRightInd/>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98"/>
      <w:r>
        <w:rPr>
          <w:rFonts w:hint="eastAsia" w:ascii="宋体" w:hAnsi="宋体" w:cs="宋体"/>
          <w:color w:val="auto"/>
          <w:sz w:val="24"/>
          <w:highlight w:val="none"/>
        </w:rPr>
        <w:t>要求的，</w:t>
      </w:r>
      <w:r>
        <w:rPr>
          <w:rFonts w:hint="eastAsia" w:ascii="宋体" w:hAnsi="宋体" w:cs="宋体"/>
          <w:b/>
          <w:color w:val="auto"/>
          <w:sz w:val="24"/>
          <w:highlight w:val="none"/>
        </w:rPr>
        <w:t>投标无效</w:t>
      </w:r>
      <w:r>
        <w:rPr>
          <w:rFonts w:hint="eastAsia" w:ascii="宋体" w:hAnsi="宋体" w:cs="宋体"/>
          <w:color w:val="auto"/>
          <w:sz w:val="24"/>
          <w:highlight w:val="none"/>
        </w:rPr>
        <w:t>。</w:t>
      </w:r>
    </w:p>
    <w:p w14:paraId="008024F4">
      <w:pPr>
        <w:tabs>
          <w:tab w:val="left" w:pos="900"/>
          <w:tab w:val="left" w:pos="1080"/>
          <w:tab w:val="left" w:pos="1589"/>
        </w:tabs>
        <w:snapToGrid w:val="0"/>
        <w:spacing w:line="360" w:lineRule="auto"/>
        <w:ind w:leftChars="-170" w:hanging="357" w:hangingChars="148"/>
        <w:jc w:val="center"/>
        <w:rPr>
          <w:rFonts w:hint="eastAsia" w:ascii="宋体" w:hAnsi="宋体" w:cs="宋体"/>
          <w:b/>
          <w:color w:val="auto"/>
          <w:sz w:val="24"/>
          <w:highlight w:val="none"/>
        </w:rPr>
      </w:pPr>
      <w:r>
        <w:rPr>
          <w:rFonts w:hint="eastAsia" w:ascii="宋体" w:hAnsi="宋体" w:cs="宋体"/>
          <w:b/>
          <w:color w:val="auto"/>
          <w:sz w:val="24"/>
          <w:highlight w:val="none"/>
        </w:rPr>
        <w:t>符合性审查要求</w:t>
      </w:r>
    </w:p>
    <w:tbl>
      <w:tblPr>
        <w:tblStyle w:val="26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0"/>
        <w:gridCol w:w="1813"/>
        <w:gridCol w:w="6725"/>
      </w:tblGrid>
      <w:tr w14:paraId="659E2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750" w:type="dxa"/>
            <w:vAlign w:val="center"/>
          </w:tcPr>
          <w:p w14:paraId="4F164F80">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11" w:right="2"/>
              <w:jc w:val="center"/>
              <w:textAlignment w:val="auto"/>
              <w:rPr>
                <w:rFonts w:hint="eastAsia"/>
                <w:b/>
                <w:color w:val="auto"/>
                <w:spacing w:val="4"/>
                <w:sz w:val="24"/>
                <w:szCs w:val="24"/>
                <w:highlight w:val="none"/>
              </w:rPr>
            </w:pPr>
            <w:r>
              <w:rPr>
                <w:rFonts w:hint="eastAsia"/>
                <w:b/>
                <w:color w:val="auto"/>
                <w:spacing w:val="4"/>
                <w:sz w:val="24"/>
                <w:szCs w:val="24"/>
                <w:highlight w:val="none"/>
              </w:rPr>
              <w:t>序号</w:t>
            </w:r>
          </w:p>
        </w:tc>
        <w:tc>
          <w:tcPr>
            <w:tcW w:w="1813" w:type="dxa"/>
            <w:vAlign w:val="center"/>
          </w:tcPr>
          <w:p w14:paraId="25F4B772">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426"/>
              <w:textAlignment w:val="auto"/>
              <w:rPr>
                <w:rFonts w:hint="eastAsia"/>
                <w:b/>
                <w:color w:val="auto"/>
                <w:spacing w:val="4"/>
                <w:sz w:val="24"/>
                <w:szCs w:val="24"/>
                <w:highlight w:val="none"/>
              </w:rPr>
            </w:pPr>
            <w:r>
              <w:rPr>
                <w:rFonts w:hint="eastAsia"/>
                <w:b/>
                <w:color w:val="auto"/>
                <w:spacing w:val="4"/>
                <w:sz w:val="24"/>
                <w:szCs w:val="24"/>
                <w:highlight w:val="none"/>
              </w:rPr>
              <w:t>审查因素</w:t>
            </w:r>
          </w:p>
        </w:tc>
        <w:tc>
          <w:tcPr>
            <w:tcW w:w="6725" w:type="dxa"/>
            <w:vAlign w:val="center"/>
          </w:tcPr>
          <w:p w14:paraId="382E5C78">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8"/>
              <w:jc w:val="center"/>
              <w:textAlignment w:val="auto"/>
              <w:rPr>
                <w:rFonts w:hint="eastAsia"/>
                <w:b/>
                <w:color w:val="auto"/>
                <w:spacing w:val="4"/>
                <w:sz w:val="24"/>
                <w:szCs w:val="24"/>
                <w:highlight w:val="none"/>
              </w:rPr>
            </w:pPr>
            <w:r>
              <w:rPr>
                <w:rFonts w:hint="eastAsia"/>
                <w:b/>
                <w:color w:val="auto"/>
                <w:spacing w:val="4"/>
                <w:sz w:val="24"/>
                <w:szCs w:val="24"/>
                <w:highlight w:val="none"/>
              </w:rPr>
              <w:t>审查内容</w:t>
            </w:r>
          </w:p>
        </w:tc>
      </w:tr>
      <w:tr w14:paraId="2609F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750" w:type="dxa"/>
            <w:vAlign w:val="center"/>
          </w:tcPr>
          <w:p w14:paraId="7F9ADB06">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11" w:right="3"/>
              <w:jc w:val="center"/>
              <w:textAlignment w:val="auto"/>
              <w:rPr>
                <w:rFonts w:hint="eastAsia"/>
                <w:color w:val="auto"/>
                <w:spacing w:val="4"/>
                <w:sz w:val="24"/>
                <w:szCs w:val="24"/>
                <w:highlight w:val="none"/>
              </w:rPr>
            </w:pPr>
            <w:r>
              <w:rPr>
                <w:rFonts w:hint="eastAsia"/>
                <w:color w:val="auto"/>
                <w:spacing w:val="4"/>
                <w:w w:val="115"/>
                <w:sz w:val="24"/>
                <w:szCs w:val="24"/>
                <w:highlight w:val="none"/>
              </w:rPr>
              <w:t>1</w:t>
            </w:r>
          </w:p>
        </w:tc>
        <w:tc>
          <w:tcPr>
            <w:tcW w:w="1813" w:type="dxa"/>
            <w:vAlign w:val="center"/>
          </w:tcPr>
          <w:p w14:paraId="72D1718F">
            <w:pPr>
              <w:pStyle w:val="263"/>
              <w:keepNext w:val="0"/>
              <w:keepLines w:val="0"/>
              <w:pageBreakBefore w:val="0"/>
              <w:widowControl w:val="0"/>
              <w:kinsoku/>
              <w:wordWrap/>
              <w:overflowPunct/>
              <w:topLinePunct w:val="0"/>
              <w:autoSpaceDE w:val="0"/>
              <w:autoSpaceDN w:val="0"/>
              <w:bidi w:val="0"/>
              <w:adjustRightInd/>
              <w:snapToGrid/>
              <w:spacing w:after="0" w:line="320" w:lineRule="exact"/>
              <w:jc w:val="center"/>
              <w:textAlignment w:val="auto"/>
              <w:rPr>
                <w:rFonts w:hint="eastAsia"/>
                <w:color w:val="auto"/>
                <w:spacing w:val="4"/>
                <w:sz w:val="24"/>
                <w:szCs w:val="24"/>
                <w:highlight w:val="none"/>
              </w:rPr>
            </w:pPr>
            <w:r>
              <w:rPr>
                <w:rFonts w:hint="eastAsia"/>
                <w:color w:val="auto"/>
                <w:spacing w:val="4"/>
                <w:sz w:val="24"/>
                <w:szCs w:val="24"/>
                <w:highlight w:val="none"/>
              </w:rPr>
              <w:t>授权委托书</w:t>
            </w:r>
          </w:p>
        </w:tc>
        <w:tc>
          <w:tcPr>
            <w:tcW w:w="6725" w:type="dxa"/>
            <w:vAlign w:val="center"/>
          </w:tcPr>
          <w:p w14:paraId="67FE68DE">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63" w:leftChars="30"/>
              <w:textAlignment w:val="auto"/>
              <w:rPr>
                <w:rFonts w:hint="eastAsia"/>
                <w:color w:val="auto"/>
                <w:spacing w:val="4"/>
                <w:sz w:val="24"/>
                <w:szCs w:val="24"/>
                <w:highlight w:val="none"/>
                <w:lang w:eastAsia="zh-CN"/>
              </w:rPr>
            </w:pPr>
            <w:r>
              <w:rPr>
                <w:rFonts w:hint="eastAsia"/>
                <w:color w:val="auto"/>
                <w:spacing w:val="4"/>
                <w:sz w:val="24"/>
                <w:szCs w:val="24"/>
                <w:highlight w:val="none"/>
                <w:lang w:eastAsia="zh-CN"/>
              </w:rPr>
              <w:t>按招标文件要求提供授权委托书；</w:t>
            </w:r>
          </w:p>
        </w:tc>
      </w:tr>
      <w:tr w14:paraId="270FA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750" w:type="dxa"/>
            <w:vAlign w:val="center"/>
          </w:tcPr>
          <w:p w14:paraId="678DFC0B">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11" w:right="3"/>
              <w:jc w:val="center"/>
              <w:textAlignment w:val="auto"/>
              <w:rPr>
                <w:rFonts w:hint="eastAsia"/>
                <w:color w:val="auto"/>
                <w:spacing w:val="4"/>
                <w:sz w:val="24"/>
                <w:szCs w:val="24"/>
                <w:highlight w:val="none"/>
              </w:rPr>
            </w:pPr>
            <w:r>
              <w:rPr>
                <w:rFonts w:hint="eastAsia"/>
                <w:color w:val="auto"/>
                <w:spacing w:val="4"/>
                <w:w w:val="115"/>
                <w:sz w:val="24"/>
                <w:szCs w:val="24"/>
                <w:highlight w:val="none"/>
              </w:rPr>
              <w:t>2</w:t>
            </w:r>
          </w:p>
        </w:tc>
        <w:tc>
          <w:tcPr>
            <w:tcW w:w="1813" w:type="dxa"/>
            <w:vAlign w:val="center"/>
          </w:tcPr>
          <w:p w14:paraId="4D0B13C7">
            <w:pPr>
              <w:pStyle w:val="263"/>
              <w:keepNext w:val="0"/>
              <w:keepLines w:val="0"/>
              <w:pageBreakBefore w:val="0"/>
              <w:widowControl w:val="0"/>
              <w:kinsoku/>
              <w:wordWrap/>
              <w:overflowPunct/>
              <w:topLinePunct w:val="0"/>
              <w:autoSpaceDE w:val="0"/>
              <w:autoSpaceDN w:val="0"/>
              <w:bidi w:val="0"/>
              <w:adjustRightInd/>
              <w:snapToGrid/>
              <w:spacing w:after="0" w:line="320" w:lineRule="exact"/>
              <w:jc w:val="center"/>
              <w:textAlignment w:val="auto"/>
              <w:rPr>
                <w:rFonts w:hint="eastAsia"/>
                <w:color w:val="auto"/>
                <w:spacing w:val="4"/>
                <w:sz w:val="24"/>
                <w:szCs w:val="24"/>
                <w:highlight w:val="none"/>
              </w:rPr>
            </w:pPr>
            <w:r>
              <w:rPr>
                <w:rFonts w:hint="eastAsia"/>
                <w:color w:val="auto"/>
                <w:spacing w:val="4"/>
                <w:sz w:val="24"/>
                <w:szCs w:val="24"/>
                <w:highlight w:val="none"/>
              </w:rPr>
              <w:t>投标完整性</w:t>
            </w:r>
          </w:p>
        </w:tc>
        <w:tc>
          <w:tcPr>
            <w:tcW w:w="6725" w:type="dxa"/>
            <w:vAlign w:val="center"/>
          </w:tcPr>
          <w:p w14:paraId="3D0294B5">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63" w:leftChars="30"/>
              <w:textAlignment w:val="auto"/>
              <w:rPr>
                <w:rFonts w:hint="eastAsia"/>
                <w:color w:val="auto"/>
                <w:spacing w:val="4"/>
                <w:sz w:val="24"/>
                <w:szCs w:val="24"/>
                <w:highlight w:val="none"/>
                <w:lang w:eastAsia="zh-CN"/>
              </w:rPr>
            </w:pPr>
            <w:r>
              <w:rPr>
                <w:rFonts w:hint="eastAsia"/>
                <w:color w:val="auto"/>
                <w:spacing w:val="4"/>
                <w:sz w:val="24"/>
                <w:szCs w:val="24"/>
                <w:highlight w:val="none"/>
                <w:lang w:eastAsia="zh-CN"/>
              </w:rPr>
              <w:t>未将一个采购包中的内容拆分投标；</w:t>
            </w:r>
          </w:p>
        </w:tc>
      </w:tr>
      <w:tr w14:paraId="504AA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jc w:val="center"/>
        </w:trPr>
        <w:tc>
          <w:tcPr>
            <w:tcW w:w="750" w:type="dxa"/>
            <w:vAlign w:val="center"/>
          </w:tcPr>
          <w:p w14:paraId="1F9EDC46">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11" w:right="3"/>
              <w:jc w:val="center"/>
              <w:textAlignment w:val="auto"/>
              <w:rPr>
                <w:rFonts w:hint="eastAsia"/>
                <w:color w:val="auto"/>
                <w:spacing w:val="4"/>
                <w:sz w:val="24"/>
                <w:szCs w:val="24"/>
                <w:highlight w:val="none"/>
              </w:rPr>
            </w:pPr>
            <w:r>
              <w:rPr>
                <w:rFonts w:hint="eastAsia"/>
                <w:color w:val="auto"/>
                <w:spacing w:val="4"/>
                <w:w w:val="115"/>
                <w:sz w:val="24"/>
                <w:szCs w:val="24"/>
                <w:highlight w:val="none"/>
              </w:rPr>
              <w:t>3</w:t>
            </w:r>
          </w:p>
        </w:tc>
        <w:tc>
          <w:tcPr>
            <w:tcW w:w="1813" w:type="dxa"/>
            <w:vAlign w:val="center"/>
          </w:tcPr>
          <w:p w14:paraId="2C753F86">
            <w:pPr>
              <w:pStyle w:val="263"/>
              <w:keepNext w:val="0"/>
              <w:keepLines w:val="0"/>
              <w:pageBreakBefore w:val="0"/>
              <w:widowControl w:val="0"/>
              <w:kinsoku/>
              <w:wordWrap/>
              <w:overflowPunct/>
              <w:topLinePunct w:val="0"/>
              <w:autoSpaceDE w:val="0"/>
              <w:autoSpaceDN w:val="0"/>
              <w:bidi w:val="0"/>
              <w:adjustRightInd/>
              <w:snapToGrid/>
              <w:spacing w:after="0" w:line="320" w:lineRule="exact"/>
              <w:jc w:val="center"/>
              <w:textAlignment w:val="auto"/>
              <w:rPr>
                <w:rFonts w:hint="eastAsia"/>
                <w:color w:val="auto"/>
                <w:spacing w:val="4"/>
                <w:sz w:val="24"/>
                <w:szCs w:val="24"/>
                <w:highlight w:val="none"/>
              </w:rPr>
            </w:pPr>
            <w:r>
              <w:rPr>
                <w:rFonts w:hint="eastAsia"/>
                <w:color w:val="auto"/>
                <w:spacing w:val="4"/>
                <w:sz w:val="24"/>
                <w:szCs w:val="24"/>
                <w:highlight w:val="none"/>
              </w:rPr>
              <w:t>投标报价</w:t>
            </w:r>
          </w:p>
        </w:tc>
        <w:tc>
          <w:tcPr>
            <w:tcW w:w="6725" w:type="dxa"/>
            <w:vAlign w:val="center"/>
          </w:tcPr>
          <w:p w14:paraId="2912C635">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63" w:leftChars="30"/>
              <w:textAlignment w:val="auto"/>
              <w:rPr>
                <w:rFonts w:hint="eastAsia"/>
                <w:color w:val="auto"/>
                <w:spacing w:val="4"/>
                <w:sz w:val="24"/>
                <w:szCs w:val="24"/>
                <w:highlight w:val="none"/>
                <w:lang w:eastAsia="zh-CN"/>
              </w:rPr>
            </w:pPr>
            <w:r>
              <w:rPr>
                <w:rFonts w:hint="eastAsia"/>
                <w:color w:val="auto"/>
                <w:spacing w:val="4"/>
                <w:sz w:val="24"/>
                <w:szCs w:val="24"/>
                <w:highlight w:val="none"/>
                <w:lang w:eastAsia="zh-CN"/>
              </w:rPr>
              <w:t>投标报价未超过招标文件中规定的项目/采购包预算金额或者项目/采购包最高限价；</w:t>
            </w:r>
          </w:p>
        </w:tc>
      </w:tr>
      <w:tr w14:paraId="2EBA2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jc w:val="center"/>
        </w:trPr>
        <w:tc>
          <w:tcPr>
            <w:tcW w:w="750" w:type="dxa"/>
            <w:vAlign w:val="center"/>
          </w:tcPr>
          <w:p w14:paraId="59FCC9CF">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11" w:right="3"/>
              <w:jc w:val="center"/>
              <w:textAlignment w:val="auto"/>
              <w:rPr>
                <w:rFonts w:hint="eastAsia"/>
                <w:color w:val="auto"/>
                <w:spacing w:val="4"/>
                <w:sz w:val="24"/>
                <w:szCs w:val="24"/>
                <w:highlight w:val="none"/>
              </w:rPr>
            </w:pPr>
            <w:r>
              <w:rPr>
                <w:rFonts w:hint="eastAsia"/>
                <w:color w:val="auto"/>
                <w:spacing w:val="4"/>
                <w:w w:val="115"/>
                <w:sz w:val="24"/>
                <w:szCs w:val="24"/>
                <w:highlight w:val="none"/>
              </w:rPr>
              <w:t>4</w:t>
            </w:r>
          </w:p>
        </w:tc>
        <w:tc>
          <w:tcPr>
            <w:tcW w:w="1813" w:type="dxa"/>
            <w:vAlign w:val="center"/>
          </w:tcPr>
          <w:p w14:paraId="51D6EC94">
            <w:pPr>
              <w:pStyle w:val="263"/>
              <w:keepNext w:val="0"/>
              <w:keepLines w:val="0"/>
              <w:pageBreakBefore w:val="0"/>
              <w:widowControl w:val="0"/>
              <w:kinsoku/>
              <w:wordWrap/>
              <w:overflowPunct/>
              <w:topLinePunct w:val="0"/>
              <w:autoSpaceDE w:val="0"/>
              <w:autoSpaceDN w:val="0"/>
              <w:bidi w:val="0"/>
              <w:adjustRightInd/>
              <w:snapToGrid/>
              <w:spacing w:after="0" w:line="320" w:lineRule="exact"/>
              <w:jc w:val="center"/>
              <w:textAlignment w:val="auto"/>
              <w:rPr>
                <w:rFonts w:hint="eastAsia"/>
                <w:color w:val="auto"/>
                <w:spacing w:val="4"/>
                <w:sz w:val="24"/>
                <w:szCs w:val="24"/>
                <w:highlight w:val="none"/>
              </w:rPr>
            </w:pPr>
            <w:r>
              <w:rPr>
                <w:rFonts w:hint="eastAsia"/>
                <w:color w:val="auto"/>
                <w:spacing w:val="4"/>
                <w:sz w:val="24"/>
                <w:szCs w:val="24"/>
                <w:highlight w:val="none"/>
              </w:rPr>
              <w:t>报价唯一性</w:t>
            </w:r>
          </w:p>
        </w:tc>
        <w:tc>
          <w:tcPr>
            <w:tcW w:w="6725" w:type="dxa"/>
            <w:vAlign w:val="center"/>
          </w:tcPr>
          <w:p w14:paraId="3D3ED690">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63" w:leftChars="30"/>
              <w:textAlignment w:val="auto"/>
              <w:rPr>
                <w:rFonts w:hint="eastAsia"/>
                <w:color w:val="auto"/>
                <w:spacing w:val="4"/>
                <w:sz w:val="24"/>
                <w:szCs w:val="24"/>
                <w:highlight w:val="none"/>
                <w:lang w:eastAsia="zh-CN"/>
              </w:rPr>
            </w:pPr>
            <w:r>
              <w:rPr>
                <w:rFonts w:hint="eastAsia"/>
                <w:color w:val="auto"/>
                <w:spacing w:val="4"/>
                <w:sz w:val="24"/>
                <w:szCs w:val="24"/>
                <w:highlight w:val="none"/>
                <w:lang w:eastAsia="zh-CN"/>
              </w:rPr>
              <w:t>投标文件未出现可选择性或可调整的报价（招标文件另有规定的除外）；</w:t>
            </w:r>
          </w:p>
        </w:tc>
      </w:tr>
      <w:tr w14:paraId="0386F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jc w:val="center"/>
        </w:trPr>
        <w:tc>
          <w:tcPr>
            <w:tcW w:w="750" w:type="dxa"/>
            <w:vAlign w:val="center"/>
          </w:tcPr>
          <w:p w14:paraId="35C136E9">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11" w:right="3"/>
              <w:jc w:val="center"/>
              <w:textAlignment w:val="auto"/>
              <w:rPr>
                <w:rFonts w:hint="eastAsia"/>
                <w:color w:val="auto"/>
                <w:spacing w:val="4"/>
                <w:sz w:val="24"/>
                <w:szCs w:val="24"/>
                <w:highlight w:val="none"/>
              </w:rPr>
            </w:pPr>
            <w:r>
              <w:rPr>
                <w:rFonts w:hint="eastAsia"/>
                <w:color w:val="auto"/>
                <w:spacing w:val="4"/>
                <w:w w:val="115"/>
                <w:sz w:val="24"/>
                <w:szCs w:val="24"/>
                <w:highlight w:val="none"/>
              </w:rPr>
              <w:t>5</w:t>
            </w:r>
          </w:p>
        </w:tc>
        <w:tc>
          <w:tcPr>
            <w:tcW w:w="1813" w:type="dxa"/>
            <w:vAlign w:val="center"/>
          </w:tcPr>
          <w:p w14:paraId="506468ED">
            <w:pPr>
              <w:pStyle w:val="263"/>
              <w:keepNext w:val="0"/>
              <w:keepLines w:val="0"/>
              <w:pageBreakBefore w:val="0"/>
              <w:widowControl w:val="0"/>
              <w:kinsoku/>
              <w:wordWrap/>
              <w:overflowPunct/>
              <w:topLinePunct w:val="0"/>
              <w:autoSpaceDE w:val="0"/>
              <w:autoSpaceDN w:val="0"/>
              <w:bidi w:val="0"/>
              <w:adjustRightInd/>
              <w:snapToGrid/>
              <w:spacing w:after="0" w:line="320" w:lineRule="exact"/>
              <w:jc w:val="center"/>
              <w:textAlignment w:val="auto"/>
              <w:rPr>
                <w:rFonts w:hint="eastAsia"/>
                <w:color w:val="auto"/>
                <w:spacing w:val="4"/>
                <w:sz w:val="24"/>
                <w:szCs w:val="24"/>
                <w:highlight w:val="none"/>
              </w:rPr>
            </w:pPr>
            <w:r>
              <w:rPr>
                <w:rFonts w:hint="eastAsia"/>
                <w:color w:val="auto"/>
                <w:spacing w:val="4"/>
                <w:sz w:val="24"/>
                <w:szCs w:val="24"/>
                <w:highlight w:val="none"/>
              </w:rPr>
              <w:t>投标有效期</w:t>
            </w:r>
          </w:p>
        </w:tc>
        <w:tc>
          <w:tcPr>
            <w:tcW w:w="6725" w:type="dxa"/>
            <w:vAlign w:val="center"/>
          </w:tcPr>
          <w:p w14:paraId="371A3599">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63" w:leftChars="30"/>
              <w:textAlignment w:val="auto"/>
              <w:rPr>
                <w:rFonts w:hint="eastAsia"/>
                <w:color w:val="auto"/>
                <w:spacing w:val="4"/>
                <w:sz w:val="24"/>
                <w:szCs w:val="24"/>
                <w:highlight w:val="none"/>
                <w:lang w:eastAsia="zh-CN"/>
              </w:rPr>
            </w:pPr>
            <w:r>
              <w:rPr>
                <w:rFonts w:hint="eastAsia"/>
                <w:color w:val="auto"/>
                <w:spacing w:val="4"/>
                <w:sz w:val="24"/>
                <w:szCs w:val="24"/>
                <w:highlight w:val="none"/>
                <w:lang w:eastAsia="zh-CN"/>
              </w:rPr>
              <w:t>投标文件中承诺的投标有效期满足招标文件中载明的投标有效期的；</w:t>
            </w:r>
          </w:p>
        </w:tc>
      </w:tr>
      <w:tr w14:paraId="690CD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jc w:val="center"/>
        </w:trPr>
        <w:tc>
          <w:tcPr>
            <w:tcW w:w="750" w:type="dxa"/>
            <w:vAlign w:val="center"/>
          </w:tcPr>
          <w:p w14:paraId="6CEAF975">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11" w:right="3"/>
              <w:jc w:val="center"/>
              <w:textAlignment w:val="auto"/>
              <w:rPr>
                <w:rFonts w:hint="eastAsia"/>
                <w:color w:val="auto"/>
                <w:spacing w:val="4"/>
                <w:sz w:val="24"/>
                <w:szCs w:val="24"/>
                <w:highlight w:val="none"/>
              </w:rPr>
            </w:pPr>
            <w:r>
              <w:rPr>
                <w:rFonts w:hint="eastAsia"/>
                <w:color w:val="auto"/>
                <w:spacing w:val="4"/>
                <w:w w:val="115"/>
                <w:sz w:val="24"/>
                <w:szCs w:val="24"/>
                <w:highlight w:val="none"/>
              </w:rPr>
              <w:t>6</w:t>
            </w:r>
          </w:p>
        </w:tc>
        <w:tc>
          <w:tcPr>
            <w:tcW w:w="1813" w:type="dxa"/>
            <w:vAlign w:val="center"/>
          </w:tcPr>
          <w:p w14:paraId="0D70F3AB">
            <w:pPr>
              <w:pStyle w:val="263"/>
              <w:keepNext w:val="0"/>
              <w:keepLines w:val="0"/>
              <w:pageBreakBefore w:val="0"/>
              <w:widowControl w:val="0"/>
              <w:kinsoku/>
              <w:wordWrap/>
              <w:overflowPunct/>
              <w:topLinePunct w:val="0"/>
              <w:autoSpaceDE w:val="0"/>
              <w:autoSpaceDN w:val="0"/>
              <w:bidi w:val="0"/>
              <w:adjustRightInd/>
              <w:snapToGrid/>
              <w:spacing w:after="0" w:line="320" w:lineRule="exact"/>
              <w:jc w:val="center"/>
              <w:textAlignment w:val="auto"/>
              <w:rPr>
                <w:rFonts w:hint="eastAsia"/>
                <w:color w:val="auto"/>
                <w:spacing w:val="4"/>
                <w:sz w:val="24"/>
                <w:szCs w:val="24"/>
                <w:highlight w:val="none"/>
              </w:rPr>
            </w:pPr>
            <w:r>
              <w:rPr>
                <w:rFonts w:hint="eastAsia"/>
                <w:color w:val="auto"/>
                <w:spacing w:val="4"/>
                <w:sz w:val="24"/>
                <w:szCs w:val="24"/>
                <w:highlight w:val="none"/>
              </w:rPr>
              <w:t>实质性格式</w:t>
            </w:r>
          </w:p>
        </w:tc>
        <w:tc>
          <w:tcPr>
            <w:tcW w:w="6725" w:type="dxa"/>
            <w:vAlign w:val="center"/>
          </w:tcPr>
          <w:p w14:paraId="4140ABD5">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63" w:leftChars="30"/>
              <w:textAlignment w:val="auto"/>
              <w:rPr>
                <w:rFonts w:hint="eastAsia"/>
                <w:color w:val="auto"/>
                <w:spacing w:val="4"/>
                <w:sz w:val="24"/>
                <w:szCs w:val="24"/>
                <w:highlight w:val="none"/>
                <w:lang w:eastAsia="zh-CN"/>
              </w:rPr>
            </w:pPr>
            <w:r>
              <w:rPr>
                <w:rFonts w:hint="eastAsia"/>
                <w:color w:val="auto"/>
                <w:spacing w:val="4"/>
                <w:sz w:val="24"/>
                <w:szCs w:val="24"/>
                <w:highlight w:val="none"/>
                <w:lang w:eastAsia="zh-CN"/>
              </w:rPr>
              <w:t>标记为“实质性格式”的文件均按招标文件要求提供且签署、盖章的；</w:t>
            </w:r>
          </w:p>
        </w:tc>
      </w:tr>
      <w:tr w14:paraId="30918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750" w:type="dxa"/>
            <w:vAlign w:val="center"/>
          </w:tcPr>
          <w:p w14:paraId="2C1B06DB">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11" w:right="3"/>
              <w:jc w:val="center"/>
              <w:textAlignment w:val="auto"/>
              <w:rPr>
                <w:rFonts w:hint="eastAsia"/>
                <w:color w:val="auto"/>
                <w:spacing w:val="4"/>
                <w:sz w:val="24"/>
                <w:szCs w:val="24"/>
                <w:highlight w:val="none"/>
              </w:rPr>
            </w:pPr>
            <w:r>
              <w:rPr>
                <w:rFonts w:hint="eastAsia"/>
                <w:color w:val="auto"/>
                <w:spacing w:val="4"/>
                <w:w w:val="115"/>
                <w:sz w:val="24"/>
                <w:szCs w:val="24"/>
                <w:highlight w:val="none"/>
              </w:rPr>
              <w:t>7</w:t>
            </w:r>
          </w:p>
        </w:tc>
        <w:tc>
          <w:tcPr>
            <w:tcW w:w="1813" w:type="dxa"/>
            <w:vAlign w:val="center"/>
          </w:tcPr>
          <w:p w14:paraId="23E2D73A">
            <w:pPr>
              <w:pStyle w:val="263"/>
              <w:keepNext w:val="0"/>
              <w:keepLines w:val="0"/>
              <w:pageBreakBefore w:val="0"/>
              <w:widowControl w:val="0"/>
              <w:kinsoku/>
              <w:wordWrap/>
              <w:overflowPunct/>
              <w:topLinePunct w:val="0"/>
              <w:autoSpaceDE w:val="0"/>
              <w:autoSpaceDN w:val="0"/>
              <w:bidi w:val="0"/>
              <w:adjustRightInd/>
              <w:snapToGrid/>
              <w:spacing w:after="0" w:line="320" w:lineRule="exact"/>
              <w:jc w:val="center"/>
              <w:textAlignment w:val="auto"/>
              <w:rPr>
                <w:rFonts w:hint="eastAsia"/>
                <w:color w:val="auto"/>
                <w:spacing w:val="4"/>
                <w:sz w:val="24"/>
                <w:szCs w:val="24"/>
                <w:highlight w:val="none"/>
              </w:rPr>
            </w:pPr>
            <w:r>
              <w:rPr>
                <w:rFonts w:hint="eastAsia"/>
                <w:color w:val="auto"/>
                <w:spacing w:val="4"/>
                <w:sz w:val="24"/>
                <w:szCs w:val="24"/>
                <w:highlight w:val="none"/>
              </w:rPr>
              <w:t>★号条款响应</w:t>
            </w:r>
          </w:p>
        </w:tc>
        <w:tc>
          <w:tcPr>
            <w:tcW w:w="6725" w:type="dxa"/>
            <w:vAlign w:val="center"/>
          </w:tcPr>
          <w:p w14:paraId="5067937A">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63" w:leftChars="30"/>
              <w:textAlignment w:val="auto"/>
              <w:rPr>
                <w:rFonts w:hint="eastAsia"/>
                <w:color w:val="auto"/>
                <w:spacing w:val="4"/>
                <w:sz w:val="24"/>
                <w:szCs w:val="24"/>
                <w:highlight w:val="none"/>
                <w:lang w:eastAsia="zh-CN"/>
              </w:rPr>
            </w:pPr>
            <w:r>
              <w:rPr>
                <w:rFonts w:hint="eastAsia"/>
                <w:color w:val="auto"/>
                <w:spacing w:val="4"/>
                <w:sz w:val="24"/>
                <w:szCs w:val="24"/>
                <w:highlight w:val="none"/>
                <w:lang w:eastAsia="zh-CN"/>
              </w:rPr>
              <w:t>投标文件满足招标文件第五章《采购需求》中★号条款要求的；</w:t>
            </w:r>
          </w:p>
        </w:tc>
      </w:tr>
      <w:tr w14:paraId="46415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jc w:val="center"/>
        </w:trPr>
        <w:tc>
          <w:tcPr>
            <w:tcW w:w="750" w:type="dxa"/>
            <w:vAlign w:val="center"/>
          </w:tcPr>
          <w:p w14:paraId="5AE014B6">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11" w:right="3"/>
              <w:jc w:val="center"/>
              <w:textAlignment w:val="auto"/>
              <w:rPr>
                <w:rFonts w:hint="eastAsia"/>
                <w:color w:val="auto"/>
                <w:spacing w:val="4"/>
                <w:sz w:val="24"/>
                <w:szCs w:val="24"/>
                <w:highlight w:val="none"/>
              </w:rPr>
            </w:pPr>
            <w:r>
              <w:rPr>
                <w:rFonts w:hint="eastAsia"/>
                <w:color w:val="auto"/>
                <w:spacing w:val="4"/>
                <w:w w:val="115"/>
                <w:sz w:val="24"/>
                <w:szCs w:val="24"/>
                <w:highlight w:val="none"/>
              </w:rPr>
              <w:t>8</w:t>
            </w:r>
          </w:p>
        </w:tc>
        <w:tc>
          <w:tcPr>
            <w:tcW w:w="1813" w:type="dxa"/>
            <w:vAlign w:val="center"/>
          </w:tcPr>
          <w:p w14:paraId="61876F45">
            <w:pPr>
              <w:pStyle w:val="263"/>
              <w:keepNext w:val="0"/>
              <w:keepLines w:val="0"/>
              <w:pageBreakBefore w:val="0"/>
              <w:widowControl w:val="0"/>
              <w:kinsoku/>
              <w:wordWrap/>
              <w:overflowPunct/>
              <w:topLinePunct w:val="0"/>
              <w:autoSpaceDE w:val="0"/>
              <w:autoSpaceDN w:val="0"/>
              <w:bidi w:val="0"/>
              <w:adjustRightInd/>
              <w:snapToGrid/>
              <w:spacing w:after="0" w:line="320" w:lineRule="exact"/>
              <w:jc w:val="center"/>
              <w:textAlignment w:val="auto"/>
              <w:rPr>
                <w:rFonts w:hint="eastAsia"/>
                <w:color w:val="auto"/>
                <w:spacing w:val="4"/>
                <w:sz w:val="24"/>
                <w:szCs w:val="24"/>
                <w:highlight w:val="none"/>
                <w:lang w:eastAsia="zh-CN"/>
              </w:rPr>
            </w:pPr>
            <w:r>
              <w:rPr>
                <w:rFonts w:hint="eastAsia"/>
                <w:color w:val="auto"/>
                <w:spacing w:val="4"/>
                <w:sz w:val="24"/>
                <w:szCs w:val="24"/>
                <w:highlight w:val="none"/>
                <w:lang w:eastAsia="zh-CN"/>
              </w:rPr>
              <w:t>拟分包情况说明（如有）</w:t>
            </w:r>
          </w:p>
        </w:tc>
        <w:tc>
          <w:tcPr>
            <w:tcW w:w="6725" w:type="dxa"/>
            <w:vAlign w:val="center"/>
          </w:tcPr>
          <w:p w14:paraId="23C48C26">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63" w:leftChars="30"/>
              <w:textAlignment w:val="auto"/>
              <w:rPr>
                <w:rFonts w:hint="eastAsia"/>
                <w:color w:val="auto"/>
                <w:spacing w:val="4"/>
                <w:sz w:val="24"/>
                <w:szCs w:val="24"/>
                <w:highlight w:val="none"/>
                <w:lang w:eastAsia="zh-CN"/>
              </w:rPr>
            </w:pPr>
            <w:r>
              <w:rPr>
                <w:rFonts w:hint="eastAsia"/>
                <w:color w:val="auto"/>
                <w:spacing w:val="4"/>
                <w:sz w:val="24"/>
                <w:szCs w:val="24"/>
                <w:highlight w:val="none"/>
                <w:lang w:eastAsia="zh-CN"/>
              </w:rPr>
              <w:t>如本项目（包）非因“落实政府采购政策”亦允许分包，且供应商拟进行分包时，必须提供；否则无须提供；</w:t>
            </w:r>
          </w:p>
        </w:tc>
      </w:tr>
      <w:tr w14:paraId="1FA2F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0" w:hRule="atLeast"/>
          <w:jc w:val="center"/>
        </w:trPr>
        <w:tc>
          <w:tcPr>
            <w:tcW w:w="750" w:type="dxa"/>
            <w:vAlign w:val="center"/>
          </w:tcPr>
          <w:p w14:paraId="54DBE601">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11" w:right="3"/>
              <w:jc w:val="center"/>
              <w:textAlignment w:val="auto"/>
              <w:rPr>
                <w:rFonts w:hint="eastAsia"/>
                <w:color w:val="auto"/>
                <w:spacing w:val="4"/>
                <w:sz w:val="24"/>
                <w:szCs w:val="24"/>
                <w:highlight w:val="none"/>
              </w:rPr>
            </w:pPr>
            <w:r>
              <w:rPr>
                <w:rFonts w:hint="eastAsia"/>
                <w:color w:val="auto"/>
                <w:spacing w:val="4"/>
                <w:w w:val="115"/>
                <w:sz w:val="24"/>
                <w:szCs w:val="24"/>
                <w:highlight w:val="none"/>
              </w:rPr>
              <w:t>9</w:t>
            </w:r>
          </w:p>
        </w:tc>
        <w:tc>
          <w:tcPr>
            <w:tcW w:w="1813" w:type="dxa"/>
            <w:vAlign w:val="center"/>
          </w:tcPr>
          <w:p w14:paraId="13138570">
            <w:pPr>
              <w:pStyle w:val="263"/>
              <w:keepNext w:val="0"/>
              <w:keepLines w:val="0"/>
              <w:pageBreakBefore w:val="0"/>
              <w:widowControl w:val="0"/>
              <w:kinsoku/>
              <w:wordWrap/>
              <w:overflowPunct/>
              <w:topLinePunct w:val="0"/>
              <w:autoSpaceDE w:val="0"/>
              <w:autoSpaceDN w:val="0"/>
              <w:bidi w:val="0"/>
              <w:adjustRightInd/>
              <w:snapToGrid/>
              <w:spacing w:after="0" w:line="320" w:lineRule="exact"/>
              <w:jc w:val="center"/>
              <w:textAlignment w:val="auto"/>
              <w:rPr>
                <w:rFonts w:hint="eastAsia"/>
                <w:color w:val="auto"/>
                <w:spacing w:val="4"/>
                <w:sz w:val="24"/>
                <w:szCs w:val="24"/>
                <w:highlight w:val="none"/>
              </w:rPr>
            </w:pPr>
            <w:r>
              <w:rPr>
                <w:rFonts w:hint="eastAsia"/>
                <w:color w:val="auto"/>
                <w:spacing w:val="4"/>
                <w:sz w:val="24"/>
                <w:szCs w:val="24"/>
                <w:highlight w:val="none"/>
              </w:rPr>
              <w:t>分包其他要求（如有）</w:t>
            </w:r>
          </w:p>
        </w:tc>
        <w:tc>
          <w:tcPr>
            <w:tcW w:w="6725" w:type="dxa"/>
            <w:vAlign w:val="center"/>
          </w:tcPr>
          <w:p w14:paraId="6EF2E1B1">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63" w:leftChars="30"/>
              <w:textAlignment w:val="auto"/>
              <w:rPr>
                <w:rFonts w:hint="eastAsia"/>
                <w:color w:val="auto"/>
                <w:spacing w:val="4"/>
                <w:sz w:val="24"/>
                <w:szCs w:val="24"/>
                <w:highlight w:val="none"/>
                <w:lang w:eastAsia="zh-CN"/>
              </w:rPr>
            </w:pPr>
            <w:r>
              <w:rPr>
                <w:rFonts w:hint="eastAsia"/>
                <w:color w:val="auto"/>
                <w:spacing w:val="4"/>
                <w:sz w:val="24"/>
                <w:szCs w:val="24"/>
                <w:highlight w:val="none"/>
                <w:lang w:eastAsia="zh-CN"/>
              </w:rPr>
              <w:t>分包履行的内容、金额或者比例未超出《投标人须知资料表》中的规定；</w:t>
            </w:r>
          </w:p>
          <w:p w14:paraId="76C9327E">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63" w:leftChars="30"/>
              <w:textAlignment w:val="auto"/>
              <w:rPr>
                <w:rFonts w:hint="eastAsia"/>
                <w:color w:val="auto"/>
                <w:spacing w:val="4"/>
                <w:sz w:val="24"/>
                <w:szCs w:val="24"/>
                <w:highlight w:val="none"/>
                <w:lang w:eastAsia="zh-CN"/>
              </w:rPr>
            </w:pPr>
            <w:r>
              <w:rPr>
                <w:rFonts w:hint="eastAsia"/>
                <w:color w:val="auto"/>
                <w:spacing w:val="4"/>
                <w:sz w:val="24"/>
                <w:szCs w:val="24"/>
                <w:highlight w:val="none"/>
                <w:lang w:eastAsia="zh-CN"/>
              </w:rPr>
              <w:t>分包承担主体具备《投标人须知资料表》载明的资质条件且提供了资质证书电子件（如有）；</w:t>
            </w:r>
          </w:p>
        </w:tc>
      </w:tr>
      <w:tr w14:paraId="0D92E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jc w:val="center"/>
        </w:trPr>
        <w:tc>
          <w:tcPr>
            <w:tcW w:w="750" w:type="dxa"/>
            <w:tcBorders>
              <w:bottom w:val="single" w:color="auto" w:sz="4" w:space="0"/>
            </w:tcBorders>
            <w:vAlign w:val="center"/>
          </w:tcPr>
          <w:p w14:paraId="4A7FE50E">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11"/>
              <w:jc w:val="center"/>
              <w:textAlignment w:val="auto"/>
              <w:rPr>
                <w:rFonts w:hint="eastAsia"/>
                <w:color w:val="auto"/>
                <w:spacing w:val="4"/>
                <w:sz w:val="24"/>
                <w:szCs w:val="24"/>
                <w:highlight w:val="none"/>
              </w:rPr>
            </w:pPr>
            <w:r>
              <w:rPr>
                <w:rFonts w:hint="eastAsia"/>
                <w:color w:val="auto"/>
                <w:spacing w:val="4"/>
                <w:w w:val="115"/>
                <w:sz w:val="24"/>
                <w:szCs w:val="24"/>
                <w:highlight w:val="none"/>
              </w:rPr>
              <w:t>10</w:t>
            </w:r>
          </w:p>
        </w:tc>
        <w:tc>
          <w:tcPr>
            <w:tcW w:w="1813" w:type="dxa"/>
            <w:tcBorders>
              <w:bottom w:val="single" w:color="auto" w:sz="4" w:space="0"/>
            </w:tcBorders>
            <w:vAlign w:val="center"/>
          </w:tcPr>
          <w:p w14:paraId="278316F7">
            <w:pPr>
              <w:pStyle w:val="263"/>
              <w:keepNext w:val="0"/>
              <w:keepLines w:val="0"/>
              <w:pageBreakBefore w:val="0"/>
              <w:widowControl w:val="0"/>
              <w:kinsoku/>
              <w:wordWrap/>
              <w:overflowPunct/>
              <w:topLinePunct w:val="0"/>
              <w:autoSpaceDE w:val="0"/>
              <w:autoSpaceDN w:val="0"/>
              <w:bidi w:val="0"/>
              <w:adjustRightInd/>
              <w:snapToGrid/>
              <w:spacing w:after="0" w:line="320" w:lineRule="exact"/>
              <w:jc w:val="center"/>
              <w:textAlignment w:val="auto"/>
              <w:rPr>
                <w:rFonts w:hint="eastAsia"/>
                <w:color w:val="auto"/>
                <w:spacing w:val="4"/>
                <w:sz w:val="24"/>
                <w:szCs w:val="24"/>
                <w:highlight w:val="none"/>
              </w:rPr>
            </w:pPr>
            <w:r>
              <w:rPr>
                <w:rFonts w:hint="eastAsia"/>
                <w:color w:val="auto"/>
                <w:spacing w:val="4"/>
                <w:sz w:val="24"/>
                <w:szCs w:val="24"/>
                <w:highlight w:val="none"/>
              </w:rPr>
              <w:t>报价的修正</w:t>
            </w:r>
          </w:p>
          <w:p w14:paraId="6B14C324">
            <w:pPr>
              <w:pStyle w:val="263"/>
              <w:keepNext w:val="0"/>
              <w:keepLines w:val="0"/>
              <w:pageBreakBefore w:val="0"/>
              <w:widowControl w:val="0"/>
              <w:kinsoku/>
              <w:wordWrap/>
              <w:overflowPunct/>
              <w:topLinePunct w:val="0"/>
              <w:autoSpaceDE w:val="0"/>
              <w:autoSpaceDN w:val="0"/>
              <w:bidi w:val="0"/>
              <w:adjustRightInd/>
              <w:snapToGrid/>
              <w:spacing w:after="0" w:line="320" w:lineRule="exact"/>
              <w:jc w:val="center"/>
              <w:textAlignment w:val="auto"/>
              <w:rPr>
                <w:rFonts w:hint="eastAsia"/>
                <w:color w:val="auto"/>
                <w:spacing w:val="4"/>
                <w:sz w:val="24"/>
                <w:szCs w:val="24"/>
                <w:highlight w:val="none"/>
              </w:rPr>
            </w:pPr>
            <w:r>
              <w:rPr>
                <w:rFonts w:hint="eastAsia"/>
                <w:color w:val="auto"/>
                <w:spacing w:val="4"/>
                <w:sz w:val="24"/>
                <w:szCs w:val="24"/>
                <w:highlight w:val="none"/>
              </w:rPr>
              <w:t>（如有）</w:t>
            </w:r>
          </w:p>
        </w:tc>
        <w:tc>
          <w:tcPr>
            <w:tcW w:w="6725" w:type="dxa"/>
            <w:tcBorders>
              <w:bottom w:val="single" w:color="auto" w:sz="4" w:space="0"/>
            </w:tcBorders>
            <w:vAlign w:val="center"/>
          </w:tcPr>
          <w:p w14:paraId="168F2BE0">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63" w:leftChars="30"/>
              <w:textAlignment w:val="auto"/>
              <w:rPr>
                <w:rFonts w:hint="eastAsia"/>
                <w:color w:val="auto"/>
                <w:spacing w:val="4"/>
                <w:sz w:val="24"/>
                <w:szCs w:val="24"/>
                <w:highlight w:val="none"/>
                <w:lang w:eastAsia="zh-CN"/>
              </w:rPr>
            </w:pPr>
            <w:r>
              <w:rPr>
                <w:rFonts w:hint="eastAsia"/>
                <w:color w:val="auto"/>
                <w:spacing w:val="4"/>
                <w:sz w:val="24"/>
                <w:szCs w:val="24"/>
                <w:highlight w:val="none"/>
                <w:lang w:eastAsia="zh-CN"/>
              </w:rPr>
              <w:t>不涉及报价修正，或投标文件报价出现前后不一致时，投标人对修正后的报价予以确认；（如有）</w:t>
            </w:r>
          </w:p>
        </w:tc>
      </w:tr>
      <w:tr w14:paraId="41B06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57477359">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11"/>
              <w:jc w:val="center"/>
              <w:textAlignment w:val="auto"/>
              <w:rPr>
                <w:rFonts w:hint="eastAsia"/>
                <w:color w:val="auto"/>
                <w:spacing w:val="4"/>
                <w:sz w:val="24"/>
                <w:szCs w:val="24"/>
                <w:highlight w:val="none"/>
              </w:rPr>
            </w:pPr>
            <w:r>
              <w:rPr>
                <w:rFonts w:hint="eastAsia"/>
                <w:color w:val="auto"/>
                <w:spacing w:val="4"/>
                <w:w w:val="115"/>
                <w:sz w:val="24"/>
                <w:szCs w:val="24"/>
                <w:highlight w:val="none"/>
              </w:rPr>
              <w:t>11</w:t>
            </w:r>
          </w:p>
        </w:tc>
        <w:tc>
          <w:tcPr>
            <w:tcW w:w="1813" w:type="dxa"/>
            <w:tcBorders>
              <w:top w:val="single" w:color="auto" w:sz="4" w:space="0"/>
              <w:left w:val="single" w:color="auto" w:sz="4" w:space="0"/>
              <w:bottom w:val="single" w:color="auto" w:sz="4" w:space="0"/>
              <w:right w:val="single" w:color="auto" w:sz="4" w:space="0"/>
            </w:tcBorders>
            <w:vAlign w:val="center"/>
          </w:tcPr>
          <w:p w14:paraId="6B210C99">
            <w:pPr>
              <w:pStyle w:val="263"/>
              <w:keepNext w:val="0"/>
              <w:keepLines w:val="0"/>
              <w:pageBreakBefore w:val="0"/>
              <w:widowControl w:val="0"/>
              <w:kinsoku/>
              <w:wordWrap/>
              <w:overflowPunct/>
              <w:topLinePunct w:val="0"/>
              <w:autoSpaceDE w:val="0"/>
              <w:autoSpaceDN w:val="0"/>
              <w:bidi w:val="0"/>
              <w:adjustRightInd/>
              <w:snapToGrid/>
              <w:spacing w:after="0" w:line="320" w:lineRule="exact"/>
              <w:jc w:val="center"/>
              <w:textAlignment w:val="auto"/>
              <w:rPr>
                <w:rFonts w:hint="eastAsia"/>
                <w:color w:val="auto"/>
                <w:spacing w:val="4"/>
                <w:sz w:val="24"/>
                <w:szCs w:val="24"/>
                <w:highlight w:val="none"/>
              </w:rPr>
            </w:pPr>
            <w:r>
              <w:rPr>
                <w:rFonts w:hint="eastAsia"/>
                <w:color w:val="auto"/>
                <w:spacing w:val="4"/>
                <w:sz w:val="24"/>
                <w:szCs w:val="24"/>
                <w:highlight w:val="none"/>
              </w:rPr>
              <w:t>报价合理性</w:t>
            </w:r>
          </w:p>
        </w:tc>
        <w:tc>
          <w:tcPr>
            <w:tcW w:w="6725" w:type="dxa"/>
            <w:tcBorders>
              <w:top w:val="single" w:color="auto" w:sz="4" w:space="0"/>
              <w:left w:val="single" w:color="auto" w:sz="4" w:space="0"/>
              <w:bottom w:val="single" w:color="auto" w:sz="4" w:space="0"/>
              <w:right w:val="single" w:color="auto" w:sz="4" w:space="0"/>
            </w:tcBorders>
            <w:vAlign w:val="center"/>
          </w:tcPr>
          <w:p w14:paraId="6DED3FAB">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63" w:leftChars="30"/>
              <w:textAlignment w:val="auto"/>
              <w:rPr>
                <w:rFonts w:hint="eastAsia"/>
                <w:color w:val="auto"/>
                <w:spacing w:val="4"/>
                <w:sz w:val="24"/>
                <w:szCs w:val="24"/>
                <w:highlight w:val="none"/>
                <w:lang w:eastAsia="zh-CN"/>
              </w:rPr>
            </w:pPr>
            <w:r>
              <w:rPr>
                <w:rFonts w:hint="eastAsia"/>
                <w:color w:val="auto"/>
                <w:spacing w:val="4"/>
                <w:sz w:val="24"/>
                <w:szCs w:val="24"/>
                <w:highlight w:val="none"/>
                <w:lang w:eastAsia="zh-CN"/>
              </w:rPr>
              <w:t>报价合理，或投标人的报价明显低于其他通过符合性审查投标人的报价，有可能影响产品质量或者不能诚信履约的，能够应评标委员会要求在规定时间内证明其报价合理性的；</w:t>
            </w:r>
          </w:p>
        </w:tc>
      </w:tr>
      <w:tr w14:paraId="540F0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6"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27720987">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11"/>
              <w:jc w:val="center"/>
              <w:textAlignment w:val="auto"/>
              <w:rPr>
                <w:rFonts w:hint="eastAsia"/>
                <w:color w:val="auto"/>
                <w:spacing w:val="4"/>
                <w:sz w:val="24"/>
                <w:szCs w:val="24"/>
                <w:highlight w:val="none"/>
              </w:rPr>
            </w:pPr>
            <w:r>
              <w:rPr>
                <w:rFonts w:hint="eastAsia"/>
                <w:color w:val="auto"/>
                <w:spacing w:val="4"/>
                <w:w w:val="115"/>
                <w:sz w:val="24"/>
                <w:szCs w:val="24"/>
                <w:highlight w:val="none"/>
              </w:rPr>
              <w:t>12</w:t>
            </w:r>
          </w:p>
        </w:tc>
        <w:tc>
          <w:tcPr>
            <w:tcW w:w="1813" w:type="dxa"/>
            <w:tcBorders>
              <w:top w:val="single" w:color="auto" w:sz="4" w:space="0"/>
              <w:left w:val="single" w:color="auto" w:sz="4" w:space="0"/>
              <w:bottom w:val="single" w:color="auto" w:sz="4" w:space="0"/>
              <w:right w:val="single" w:color="auto" w:sz="4" w:space="0"/>
            </w:tcBorders>
            <w:vAlign w:val="center"/>
          </w:tcPr>
          <w:p w14:paraId="5CE44906">
            <w:pPr>
              <w:pStyle w:val="263"/>
              <w:keepNext w:val="0"/>
              <w:keepLines w:val="0"/>
              <w:pageBreakBefore w:val="0"/>
              <w:widowControl w:val="0"/>
              <w:kinsoku/>
              <w:wordWrap/>
              <w:overflowPunct/>
              <w:topLinePunct w:val="0"/>
              <w:autoSpaceDE w:val="0"/>
              <w:autoSpaceDN w:val="0"/>
              <w:bidi w:val="0"/>
              <w:adjustRightInd/>
              <w:snapToGrid/>
              <w:spacing w:after="0" w:line="320" w:lineRule="exact"/>
              <w:jc w:val="center"/>
              <w:textAlignment w:val="auto"/>
              <w:rPr>
                <w:rFonts w:hint="eastAsia"/>
                <w:color w:val="auto"/>
                <w:spacing w:val="4"/>
                <w:sz w:val="24"/>
                <w:szCs w:val="24"/>
                <w:highlight w:val="none"/>
              </w:rPr>
            </w:pPr>
            <w:r>
              <w:rPr>
                <w:rFonts w:hint="eastAsia"/>
                <w:color w:val="auto"/>
                <w:spacing w:val="4"/>
                <w:sz w:val="24"/>
                <w:szCs w:val="24"/>
                <w:highlight w:val="none"/>
              </w:rPr>
              <w:t>进口产品</w:t>
            </w:r>
          </w:p>
          <w:p w14:paraId="3CD241DF">
            <w:pPr>
              <w:pStyle w:val="263"/>
              <w:keepNext w:val="0"/>
              <w:keepLines w:val="0"/>
              <w:pageBreakBefore w:val="0"/>
              <w:widowControl w:val="0"/>
              <w:kinsoku/>
              <w:wordWrap/>
              <w:overflowPunct/>
              <w:topLinePunct w:val="0"/>
              <w:autoSpaceDE w:val="0"/>
              <w:autoSpaceDN w:val="0"/>
              <w:bidi w:val="0"/>
              <w:adjustRightInd/>
              <w:snapToGrid/>
              <w:spacing w:after="0" w:line="320" w:lineRule="exact"/>
              <w:jc w:val="center"/>
              <w:textAlignment w:val="auto"/>
              <w:rPr>
                <w:rFonts w:hint="eastAsia"/>
                <w:color w:val="auto"/>
                <w:spacing w:val="4"/>
                <w:sz w:val="24"/>
                <w:szCs w:val="24"/>
                <w:highlight w:val="none"/>
              </w:rPr>
            </w:pPr>
            <w:r>
              <w:rPr>
                <w:rFonts w:hint="eastAsia"/>
                <w:color w:val="auto"/>
                <w:spacing w:val="4"/>
                <w:sz w:val="24"/>
                <w:szCs w:val="24"/>
                <w:highlight w:val="none"/>
              </w:rPr>
              <w:t>（如有）</w:t>
            </w:r>
          </w:p>
        </w:tc>
        <w:tc>
          <w:tcPr>
            <w:tcW w:w="6725" w:type="dxa"/>
            <w:tcBorders>
              <w:top w:val="single" w:color="auto" w:sz="4" w:space="0"/>
              <w:left w:val="single" w:color="auto" w:sz="4" w:space="0"/>
              <w:bottom w:val="single" w:color="auto" w:sz="4" w:space="0"/>
              <w:right w:val="single" w:color="auto" w:sz="4" w:space="0"/>
            </w:tcBorders>
            <w:vAlign w:val="center"/>
          </w:tcPr>
          <w:p w14:paraId="6935E7EB">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63" w:leftChars="30"/>
              <w:textAlignment w:val="auto"/>
              <w:rPr>
                <w:rFonts w:hint="eastAsia"/>
                <w:color w:val="auto"/>
                <w:spacing w:val="4"/>
                <w:sz w:val="24"/>
                <w:szCs w:val="24"/>
                <w:highlight w:val="none"/>
                <w:lang w:eastAsia="zh-CN"/>
              </w:rPr>
            </w:pPr>
            <w:r>
              <w:rPr>
                <w:rFonts w:hint="eastAsia"/>
                <w:color w:val="auto"/>
                <w:spacing w:val="4"/>
                <w:sz w:val="24"/>
                <w:szCs w:val="24"/>
                <w:highlight w:val="none"/>
                <w:lang w:eastAsia="zh-CN"/>
              </w:rPr>
              <w:t>招标文件不接受进口产品投标的内容时，投标人所投产品不含进口产品；</w:t>
            </w:r>
          </w:p>
        </w:tc>
      </w:tr>
      <w:tr w14:paraId="2FAC7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58"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60CE542E">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11"/>
              <w:jc w:val="center"/>
              <w:textAlignment w:val="auto"/>
              <w:rPr>
                <w:rFonts w:hint="eastAsia"/>
                <w:color w:val="auto"/>
                <w:spacing w:val="4"/>
                <w:sz w:val="24"/>
                <w:szCs w:val="24"/>
                <w:highlight w:val="none"/>
              </w:rPr>
            </w:pPr>
            <w:r>
              <w:rPr>
                <w:rFonts w:hint="eastAsia"/>
                <w:color w:val="auto"/>
                <w:spacing w:val="4"/>
                <w:w w:val="115"/>
                <w:sz w:val="24"/>
                <w:szCs w:val="24"/>
                <w:highlight w:val="none"/>
              </w:rPr>
              <w:t>13</w:t>
            </w:r>
          </w:p>
        </w:tc>
        <w:tc>
          <w:tcPr>
            <w:tcW w:w="1813" w:type="dxa"/>
            <w:tcBorders>
              <w:top w:val="single" w:color="auto" w:sz="4" w:space="0"/>
              <w:left w:val="single" w:color="auto" w:sz="4" w:space="0"/>
              <w:bottom w:val="single" w:color="auto" w:sz="4" w:space="0"/>
              <w:right w:val="single" w:color="auto" w:sz="4" w:space="0"/>
            </w:tcBorders>
            <w:vAlign w:val="center"/>
          </w:tcPr>
          <w:p w14:paraId="66805548">
            <w:pPr>
              <w:pStyle w:val="263"/>
              <w:keepNext w:val="0"/>
              <w:keepLines w:val="0"/>
              <w:pageBreakBefore w:val="0"/>
              <w:widowControl w:val="0"/>
              <w:kinsoku/>
              <w:wordWrap/>
              <w:overflowPunct/>
              <w:topLinePunct w:val="0"/>
              <w:autoSpaceDE w:val="0"/>
              <w:autoSpaceDN w:val="0"/>
              <w:bidi w:val="0"/>
              <w:adjustRightInd/>
              <w:snapToGrid/>
              <w:spacing w:after="0" w:line="320" w:lineRule="exact"/>
              <w:jc w:val="center"/>
              <w:textAlignment w:val="auto"/>
              <w:rPr>
                <w:rFonts w:hint="eastAsia"/>
                <w:color w:val="auto"/>
                <w:spacing w:val="4"/>
                <w:sz w:val="24"/>
                <w:szCs w:val="24"/>
                <w:highlight w:val="none"/>
                <w:lang w:eastAsia="zh-CN"/>
              </w:rPr>
            </w:pPr>
            <w:r>
              <w:rPr>
                <w:rFonts w:hint="eastAsia"/>
                <w:color w:val="auto"/>
                <w:spacing w:val="4"/>
                <w:sz w:val="24"/>
                <w:szCs w:val="24"/>
                <w:highlight w:val="none"/>
                <w:lang w:eastAsia="zh-CN"/>
              </w:rPr>
              <w:t>国家有关部门对投标人的投标产品有强制性规定或要求的</w:t>
            </w:r>
          </w:p>
        </w:tc>
        <w:tc>
          <w:tcPr>
            <w:tcW w:w="6725" w:type="dxa"/>
            <w:tcBorders>
              <w:top w:val="single" w:color="auto" w:sz="4" w:space="0"/>
              <w:left w:val="single" w:color="auto" w:sz="4" w:space="0"/>
              <w:bottom w:val="single" w:color="auto" w:sz="4" w:space="0"/>
              <w:right w:val="single" w:color="auto" w:sz="4" w:space="0"/>
            </w:tcBorders>
            <w:vAlign w:val="center"/>
          </w:tcPr>
          <w:p w14:paraId="64548C90">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63" w:leftChars="30"/>
              <w:jc w:val="both"/>
              <w:textAlignment w:val="auto"/>
              <w:rPr>
                <w:rFonts w:hint="eastAsia"/>
                <w:color w:val="auto"/>
                <w:spacing w:val="4"/>
                <w:sz w:val="24"/>
                <w:szCs w:val="24"/>
                <w:highlight w:val="none"/>
                <w:lang w:eastAsia="zh-CN"/>
              </w:rPr>
            </w:pPr>
            <w:r>
              <w:rPr>
                <w:rFonts w:hint="eastAsia"/>
                <w:color w:val="auto"/>
                <w:spacing w:val="4"/>
                <w:sz w:val="24"/>
                <w:szCs w:val="24"/>
                <w:highlight w:val="none"/>
                <w:lang w:eastAsia="zh-CN"/>
              </w:rPr>
              <w:t>国家有关部门对投标人的投标产品有强制性规定或要求的（如相应技术、安全、节能和环保等），投标人的投标产品应符合相应规定或要求，并提供证明文件电子件：</w:t>
            </w:r>
          </w:p>
          <w:p w14:paraId="1AA14F40">
            <w:pPr>
              <w:pStyle w:val="263"/>
              <w:keepNext w:val="0"/>
              <w:keepLines w:val="0"/>
              <w:pageBreakBefore w:val="0"/>
              <w:widowControl w:val="0"/>
              <w:numPr>
                <w:ilvl w:val="0"/>
                <w:numId w:val="16"/>
              </w:numPr>
              <w:tabs>
                <w:tab w:val="left" w:pos="498"/>
              </w:tabs>
              <w:kinsoku/>
              <w:wordWrap/>
              <w:overflowPunct/>
              <w:topLinePunct w:val="0"/>
              <w:autoSpaceDE w:val="0"/>
              <w:autoSpaceDN w:val="0"/>
              <w:bidi w:val="0"/>
              <w:adjustRightInd/>
              <w:snapToGrid/>
              <w:spacing w:after="0" w:line="320" w:lineRule="exact"/>
              <w:ind w:left="63" w:leftChars="30" w:firstLine="0"/>
              <w:textAlignment w:val="auto"/>
              <w:rPr>
                <w:rFonts w:hint="eastAsia"/>
                <w:color w:val="auto"/>
                <w:spacing w:val="4"/>
                <w:sz w:val="24"/>
                <w:szCs w:val="24"/>
                <w:highlight w:val="none"/>
                <w:lang w:eastAsia="zh-CN"/>
              </w:rPr>
            </w:pPr>
            <w:r>
              <w:rPr>
                <w:rFonts w:hint="eastAsia"/>
                <w:color w:val="auto"/>
                <w:spacing w:val="4"/>
                <w:sz w:val="24"/>
                <w:szCs w:val="24"/>
                <w:highlight w:val="none"/>
                <w:lang w:eastAsia="zh-CN"/>
              </w:rPr>
              <w:t>采购的产品若属于《节能产品政府采购品目清单》范围中政府强制采购产品，则投标人所报产品必须获得国家确定的认证机构出具的、处于有效期之内的节能产品认证证书；</w:t>
            </w:r>
          </w:p>
          <w:p w14:paraId="396A030C">
            <w:pPr>
              <w:pStyle w:val="263"/>
              <w:keepNext w:val="0"/>
              <w:keepLines w:val="0"/>
              <w:pageBreakBefore w:val="0"/>
              <w:widowControl w:val="0"/>
              <w:numPr>
                <w:ilvl w:val="0"/>
                <w:numId w:val="16"/>
              </w:numPr>
              <w:tabs>
                <w:tab w:val="left" w:pos="498"/>
              </w:tabs>
              <w:kinsoku/>
              <w:wordWrap/>
              <w:overflowPunct/>
              <w:topLinePunct w:val="0"/>
              <w:autoSpaceDE w:val="0"/>
              <w:autoSpaceDN w:val="0"/>
              <w:bidi w:val="0"/>
              <w:adjustRightInd/>
              <w:snapToGrid/>
              <w:spacing w:after="0" w:line="320" w:lineRule="exact"/>
              <w:ind w:left="63" w:leftChars="30" w:firstLine="0"/>
              <w:textAlignment w:val="auto"/>
              <w:rPr>
                <w:rFonts w:hint="eastAsia"/>
                <w:color w:val="auto"/>
                <w:spacing w:val="4"/>
                <w:sz w:val="24"/>
                <w:szCs w:val="24"/>
                <w:highlight w:val="none"/>
                <w:lang w:eastAsia="zh-CN"/>
              </w:rPr>
            </w:pPr>
            <w:r>
              <w:rPr>
                <w:rFonts w:hint="eastAsia"/>
                <w:color w:val="auto"/>
                <w:spacing w:val="4"/>
                <w:sz w:val="24"/>
                <w:szCs w:val="24"/>
                <w:highlight w:val="none"/>
                <w:lang w:eastAsia="zh-CN"/>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3303B110">
            <w:pPr>
              <w:pStyle w:val="263"/>
              <w:keepNext w:val="0"/>
              <w:keepLines w:val="0"/>
              <w:pageBreakBefore w:val="0"/>
              <w:widowControl w:val="0"/>
              <w:numPr>
                <w:ilvl w:val="0"/>
                <w:numId w:val="16"/>
              </w:numPr>
              <w:tabs>
                <w:tab w:val="left" w:pos="498"/>
              </w:tabs>
              <w:kinsoku/>
              <w:wordWrap/>
              <w:overflowPunct/>
              <w:topLinePunct w:val="0"/>
              <w:autoSpaceDE w:val="0"/>
              <w:autoSpaceDN w:val="0"/>
              <w:bidi w:val="0"/>
              <w:adjustRightInd/>
              <w:snapToGrid/>
              <w:spacing w:after="0" w:line="320" w:lineRule="exact"/>
              <w:ind w:left="63" w:leftChars="30" w:firstLine="0"/>
              <w:textAlignment w:val="auto"/>
              <w:rPr>
                <w:rFonts w:hint="eastAsia"/>
                <w:color w:val="auto"/>
                <w:spacing w:val="4"/>
                <w:sz w:val="24"/>
                <w:szCs w:val="24"/>
                <w:highlight w:val="none"/>
                <w:lang w:eastAsia="zh-CN"/>
              </w:rPr>
            </w:pPr>
            <w:r>
              <w:rPr>
                <w:rFonts w:hint="eastAsia"/>
                <w:color w:val="auto"/>
                <w:spacing w:val="4"/>
                <w:sz w:val="24"/>
                <w:szCs w:val="24"/>
                <w:highlight w:val="none"/>
                <w:lang w:eastAsia="zh-CN"/>
              </w:rPr>
              <w:t>项目中涉及涂料、胶黏剂、油墨、清洗剂等挥发性有机物产品，且属于强制性标准的，供应商应执行符合本市和国家的VOCs 含量限制标准。</w:t>
            </w:r>
          </w:p>
        </w:tc>
      </w:tr>
      <w:tr w14:paraId="11B73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3"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05F0BEA2">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11"/>
              <w:jc w:val="center"/>
              <w:textAlignment w:val="auto"/>
              <w:rPr>
                <w:rFonts w:hint="eastAsia"/>
                <w:color w:val="auto"/>
                <w:spacing w:val="4"/>
                <w:sz w:val="24"/>
                <w:szCs w:val="24"/>
                <w:highlight w:val="none"/>
              </w:rPr>
            </w:pPr>
            <w:r>
              <w:rPr>
                <w:rFonts w:hint="eastAsia"/>
                <w:color w:val="auto"/>
                <w:spacing w:val="4"/>
                <w:w w:val="115"/>
                <w:sz w:val="24"/>
                <w:szCs w:val="24"/>
                <w:highlight w:val="none"/>
              </w:rPr>
              <w:t>14</w:t>
            </w:r>
          </w:p>
        </w:tc>
        <w:tc>
          <w:tcPr>
            <w:tcW w:w="1813" w:type="dxa"/>
            <w:tcBorders>
              <w:top w:val="single" w:color="auto" w:sz="4" w:space="0"/>
              <w:left w:val="single" w:color="auto" w:sz="4" w:space="0"/>
              <w:bottom w:val="single" w:color="auto" w:sz="4" w:space="0"/>
              <w:right w:val="single" w:color="auto" w:sz="4" w:space="0"/>
            </w:tcBorders>
            <w:vAlign w:val="center"/>
          </w:tcPr>
          <w:p w14:paraId="7FCE04BF">
            <w:pPr>
              <w:pStyle w:val="263"/>
              <w:keepNext w:val="0"/>
              <w:keepLines w:val="0"/>
              <w:pageBreakBefore w:val="0"/>
              <w:widowControl w:val="0"/>
              <w:kinsoku/>
              <w:wordWrap/>
              <w:overflowPunct/>
              <w:topLinePunct w:val="0"/>
              <w:autoSpaceDE w:val="0"/>
              <w:autoSpaceDN w:val="0"/>
              <w:bidi w:val="0"/>
              <w:adjustRightInd/>
              <w:snapToGrid/>
              <w:spacing w:after="0" w:line="320" w:lineRule="exact"/>
              <w:jc w:val="center"/>
              <w:textAlignment w:val="auto"/>
              <w:rPr>
                <w:rFonts w:hint="eastAsia"/>
                <w:color w:val="auto"/>
                <w:spacing w:val="4"/>
                <w:sz w:val="24"/>
                <w:szCs w:val="24"/>
                <w:highlight w:val="none"/>
              </w:rPr>
            </w:pPr>
            <w:r>
              <w:rPr>
                <w:rFonts w:hint="eastAsia"/>
                <w:color w:val="auto"/>
                <w:spacing w:val="4"/>
                <w:sz w:val="24"/>
                <w:szCs w:val="24"/>
                <w:highlight w:val="none"/>
              </w:rPr>
              <w:t>公平竞争</w:t>
            </w:r>
          </w:p>
        </w:tc>
        <w:tc>
          <w:tcPr>
            <w:tcW w:w="6725" w:type="dxa"/>
            <w:tcBorders>
              <w:top w:val="single" w:color="auto" w:sz="4" w:space="0"/>
              <w:left w:val="single" w:color="auto" w:sz="4" w:space="0"/>
              <w:bottom w:val="single" w:color="auto" w:sz="4" w:space="0"/>
              <w:right w:val="single" w:color="auto" w:sz="4" w:space="0"/>
            </w:tcBorders>
            <w:vAlign w:val="center"/>
          </w:tcPr>
          <w:p w14:paraId="1D99008F">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63" w:leftChars="30"/>
              <w:textAlignment w:val="auto"/>
              <w:rPr>
                <w:rFonts w:hint="eastAsia"/>
                <w:color w:val="auto"/>
                <w:spacing w:val="4"/>
                <w:sz w:val="24"/>
                <w:szCs w:val="24"/>
                <w:highlight w:val="none"/>
                <w:lang w:eastAsia="zh-CN"/>
              </w:rPr>
            </w:pPr>
            <w:r>
              <w:rPr>
                <w:rFonts w:hint="eastAsia"/>
                <w:color w:val="auto"/>
                <w:spacing w:val="4"/>
                <w:sz w:val="24"/>
                <w:szCs w:val="24"/>
                <w:highlight w:val="none"/>
                <w:lang w:eastAsia="zh-CN"/>
              </w:rPr>
              <w:t>投标人遵循公平竞争的原则，不存在恶意串通，妨碍其他投标人的竞争行为，不存在损害采购人或者其他投标人的合法权益情形的；</w:t>
            </w:r>
          </w:p>
        </w:tc>
      </w:tr>
      <w:tr w14:paraId="07427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4"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3D4A3913">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11"/>
              <w:jc w:val="center"/>
              <w:textAlignment w:val="auto"/>
              <w:rPr>
                <w:rFonts w:hint="eastAsia"/>
                <w:color w:val="auto"/>
                <w:spacing w:val="4"/>
                <w:sz w:val="24"/>
                <w:szCs w:val="24"/>
                <w:highlight w:val="none"/>
              </w:rPr>
            </w:pPr>
            <w:r>
              <w:rPr>
                <w:rFonts w:hint="eastAsia"/>
                <w:color w:val="auto"/>
                <w:spacing w:val="4"/>
                <w:w w:val="115"/>
                <w:sz w:val="24"/>
                <w:szCs w:val="24"/>
                <w:highlight w:val="none"/>
              </w:rPr>
              <w:t>15</w:t>
            </w:r>
          </w:p>
        </w:tc>
        <w:tc>
          <w:tcPr>
            <w:tcW w:w="1813" w:type="dxa"/>
            <w:tcBorders>
              <w:top w:val="single" w:color="auto" w:sz="4" w:space="0"/>
              <w:left w:val="single" w:color="auto" w:sz="4" w:space="0"/>
              <w:bottom w:val="single" w:color="auto" w:sz="4" w:space="0"/>
              <w:right w:val="single" w:color="auto" w:sz="4" w:space="0"/>
            </w:tcBorders>
            <w:vAlign w:val="center"/>
          </w:tcPr>
          <w:p w14:paraId="637C6BEF">
            <w:pPr>
              <w:pStyle w:val="263"/>
              <w:keepNext w:val="0"/>
              <w:keepLines w:val="0"/>
              <w:pageBreakBefore w:val="0"/>
              <w:widowControl w:val="0"/>
              <w:kinsoku/>
              <w:wordWrap/>
              <w:overflowPunct/>
              <w:topLinePunct w:val="0"/>
              <w:autoSpaceDE w:val="0"/>
              <w:autoSpaceDN w:val="0"/>
              <w:bidi w:val="0"/>
              <w:adjustRightInd/>
              <w:snapToGrid/>
              <w:spacing w:after="0" w:line="320" w:lineRule="exact"/>
              <w:jc w:val="center"/>
              <w:textAlignment w:val="auto"/>
              <w:rPr>
                <w:rFonts w:hint="eastAsia"/>
                <w:color w:val="auto"/>
                <w:spacing w:val="4"/>
                <w:sz w:val="24"/>
                <w:szCs w:val="24"/>
                <w:highlight w:val="none"/>
              </w:rPr>
            </w:pPr>
            <w:r>
              <w:rPr>
                <w:rFonts w:hint="eastAsia"/>
                <w:color w:val="auto"/>
                <w:spacing w:val="4"/>
                <w:sz w:val="24"/>
                <w:szCs w:val="24"/>
                <w:highlight w:val="none"/>
              </w:rPr>
              <w:t>串通投标</w:t>
            </w:r>
          </w:p>
        </w:tc>
        <w:tc>
          <w:tcPr>
            <w:tcW w:w="6725" w:type="dxa"/>
            <w:tcBorders>
              <w:top w:val="single" w:color="auto" w:sz="4" w:space="0"/>
              <w:left w:val="single" w:color="auto" w:sz="4" w:space="0"/>
              <w:bottom w:val="single" w:color="auto" w:sz="4" w:space="0"/>
              <w:right w:val="single" w:color="auto" w:sz="4" w:space="0"/>
            </w:tcBorders>
            <w:vAlign w:val="center"/>
          </w:tcPr>
          <w:p w14:paraId="3745AE74">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63" w:leftChars="30"/>
              <w:jc w:val="both"/>
              <w:textAlignment w:val="auto"/>
              <w:rPr>
                <w:rFonts w:hint="eastAsia"/>
                <w:color w:val="auto"/>
                <w:spacing w:val="4"/>
                <w:sz w:val="24"/>
                <w:szCs w:val="24"/>
                <w:highlight w:val="none"/>
                <w:lang w:eastAsia="zh-CN"/>
              </w:rPr>
            </w:pPr>
            <w:r>
              <w:rPr>
                <w:rFonts w:hint="eastAsia"/>
                <w:color w:val="auto"/>
                <w:spacing w:val="4"/>
                <w:sz w:val="24"/>
                <w:szCs w:val="24"/>
                <w:highlight w:val="none"/>
                <w:lang w:eastAsia="zh-CN"/>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31839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1AF33DAB">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11"/>
              <w:jc w:val="center"/>
              <w:textAlignment w:val="auto"/>
              <w:rPr>
                <w:rFonts w:hint="eastAsia"/>
                <w:color w:val="auto"/>
                <w:spacing w:val="4"/>
                <w:sz w:val="24"/>
                <w:szCs w:val="24"/>
                <w:highlight w:val="none"/>
              </w:rPr>
            </w:pPr>
            <w:r>
              <w:rPr>
                <w:rFonts w:hint="eastAsia"/>
                <w:color w:val="auto"/>
                <w:spacing w:val="4"/>
                <w:w w:val="115"/>
                <w:sz w:val="24"/>
                <w:szCs w:val="24"/>
                <w:highlight w:val="none"/>
              </w:rPr>
              <w:t>16</w:t>
            </w:r>
          </w:p>
        </w:tc>
        <w:tc>
          <w:tcPr>
            <w:tcW w:w="1813" w:type="dxa"/>
            <w:tcBorders>
              <w:top w:val="single" w:color="auto" w:sz="4" w:space="0"/>
              <w:left w:val="single" w:color="auto" w:sz="4" w:space="0"/>
              <w:bottom w:val="single" w:color="auto" w:sz="4" w:space="0"/>
              <w:right w:val="single" w:color="auto" w:sz="4" w:space="0"/>
            </w:tcBorders>
            <w:vAlign w:val="center"/>
          </w:tcPr>
          <w:p w14:paraId="00918F7C">
            <w:pPr>
              <w:pStyle w:val="263"/>
              <w:keepNext w:val="0"/>
              <w:keepLines w:val="0"/>
              <w:pageBreakBefore w:val="0"/>
              <w:widowControl w:val="0"/>
              <w:kinsoku/>
              <w:wordWrap/>
              <w:overflowPunct/>
              <w:topLinePunct w:val="0"/>
              <w:autoSpaceDE w:val="0"/>
              <w:autoSpaceDN w:val="0"/>
              <w:bidi w:val="0"/>
              <w:adjustRightInd/>
              <w:snapToGrid/>
              <w:spacing w:after="0" w:line="320" w:lineRule="exact"/>
              <w:jc w:val="center"/>
              <w:textAlignment w:val="auto"/>
              <w:rPr>
                <w:rFonts w:hint="eastAsia"/>
                <w:color w:val="auto"/>
                <w:spacing w:val="4"/>
                <w:sz w:val="24"/>
                <w:szCs w:val="24"/>
                <w:highlight w:val="none"/>
              </w:rPr>
            </w:pPr>
            <w:r>
              <w:rPr>
                <w:rFonts w:hint="eastAsia"/>
                <w:color w:val="auto"/>
                <w:spacing w:val="4"/>
                <w:sz w:val="24"/>
                <w:szCs w:val="24"/>
                <w:highlight w:val="none"/>
              </w:rPr>
              <w:t>附加条件</w:t>
            </w:r>
          </w:p>
        </w:tc>
        <w:tc>
          <w:tcPr>
            <w:tcW w:w="6725" w:type="dxa"/>
            <w:tcBorders>
              <w:top w:val="single" w:color="auto" w:sz="4" w:space="0"/>
              <w:left w:val="single" w:color="auto" w:sz="4" w:space="0"/>
              <w:bottom w:val="single" w:color="auto" w:sz="4" w:space="0"/>
              <w:right w:val="single" w:color="auto" w:sz="4" w:space="0"/>
            </w:tcBorders>
            <w:vAlign w:val="center"/>
          </w:tcPr>
          <w:p w14:paraId="6B3A2AA9">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63" w:leftChars="30"/>
              <w:textAlignment w:val="auto"/>
              <w:rPr>
                <w:rFonts w:hint="eastAsia"/>
                <w:color w:val="auto"/>
                <w:spacing w:val="4"/>
                <w:sz w:val="24"/>
                <w:szCs w:val="24"/>
                <w:highlight w:val="none"/>
                <w:lang w:eastAsia="zh-CN"/>
              </w:rPr>
            </w:pPr>
            <w:r>
              <w:rPr>
                <w:rFonts w:hint="eastAsia"/>
                <w:color w:val="auto"/>
                <w:spacing w:val="4"/>
                <w:sz w:val="24"/>
                <w:szCs w:val="24"/>
                <w:highlight w:val="none"/>
                <w:lang w:eastAsia="zh-CN"/>
              </w:rPr>
              <w:t>投标文件未含有采购人不能接受的附加条件的；</w:t>
            </w:r>
          </w:p>
        </w:tc>
      </w:tr>
      <w:tr w14:paraId="7FA33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1F96314D">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11"/>
              <w:jc w:val="center"/>
              <w:textAlignment w:val="auto"/>
              <w:rPr>
                <w:rFonts w:hint="eastAsia"/>
                <w:color w:val="auto"/>
                <w:spacing w:val="4"/>
                <w:sz w:val="24"/>
                <w:szCs w:val="24"/>
                <w:highlight w:val="none"/>
              </w:rPr>
            </w:pPr>
            <w:r>
              <w:rPr>
                <w:rFonts w:hint="eastAsia"/>
                <w:color w:val="auto"/>
                <w:spacing w:val="4"/>
                <w:w w:val="115"/>
                <w:sz w:val="24"/>
                <w:szCs w:val="24"/>
                <w:highlight w:val="none"/>
              </w:rPr>
              <w:t>17</w:t>
            </w:r>
          </w:p>
        </w:tc>
        <w:tc>
          <w:tcPr>
            <w:tcW w:w="1813" w:type="dxa"/>
            <w:tcBorders>
              <w:top w:val="single" w:color="auto" w:sz="4" w:space="0"/>
              <w:left w:val="single" w:color="auto" w:sz="4" w:space="0"/>
              <w:bottom w:val="single" w:color="auto" w:sz="4" w:space="0"/>
              <w:right w:val="single" w:color="auto" w:sz="4" w:space="0"/>
            </w:tcBorders>
            <w:vAlign w:val="center"/>
          </w:tcPr>
          <w:p w14:paraId="5FEE238C">
            <w:pPr>
              <w:pStyle w:val="263"/>
              <w:keepNext w:val="0"/>
              <w:keepLines w:val="0"/>
              <w:pageBreakBefore w:val="0"/>
              <w:widowControl w:val="0"/>
              <w:kinsoku/>
              <w:wordWrap/>
              <w:overflowPunct/>
              <w:topLinePunct w:val="0"/>
              <w:autoSpaceDE w:val="0"/>
              <w:autoSpaceDN w:val="0"/>
              <w:bidi w:val="0"/>
              <w:adjustRightInd/>
              <w:snapToGrid/>
              <w:spacing w:after="0" w:line="320" w:lineRule="exact"/>
              <w:jc w:val="center"/>
              <w:textAlignment w:val="auto"/>
              <w:rPr>
                <w:rFonts w:hint="eastAsia"/>
                <w:color w:val="auto"/>
                <w:spacing w:val="4"/>
                <w:sz w:val="24"/>
                <w:szCs w:val="24"/>
                <w:highlight w:val="none"/>
              </w:rPr>
            </w:pPr>
            <w:r>
              <w:rPr>
                <w:rFonts w:hint="eastAsia"/>
                <w:color w:val="auto"/>
                <w:spacing w:val="4"/>
                <w:sz w:val="24"/>
                <w:szCs w:val="24"/>
                <w:highlight w:val="none"/>
              </w:rPr>
              <w:t>其他无效情形</w:t>
            </w:r>
          </w:p>
        </w:tc>
        <w:tc>
          <w:tcPr>
            <w:tcW w:w="6725" w:type="dxa"/>
            <w:tcBorders>
              <w:top w:val="single" w:color="auto" w:sz="4" w:space="0"/>
              <w:left w:val="single" w:color="auto" w:sz="4" w:space="0"/>
              <w:bottom w:val="single" w:color="auto" w:sz="4" w:space="0"/>
              <w:right w:val="single" w:color="auto" w:sz="4" w:space="0"/>
            </w:tcBorders>
            <w:vAlign w:val="center"/>
          </w:tcPr>
          <w:p w14:paraId="4DD6A420">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63" w:leftChars="30"/>
              <w:textAlignment w:val="auto"/>
              <w:rPr>
                <w:rFonts w:hint="eastAsia"/>
                <w:color w:val="auto"/>
                <w:spacing w:val="4"/>
                <w:sz w:val="24"/>
                <w:szCs w:val="24"/>
                <w:highlight w:val="none"/>
                <w:lang w:eastAsia="zh-CN"/>
              </w:rPr>
            </w:pPr>
            <w:r>
              <w:rPr>
                <w:rFonts w:hint="eastAsia"/>
                <w:color w:val="auto"/>
                <w:spacing w:val="4"/>
                <w:sz w:val="24"/>
                <w:szCs w:val="24"/>
                <w:highlight w:val="none"/>
                <w:lang w:eastAsia="zh-CN"/>
              </w:rPr>
              <w:t>投标人、投标文件不存在不符合法律、法规和招标文件规定的</w:t>
            </w:r>
          </w:p>
          <w:p w14:paraId="3E63398A">
            <w:pPr>
              <w:pStyle w:val="263"/>
              <w:keepNext w:val="0"/>
              <w:keepLines w:val="0"/>
              <w:pageBreakBefore w:val="0"/>
              <w:widowControl w:val="0"/>
              <w:kinsoku/>
              <w:wordWrap/>
              <w:overflowPunct/>
              <w:topLinePunct w:val="0"/>
              <w:autoSpaceDE w:val="0"/>
              <w:autoSpaceDN w:val="0"/>
              <w:bidi w:val="0"/>
              <w:adjustRightInd/>
              <w:snapToGrid/>
              <w:spacing w:after="0" w:line="320" w:lineRule="exact"/>
              <w:ind w:left="63" w:leftChars="30"/>
              <w:textAlignment w:val="auto"/>
              <w:rPr>
                <w:rFonts w:hint="eastAsia"/>
                <w:color w:val="auto"/>
                <w:spacing w:val="4"/>
                <w:sz w:val="24"/>
                <w:szCs w:val="24"/>
                <w:highlight w:val="none"/>
              </w:rPr>
            </w:pPr>
            <w:r>
              <w:rPr>
                <w:rFonts w:hint="eastAsia"/>
                <w:color w:val="auto"/>
                <w:spacing w:val="4"/>
                <w:sz w:val="24"/>
                <w:szCs w:val="24"/>
                <w:highlight w:val="none"/>
              </w:rPr>
              <w:t>其他无效情形。</w:t>
            </w:r>
          </w:p>
        </w:tc>
      </w:tr>
    </w:tbl>
    <w:p w14:paraId="3438F033">
      <w:pPr>
        <w:tabs>
          <w:tab w:val="left" w:pos="1080"/>
          <w:tab w:val="left" w:pos="1589"/>
        </w:tabs>
        <w:snapToGrid w:val="0"/>
        <w:spacing w:line="360" w:lineRule="auto"/>
        <w:rPr>
          <w:rFonts w:hint="eastAsia" w:ascii="宋体" w:hAnsi="宋体" w:cs="宋体"/>
          <w:color w:val="auto"/>
          <w:sz w:val="24"/>
          <w:highlight w:val="none"/>
        </w:rPr>
        <w:sectPr>
          <w:headerReference r:id="rId14" w:type="first"/>
          <w:footerReference r:id="rId16" w:type="first"/>
          <w:headerReference r:id="rId13" w:type="even"/>
          <w:footerReference r:id="rId15" w:type="even"/>
          <w:pgSz w:w="11905" w:h="16838"/>
          <w:pgMar w:top="1417" w:right="1701" w:bottom="1417" w:left="1701" w:header="1020" w:footer="850" w:gutter="0"/>
          <w:cols w:space="0" w:num="1"/>
          <w:rtlGutter w:val="0"/>
          <w:docGrid w:linePitch="462" w:charSpace="0"/>
        </w:sectPr>
      </w:pPr>
    </w:p>
    <w:p w14:paraId="0763A348">
      <w:pPr>
        <w:keepNext w:val="0"/>
        <w:keepLines w:val="0"/>
        <w:pageBreakBefore w:val="0"/>
        <w:widowControl w:val="0"/>
        <w:numPr>
          <w:ilvl w:val="0"/>
          <w:numId w:val="15"/>
        </w:numPr>
        <w:tabs>
          <w:tab w:val="left" w:pos="360"/>
        </w:tabs>
        <w:kinsoku/>
        <w:wordWrap/>
        <w:overflowPunct/>
        <w:topLinePunct w:val="0"/>
        <w:autoSpaceDE/>
        <w:autoSpaceDN/>
        <w:bidi w:val="0"/>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投标文件有关事项的澄清或者说明</w:t>
      </w:r>
    </w:p>
    <w:p w14:paraId="147BB0F7">
      <w:pPr>
        <w:keepNext w:val="0"/>
        <w:keepLines w:val="0"/>
        <w:pageBreakBefore w:val="0"/>
        <w:widowControl w:val="0"/>
        <w:numPr>
          <w:ilvl w:val="1"/>
          <w:numId w:val="15"/>
        </w:numPr>
        <w:tabs>
          <w:tab w:val="left" w:pos="1080"/>
        </w:tabs>
        <w:kinsoku/>
        <w:wordWrap/>
        <w:overflowPunct/>
        <w:topLinePunct w:val="0"/>
        <w:autoSpaceDE/>
        <w:autoSpaceDN/>
        <w:bidi w:val="0"/>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6840A2DC">
      <w:pPr>
        <w:keepNext w:val="0"/>
        <w:keepLines w:val="0"/>
        <w:pageBreakBefore w:val="0"/>
        <w:widowControl w:val="0"/>
        <w:numPr>
          <w:ilvl w:val="1"/>
          <w:numId w:val="15"/>
        </w:numPr>
        <w:tabs>
          <w:tab w:val="left" w:pos="1080"/>
        </w:tabs>
        <w:kinsoku/>
        <w:wordWrap/>
        <w:overflowPunct/>
        <w:topLinePunct w:val="0"/>
        <w:autoSpaceDE/>
        <w:autoSpaceDN/>
        <w:bidi w:val="0"/>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宋体" w:hAnsi="宋体" w:cs="宋体"/>
          <w:b/>
          <w:color w:val="auto"/>
          <w:sz w:val="24"/>
          <w:highlight w:val="none"/>
        </w:rPr>
        <w:t>无效投标处理</w:t>
      </w:r>
      <w:r>
        <w:rPr>
          <w:rFonts w:hint="eastAsia" w:ascii="宋体" w:hAnsi="宋体" w:cs="宋体"/>
          <w:color w:val="auto"/>
          <w:sz w:val="24"/>
          <w:highlight w:val="none"/>
        </w:rPr>
        <w:t>。</w:t>
      </w:r>
    </w:p>
    <w:p w14:paraId="12B4B56E">
      <w:pPr>
        <w:keepNext w:val="0"/>
        <w:keepLines w:val="0"/>
        <w:pageBreakBefore w:val="0"/>
        <w:widowControl w:val="0"/>
        <w:numPr>
          <w:ilvl w:val="1"/>
          <w:numId w:val="15"/>
        </w:numPr>
        <w:tabs>
          <w:tab w:val="left" w:pos="1080"/>
        </w:tabs>
        <w:kinsoku/>
        <w:wordWrap/>
        <w:overflowPunct/>
        <w:topLinePunct w:val="0"/>
        <w:autoSpaceDE/>
        <w:autoSpaceDN/>
        <w:bidi w:val="0"/>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宋体" w:hAnsi="宋体" w:cs="宋体"/>
          <w:b/>
          <w:color w:val="auto"/>
          <w:sz w:val="24"/>
          <w:highlight w:val="none"/>
        </w:rPr>
        <w:t>投标无效</w:t>
      </w:r>
      <w:r>
        <w:rPr>
          <w:rFonts w:hint="eastAsia" w:ascii="宋体" w:hAnsi="宋体" w:cs="宋体"/>
          <w:color w:val="auto"/>
          <w:sz w:val="24"/>
          <w:highlight w:val="none"/>
        </w:rPr>
        <w:t>。</w:t>
      </w:r>
    </w:p>
    <w:p w14:paraId="39A0F8D4">
      <w:pPr>
        <w:keepNext w:val="0"/>
        <w:keepLines w:val="0"/>
        <w:pageBreakBefore w:val="0"/>
        <w:widowControl w:val="0"/>
        <w:numPr>
          <w:ilvl w:val="1"/>
          <w:numId w:val="15"/>
        </w:numPr>
        <w:tabs>
          <w:tab w:val="left" w:pos="1080"/>
        </w:tabs>
        <w:kinsoku/>
        <w:wordWrap/>
        <w:overflowPunct/>
        <w:topLinePunct w:val="0"/>
        <w:autoSpaceDE/>
        <w:autoSpaceDN/>
        <w:bidi w:val="0"/>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投标文件报价出现前后不一致的，按照下列规定修正：</w:t>
      </w:r>
    </w:p>
    <w:p w14:paraId="6F76BBDF">
      <w:pPr>
        <w:keepNext w:val="0"/>
        <w:keepLines w:val="0"/>
        <w:pageBreakBefore w:val="0"/>
        <w:widowControl w:val="0"/>
        <w:numPr>
          <w:ilvl w:val="2"/>
          <w:numId w:val="15"/>
        </w:numPr>
        <w:tabs>
          <w:tab w:val="left" w:pos="1080"/>
          <w:tab w:val="left" w:pos="1589"/>
          <w:tab w:val="left" w:pos="2035"/>
          <w:tab w:val="left" w:pos="2114"/>
        </w:tabs>
        <w:kinsoku/>
        <w:wordWrap/>
        <w:overflowPunct/>
        <w:topLinePunct w:val="0"/>
        <w:autoSpaceDE/>
        <w:autoSpaceDN/>
        <w:bidi w:val="0"/>
        <w:snapToGrid w:val="0"/>
        <w:spacing w:after="0" w:line="360" w:lineRule="auto"/>
        <w:ind w:left="2035"/>
        <w:textAlignment w:val="auto"/>
        <w:rPr>
          <w:rFonts w:hint="eastAsia" w:ascii="宋体" w:hAnsi="宋体" w:cs="宋体"/>
          <w:color w:val="auto"/>
          <w:sz w:val="24"/>
          <w:highlight w:val="none"/>
        </w:rPr>
      </w:pPr>
      <w:r>
        <w:rPr>
          <w:rFonts w:hint="eastAsia" w:ascii="宋体" w:hAnsi="宋体" w:cs="宋体"/>
          <w:color w:val="auto"/>
          <w:sz w:val="24"/>
          <w:highlight w:val="none"/>
        </w:rPr>
        <w:t>招标文件对于报价修正是否另有规定：</w:t>
      </w:r>
    </w:p>
    <w:p w14:paraId="39125891">
      <w:pPr>
        <w:keepNext w:val="0"/>
        <w:keepLines w:val="0"/>
        <w:pageBreakBefore w:val="0"/>
        <w:widowControl w:val="0"/>
        <w:tabs>
          <w:tab w:val="left" w:pos="1080"/>
          <w:tab w:val="left" w:pos="1589"/>
          <w:tab w:val="left" w:pos="2035"/>
          <w:tab w:val="left" w:pos="2114"/>
        </w:tabs>
        <w:kinsoku/>
        <w:wordWrap/>
        <w:overflowPunct/>
        <w:topLinePunct w:val="0"/>
        <w:autoSpaceDE/>
        <w:autoSpaceDN/>
        <w:bidi w:val="0"/>
        <w:snapToGrid w:val="0"/>
        <w:spacing w:after="0" w:line="360" w:lineRule="auto"/>
        <w:ind w:left="2035"/>
        <w:textAlignment w:val="auto"/>
        <w:rPr>
          <w:rFonts w:hint="eastAsia" w:ascii="宋体" w:hAnsi="宋体" w:cs="宋体"/>
          <w:color w:val="auto"/>
          <w:sz w:val="24"/>
          <w:highlight w:val="none"/>
          <w:u w:val="single"/>
        </w:rPr>
      </w:pPr>
      <w:r>
        <w:rPr>
          <w:rFonts w:hint="eastAsia" w:ascii="宋体" w:hAnsi="宋体" w:cs="宋体"/>
          <w:color w:val="auto"/>
          <w:sz w:val="24"/>
          <w:highlight w:val="none"/>
        </w:rPr>
        <w:t>□有，具体规定为：______________</w:t>
      </w:r>
    </w:p>
    <w:p w14:paraId="0FDC8493">
      <w:pPr>
        <w:keepNext w:val="0"/>
        <w:keepLines w:val="0"/>
        <w:pageBreakBefore w:val="0"/>
        <w:widowControl w:val="0"/>
        <w:tabs>
          <w:tab w:val="left" w:pos="1080"/>
          <w:tab w:val="left" w:pos="1589"/>
          <w:tab w:val="left" w:pos="2035"/>
          <w:tab w:val="left" w:pos="2114"/>
        </w:tabs>
        <w:kinsoku/>
        <w:wordWrap/>
        <w:overflowPunct/>
        <w:topLinePunct w:val="0"/>
        <w:autoSpaceDE/>
        <w:autoSpaceDN/>
        <w:bidi w:val="0"/>
        <w:snapToGrid w:val="0"/>
        <w:spacing w:after="0" w:line="360" w:lineRule="auto"/>
        <w:ind w:left="2035"/>
        <w:textAlignment w:val="auto"/>
        <w:rPr>
          <w:rFonts w:hint="eastAsia" w:ascii="宋体" w:hAnsi="宋体" w:cs="宋体"/>
          <w:color w:val="auto"/>
          <w:sz w:val="24"/>
          <w:highlight w:val="none"/>
        </w:rPr>
      </w:pPr>
      <w:r>
        <w:rPr>
          <w:rFonts w:hint="eastAsia" w:ascii="宋体" w:hAnsi="宋体" w:cs="宋体"/>
          <w:color w:val="auto"/>
          <w:sz w:val="15"/>
          <w:szCs w:val="15"/>
          <w:highlight w:val="none"/>
        </w:rPr>
        <w:sym w:font="Wingdings 2" w:char="00A2"/>
      </w:r>
      <w:r>
        <w:rPr>
          <w:rFonts w:hint="eastAsia" w:ascii="宋体" w:hAnsi="宋体" w:cs="宋体"/>
          <w:color w:val="auto"/>
          <w:sz w:val="24"/>
          <w:highlight w:val="none"/>
        </w:rPr>
        <w:t>无，按下述2.4.2-2.4.7项规定修正。</w:t>
      </w:r>
    </w:p>
    <w:p w14:paraId="19D6C356">
      <w:pPr>
        <w:keepNext w:val="0"/>
        <w:keepLines w:val="0"/>
        <w:pageBreakBefore w:val="0"/>
        <w:widowControl w:val="0"/>
        <w:numPr>
          <w:ilvl w:val="2"/>
          <w:numId w:val="15"/>
        </w:numPr>
        <w:tabs>
          <w:tab w:val="left" w:pos="2035"/>
          <w:tab w:val="left" w:pos="2114"/>
          <w:tab w:val="left" w:pos="2977"/>
        </w:tabs>
        <w:kinsoku/>
        <w:wordWrap/>
        <w:overflowPunct/>
        <w:topLinePunct w:val="0"/>
        <w:autoSpaceDE/>
        <w:autoSpaceDN/>
        <w:bidi w:val="0"/>
        <w:snapToGrid w:val="0"/>
        <w:spacing w:after="0" w:line="360" w:lineRule="auto"/>
        <w:ind w:left="2035"/>
        <w:textAlignment w:val="auto"/>
        <w:rPr>
          <w:rFonts w:hint="eastAsia" w:ascii="宋体" w:hAnsi="宋体" w:cs="宋体"/>
          <w:color w:val="auto"/>
          <w:sz w:val="24"/>
          <w:highlight w:val="none"/>
        </w:rPr>
      </w:pPr>
      <w:r>
        <w:rPr>
          <w:rFonts w:hint="eastAsia" w:ascii="宋体" w:hAnsi="宋体" w:cs="宋体"/>
          <w:color w:val="auto"/>
          <w:sz w:val="24"/>
          <w:highlight w:val="none"/>
        </w:rPr>
        <w:t>单独递交的开标一览表（报价表）与投标文件中开标一览表（报价表）内容不一致的，以单独递交的开标一览表（报价表）为准；</w:t>
      </w:r>
    </w:p>
    <w:p w14:paraId="5F107C1A">
      <w:pPr>
        <w:keepNext w:val="0"/>
        <w:keepLines w:val="0"/>
        <w:pageBreakBefore w:val="0"/>
        <w:widowControl w:val="0"/>
        <w:numPr>
          <w:ilvl w:val="2"/>
          <w:numId w:val="15"/>
        </w:numPr>
        <w:tabs>
          <w:tab w:val="left" w:pos="2035"/>
          <w:tab w:val="left" w:pos="2114"/>
          <w:tab w:val="left" w:pos="2977"/>
        </w:tabs>
        <w:kinsoku/>
        <w:wordWrap/>
        <w:overflowPunct/>
        <w:topLinePunct w:val="0"/>
        <w:autoSpaceDE/>
        <w:autoSpaceDN/>
        <w:bidi w:val="0"/>
        <w:snapToGrid w:val="0"/>
        <w:spacing w:after="0" w:line="360" w:lineRule="auto"/>
        <w:ind w:left="2035"/>
        <w:textAlignment w:val="auto"/>
        <w:rPr>
          <w:rFonts w:hint="eastAsia" w:ascii="宋体" w:hAnsi="宋体" w:cs="宋体"/>
          <w:color w:val="auto"/>
          <w:sz w:val="24"/>
          <w:highlight w:val="none"/>
        </w:rPr>
      </w:pPr>
      <w:r>
        <w:rPr>
          <w:rFonts w:hint="eastAsia" w:ascii="宋体" w:hAnsi="宋体" w:cs="宋体"/>
          <w:color w:val="auto"/>
          <w:sz w:val="24"/>
          <w:highlight w:val="none"/>
        </w:rPr>
        <w:t>投标文件中开标一览表（报价表）内容与投标文件中相应内容不一致的，以开标一览表（报价表）为准；</w:t>
      </w:r>
    </w:p>
    <w:p w14:paraId="1675E4B0">
      <w:pPr>
        <w:keepNext w:val="0"/>
        <w:keepLines w:val="0"/>
        <w:pageBreakBefore w:val="0"/>
        <w:widowControl w:val="0"/>
        <w:numPr>
          <w:ilvl w:val="2"/>
          <w:numId w:val="15"/>
        </w:numPr>
        <w:tabs>
          <w:tab w:val="left" w:pos="2035"/>
          <w:tab w:val="left" w:pos="2114"/>
          <w:tab w:val="left" w:pos="2977"/>
        </w:tabs>
        <w:kinsoku/>
        <w:wordWrap/>
        <w:overflowPunct/>
        <w:topLinePunct w:val="0"/>
        <w:autoSpaceDE/>
        <w:autoSpaceDN/>
        <w:bidi w:val="0"/>
        <w:snapToGrid w:val="0"/>
        <w:spacing w:after="0" w:line="360" w:lineRule="auto"/>
        <w:ind w:left="2035"/>
        <w:textAlignment w:val="auto"/>
        <w:rPr>
          <w:rFonts w:hint="eastAsia" w:ascii="宋体" w:hAnsi="宋体" w:cs="宋体"/>
          <w:color w:val="auto"/>
          <w:sz w:val="24"/>
          <w:highlight w:val="none"/>
        </w:rPr>
      </w:pPr>
      <w:r>
        <w:rPr>
          <w:rFonts w:hint="eastAsia" w:ascii="宋体" w:hAnsi="宋体" w:cs="宋体"/>
          <w:color w:val="auto"/>
          <w:sz w:val="24"/>
          <w:highlight w:val="none"/>
        </w:rPr>
        <w:t>大写金额和小写金额不一致的，以大写金额为准；</w:t>
      </w:r>
    </w:p>
    <w:p w14:paraId="43D2F55A">
      <w:pPr>
        <w:keepNext w:val="0"/>
        <w:keepLines w:val="0"/>
        <w:pageBreakBefore w:val="0"/>
        <w:widowControl w:val="0"/>
        <w:numPr>
          <w:ilvl w:val="2"/>
          <w:numId w:val="15"/>
        </w:numPr>
        <w:tabs>
          <w:tab w:val="left" w:pos="2035"/>
          <w:tab w:val="left" w:pos="2114"/>
          <w:tab w:val="left" w:pos="2977"/>
        </w:tabs>
        <w:kinsoku/>
        <w:wordWrap/>
        <w:overflowPunct/>
        <w:topLinePunct w:val="0"/>
        <w:autoSpaceDE/>
        <w:autoSpaceDN/>
        <w:bidi w:val="0"/>
        <w:snapToGrid w:val="0"/>
        <w:spacing w:after="0" w:line="360" w:lineRule="auto"/>
        <w:ind w:left="2035"/>
        <w:textAlignment w:val="auto"/>
        <w:rPr>
          <w:rFonts w:hint="eastAsia" w:ascii="宋体" w:hAnsi="宋体" w:cs="宋体"/>
          <w:color w:val="auto"/>
          <w:sz w:val="24"/>
          <w:highlight w:val="none"/>
        </w:rPr>
      </w:pPr>
      <w:r>
        <w:rPr>
          <w:rFonts w:hint="eastAsia" w:ascii="宋体" w:hAnsi="宋体" w:cs="宋体"/>
          <w:color w:val="auto"/>
          <w:sz w:val="24"/>
          <w:highlight w:val="none"/>
        </w:rPr>
        <w:t>单价金额小数点或者百分比有明显错位的，以开标一览表的总价为准，并修改单价；</w:t>
      </w:r>
    </w:p>
    <w:p w14:paraId="0F1B4721">
      <w:pPr>
        <w:keepNext w:val="0"/>
        <w:keepLines w:val="0"/>
        <w:pageBreakBefore w:val="0"/>
        <w:widowControl w:val="0"/>
        <w:numPr>
          <w:ilvl w:val="2"/>
          <w:numId w:val="15"/>
        </w:numPr>
        <w:tabs>
          <w:tab w:val="left" w:pos="2035"/>
          <w:tab w:val="left" w:pos="2114"/>
          <w:tab w:val="left" w:pos="2977"/>
        </w:tabs>
        <w:kinsoku/>
        <w:wordWrap/>
        <w:overflowPunct/>
        <w:topLinePunct w:val="0"/>
        <w:autoSpaceDE/>
        <w:autoSpaceDN/>
        <w:bidi w:val="0"/>
        <w:snapToGrid w:val="0"/>
        <w:spacing w:after="0" w:line="360" w:lineRule="auto"/>
        <w:ind w:left="2035"/>
        <w:textAlignment w:val="auto"/>
        <w:rPr>
          <w:rFonts w:hint="eastAsia" w:ascii="宋体" w:hAnsi="宋体" w:cs="宋体"/>
          <w:color w:val="auto"/>
          <w:sz w:val="24"/>
          <w:highlight w:val="none"/>
        </w:rPr>
      </w:pPr>
      <w:r>
        <w:rPr>
          <w:rFonts w:hint="eastAsia" w:ascii="宋体" w:hAnsi="宋体" w:cs="宋体"/>
          <w:color w:val="auto"/>
          <w:sz w:val="24"/>
          <w:highlight w:val="none"/>
        </w:rPr>
        <w:t>总价金额与按单价汇总金额不一致的，以单价金额计算结果为准。</w:t>
      </w:r>
    </w:p>
    <w:p w14:paraId="248470C4">
      <w:pPr>
        <w:keepNext w:val="0"/>
        <w:keepLines w:val="0"/>
        <w:pageBreakBefore w:val="0"/>
        <w:widowControl w:val="0"/>
        <w:numPr>
          <w:ilvl w:val="2"/>
          <w:numId w:val="15"/>
        </w:numPr>
        <w:tabs>
          <w:tab w:val="left" w:pos="1080"/>
          <w:tab w:val="left" w:pos="1589"/>
          <w:tab w:val="left" w:pos="2035"/>
          <w:tab w:val="left" w:pos="2114"/>
        </w:tabs>
        <w:kinsoku/>
        <w:wordWrap/>
        <w:overflowPunct/>
        <w:topLinePunct w:val="0"/>
        <w:autoSpaceDE/>
        <w:autoSpaceDN/>
        <w:bidi w:val="0"/>
        <w:snapToGrid w:val="0"/>
        <w:spacing w:after="0" w:line="360" w:lineRule="auto"/>
        <w:ind w:left="2035"/>
        <w:textAlignment w:val="auto"/>
        <w:rPr>
          <w:rFonts w:hint="eastAsia"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w:t>
      </w:r>
    </w:p>
    <w:p w14:paraId="07E6D664">
      <w:pPr>
        <w:keepNext w:val="0"/>
        <w:keepLines w:val="0"/>
        <w:pageBreakBefore w:val="0"/>
        <w:widowControl w:val="0"/>
        <w:numPr>
          <w:ilvl w:val="2"/>
          <w:numId w:val="15"/>
        </w:numPr>
        <w:tabs>
          <w:tab w:val="left" w:pos="1080"/>
          <w:tab w:val="left" w:pos="1589"/>
          <w:tab w:val="left" w:pos="2035"/>
          <w:tab w:val="left" w:pos="2114"/>
        </w:tabs>
        <w:kinsoku/>
        <w:wordWrap/>
        <w:overflowPunct/>
        <w:topLinePunct w:val="0"/>
        <w:autoSpaceDE/>
        <w:autoSpaceDN/>
        <w:bidi w:val="0"/>
        <w:snapToGrid w:val="0"/>
        <w:spacing w:after="0" w:line="360" w:lineRule="auto"/>
        <w:ind w:left="2035"/>
        <w:textAlignment w:val="auto"/>
        <w:rPr>
          <w:rFonts w:hint="eastAsia" w:ascii="宋体" w:hAnsi="宋体" w:cs="宋体"/>
          <w:color w:val="auto"/>
          <w:sz w:val="24"/>
          <w:highlight w:val="none"/>
        </w:rPr>
      </w:pPr>
      <w:r>
        <w:rPr>
          <w:rFonts w:hint="eastAsia" w:ascii="宋体" w:hAnsi="宋体" w:cs="宋体"/>
          <w:color w:val="auto"/>
          <w:sz w:val="24"/>
          <w:highlight w:val="none"/>
        </w:rPr>
        <w:t>修正后的报价经投标人书面确认后产生约束力，投标人不确认的，其</w:t>
      </w:r>
      <w:r>
        <w:rPr>
          <w:rFonts w:hint="eastAsia" w:ascii="宋体" w:hAnsi="宋体" w:cs="宋体"/>
          <w:b/>
          <w:color w:val="auto"/>
          <w:sz w:val="24"/>
          <w:highlight w:val="none"/>
        </w:rPr>
        <w:t>投标无效</w:t>
      </w:r>
      <w:r>
        <w:rPr>
          <w:rFonts w:hint="eastAsia" w:ascii="宋体" w:hAnsi="宋体" w:cs="宋体"/>
          <w:color w:val="auto"/>
          <w:sz w:val="24"/>
          <w:highlight w:val="none"/>
        </w:rPr>
        <w:t>。</w:t>
      </w:r>
    </w:p>
    <w:p w14:paraId="3DBB5CDF">
      <w:pPr>
        <w:keepNext w:val="0"/>
        <w:keepLines w:val="0"/>
        <w:pageBreakBefore w:val="0"/>
        <w:widowControl w:val="0"/>
        <w:numPr>
          <w:ilvl w:val="1"/>
          <w:numId w:val="15"/>
        </w:numPr>
        <w:tabs>
          <w:tab w:val="left" w:pos="1080"/>
        </w:tabs>
        <w:kinsoku/>
        <w:wordWrap/>
        <w:overflowPunct/>
        <w:topLinePunct w:val="0"/>
        <w:autoSpaceDE/>
        <w:autoSpaceDN/>
        <w:bidi w:val="0"/>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落实政府采购政策的价格调整：只有符合第二章《投标人须知》5.2条规定情形的，可以享受中小企业扶持政策，用扣除后的价格参加评审；否则，评标时价格不予扣除。</w:t>
      </w:r>
    </w:p>
    <w:p w14:paraId="57E6A6BC">
      <w:pPr>
        <w:keepNext w:val="0"/>
        <w:keepLines w:val="0"/>
        <w:pageBreakBefore w:val="0"/>
        <w:widowControl w:val="0"/>
        <w:numPr>
          <w:ilvl w:val="2"/>
          <w:numId w:val="15"/>
        </w:numPr>
        <w:tabs>
          <w:tab w:val="left" w:pos="1080"/>
          <w:tab w:val="left" w:pos="1589"/>
          <w:tab w:val="left" w:pos="2035"/>
        </w:tabs>
        <w:kinsoku/>
        <w:wordWrap/>
        <w:overflowPunct/>
        <w:topLinePunct w:val="0"/>
        <w:autoSpaceDE/>
        <w:autoSpaceDN/>
        <w:bidi w:val="0"/>
        <w:snapToGrid w:val="0"/>
        <w:spacing w:after="0" w:line="360" w:lineRule="auto"/>
        <w:ind w:left="2035"/>
        <w:textAlignment w:val="auto"/>
        <w:rPr>
          <w:rFonts w:hint="eastAsia" w:ascii="宋体" w:hAnsi="宋体" w:cs="宋体"/>
          <w:color w:val="auto"/>
          <w:sz w:val="24"/>
          <w:highlight w:val="none"/>
        </w:rPr>
      </w:pPr>
      <w:r>
        <w:rPr>
          <w:rFonts w:hint="eastAsia" w:ascii="宋体" w:hAnsi="宋体" w:cs="宋体"/>
          <w:color w:val="auto"/>
          <w:sz w:val="24"/>
          <w:highlight w:val="none"/>
        </w:rPr>
        <w:t>对于未预留份额专门面向中小企业采购的采购项目，以及预留份额项目中的非预留部分采购包，对小微企业报价给予</w:t>
      </w:r>
      <w:r>
        <w:rPr>
          <w:rFonts w:hint="eastAsia" w:ascii="宋体" w:hAnsi="宋体" w:cs="宋体"/>
          <w:color w:val="auto"/>
          <w:sz w:val="24"/>
          <w:highlight w:val="none"/>
          <w:u w:val="single"/>
        </w:rPr>
        <w:t>10</w:t>
      </w:r>
      <w:r>
        <w:rPr>
          <w:rFonts w:hint="eastAsia" w:ascii="宋体" w:hAnsi="宋体" w:cs="宋体"/>
          <w:color w:val="auto"/>
          <w:sz w:val="24"/>
          <w:highlight w:val="none"/>
        </w:rPr>
        <w:t>%的扣除，用扣除后的价格参加评审。</w:t>
      </w:r>
    </w:p>
    <w:p w14:paraId="46975E53">
      <w:pPr>
        <w:keepNext w:val="0"/>
        <w:keepLines w:val="0"/>
        <w:pageBreakBefore w:val="0"/>
        <w:widowControl w:val="0"/>
        <w:numPr>
          <w:ilvl w:val="2"/>
          <w:numId w:val="15"/>
        </w:numPr>
        <w:tabs>
          <w:tab w:val="left" w:pos="1080"/>
          <w:tab w:val="left" w:pos="1589"/>
          <w:tab w:val="left" w:pos="2035"/>
        </w:tabs>
        <w:kinsoku/>
        <w:wordWrap/>
        <w:overflowPunct/>
        <w:topLinePunct w:val="0"/>
        <w:autoSpaceDE/>
        <w:autoSpaceDN/>
        <w:bidi w:val="0"/>
        <w:snapToGrid w:val="0"/>
        <w:spacing w:after="0" w:line="360" w:lineRule="auto"/>
        <w:ind w:left="2035"/>
        <w:textAlignment w:val="auto"/>
        <w:rPr>
          <w:rFonts w:hint="eastAsia" w:ascii="宋体" w:hAnsi="宋体" w:cs="宋体"/>
          <w:color w:val="auto"/>
          <w:sz w:val="24"/>
          <w:highlight w:val="none"/>
        </w:rPr>
      </w:pPr>
      <w:r>
        <w:rPr>
          <w:rFonts w:hint="eastAsia" w:ascii="宋体" w:hAnsi="宋体" w:cs="宋体"/>
          <w:color w:val="auto"/>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30%以上的联合体或者大中型企业的报价给予__</w:t>
      </w:r>
      <w:r>
        <w:rPr>
          <w:rFonts w:hint="eastAsia" w:ascii="宋体" w:hAnsi="宋体" w:cs="宋体"/>
          <w:color w:val="auto"/>
          <w:sz w:val="24"/>
          <w:highlight w:val="none"/>
          <w:u w:val="single"/>
        </w:rPr>
        <w:t>/</w:t>
      </w:r>
      <w:r>
        <w:rPr>
          <w:rFonts w:hint="eastAsia" w:ascii="宋体" w:hAnsi="宋体" w:cs="宋体"/>
          <w:color w:val="auto"/>
          <w:sz w:val="24"/>
          <w:highlight w:val="none"/>
        </w:rPr>
        <w:t>_%的扣除，用扣除后的价格参加评审。</w:t>
      </w:r>
    </w:p>
    <w:p w14:paraId="380A82CD">
      <w:pPr>
        <w:keepNext w:val="0"/>
        <w:keepLines w:val="0"/>
        <w:pageBreakBefore w:val="0"/>
        <w:widowControl w:val="0"/>
        <w:numPr>
          <w:ilvl w:val="2"/>
          <w:numId w:val="15"/>
        </w:numPr>
        <w:tabs>
          <w:tab w:val="left" w:pos="1080"/>
          <w:tab w:val="left" w:pos="1589"/>
          <w:tab w:val="left" w:pos="2035"/>
        </w:tabs>
        <w:kinsoku/>
        <w:wordWrap/>
        <w:overflowPunct/>
        <w:topLinePunct w:val="0"/>
        <w:autoSpaceDE/>
        <w:autoSpaceDN/>
        <w:bidi w:val="0"/>
        <w:snapToGrid w:val="0"/>
        <w:spacing w:after="0" w:line="360" w:lineRule="auto"/>
        <w:ind w:left="2035"/>
        <w:textAlignment w:val="auto"/>
        <w:rPr>
          <w:rFonts w:hint="eastAsia" w:ascii="宋体" w:hAnsi="宋体" w:cs="宋体"/>
          <w:color w:val="auto"/>
          <w:sz w:val="24"/>
          <w:highlight w:val="none"/>
        </w:rPr>
      </w:pPr>
      <w:r>
        <w:rPr>
          <w:rFonts w:hint="eastAsia" w:ascii="宋体" w:hAnsi="宋体" w:cs="宋体"/>
          <w:color w:val="auto"/>
          <w:sz w:val="24"/>
          <w:highlight w:val="none"/>
        </w:rPr>
        <w:t>组成联合体或者接受分包的小微企业与联合体内其他企业、分包企业之间存在直接控股、管理关系的，不享受价格扣除优惠政策。</w:t>
      </w:r>
    </w:p>
    <w:p w14:paraId="0648B47D">
      <w:pPr>
        <w:keepNext w:val="0"/>
        <w:keepLines w:val="0"/>
        <w:pageBreakBefore w:val="0"/>
        <w:widowControl w:val="0"/>
        <w:numPr>
          <w:ilvl w:val="2"/>
          <w:numId w:val="15"/>
        </w:numPr>
        <w:tabs>
          <w:tab w:val="left" w:pos="1080"/>
          <w:tab w:val="left" w:pos="1589"/>
          <w:tab w:val="left" w:pos="2035"/>
        </w:tabs>
        <w:kinsoku/>
        <w:wordWrap/>
        <w:overflowPunct/>
        <w:topLinePunct w:val="0"/>
        <w:autoSpaceDE/>
        <w:autoSpaceDN/>
        <w:bidi w:val="0"/>
        <w:snapToGrid w:val="0"/>
        <w:spacing w:after="0" w:line="360" w:lineRule="auto"/>
        <w:ind w:left="2035"/>
        <w:textAlignment w:val="auto"/>
        <w:rPr>
          <w:rFonts w:hint="eastAsia" w:ascii="宋体" w:hAnsi="宋体" w:cs="宋体"/>
          <w:color w:val="auto"/>
          <w:sz w:val="24"/>
          <w:highlight w:val="none"/>
        </w:rPr>
      </w:pPr>
      <w:r>
        <w:rPr>
          <w:rFonts w:hint="eastAsia" w:ascii="宋体" w:hAnsi="宋体" w:cs="宋体"/>
          <w:color w:val="auto"/>
          <w:sz w:val="24"/>
          <w:highlight w:val="none"/>
        </w:rPr>
        <w:t>价格扣除比例对小型企业和微型企业同等对待，不作区分。</w:t>
      </w:r>
    </w:p>
    <w:p w14:paraId="2E40D3DD">
      <w:pPr>
        <w:keepNext w:val="0"/>
        <w:keepLines w:val="0"/>
        <w:pageBreakBefore w:val="0"/>
        <w:widowControl w:val="0"/>
        <w:numPr>
          <w:ilvl w:val="2"/>
          <w:numId w:val="15"/>
        </w:numPr>
        <w:tabs>
          <w:tab w:val="left" w:pos="1080"/>
          <w:tab w:val="left" w:pos="1589"/>
          <w:tab w:val="left" w:pos="2035"/>
        </w:tabs>
        <w:kinsoku/>
        <w:wordWrap/>
        <w:overflowPunct/>
        <w:topLinePunct w:val="0"/>
        <w:autoSpaceDE/>
        <w:autoSpaceDN/>
        <w:bidi w:val="0"/>
        <w:snapToGrid w:val="0"/>
        <w:spacing w:after="0" w:line="360" w:lineRule="auto"/>
        <w:ind w:left="2035"/>
        <w:textAlignment w:val="auto"/>
        <w:rPr>
          <w:rFonts w:hint="eastAsia" w:ascii="宋体" w:hAnsi="宋体" w:cs="宋体"/>
          <w:color w:val="auto"/>
          <w:sz w:val="24"/>
          <w:highlight w:val="none"/>
        </w:rPr>
      </w:pPr>
      <w:r>
        <w:rPr>
          <w:rFonts w:hint="eastAsia" w:ascii="宋体" w:hAnsi="宋体" w:cs="宋体"/>
          <w:color w:val="auto"/>
          <w:sz w:val="24"/>
          <w:highlight w:val="none"/>
        </w:rPr>
        <w:t>中小企业参加政府采购活动，应当按照招标文件给定的格式出具《中小企业声明函》，否则不得享受相关中小企业扶持政策。</w:t>
      </w:r>
    </w:p>
    <w:p w14:paraId="080C7E76">
      <w:pPr>
        <w:keepNext w:val="0"/>
        <w:keepLines w:val="0"/>
        <w:pageBreakBefore w:val="0"/>
        <w:widowControl w:val="0"/>
        <w:numPr>
          <w:ilvl w:val="2"/>
          <w:numId w:val="15"/>
        </w:numPr>
        <w:tabs>
          <w:tab w:val="left" w:pos="1080"/>
          <w:tab w:val="left" w:pos="1589"/>
          <w:tab w:val="left" w:pos="2035"/>
        </w:tabs>
        <w:kinsoku/>
        <w:wordWrap/>
        <w:overflowPunct/>
        <w:topLinePunct w:val="0"/>
        <w:autoSpaceDE/>
        <w:autoSpaceDN/>
        <w:bidi w:val="0"/>
        <w:snapToGrid w:val="0"/>
        <w:spacing w:after="0" w:line="360" w:lineRule="auto"/>
        <w:ind w:left="2035"/>
        <w:textAlignment w:val="auto"/>
        <w:rPr>
          <w:rFonts w:hint="eastAsia" w:ascii="宋体" w:hAnsi="宋体" w:cs="宋体"/>
          <w:color w:val="auto"/>
          <w:sz w:val="24"/>
          <w:highlight w:val="none"/>
        </w:rPr>
      </w:pPr>
      <w:r>
        <w:rPr>
          <w:rFonts w:hint="eastAsia" w:ascii="宋体" w:hAnsi="宋体" w:cs="宋体"/>
          <w:color w:val="auto"/>
          <w:sz w:val="24"/>
          <w:highlight w:val="none"/>
        </w:rPr>
        <w:t>监狱企业提供了由省级以上监狱管理局（北京市含教育矫治局）、戒毒管理局（含新疆生产建设兵团）出具的属于监狱企业的证明文件的，视同小微企业。</w:t>
      </w:r>
    </w:p>
    <w:p w14:paraId="625C18AE">
      <w:pPr>
        <w:keepNext w:val="0"/>
        <w:keepLines w:val="0"/>
        <w:pageBreakBefore w:val="0"/>
        <w:widowControl w:val="0"/>
        <w:numPr>
          <w:ilvl w:val="2"/>
          <w:numId w:val="15"/>
        </w:numPr>
        <w:tabs>
          <w:tab w:val="left" w:pos="1080"/>
          <w:tab w:val="left" w:pos="1589"/>
          <w:tab w:val="left" w:pos="2035"/>
        </w:tabs>
        <w:kinsoku/>
        <w:wordWrap/>
        <w:overflowPunct/>
        <w:topLinePunct w:val="0"/>
        <w:autoSpaceDE/>
        <w:autoSpaceDN/>
        <w:bidi w:val="0"/>
        <w:snapToGrid w:val="0"/>
        <w:spacing w:after="0" w:line="360" w:lineRule="auto"/>
        <w:ind w:left="2035"/>
        <w:textAlignment w:val="auto"/>
        <w:rPr>
          <w:rFonts w:hint="eastAsia" w:ascii="宋体" w:hAnsi="宋体" w:cs="宋体"/>
          <w:color w:val="auto"/>
          <w:sz w:val="24"/>
          <w:highlight w:val="none"/>
        </w:rPr>
      </w:pPr>
      <w:r>
        <w:rPr>
          <w:rFonts w:hint="eastAsia" w:ascii="宋体" w:hAnsi="宋体" w:cs="宋体"/>
          <w:color w:val="auto"/>
          <w:sz w:val="24"/>
          <w:highlight w:val="none"/>
        </w:rPr>
        <w:t>残疾人福利性单位按招标文件要求提供了《残疾人福利性单位声明函》（见附件）的，视同小微企业。</w:t>
      </w:r>
    </w:p>
    <w:p w14:paraId="022BC4AC">
      <w:pPr>
        <w:keepNext w:val="0"/>
        <w:keepLines w:val="0"/>
        <w:pageBreakBefore w:val="0"/>
        <w:widowControl w:val="0"/>
        <w:numPr>
          <w:ilvl w:val="2"/>
          <w:numId w:val="15"/>
        </w:numPr>
        <w:tabs>
          <w:tab w:val="left" w:pos="1080"/>
          <w:tab w:val="left" w:pos="1589"/>
          <w:tab w:val="left" w:pos="2014"/>
          <w:tab w:val="clear" w:pos="1980"/>
        </w:tabs>
        <w:kinsoku/>
        <w:wordWrap/>
        <w:overflowPunct/>
        <w:topLinePunct w:val="0"/>
        <w:autoSpaceDE/>
        <w:autoSpaceDN/>
        <w:bidi w:val="0"/>
        <w:snapToGrid w:val="0"/>
        <w:spacing w:after="0" w:line="360" w:lineRule="auto"/>
        <w:ind w:left="2035"/>
        <w:textAlignment w:val="auto"/>
        <w:rPr>
          <w:rFonts w:hint="eastAsia" w:ascii="宋体" w:hAnsi="宋体" w:cs="宋体"/>
          <w:color w:val="auto"/>
          <w:sz w:val="24"/>
          <w:highlight w:val="none"/>
        </w:rPr>
      </w:pPr>
      <w:r>
        <w:rPr>
          <w:rFonts w:hint="eastAsia" w:ascii="宋体" w:hAnsi="宋体" w:cs="宋体"/>
          <w:color w:val="auto"/>
          <w:sz w:val="24"/>
          <w:highlight w:val="none"/>
        </w:rPr>
        <w:t>若投标人同时属于小型或微型企业、监狱企业、残疾人福利性单位中的两种及以上，将不重复享受小微企业价格扣减的优惠政策。</w:t>
      </w:r>
    </w:p>
    <w:p w14:paraId="6424BED1">
      <w:pPr>
        <w:keepNext w:val="0"/>
        <w:keepLines w:val="0"/>
        <w:pageBreakBefore w:val="0"/>
        <w:widowControl w:val="0"/>
        <w:numPr>
          <w:ilvl w:val="0"/>
          <w:numId w:val="15"/>
        </w:numPr>
        <w:tabs>
          <w:tab w:val="left" w:pos="360"/>
        </w:tabs>
        <w:kinsoku/>
        <w:wordWrap/>
        <w:overflowPunct/>
        <w:topLinePunct w:val="0"/>
        <w:autoSpaceDE/>
        <w:autoSpaceDN/>
        <w:bidi w:val="0"/>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投标文件的比较和评价</w:t>
      </w:r>
      <w:bookmarkEnd w:id="782"/>
      <w:bookmarkEnd w:id="783"/>
    </w:p>
    <w:p w14:paraId="70B94AF1">
      <w:pPr>
        <w:keepNext w:val="0"/>
        <w:keepLines w:val="0"/>
        <w:pageBreakBefore w:val="0"/>
        <w:widowControl w:val="0"/>
        <w:numPr>
          <w:ilvl w:val="1"/>
          <w:numId w:val="15"/>
        </w:numPr>
        <w:tabs>
          <w:tab w:val="left" w:pos="1080"/>
        </w:tabs>
        <w:kinsoku/>
        <w:wordWrap/>
        <w:overflowPunct/>
        <w:topLinePunct w:val="0"/>
        <w:autoSpaceDE/>
        <w:autoSpaceDN/>
        <w:bidi w:val="0"/>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评标委员会将按照招标文件中规定的评标方法和标准，对符合性审查合格的投标文件进行商务和技术评估，综合比较与评价；未通过符合性审查的投标文件不得进入比较与评价。</w:t>
      </w:r>
    </w:p>
    <w:p w14:paraId="0F7CE96E">
      <w:pPr>
        <w:keepNext w:val="0"/>
        <w:keepLines w:val="0"/>
        <w:pageBreakBefore w:val="0"/>
        <w:widowControl w:val="0"/>
        <w:numPr>
          <w:ilvl w:val="1"/>
          <w:numId w:val="15"/>
        </w:numPr>
        <w:tabs>
          <w:tab w:val="left" w:pos="1080"/>
        </w:tabs>
        <w:kinsoku/>
        <w:wordWrap/>
        <w:overflowPunct/>
        <w:topLinePunct w:val="0"/>
        <w:autoSpaceDE/>
        <w:autoSpaceDN/>
        <w:bidi w:val="0"/>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评标方法和评标标准</w:t>
      </w:r>
    </w:p>
    <w:p w14:paraId="4613C766">
      <w:pPr>
        <w:keepNext w:val="0"/>
        <w:keepLines w:val="0"/>
        <w:pageBreakBefore w:val="0"/>
        <w:widowControl w:val="0"/>
        <w:numPr>
          <w:ilvl w:val="2"/>
          <w:numId w:val="15"/>
        </w:numPr>
        <w:tabs>
          <w:tab w:val="left" w:pos="1080"/>
          <w:tab w:val="left" w:pos="1589"/>
          <w:tab w:val="left" w:pos="2035"/>
        </w:tabs>
        <w:kinsoku/>
        <w:wordWrap/>
        <w:overflowPunct/>
        <w:topLinePunct w:val="0"/>
        <w:autoSpaceDE/>
        <w:autoSpaceDN/>
        <w:bidi w:val="0"/>
        <w:snapToGrid w:val="0"/>
        <w:spacing w:after="0" w:line="360" w:lineRule="auto"/>
        <w:ind w:left="2035"/>
        <w:textAlignment w:val="auto"/>
        <w:rPr>
          <w:rFonts w:hint="eastAsia" w:ascii="宋体" w:hAnsi="宋体" w:cs="宋体"/>
          <w:color w:val="auto"/>
          <w:sz w:val="24"/>
          <w:highlight w:val="none"/>
        </w:rPr>
      </w:pPr>
      <w:r>
        <w:rPr>
          <w:rFonts w:hint="eastAsia" w:ascii="宋体" w:hAnsi="宋体" w:cs="宋体"/>
          <w:color w:val="auto"/>
          <w:sz w:val="24"/>
          <w:highlight w:val="none"/>
        </w:rPr>
        <w:t>本项目采用的评标方法为：</w:t>
      </w:r>
    </w:p>
    <w:p w14:paraId="7FD574DC">
      <w:pPr>
        <w:keepNext w:val="0"/>
        <w:keepLines w:val="0"/>
        <w:pageBreakBefore w:val="0"/>
        <w:widowControl w:val="0"/>
        <w:tabs>
          <w:tab w:val="left" w:pos="900"/>
          <w:tab w:val="left" w:pos="1589"/>
          <w:tab w:val="left" w:pos="1701"/>
        </w:tabs>
        <w:kinsoku/>
        <w:wordWrap/>
        <w:overflowPunct/>
        <w:topLinePunct w:val="0"/>
        <w:autoSpaceDE/>
        <w:autoSpaceDN/>
        <w:bidi w:val="0"/>
        <w:snapToGrid w:val="0"/>
        <w:spacing w:after="0" w:line="360" w:lineRule="auto"/>
        <w:ind w:left="1985"/>
        <w:textAlignment w:val="auto"/>
        <w:rPr>
          <w:rFonts w:hint="eastAsia" w:ascii="宋体" w:hAnsi="宋体" w:cs="宋体"/>
          <w:color w:val="auto"/>
          <w:sz w:val="24"/>
          <w:highlight w:val="none"/>
        </w:rPr>
      </w:pPr>
      <w:r>
        <w:rPr>
          <w:rFonts w:hint="eastAsia" w:ascii="宋体" w:hAnsi="宋体" w:cs="宋体"/>
          <w:color w:val="auto"/>
          <w:sz w:val="15"/>
          <w:szCs w:val="15"/>
          <w:highlight w:val="none"/>
        </w:rPr>
        <w:t>■</w:t>
      </w:r>
      <w:r>
        <w:rPr>
          <w:rFonts w:hint="eastAsia" w:ascii="宋体" w:hAnsi="宋体" w:cs="宋体"/>
          <w:color w:val="auto"/>
          <w:sz w:val="24"/>
          <w:highlight w:val="none"/>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3AF10FD6">
      <w:pPr>
        <w:keepNext w:val="0"/>
        <w:keepLines w:val="0"/>
        <w:pageBreakBefore w:val="0"/>
        <w:widowControl w:val="0"/>
        <w:tabs>
          <w:tab w:val="left" w:pos="900"/>
          <w:tab w:val="left" w:pos="1589"/>
          <w:tab w:val="left" w:pos="1701"/>
        </w:tabs>
        <w:kinsoku/>
        <w:wordWrap/>
        <w:overflowPunct/>
        <w:topLinePunct w:val="0"/>
        <w:autoSpaceDE/>
        <w:autoSpaceDN/>
        <w:bidi w:val="0"/>
        <w:snapToGrid w:val="0"/>
        <w:spacing w:after="0" w:line="360" w:lineRule="auto"/>
        <w:ind w:left="1985"/>
        <w:textAlignment w:val="auto"/>
        <w:rPr>
          <w:rFonts w:hint="eastAsia" w:ascii="宋体" w:hAnsi="宋体" w:cs="宋体"/>
          <w:color w:val="auto"/>
          <w:sz w:val="24"/>
          <w:highlight w:val="none"/>
        </w:rPr>
      </w:pPr>
      <w:r>
        <w:rPr>
          <w:rFonts w:hint="eastAsia" w:ascii="宋体" w:hAnsi="宋体" w:cs="宋体"/>
          <w:color w:val="auto"/>
          <w:sz w:val="24"/>
          <w:highlight w:val="none"/>
        </w:rPr>
        <w:t>□最低评标价法，指投标文件满足招标文件全部实质性要求，且投标报价最低的投标人为中标候选人的评标方法。</w:t>
      </w:r>
    </w:p>
    <w:p w14:paraId="4CF95E95">
      <w:pPr>
        <w:keepNext w:val="0"/>
        <w:keepLines w:val="0"/>
        <w:pageBreakBefore w:val="0"/>
        <w:widowControl w:val="0"/>
        <w:numPr>
          <w:ilvl w:val="0"/>
          <w:numId w:val="15"/>
        </w:numPr>
        <w:tabs>
          <w:tab w:val="left" w:pos="360"/>
        </w:tabs>
        <w:kinsoku/>
        <w:wordWrap/>
        <w:overflowPunct/>
        <w:topLinePunct w:val="0"/>
        <w:autoSpaceDE/>
        <w:autoSpaceDN/>
        <w:bidi w:val="0"/>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确定</w:t>
      </w:r>
      <w:bookmarkStart w:id="799" w:name="_Toc151193860"/>
      <w:bookmarkStart w:id="800" w:name="_Toc305158814"/>
      <w:bookmarkStart w:id="801" w:name="_Toc226965819"/>
      <w:bookmarkStart w:id="802" w:name="_Toc226309790"/>
      <w:bookmarkStart w:id="803" w:name="_Toc151193934"/>
      <w:bookmarkStart w:id="804" w:name="_Toc520356170"/>
      <w:bookmarkStart w:id="805" w:name="_Toc226337242"/>
      <w:bookmarkStart w:id="806" w:name="_Toc226965736"/>
      <w:bookmarkStart w:id="807" w:name="_Toc195842911"/>
      <w:bookmarkStart w:id="808" w:name="_Toc150774751"/>
      <w:bookmarkStart w:id="809" w:name="_Toc264969236"/>
      <w:bookmarkStart w:id="810" w:name="_Toc150509297"/>
      <w:bookmarkStart w:id="811" w:name="_Toc265228384"/>
      <w:bookmarkStart w:id="812" w:name="_Toc164608660"/>
      <w:bookmarkStart w:id="813" w:name="_Toc150480784"/>
      <w:bookmarkStart w:id="814" w:name="_Toc142311048"/>
      <w:bookmarkStart w:id="815" w:name="_Toc151193788"/>
      <w:bookmarkStart w:id="816" w:name="_Toc164608815"/>
      <w:bookmarkStart w:id="817" w:name="_Ref467307010"/>
      <w:bookmarkStart w:id="818" w:name="_Toc164229241"/>
      <w:bookmarkStart w:id="819" w:name="_Toc150774646"/>
      <w:bookmarkStart w:id="820" w:name="_Toc305158888"/>
      <w:bookmarkStart w:id="821" w:name="_Toc151190173"/>
      <w:bookmarkStart w:id="822" w:name="_Toc127161460"/>
      <w:bookmarkStart w:id="823" w:name="_Toc151193644"/>
      <w:bookmarkStart w:id="824" w:name="_Toc164351640"/>
      <w:bookmarkStart w:id="825" w:name="_Toc127151747"/>
      <w:bookmarkStart w:id="826" w:name="_Toc149720839"/>
      <w:bookmarkStart w:id="827" w:name="_Toc127151546"/>
      <w:bookmarkStart w:id="828" w:name="_Toc164229387"/>
      <w:bookmarkStart w:id="829" w:name="_Toc151193716"/>
      <w:r>
        <w:rPr>
          <w:rFonts w:hint="eastAsia" w:ascii="宋体" w:hAnsi="宋体" w:cs="宋体"/>
          <w:color w:val="auto"/>
          <w:sz w:val="24"/>
          <w:highlight w:val="none"/>
        </w:rPr>
        <w:t>中标候选人名单</w:t>
      </w:r>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p>
    <w:p w14:paraId="15AE4BCE">
      <w:pPr>
        <w:keepNext w:val="0"/>
        <w:keepLines w:val="0"/>
        <w:pageBreakBefore w:val="0"/>
        <w:widowControl w:val="0"/>
        <w:numPr>
          <w:ilvl w:val="1"/>
          <w:numId w:val="15"/>
        </w:numPr>
        <w:tabs>
          <w:tab w:val="left" w:pos="1080"/>
        </w:tabs>
        <w:kinsoku/>
        <w:wordWrap/>
        <w:overflowPunct/>
        <w:topLinePunct w:val="0"/>
        <w:autoSpaceDE/>
        <w:autoSpaceDN/>
        <w:bidi w:val="0"/>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5A9ED0DC">
      <w:pPr>
        <w:pStyle w:val="25"/>
        <w:keepNext w:val="0"/>
        <w:keepLines w:val="0"/>
        <w:pageBreakBefore w:val="0"/>
        <w:widowControl w:val="0"/>
        <w:tabs>
          <w:tab w:val="left" w:pos="900"/>
          <w:tab w:val="left" w:pos="2127"/>
        </w:tabs>
        <w:kinsoku/>
        <w:wordWrap/>
        <w:overflowPunct/>
        <w:topLinePunct w:val="0"/>
        <w:autoSpaceDE/>
        <w:autoSpaceDN/>
        <w:bidi w:val="0"/>
        <w:adjustRightInd w:val="0"/>
        <w:snapToGrid w:val="0"/>
        <w:spacing w:after="0" w:line="360" w:lineRule="auto"/>
        <w:ind w:left="993" w:firstLine="136" w:firstLineChars="57"/>
        <w:textAlignment w:val="auto"/>
        <w:rPr>
          <w:rFonts w:hAnsi="宋体" w:cs="宋体"/>
          <w:color w:val="auto"/>
          <w:sz w:val="24"/>
          <w:szCs w:val="24"/>
          <w:highlight w:val="none"/>
        </w:rPr>
      </w:pPr>
      <w:r>
        <w:rPr>
          <w:rFonts w:hAnsi="宋体" w:cs="宋体"/>
          <w:color w:val="auto"/>
          <w:sz w:val="24"/>
          <w:szCs w:val="24"/>
          <w:highlight w:val="none"/>
        </w:rPr>
        <w:t>□随机抽取</w:t>
      </w:r>
    </w:p>
    <w:p w14:paraId="19BF7C83">
      <w:pPr>
        <w:pStyle w:val="25"/>
        <w:keepNext w:val="0"/>
        <w:keepLines w:val="0"/>
        <w:pageBreakBefore w:val="0"/>
        <w:widowControl w:val="0"/>
        <w:tabs>
          <w:tab w:val="left" w:pos="900"/>
          <w:tab w:val="left" w:pos="2127"/>
        </w:tabs>
        <w:kinsoku/>
        <w:wordWrap/>
        <w:overflowPunct/>
        <w:topLinePunct w:val="0"/>
        <w:autoSpaceDE/>
        <w:autoSpaceDN/>
        <w:bidi w:val="0"/>
        <w:adjustRightInd w:val="0"/>
        <w:snapToGrid w:val="0"/>
        <w:spacing w:after="0" w:line="360" w:lineRule="auto"/>
        <w:ind w:left="993" w:firstLine="85" w:firstLineChars="57"/>
        <w:textAlignment w:val="auto"/>
        <w:rPr>
          <w:rFonts w:hAnsi="宋体" w:cs="宋体"/>
          <w:color w:val="auto"/>
          <w:sz w:val="24"/>
          <w:szCs w:val="24"/>
          <w:highlight w:val="none"/>
        </w:rPr>
      </w:pPr>
      <w:r>
        <w:rPr>
          <w:rFonts w:hAnsi="宋体" w:cs="宋体"/>
          <w:color w:val="auto"/>
          <w:sz w:val="15"/>
          <w:szCs w:val="15"/>
          <w:highlight w:val="none"/>
        </w:rPr>
        <w:t>■</w:t>
      </w:r>
      <w:r>
        <w:rPr>
          <w:rFonts w:hAnsi="宋体" w:cs="宋体"/>
          <w:color w:val="auto"/>
          <w:sz w:val="24"/>
          <w:szCs w:val="24"/>
          <w:highlight w:val="none"/>
        </w:rPr>
        <w:t>其他方式，具体要求：</w:t>
      </w:r>
      <w:r>
        <w:rPr>
          <w:rFonts w:hAnsi="宋体" w:cs="宋体"/>
          <w:color w:val="auto"/>
          <w:sz w:val="24"/>
          <w:szCs w:val="24"/>
          <w:highlight w:val="none"/>
          <w:u w:val="single"/>
        </w:rPr>
        <w:t>技术部分得分高者获得中标人推荐资格</w:t>
      </w:r>
    </w:p>
    <w:p w14:paraId="62187957">
      <w:pPr>
        <w:keepNext w:val="0"/>
        <w:keepLines w:val="0"/>
        <w:pageBreakBefore w:val="0"/>
        <w:widowControl w:val="0"/>
        <w:numPr>
          <w:ilvl w:val="1"/>
          <w:numId w:val="15"/>
        </w:numPr>
        <w:tabs>
          <w:tab w:val="left" w:pos="1080"/>
        </w:tabs>
        <w:kinsoku/>
        <w:wordWrap/>
        <w:overflowPunct/>
        <w:topLinePunct w:val="0"/>
        <w:autoSpaceDE/>
        <w:autoSpaceDN/>
        <w:bidi w:val="0"/>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5FF3F0F2">
      <w:pPr>
        <w:keepNext w:val="0"/>
        <w:keepLines w:val="0"/>
        <w:pageBreakBefore w:val="0"/>
        <w:widowControl w:val="0"/>
        <w:numPr>
          <w:ilvl w:val="1"/>
          <w:numId w:val="15"/>
        </w:numPr>
        <w:tabs>
          <w:tab w:val="left" w:pos="1080"/>
        </w:tabs>
        <w:kinsoku/>
        <w:wordWrap/>
        <w:overflowPunct/>
        <w:topLinePunct w:val="0"/>
        <w:autoSpaceDE/>
        <w:autoSpaceDN/>
        <w:bidi w:val="0"/>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评标委员会要对评分汇总情况进行复核，特别是对排名第一的、报价最低的、投标或响应文件被认定为无效的情形进行重点复核。</w:t>
      </w:r>
    </w:p>
    <w:p w14:paraId="2C6F54CC">
      <w:pPr>
        <w:keepNext w:val="0"/>
        <w:keepLines w:val="0"/>
        <w:pageBreakBefore w:val="0"/>
        <w:widowControl w:val="0"/>
        <w:numPr>
          <w:ilvl w:val="1"/>
          <w:numId w:val="15"/>
        </w:numPr>
        <w:tabs>
          <w:tab w:val="left" w:pos="1080"/>
        </w:tabs>
        <w:kinsoku/>
        <w:wordWrap/>
        <w:overflowPunct/>
        <w:topLinePunct w:val="0"/>
        <w:autoSpaceDE/>
        <w:autoSpaceDN/>
        <w:bidi w:val="0"/>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评标委员会将根据各投标人的评标排序，依次推荐本项目（各采购包）的中标候选人</w:t>
      </w:r>
      <w:r>
        <w:rPr>
          <w:rFonts w:hint="eastAsia" w:ascii="宋体" w:hAnsi="宋体" w:cs="宋体"/>
          <w:color w:val="auto"/>
          <w:sz w:val="24"/>
          <w:highlight w:val="none"/>
        </w:rPr>
        <w:t>，起草并签署评标报告</w:t>
      </w:r>
      <w:r>
        <w:rPr>
          <w:rFonts w:hint="eastAsia" w:ascii="宋体" w:hAnsi="宋体" w:cs="宋体"/>
          <w:color w:val="auto"/>
          <w:sz w:val="24"/>
          <w:highlight w:val="none"/>
        </w:rPr>
        <w:t>。本项目（各采购包）评标委员会共（各）推荐</w:t>
      </w:r>
      <w:r>
        <w:rPr>
          <w:rFonts w:hint="eastAsia" w:ascii="宋体" w:hAnsi="宋体" w:cs="宋体"/>
          <w:color w:val="auto"/>
          <w:sz w:val="24"/>
          <w:highlight w:val="none"/>
          <w:u w:val="single"/>
        </w:rPr>
        <w:t xml:space="preserve">  3 </w:t>
      </w:r>
      <w:r>
        <w:rPr>
          <w:rFonts w:hint="eastAsia" w:ascii="宋体" w:hAnsi="宋体" w:cs="宋体"/>
          <w:color w:val="auto"/>
          <w:sz w:val="24"/>
          <w:highlight w:val="none"/>
        </w:rPr>
        <w:t>名中标候选人。</w:t>
      </w:r>
    </w:p>
    <w:p w14:paraId="4614EAA1">
      <w:pPr>
        <w:keepNext w:val="0"/>
        <w:keepLines w:val="0"/>
        <w:pageBreakBefore w:val="0"/>
        <w:widowControl w:val="0"/>
        <w:numPr>
          <w:ilvl w:val="0"/>
          <w:numId w:val="15"/>
        </w:numPr>
        <w:tabs>
          <w:tab w:val="left" w:pos="360"/>
        </w:tabs>
        <w:kinsoku/>
        <w:wordWrap/>
        <w:overflowPunct/>
        <w:topLinePunct w:val="0"/>
        <w:autoSpaceDE/>
        <w:autoSpaceDN/>
        <w:bidi w:val="0"/>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报告违法行为</w:t>
      </w:r>
    </w:p>
    <w:p w14:paraId="2B79F822">
      <w:pPr>
        <w:keepNext w:val="0"/>
        <w:keepLines w:val="0"/>
        <w:pageBreakBefore w:val="0"/>
        <w:widowControl w:val="0"/>
        <w:numPr>
          <w:ilvl w:val="1"/>
          <w:numId w:val="15"/>
        </w:numPr>
        <w:tabs>
          <w:tab w:val="left" w:pos="1080"/>
        </w:tabs>
        <w:kinsoku/>
        <w:wordWrap/>
        <w:overflowPunct/>
        <w:topLinePunct w:val="0"/>
        <w:autoSpaceDE/>
        <w:autoSpaceDN/>
        <w:bidi w:val="0"/>
        <w:snapToGrid w:val="0"/>
        <w:spacing w:after="0" w:line="360" w:lineRule="auto"/>
        <w:ind w:left="1077" w:hanging="720"/>
        <w:textAlignment w:val="auto"/>
        <w:rPr>
          <w:rFonts w:hint="eastAsia" w:ascii="宋体" w:hAnsi="宋体" w:cs="宋体"/>
          <w:color w:val="auto"/>
          <w:sz w:val="24"/>
          <w:highlight w:val="none"/>
        </w:rPr>
      </w:pPr>
      <w:r>
        <w:rPr>
          <w:rFonts w:hint="eastAsia" w:ascii="宋体" w:hAnsi="宋体" w:cs="宋体"/>
          <w:color w:val="auto"/>
          <w:sz w:val="24"/>
          <w:highlight w:val="none"/>
        </w:rPr>
        <w:t>评标委员会在评标过程中发现投标人有行贿、提供虚假材料或者串通等违法行为时，有向采购人、采购代理机构或者有关部门报告的职责。</w:t>
      </w:r>
    </w:p>
    <w:p w14:paraId="0130FB6F">
      <w:pPr>
        <w:widowControl/>
        <w:jc w:val="left"/>
        <w:rPr>
          <w:rFonts w:hint="eastAsia" w:ascii="宋体" w:hAnsi="宋体" w:cs="宋体"/>
          <w:b/>
          <w:color w:val="auto"/>
          <w:sz w:val="24"/>
          <w:highlight w:val="none"/>
        </w:rPr>
      </w:pPr>
      <w:r>
        <w:rPr>
          <w:rFonts w:hint="eastAsia" w:ascii="宋体" w:hAnsi="宋体" w:cs="宋体"/>
          <w:b/>
          <w:color w:val="auto"/>
          <w:sz w:val="24"/>
          <w:highlight w:val="none"/>
        </w:rPr>
        <w:br w:type="page"/>
      </w:r>
    </w:p>
    <w:p w14:paraId="4F2A84F3">
      <w:pPr>
        <w:numPr>
          <w:ilvl w:val="0"/>
          <w:numId w:val="17"/>
        </w:numPr>
        <w:tabs>
          <w:tab w:val="left" w:pos="360"/>
          <w:tab w:val="left" w:pos="900"/>
        </w:tabs>
        <w:snapToGrid w:val="0"/>
        <w:spacing w:line="360" w:lineRule="auto"/>
        <w:jc w:val="center"/>
        <w:outlineLvl w:val="1"/>
        <w:rPr>
          <w:rFonts w:hint="eastAsia" w:ascii="宋体" w:hAnsi="宋体" w:cs="宋体"/>
          <w:b/>
          <w:color w:val="auto"/>
          <w:sz w:val="24"/>
          <w:highlight w:val="none"/>
        </w:rPr>
      </w:pPr>
      <w:r>
        <w:rPr>
          <w:rFonts w:hint="eastAsia" w:ascii="宋体" w:hAnsi="宋体" w:cs="宋体"/>
          <w:b/>
          <w:color w:val="auto"/>
          <w:sz w:val="24"/>
          <w:highlight w:val="none"/>
        </w:rPr>
        <w:t>评标标准</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486"/>
        <w:gridCol w:w="840"/>
        <w:gridCol w:w="5477"/>
      </w:tblGrid>
      <w:tr w14:paraId="3AFDE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blHeader/>
          <w:jc w:val="center"/>
        </w:trPr>
        <w:tc>
          <w:tcPr>
            <w:tcW w:w="784" w:type="dxa"/>
            <w:vAlign w:val="center"/>
          </w:tcPr>
          <w:p w14:paraId="2D3B3DE3">
            <w:pPr>
              <w:keepNext w:val="0"/>
              <w:keepLines w:val="0"/>
              <w:pageBreakBefore w:val="0"/>
              <w:widowControl/>
              <w:kinsoku/>
              <w:overflowPunct/>
              <w:topLinePunct w:val="0"/>
              <w:autoSpaceDE/>
              <w:autoSpaceDN/>
              <w:bidi w:val="0"/>
              <w:adjustRightInd/>
              <w:snapToGrid/>
              <w:spacing w:after="0" w:line="320" w:lineRule="exact"/>
              <w:ind w:firstLine="28"/>
              <w:jc w:val="center"/>
              <w:textAlignment w:val="auto"/>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486" w:type="dxa"/>
            <w:vAlign w:val="center"/>
          </w:tcPr>
          <w:p w14:paraId="54C20A13">
            <w:pPr>
              <w:keepNext w:val="0"/>
              <w:keepLines w:val="0"/>
              <w:pageBreakBefore w:val="0"/>
              <w:widowControl/>
              <w:kinsoku/>
              <w:overflowPunct/>
              <w:topLinePunct w:val="0"/>
              <w:autoSpaceDE/>
              <w:autoSpaceDN/>
              <w:bidi w:val="0"/>
              <w:adjustRightInd/>
              <w:snapToGrid/>
              <w:spacing w:after="0" w:line="320" w:lineRule="exact"/>
              <w:ind w:firstLine="28"/>
              <w:jc w:val="center"/>
              <w:textAlignment w:val="auto"/>
              <w:rPr>
                <w:rFonts w:hint="eastAsia" w:ascii="宋体" w:hAnsi="宋体" w:cs="宋体"/>
                <w:b/>
                <w:color w:val="auto"/>
                <w:sz w:val="24"/>
                <w:highlight w:val="none"/>
              </w:rPr>
            </w:pPr>
            <w:r>
              <w:rPr>
                <w:rFonts w:hint="eastAsia" w:ascii="宋体" w:hAnsi="宋体" w:cs="宋体"/>
                <w:b/>
                <w:color w:val="auto"/>
                <w:sz w:val="24"/>
                <w:highlight w:val="none"/>
              </w:rPr>
              <w:t>评分因素</w:t>
            </w:r>
          </w:p>
        </w:tc>
        <w:tc>
          <w:tcPr>
            <w:tcW w:w="840" w:type="dxa"/>
            <w:vAlign w:val="center"/>
          </w:tcPr>
          <w:p w14:paraId="33096839">
            <w:pPr>
              <w:keepNext w:val="0"/>
              <w:keepLines w:val="0"/>
              <w:pageBreakBefore w:val="0"/>
              <w:widowControl/>
              <w:kinsoku/>
              <w:overflowPunct/>
              <w:topLinePunct w:val="0"/>
              <w:autoSpaceDE/>
              <w:autoSpaceDN/>
              <w:bidi w:val="0"/>
              <w:adjustRightInd/>
              <w:snapToGrid/>
              <w:spacing w:after="0" w:line="320" w:lineRule="exact"/>
              <w:ind w:firstLine="28"/>
              <w:jc w:val="center"/>
              <w:textAlignment w:val="auto"/>
              <w:rPr>
                <w:rFonts w:hint="eastAsia" w:ascii="宋体" w:hAnsi="宋体" w:cs="宋体"/>
                <w:b/>
                <w:color w:val="auto"/>
                <w:sz w:val="24"/>
                <w:highlight w:val="none"/>
              </w:rPr>
            </w:pPr>
            <w:r>
              <w:rPr>
                <w:rFonts w:hint="eastAsia" w:ascii="宋体" w:hAnsi="宋体" w:cs="宋体"/>
                <w:b/>
                <w:color w:val="auto"/>
                <w:sz w:val="24"/>
                <w:highlight w:val="none"/>
              </w:rPr>
              <w:t>分值</w:t>
            </w:r>
          </w:p>
        </w:tc>
        <w:tc>
          <w:tcPr>
            <w:tcW w:w="5477" w:type="dxa"/>
            <w:vAlign w:val="center"/>
          </w:tcPr>
          <w:p w14:paraId="0AF02D13">
            <w:pPr>
              <w:keepNext w:val="0"/>
              <w:keepLines w:val="0"/>
              <w:pageBreakBefore w:val="0"/>
              <w:widowControl/>
              <w:kinsoku/>
              <w:overflowPunct/>
              <w:topLinePunct w:val="0"/>
              <w:autoSpaceDE/>
              <w:autoSpaceDN/>
              <w:bidi w:val="0"/>
              <w:adjustRightInd/>
              <w:snapToGrid/>
              <w:spacing w:after="0" w:line="320" w:lineRule="exact"/>
              <w:ind w:firstLine="28"/>
              <w:jc w:val="center"/>
              <w:textAlignment w:val="auto"/>
              <w:rPr>
                <w:rFonts w:hint="eastAsia" w:ascii="宋体" w:hAnsi="宋体" w:cs="宋体"/>
                <w:b/>
                <w:color w:val="auto"/>
                <w:sz w:val="24"/>
                <w:highlight w:val="none"/>
              </w:rPr>
            </w:pPr>
            <w:r>
              <w:rPr>
                <w:rFonts w:hint="eastAsia" w:ascii="宋体" w:hAnsi="宋体" w:cs="宋体"/>
                <w:b/>
                <w:color w:val="auto"/>
                <w:sz w:val="24"/>
                <w:highlight w:val="none"/>
              </w:rPr>
              <w:t>评分标准</w:t>
            </w:r>
          </w:p>
        </w:tc>
      </w:tr>
      <w:tr w14:paraId="73C66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blHeader/>
          <w:jc w:val="center"/>
        </w:trPr>
        <w:tc>
          <w:tcPr>
            <w:tcW w:w="784" w:type="dxa"/>
            <w:vAlign w:val="center"/>
          </w:tcPr>
          <w:p w14:paraId="39ABC808">
            <w:pPr>
              <w:keepNext w:val="0"/>
              <w:keepLines w:val="0"/>
              <w:pageBreakBefore w:val="0"/>
              <w:widowControl/>
              <w:kinsoku/>
              <w:overflowPunct/>
              <w:topLinePunct w:val="0"/>
              <w:autoSpaceDE/>
              <w:autoSpaceDN/>
              <w:bidi w:val="0"/>
              <w:adjustRightInd/>
              <w:snapToGrid/>
              <w:spacing w:after="0" w:line="320" w:lineRule="exact"/>
              <w:ind w:firstLine="28"/>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1</w:t>
            </w:r>
          </w:p>
        </w:tc>
        <w:tc>
          <w:tcPr>
            <w:tcW w:w="1486" w:type="dxa"/>
            <w:vAlign w:val="center"/>
          </w:tcPr>
          <w:p w14:paraId="0E25ABC2">
            <w:pPr>
              <w:keepNext w:val="0"/>
              <w:keepLines w:val="0"/>
              <w:pageBreakBefore w:val="0"/>
              <w:widowControl/>
              <w:kinsoku/>
              <w:overflowPunct/>
              <w:topLinePunct w:val="0"/>
              <w:autoSpaceDE/>
              <w:autoSpaceDN/>
              <w:bidi w:val="0"/>
              <w:adjustRightInd/>
              <w:snapToGrid/>
              <w:spacing w:after="0" w:line="320" w:lineRule="exact"/>
              <w:ind w:firstLine="28"/>
              <w:jc w:val="center"/>
              <w:textAlignment w:val="auto"/>
              <w:rPr>
                <w:rFonts w:hint="eastAsia" w:ascii="宋体" w:hAnsi="宋体" w:cs="宋体"/>
                <w:bCs/>
                <w:color w:val="auto"/>
                <w:sz w:val="24"/>
                <w:highlight w:val="none"/>
              </w:rPr>
            </w:pPr>
            <w:r>
              <w:rPr>
                <w:rFonts w:hint="eastAsia" w:ascii="宋体" w:hAnsi="宋体" w:cs="宋体"/>
                <w:bCs/>
                <w:color w:val="auto"/>
                <w:sz w:val="24"/>
                <w:highlight w:val="none"/>
              </w:rPr>
              <w:t>商务部分</w:t>
            </w:r>
          </w:p>
        </w:tc>
        <w:tc>
          <w:tcPr>
            <w:tcW w:w="840" w:type="dxa"/>
            <w:vAlign w:val="center"/>
          </w:tcPr>
          <w:p w14:paraId="563AE494">
            <w:pPr>
              <w:keepNext w:val="0"/>
              <w:keepLines w:val="0"/>
              <w:pageBreakBefore w:val="0"/>
              <w:widowControl/>
              <w:kinsoku/>
              <w:overflowPunct/>
              <w:topLinePunct w:val="0"/>
              <w:autoSpaceDE/>
              <w:autoSpaceDN/>
              <w:bidi w:val="0"/>
              <w:adjustRightInd/>
              <w:snapToGrid/>
              <w:spacing w:after="0" w:line="320" w:lineRule="exact"/>
              <w:ind w:firstLine="28"/>
              <w:jc w:val="center"/>
              <w:textAlignment w:val="auto"/>
              <w:rPr>
                <w:rFonts w:hint="eastAsia" w:ascii="宋体" w:hAnsi="宋体" w:cs="宋体"/>
                <w:bCs/>
                <w:color w:val="auto"/>
                <w:sz w:val="24"/>
                <w:highlight w:val="none"/>
              </w:rPr>
            </w:pPr>
          </w:p>
        </w:tc>
        <w:tc>
          <w:tcPr>
            <w:tcW w:w="5477" w:type="dxa"/>
            <w:vAlign w:val="center"/>
          </w:tcPr>
          <w:p w14:paraId="2C5FD6F6">
            <w:pPr>
              <w:keepNext w:val="0"/>
              <w:keepLines w:val="0"/>
              <w:pageBreakBefore w:val="0"/>
              <w:widowControl/>
              <w:kinsoku/>
              <w:overflowPunct/>
              <w:topLinePunct w:val="0"/>
              <w:autoSpaceDE/>
              <w:autoSpaceDN/>
              <w:bidi w:val="0"/>
              <w:adjustRightInd/>
              <w:snapToGrid/>
              <w:spacing w:after="0" w:line="320" w:lineRule="exact"/>
              <w:ind w:firstLine="480"/>
              <w:textAlignment w:val="auto"/>
              <w:rPr>
                <w:rFonts w:hint="eastAsia" w:ascii="宋体" w:hAnsi="宋体" w:cs="宋体"/>
                <w:color w:val="auto"/>
                <w:sz w:val="24"/>
                <w:highlight w:val="none"/>
              </w:rPr>
            </w:pPr>
          </w:p>
        </w:tc>
      </w:tr>
      <w:tr w14:paraId="0BE6F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4" w:type="dxa"/>
            <w:vAlign w:val="center"/>
          </w:tcPr>
          <w:p w14:paraId="1CD0C35B">
            <w:pPr>
              <w:keepNext w:val="0"/>
              <w:keepLines w:val="0"/>
              <w:pageBreakBefore w:val="0"/>
              <w:widowControl/>
              <w:kinsoku/>
              <w:overflowPunct/>
              <w:topLinePunct w:val="0"/>
              <w:autoSpaceDE/>
              <w:autoSpaceDN/>
              <w:bidi w:val="0"/>
              <w:adjustRightInd/>
              <w:snapToGrid/>
              <w:spacing w:after="0" w:line="320" w:lineRule="exact"/>
              <w:ind w:firstLine="28"/>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1.1</w:t>
            </w:r>
          </w:p>
        </w:tc>
        <w:tc>
          <w:tcPr>
            <w:tcW w:w="1486" w:type="dxa"/>
            <w:vAlign w:val="center"/>
          </w:tcPr>
          <w:p w14:paraId="0FE33122">
            <w:pPr>
              <w:keepNext w:val="0"/>
              <w:keepLines w:val="0"/>
              <w:pageBreakBefore w:val="0"/>
              <w:widowControl/>
              <w:kinsoku/>
              <w:overflowPunct/>
              <w:topLinePunct w:val="0"/>
              <w:autoSpaceDE/>
              <w:autoSpaceDN/>
              <w:bidi w:val="0"/>
              <w:adjustRightInd/>
              <w:snapToGrid/>
              <w:spacing w:after="0" w:line="320" w:lineRule="exact"/>
              <w:ind w:firstLine="28"/>
              <w:jc w:val="center"/>
              <w:textAlignment w:val="auto"/>
              <w:rPr>
                <w:rFonts w:hint="eastAsia" w:ascii="宋体" w:hAnsi="宋体" w:cs="宋体"/>
                <w:color w:val="auto"/>
                <w:sz w:val="24"/>
                <w:highlight w:val="none"/>
              </w:rPr>
            </w:pPr>
            <w:r>
              <w:rPr>
                <w:rFonts w:hint="eastAsia" w:ascii="宋体" w:hAnsi="宋体" w:cs="宋体"/>
                <w:bCs/>
                <w:color w:val="auto"/>
                <w:sz w:val="24"/>
                <w:highlight w:val="none"/>
              </w:rPr>
              <w:t>投标人同类项目业绩</w:t>
            </w:r>
          </w:p>
        </w:tc>
        <w:tc>
          <w:tcPr>
            <w:tcW w:w="840" w:type="dxa"/>
            <w:vAlign w:val="center"/>
          </w:tcPr>
          <w:p w14:paraId="19E0AC3D">
            <w:pPr>
              <w:keepNext w:val="0"/>
              <w:keepLines w:val="0"/>
              <w:pageBreakBefore w:val="0"/>
              <w:widowControl/>
              <w:kinsoku/>
              <w:overflowPunct/>
              <w:topLinePunct w:val="0"/>
              <w:autoSpaceDE/>
              <w:autoSpaceDN/>
              <w:bidi w:val="0"/>
              <w:adjustRightInd/>
              <w:snapToGrid/>
              <w:spacing w:after="0" w:line="320" w:lineRule="exact"/>
              <w:ind w:firstLine="28"/>
              <w:jc w:val="center"/>
              <w:textAlignment w:val="auto"/>
              <w:rPr>
                <w:rFonts w:hint="eastAsia" w:ascii="宋体" w:hAnsi="宋体" w:cs="宋体"/>
                <w:color w:val="auto"/>
                <w:sz w:val="24"/>
                <w:highlight w:val="none"/>
              </w:rPr>
            </w:pPr>
            <w:r>
              <w:rPr>
                <w:rFonts w:hint="eastAsia" w:ascii="宋体" w:hAnsi="宋体" w:cs="宋体"/>
                <w:bCs/>
                <w:color w:val="auto"/>
                <w:sz w:val="24"/>
                <w:highlight w:val="none"/>
              </w:rPr>
              <w:t>15</w:t>
            </w:r>
          </w:p>
        </w:tc>
        <w:tc>
          <w:tcPr>
            <w:tcW w:w="5477" w:type="dxa"/>
            <w:vAlign w:val="center"/>
          </w:tcPr>
          <w:p w14:paraId="5B3C4D31">
            <w:pPr>
              <w:keepNext w:val="0"/>
              <w:keepLines w:val="0"/>
              <w:pageBreakBefore w:val="0"/>
              <w:widowControl/>
              <w:kinsoku/>
              <w:overflowPunct/>
              <w:topLinePunct w:val="0"/>
              <w:autoSpaceDE/>
              <w:autoSpaceDN/>
              <w:bidi w:val="0"/>
              <w:adjustRightInd/>
              <w:snapToGrid/>
              <w:spacing w:after="0"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提供自2022年1月1日至今（</w:t>
            </w:r>
            <w:r>
              <w:rPr>
                <w:rFonts w:hint="eastAsia" w:ascii="宋体" w:hAnsi="宋体" w:cs="宋体"/>
                <w:color w:val="auto"/>
                <w:kern w:val="0"/>
                <w:sz w:val="24"/>
                <w:highlight w:val="none"/>
              </w:rPr>
              <w:t>以合同签订时间为准</w:t>
            </w:r>
            <w:r>
              <w:rPr>
                <w:rFonts w:hint="eastAsia" w:ascii="宋体" w:hAnsi="宋体" w:cs="宋体"/>
                <w:color w:val="auto"/>
                <w:sz w:val="24"/>
                <w:highlight w:val="none"/>
              </w:rPr>
              <w:t>）的同类项目业绩。每提供一个同类项目业绩得3分，最多得15分。</w:t>
            </w:r>
          </w:p>
          <w:p w14:paraId="336A3103">
            <w:pPr>
              <w:keepNext w:val="0"/>
              <w:keepLines w:val="0"/>
              <w:pageBreakBefore w:val="0"/>
              <w:widowControl/>
              <w:kinsoku/>
              <w:overflowPunct/>
              <w:topLinePunct w:val="0"/>
              <w:autoSpaceDE/>
              <w:autoSpaceDN/>
              <w:bidi w:val="0"/>
              <w:adjustRightInd/>
              <w:snapToGrid/>
              <w:spacing w:after="0"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注：须提供合同复印件并加盖投标人公章。</w:t>
            </w:r>
          </w:p>
        </w:tc>
      </w:tr>
      <w:tr w14:paraId="5702B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4" w:type="dxa"/>
            <w:vAlign w:val="center"/>
          </w:tcPr>
          <w:p w14:paraId="37684459">
            <w:pPr>
              <w:keepNext w:val="0"/>
              <w:keepLines w:val="0"/>
              <w:pageBreakBefore w:val="0"/>
              <w:widowControl/>
              <w:kinsoku/>
              <w:overflowPunct/>
              <w:topLinePunct w:val="0"/>
              <w:autoSpaceDE/>
              <w:autoSpaceDN/>
              <w:bidi w:val="0"/>
              <w:adjustRightInd/>
              <w:snapToGrid/>
              <w:spacing w:after="0" w:line="320" w:lineRule="exact"/>
              <w:ind w:firstLine="28"/>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1.2</w:t>
            </w:r>
          </w:p>
        </w:tc>
        <w:tc>
          <w:tcPr>
            <w:tcW w:w="1486" w:type="dxa"/>
            <w:vAlign w:val="center"/>
          </w:tcPr>
          <w:p w14:paraId="3612D20A">
            <w:pPr>
              <w:keepNext w:val="0"/>
              <w:keepLines w:val="0"/>
              <w:pageBreakBefore w:val="0"/>
              <w:widowControl/>
              <w:kinsoku/>
              <w:overflowPunct/>
              <w:topLinePunct w:val="0"/>
              <w:autoSpaceDE/>
              <w:autoSpaceDN/>
              <w:bidi w:val="0"/>
              <w:adjustRightInd/>
              <w:snapToGrid/>
              <w:spacing w:after="0" w:line="320" w:lineRule="exact"/>
              <w:ind w:firstLine="28"/>
              <w:jc w:val="center"/>
              <w:textAlignment w:val="auto"/>
              <w:rPr>
                <w:rFonts w:hint="eastAsia" w:ascii="宋体" w:hAnsi="宋体" w:cs="宋体"/>
                <w:bCs/>
                <w:color w:val="auto"/>
                <w:sz w:val="24"/>
                <w:highlight w:val="none"/>
              </w:rPr>
            </w:pPr>
            <w:r>
              <w:rPr>
                <w:rFonts w:hint="eastAsia" w:ascii="宋体" w:hAnsi="宋体" w:cs="宋体"/>
                <w:bCs/>
                <w:color w:val="auto"/>
                <w:sz w:val="24"/>
                <w:highlight w:val="none"/>
              </w:rPr>
              <w:t>认证体系证书</w:t>
            </w:r>
          </w:p>
        </w:tc>
        <w:tc>
          <w:tcPr>
            <w:tcW w:w="840" w:type="dxa"/>
            <w:vAlign w:val="center"/>
          </w:tcPr>
          <w:p w14:paraId="0B109CF5">
            <w:pPr>
              <w:keepNext w:val="0"/>
              <w:keepLines w:val="0"/>
              <w:pageBreakBefore w:val="0"/>
              <w:widowControl/>
              <w:kinsoku/>
              <w:overflowPunct/>
              <w:topLinePunct w:val="0"/>
              <w:autoSpaceDE/>
              <w:autoSpaceDN/>
              <w:bidi w:val="0"/>
              <w:adjustRightInd/>
              <w:snapToGrid/>
              <w:spacing w:after="0" w:line="320" w:lineRule="exact"/>
              <w:ind w:firstLine="28"/>
              <w:jc w:val="center"/>
              <w:textAlignment w:val="auto"/>
              <w:rPr>
                <w:rFonts w:hint="eastAsia" w:ascii="宋体" w:hAnsi="宋体" w:cs="宋体"/>
                <w:bCs/>
                <w:color w:val="auto"/>
                <w:sz w:val="24"/>
                <w:highlight w:val="none"/>
              </w:rPr>
            </w:pPr>
            <w:r>
              <w:rPr>
                <w:rFonts w:hint="eastAsia" w:ascii="宋体" w:hAnsi="宋体" w:cs="宋体"/>
                <w:bCs/>
                <w:color w:val="auto"/>
                <w:sz w:val="24"/>
                <w:highlight w:val="none"/>
              </w:rPr>
              <w:t>3</w:t>
            </w:r>
          </w:p>
        </w:tc>
        <w:tc>
          <w:tcPr>
            <w:tcW w:w="5477" w:type="dxa"/>
            <w:vAlign w:val="center"/>
          </w:tcPr>
          <w:p w14:paraId="176215E2">
            <w:pPr>
              <w:keepNext w:val="0"/>
              <w:keepLines w:val="0"/>
              <w:pageBreakBefore w:val="0"/>
              <w:widowControl/>
              <w:kinsoku/>
              <w:wordWrap w:val="0"/>
              <w:overflowPunct/>
              <w:topLinePunct w:val="0"/>
              <w:autoSpaceDE/>
              <w:autoSpaceDN/>
              <w:bidi w:val="0"/>
              <w:adjustRightInd/>
              <w:snapToGrid/>
              <w:spacing w:after="0"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投标人具有有效期内的质量管理体系认证、环境管理体系认证、职业健康安全管理体系认证证书，具备以上认证证书的，每提供1项得1分，最高得3分，不提供不得分。</w:t>
            </w:r>
          </w:p>
          <w:p w14:paraId="28EE3F64">
            <w:pPr>
              <w:keepNext w:val="0"/>
              <w:keepLines w:val="0"/>
              <w:pageBreakBefore w:val="0"/>
              <w:widowControl/>
              <w:kinsoku/>
              <w:overflowPunct/>
              <w:topLinePunct w:val="0"/>
              <w:autoSpaceDE/>
              <w:autoSpaceDN/>
              <w:bidi w:val="0"/>
              <w:adjustRightInd/>
              <w:snapToGrid/>
              <w:spacing w:after="0"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注：需提供相关证书复印件并加盖投标人公章</w:t>
            </w:r>
          </w:p>
        </w:tc>
      </w:tr>
      <w:tr w14:paraId="588E8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4" w:type="dxa"/>
            <w:vMerge w:val="restart"/>
            <w:vAlign w:val="center"/>
          </w:tcPr>
          <w:p w14:paraId="1DA64262">
            <w:pPr>
              <w:keepNext w:val="0"/>
              <w:keepLines w:val="0"/>
              <w:pageBreakBefore w:val="0"/>
              <w:widowControl/>
              <w:kinsoku/>
              <w:overflowPunct/>
              <w:topLinePunct w:val="0"/>
              <w:autoSpaceDE/>
              <w:autoSpaceDN/>
              <w:bidi w:val="0"/>
              <w:adjustRightInd/>
              <w:snapToGrid/>
              <w:spacing w:after="0" w:line="320" w:lineRule="exact"/>
              <w:ind w:firstLine="28"/>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1.3</w:t>
            </w:r>
          </w:p>
        </w:tc>
        <w:tc>
          <w:tcPr>
            <w:tcW w:w="1486" w:type="dxa"/>
            <w:vMerge w:val="restart"/>
            <w:vAlign w:val="center"/>
          </w:tcPr>
          <w:p w14:paraId="0E4D6B2B">
            <w:pPr>
              <w:keepNext w:val="0"/>
              <w:keepLines w:val="0"/>
              <w:pageBreakBefore w:val="0"/>
              <w:widowControl/>
              <w:kinsoku/>
              <w:overflowPunct/>
              <w:topLinePunct w:val="0"/>
              <w:autoSpaceDE/>
              <w:autoSpaceDN/>
              <w:bidi w:val="0"/>
              <w:adjustRightInd/>
              <w:snapToGrid/>
              <w:spacing w:after="0" w:line="320" w:lineRule="exact"/>
              <w:ind w:firstLine="28"/>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拟投入团队服务</w:t>
            </w:r>
          </w:p>
        </w:tc>
        <w:tc>
          <w:tcPr>
            <w:tcW w:w="840" w:type="dxa"/>
            <w:vAlign w:val="center"/>
          </w:tcPr>
          <w:p w14:paraId="4B1501A0">
            <w:pPr>
              <w:keepNext w:val="0"/>
              <w:keepLines w:val="0"/>
              <w:pageBreakBefore w:val="0"/>
              <w:widowControl/>
              <w:kinsoku/>
              <w:overflowPunct/>
              <w:topLinePunct w:val="0"/>
              <w:autoSpaceDE/>
              <w:autoSpaceDN/>
              <w:bidi w:val="0"/>
              <w:adjustRightInd/>
              <w:snapToGrid/>
              <w:spacing w:after="0" w:line="32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2</w:t>
            </w:r>
          </w:p>
        </w:tc>
        <w:tc>
          <w:tcPr>
            <w:tcW w:w="5477" w:type="dxa"/>
            <w:vAlign w:val="center"/>
          </w:tcPr>
          <w:p w14:paraId="7FEC2905">
            <w:pPr>
              <w:keepNext w:val="0"/>
              <w:keepLines w:val="0"/>
              <w:pageBreakBefore w:val="0"/>
              <w:widowControl/>
              <w:kinsoku/>
              <w:overflowPunct/>
              <w:topLinePunct w:val="0"/>
              <w:autoSpaceDE/>
              <w:autoSpaceDN/>
              <w:bidi w:val="0"/>
              <w:adjustRightInd/>
              <w:snapToGrid/>
              <w:spacing w:after="0"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供应商团队</w:t>
            </w:r>
            <w:r>
              <w:rPr>
                <w:rFonts w:hint="eastAsia" w:ascii="宋体" w:hAnsi="宋体" w:cs="宋体"/>
                <w:color w:val="auto"/>
                <w:sz w:val="24"/>
                <w:highlight w:val="none"/>
                <w:lang w:eastAsia="zh-CN"/>
              </w:rPr>
              <w:t>项目负责人</w:t>
            </w:r>
            <w:r>
              <w:rPr>
                <w:rFonts w:hint="eastAsia" w:ascii="宋体" w:hAnsi="宋体" w:cs="宋体"/>
                <w:color w:val="auto"/>
                <w:sz w:val="24"/>
                <w:highlight w:val="none"/>
              </w:rPr>
              <w:t>承担过类似项目案例，每提供一个得1分，本项最高得2分。</w:t>
            </w:r>
          </w:p>
          <w:p w14:paraId="21EE931D">
            <w:pPr>
              <w:keepNext w:val="0"/>
              <w:keepLines w:val="0"/>
              <w:pageBreakBefore w:val="0"/>
              <w:widowControl/>
              <w:kinsoku/>
              <w:overflowPunct/>
              <w:topLinePunct w:val="0"/>
              <w:autoSpaceDE/>
              <w:autoSpaceDN/>
              <w:bidi w:val="0"/>
              <w:adjustRightInd/>
              <w:snapToGrid/>
              <w:spacing w:after="0"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注：提供合同关键页或委托书或业主单位出具的相关证明材料（须体现该人员姓名）等，证明材料需加盖投标人公章。否则不给分。 </w:t>
            </w:r>
          </w:p>
        </w:tc>
      </w:tr>
      <w:tr w14:paraId="62001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4" w:type="dxa"/>
            <w:vMerge w:val="continue"/>
            <w:vAlign w:val="center"/>
          </w:tcPr>
          <w:p w14:paraId="6E06F2EE">
            <w:pPr>
              <w:keepNext w:val="0"/>
              <w:keepLines w:val="0"/>
              <w:pageBreakBefore w:val="0"/>
              <w:widowControl/>
              <w:kinsoku/>
              <w:overflowPunct/>
              <w:topLinePunct w:val="0"/>
              <w:autoSpaceDE/>
              <w:autoSpaceDN/>
              <w:bidi w:val="0"/>
              <w:adjustRightInd/>
              <w:snapToGrid/>
              <w:spacing w:after="0" w:line="320" w:lineRule="exact"/>
              <w:ind w:firstLine="28"/>
              <w:jc w:val="center"/>
              <w:textAlignment w:val="auto"/>
              <w:rPr>
                <w:rFonts w:hint="eastAsia" w:ascii="宋体" w:hAnsi="宋体" w:cs="宋体"/>
                <w:color w:val="auto"/>
                <w:sz w:val="24"/>
                <w:highlight w:val="none"/>
              </w:rPr>
            </w:pPr>
          </w:p>
        </w:tc>
        <w:tc>
          <w:tcPr>
            <w:tcW w:w="1486" w:type="dxa"/>
            <w:vMerge w:val="continue"/>
            <w:vAlign w:val="center"/>
          </w:tcPr>
          <w:p w14:paraId="1BA27C3D">
            <w:pPr>
              <w:keepNext w:val="0"/>
              <w:keepLines w:val="0"/>
              <w:pageBreakBefore w:val="0"/>
              <w:widowControl/>
              <w:kinsoku/>
              <w:overflowPunct/>
              <w:topLinePunct w:val="0"/>
              <w:autoSpaceDE/>
              <w:autoSpaceDN/>
              <w:bidi w:val="0"/>
              <w:adjustRightInd/>
              <w:snapToGrid/>
              <w:spacing w:after="0" w:line="320" w:lineRule="exact"/>
              <w:ind w:firstLine="28"/>
              <w:jc w:val="center"/>
              <w:textAlignment w:val="auto"/>
              <w:rPr>
                <w:rFonts w:hint="eastAsia" w:ascii="宋体" w:hAnsi="宋体" w:cs="宋体"/>
                <w:color w:val="auto"/>
                <w:sz w:val="24"/>
                <w:highlight w:val="none"/>
              </w:rPr>
            </w:pPr>
          </w:p>
        </w:tc>
        <w:tc>
          <w:tcPr>
            <w:tcW w:w="840" w:type="dxa"/>
            <w:vAlign w:val="center"/>
          </w:tcPr>
          <w:p w14:paraId="4384F9AA">
            <w:pPr>
              <w:keepNext w:val="0"/>
              <w:keepLines w:val="0"/>
              <w:pageBreakBefore w:val="0"/>
              <w:widowControl/>
              <w:kinsoku/>
              <w:overflowPunct/>
              <w:topLinePunct w:val="0"/>
              <w:autoSpaceDE/>
              <w:autoSpaceDN/>
              <w:bidi w:val="0"/>
              <w:adjustRightInd/>
              <w:snapToGrid/>
              <w:spacing w:after="0" w:line="32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5</w:t>
            </w:r>
          </w:p>
        </w:tc>
        <w:tc>
          <w:tcPr>
            <w:tcW w:w="5477" w:type="dxa"/>
            <w:vAlign w:val="center"/>
          </w:tcPr>
          <w:p w14:paraId="5F6ACFDD">
            <w:pPr>
              <w:keepNext w:val="0"/>
              <w:keepLines w:val="0"/>
              <w:pageBreakBefore w:val="0"/>
              <w:widowControl/>
              <w:kinsoku/>
              <w:overflowPunct/>
              <w:topLinePunct w:val="0"/>
              <w:autoSpaceDE/>
              <w:autoSpaceDN/>
              <w:bidi w:val="0"/>
              <w:adjustRightInd/>
              <w:snapToGrid/>
              <w:spacing w:after="0"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在满足“项目管理咨询服务团队人员配备表”中最低要求的基础上，人员团队中每增加1名具有高级职称或注册(监理、造价、建造等)人员，得1分，最高得5分。</w:t>
            </w:r>
          </w:p>
          <w:p w14:paraId="1FB53AB6">
            <w:pPr>
              <w:keepNext w:val="0"/>
              <w:keepLines w:val="0"/>
              <w:pageBreakBefore w:val="0"/>
              <w:widowControl/>
              <w:kinsoku/>
              <w:overflowPunct/>
              <w:topLinePunct w:val="0"/>
              <w:autoSpaceDE/>
              <w:autoSpaceDN/>
              <w:bidi w:val="0"/>
              <w:adjustRightInd/>
              <w:snapToGrid/>
              <w:spacing w:after="0" w:line="320" w:lineRule="exact"/>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注：（1）须提供该项目团队成员的简历、人员证书（包括但不限于执业资格证书、注册证书），以实际提供的证明材料为准,不提供不得分。</w:t>
            </w:r>
          </w:p>
          <w:p w14:paraId="069A2167">
            <w:pPr>
              <w:keepNext w:val="0"/>
              <w:keepLines w:val="0"/>
              <w:pageBreakBefore w:val="0"/>
              <w:widowControl/>
              <w:kinsoku/>
              <w:overflowPunct/>
              <w:topLinePunct w:val="0"/>
              <w:autoSpaceDE/>
              <w:autoSpaceDN/>
              <w:bidi w:val="0"/>
              <w:adjustRightInd/>
              <w:snapToGrid/>
              <w:spacing w:after="0" w:line="320" w:lineRule="exact"/>
              <w:textAlignment w:val="auto"/>
              <w:rPr>
                <w:rFonts w:hint="eastAsia" w:ascii="宋体" w:hAnsi="宋体" w:cs="宋体"/>
                <w:color w:val="auto"/>
                <w:sz w:val="24"/>
                <w:highlight w:val="none"/>
              </w:rPr>
            </w:pPr>
            <w:r>
              <w:rPr>
                <w:rFonts w:hint="eastAsia" w:ascii="宋体" w:hAnsi="宋体" w:cs="宋体"/>
                <w:b/>
                <w:bCs/>
                <w:color w:val="auto"/>
                <w:sz w:val="24"/>
                <w:highlight w:val="none"/>
              </w:rPr>
              <w:t>（2）如1人同时具备上述证书，按1项计算。</w:t>
            </w:r>
          </w:p>
        </w:tc>
      </w:tr>
      <w:tr w14:paraId="64718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blHeader/>
          <w:jc w:val="center"/>
        </w:trPr>
        <w:tc>
          <w:tcPr>
            <w:tcW w:w="784" w:type="dxa"/>
            <w:vMerge w:val="continue"/>
            <w:vAlign w:val="center"/>
          </w:tcPr>
          <w:p w14:paraId="37C93D67">
            <w:pPr>
              <w:keepNext w:val="0"/>
              <w:keepLines w:val="0"/>
              <w:pageBreakBefore w:val="0"/>
              <w:widowControl/>
              <w:kinsoku/>
              <w:overflowPunct/>
              <w:topLinePunct w:val="0"/>
              <w:autoSpaceDE/>
              <w:autoSpaceDN/>
              <w:bidi w:val="0"/>
              <w:adjustRightInd/>
              <w:snapToGrid/>
              <w:spacing w:after="0" w:line="320" w:lineRule="exact"/>
              <w:ind w:firstLine="28"/>
              <w:jc w:val="center"/>
              <w:textAlignment w:val="auto"/>
              <w:rPr>
                <w:rFonts w:hint="eastAsia" w:ascii="宋体" w:hAnsi="宋体" w:cs="宋体"/>
                <w:color w:val="auto"/>
                <w:sz w:val="24"/>
                <w:highlight w:val="none"/>
              </w:rPr>
            </w:pPr>
          </w:p>
        </w:tc>
        <w:tc>
          <w:tcPr>
            <w:tcW w:w="1486" w:type="dxa"/>
            <w:vMerge w:val="continue"/>
            <w:vAlign w:val="center"/>
          </w:tcPr>
          <w:p w14:paraId="3E456093">
            <w:pPr>
              <w:keepNext w:val="0"/>
              <w:keepLines w:val="0"/>
              <w:pageBreakBefore w:val="0"/>
              <w:widowControl/>
              <w:kinsoku/>
              <w:overflowPunct/>
              <w:topLinePunct w:val="0"/>
              <w:autoSpaceDE/>
              <w:autoSpaceDN/>
              <w:bidi w:val="0"/>
              <w:adjustRightInd/>
              <w:snapToGrid/>
              <w:spacing w:after="0" w:line="320" w:lineRule="exact"/>
              <w:ind w:firstLine="28"/>
              <w:jc w:val="center"/>
              <w:textAlignment w:val="auto"/>
              <w:rPr>
                <w:rFonts w:hint="eastAsia" w:ascii="宋体" w:hAnsi="宋体" w:cs="宋体"/>
                <w:color w:val="auto"/>
                <w:sz w:val="24"/>
                <w:highlight w:val="none"/>
              </w:rPr>
            </w:pPr>
          </w:p>
        </w:tc>
        <w:tc>
          <w:tcPr>
            <w:tcW w:w="840" w:type="dxa"/>
            <w:vAlign w:val="center"/>
          </w:tcPr>
          <w:p w14:paraId="0696BE2C">
            <w:pPr>
              <w:keepNext w:val="0"/>
              <w:keepLines w:val="0"/>
              <w:pageBreakBefore w:val="0"/>
              <w:widowControl/>
              <w:kinsoku/>
              <w:overflowPunct/>
              <w:topLinePunct w:val="0"/>
              <w:autoSpaceDE/>
              <w:autoSpaceDN/>
              <w:bidi w:val="0"/>
              <w:adjustRightInd/>
              <w:snapToGrid/>
              <w:spacing w:after="0" w:line="32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5</w:t>
            </w:r>
          </w:p>
        </w:tc>
        <w:tc>
          <w:tcPr>
            <w:tcW w:w="5477" w:type="dxa"/>
            <w:vAlign w:val="center"/>
          </w:tcPr>
          <w:p w14:paraId="600A5E7F">
            <w:pPr>
              <w:keepNext w:val="0"/>
              <w:keepLines w:val="0"/>
              <w:pageBreakBefore w:val="0"/>
              <w:widowControl/>
              <w:kinsoku/>
              <w:overflowPunct/>
              <w:topLinePunct w:val="0"/>
              <w:autoSpaceDE/>
              <w:autoSpaceDN/>
              <w:bidi w:val="0"/>
              <w:adjustRightInd/>
              <w:snapToGrid/>
              <w:spacing w:after="0"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结合采购需求中的服务团队组织架构对服务人员职责分工、专业配备等进行评审。</w:t>
            </w:r>
          </w:p>
          <w:p w14:paraId="08D8170A">
            <w:pPr>
              <w:keepNext w:val="0"/>
              <w:keepLines w:val="0"/>
              <w:pageBreakBefore w:val="0"/>
              <w:widowControl/>
              <w:kinsoku/>
              <w:overflowPunct/>
              <w:topLinePunct w:val="0"/>
              <w:autoSpaceDE/>
              <w:autoSpaceDN/>
              <w:bidi w:val="0"/>
              <w:adjustRightInd/>
              <w:snapToGrid/>
              <w:spacing w:after="0"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人员专业配备合理，针对各项职责有明确的岗位分工，各专业人员完全覆盖项目要求，且项目组人员均具有相关经验得5分。</w:t>
            </w:r>
          </w:p>
          <w:p w14:paraId="64F8997F">
            <w:pPr>
              <w:keepNext w:val="0"/>
              <w:keepLines w:val="0"/>
              <w:pageBreakBefore w:val="0"/>
              <w:widowControl/>
              <w:kinsoku/>
              <w:overflowPunct/>
              <w:topLinePunct w:val="0"/>
              <w:autoSpaceDE/>
              <w:autoSpaceDN/>
              <w:bidi w:val="0"/>
              <w:adjustRightInd/>
              <w:snapToGrid/>
              <w:spacing w:after="0"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各专业人员配置基本覆盖项目要求，有明确分工，项目管理人员中部分人员具有相关经验得3分。</w:t>
            </w:r>
          </w:p>
          <w:p w14:paraId="30258630">
            <w:pPr>
              <w:keepNext w:val="0"/>
              <w:keepLines w:val="0"/>
              <w:pageBreakBefore w:val="0"/>
              <w:widowControl/>
              <w:kinsoku/>
              <w:overflowPunct/>
              <w:topLinePunct w:val="0"/>
              <w:autoSpaceDE/>
              <w:autoSpaceDN/>
              <w:bidi w:val="0"/>
              <w:adjustRightInd/>
              <w:snapToGrid/>
              <w:spacing w:after="0"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人员配置安排混乱，各专业人员配置勉强达到项目要求的得1分。</w:t>
            </w:r>
          </w:p>
          <w:p w14:paraId="2A99AC3E">
            <w:pPr>
              <w:keepNext w:val="0"/>
              <w:keepLines w:val="0"/>
              <w:pageBreakBefore w:val="0"/>
              <w:widowControl/>
              <w:kinsoku/>
              <w:overflowPunct/>
              <w:topLinePunct w:val="0"/>
              <w:autoSpaceDE/>
              <w:autoSpaceDN/>
              <w:bidi w:val="0"/>
              <w:adjustRightInd/>
              <w:snapToGrid/>
              <w:spacing w:after="0" w:line="320" w:lineRule="exact"/>
              <w:textAlignment w:val="auto"/>
              <w:rPr>
                <w:rFonts w:hint="eastAsia" w:ascii="宋体" w:hAnsi="宋体" w:cs="宋体"/>
                <w:iCs/>
                <w:color w:val="auto"/>
                <w:sz w:val="24"/>
                <w:highlight w:val="none"/>
              </w:rPr>
            </w:pPr>
            <w:r>
              <w:rPr>
                <w:rFonts w:hint="eastAsia" w:ascii="宋体" w:hAnsi="宋体" w:cs="宋体"/>
                <w:color w:val="auto"/>
                <w:sz w:val="24"/>
                <w:highlight w:val="none"/>
              </w:rPr>
              <w:t>未提供不得分。</w:t>
            </w:r>
          </w:p>
        </w:tc>
      </w:tr>
      <w:tr w14:paraId="45B50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blHeader/>
          <w:jc w:val="center"/>
        </w:trPr>
        <w:tc>
          <w:tcPr>
            <w:tcW w:w="784" w:type="dxa"/>
            <w:vAlign w:val="center"/>
          </w:tcPr>
          <w:p w14:paraId="716D77A4">
            <w:pPr>
              <w:keepNext w:val="0"/>
              <w:keepLines w:val="0"/>
              <w:pageBreakBefore w:val="0"/>
              <w:widowControl/>
              <w:kinsoku/>
              <w:overflowPunct/>
              <w:topLinePunct w:val="0"/>
              <w:autoSpaceDE/>
              <w:autoSpaceDN/>
              <w:bidi w:val="0"/>
              <w:adjustRightInd/>
              <w:snapToGrid/>
              <w:spacing w:after="0" w:line="320" w:lineRule="exact"/>
              <w:ind w:firstLine="28"/>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2</w:t>
            </w:r>
          </w:p>
        </w:tc>
        <w:tc>
          <w:tcPr>
            <w:tcW w:w="1486" w:type="dxa"/>
            <w:vAlign w:val="center"/>
          </w:tcPr>
          <w:p w14:paraId="0F93CEB5">
            <w:pPr>
              <w:keepNext w:val="0"/>
              <w:keepLines w:val="0"/>
              <w:pageBreakBefore w:val="0"/>
              <w:widowControl/>
              <w:kinsoku/>
              <w:overflowPunct/>
              <w:topLinePunct w:val="0"/>
              <w:autoSpaceDE/>
              <w:autoSpaceDN/>
              <w:bidi w:val="0"/>
              <w:adjustRightInd/>
              <w:snapToGrid/>
              <w:spacing w:after="0" w:line="320" w:lineRule="exact"/>
              <w:ind w:firstLine="28"/>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服务方案</w:t>
            </w:r>
          </w:p>
        </w:tc>
        <w:tc>
          <w:tcPr>
            <w:tcW w:w="840" w:type="dxa"/>
            <w:vAlign w:val="center"/>
          </w:tcPr>
          <w:p w14:paraId="346DC09C">
            <w:pPr>
              <w:keepNext w:val="0"/>
              <w:keepLines w:val="0"/>
              <w:pageBreakBefore w:val="0"/>
              <w:widowControl/>
              <w:kinsoku/>
              <w:overflowPunct/>
              <w:topLinePunct w:val="0"/>
              <w:autoSpaceDE/>
              <w:autoSpaceDN/>
              <w:bidi w:val="0"/>
              <w:adjustRightInd/>
              <w:snapToGrid/>
              <w:spacing w:after="0" w:line="320" w:lineRule="exact"/>
              <w:ind w:firstLine="28"/>
              <w:jc w:val="center"/>
              <w:textAlignment w:val="auto"/>
              <w:rPr>
                <w:rFonts w:hint="eastAsia" w:ascii="宋体" w:hAnsi="宋体" w:cs="宋体"/>
                <w:color w:val="auto"/>
                <w:sz w:val="24"/>
                <w:highlight w:val="none"/>
              </w:rPr>
            </w:pPr>
          </w:p>
        </w:tc>
        <w:tc>
          <w:tcPr>
            <w:tcW w:w="5477" w:type="dxa"/>
            <w:vAlign w:val="center"/>
          </w:tcPr>
          <w:p w14:paraId="7182E5C1">
            <w:pPr>
              <w:keepNext w:val="0"/>
              <w:keepLines w:val="0"/>
              <w:pageBreakBefore w:val="0"/>
              <w:widowControl/>
              <w:kinsoku/>
              <w:overflowPunct/>
              <w:topLinePunct w:val="0"/>
              <w:autoSpaceDE/>
              <w:autoSpaceDN/>
              <w:bidi w:val="0"/>
              <w:adjustRightInd/>
              <w:snapToGrid/>
              <w:spacing w:after="0" w:line="320" w:lineRule="exact"/>
              <w:textAlignment w:val="auto"/>
              <w:rPr>
                <w:rFonts w:hint="eastAsia" w:ascii="宋体" w:hAnsi="宋体" w:cs="宋体"/>
                <w:color w:val="auto"/>
                <w:kern w:val="0"/>
                <w:sz w:val="24"/>
                <w:highlight w:val="none"/>
              </w:rPr>
            </w:pPr>
          </w:p>
        </w:tc>
      </w:tr>
      <w:tr w14:paraId="492C2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4" w:type="dxa"/>
            <w:vAlign w:val="center"/>
          </w:tcPr>
          <w:p w14:paraId="4D2A6117">
            <w:pPr>
              <w:keepNext w:val="0"/>
              <w:keepLines w:val="0"/>
              <w:pageBreakBefore w:val="0"/>
              <w:widowControl/>
              <w:kinsoku/>
              <w:overflowPunct/>
              <w:topLinePunct w:val="0"/>
              <w:autoSpaceDE/>
              <w:autoSpaceDN/>
              <w:bidi w:val="0"/>
              <w:adjustRightInd/>
              <w:snapToGrid/>
              <w:spacing w:after="0" w:line="32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2.1</w:t>
            </w:r>
          </w:p>
        </w:tc>
        <w:tc>
          <w:tcPr>
            <w:tcW w:w="1486" w:type="dxa"/>
            <w:vAlign w:val="center"/>
          </w:tcPr>
          <w:p w14:paraId="6DDB8FDC">
            <w:pPr>
              <w:keepNext w:val="0"/>
              <w:keepLines w:val="0"/>
              <w:pageBreakBefore w:val="0"/>
              <w:widowControl/>
              <w:kinsoku/>
              <w:overflowPunct/>
              <w:topLinePunct w:val="0"/>
              <w:autoSpaceDE/>
              <w:autoSpaceDN/>
              <w:bidi w:val="0"/>
              <w:adjustRightInd/>
              <w:snapToGrid/>
              <w:spacing w:after="0" w:line="320" w:lineRule="exact"/>
              <w:ind w:firstLine="28"/>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对项目理解程度</w:t>
            </w:r>
          </w:p>
        </w:tc>
        <w:tc>
          <w:tcPr>
            <w:tcW w:w="840" w:type="dxa"/>
            <w:vAlign w:val="center"/>
          </w:tcPr>
          <w:p w14:paraId="1B2AE954">
            <w:pPr>
              <w:keepNext w:val="0"/>
              <w:keepLines w:val="0"/>
              <w:pageBreakBefore w:val="0"/>
              <w:widowControl/>
              <w:kinsoku/>
              <w:overflowPunct/>
              <w:topLinePunct w:val="0"/>
              <w:autoSpaceDE/>
              <w:autoSpaceDN/>
              <w:bidi w:val="0"/>
              <w:adjustRightInd/>
              <w:snapToGrid/>
              <w:spacing w:after="0" w:line="320" w:lineRule="exact"/>
              <w:ind w:firstLine="28"/>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10</w:t>
            </w:r>
          </w:p>
        </w:tc>
        <w:tc>
          <w:tcPr>
            <w:tcW w:w="5477" w:type="dxa"/>
            <w:vAlign w:val="center"/>
          </w:tcPr>
          <w:p w14:paraId="5845FF79">
            <w:pPr>
              <w:keepNext w:val="0"/>
              <w:keepLines w:val="0"/>
              <w:pageBreakBefore w:val="0"/>
              <w:widowControl/>
              <w:kinsoku/>
              <w:overflowPunct/>
              <w:topLinePunct w:val="0"/>
              <w:autoSpaceDE/>
              <w:autoSpaceDN/>
              <w:bidi w:val="0"/>
              <w:adjustRightInd/>
              <w:snapToGrid/>
              <w:spacing w:after="0" w:line="32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投标人结合项目采购需求提供对项目理解，包括但不限于以下内容：</w:t>
            </w:r>
          </w:p>
          <w:p w14:paraId="1066BB7F">
            <w:pPr>
              <w:keepNext w:val="0"/>
              <w:keepLines w:val="0"/>
              <w:pageBreakBefore w:val="0"/>
              <w:widowControl/>
              <w:kinsoku/>
              <w:overflowPunct/>
              <w:topLinePunct w:val="0"/>
              <w:autoSpaceDE/>
              <w:autoSpaceDN/>
              <w:bidi w:val="0"/>
              <w:adjustRightInd/>
              <w:snapToGrid/>
              <w:spacing w:after="0" w:line="32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（1）对工程特点理解；</w:t>
            </w:r>
          </w:p>
          <w:p w14:paraId="5033B840">
            <w:pPr>
              <w:keepNext w:val="0"/>
              <w:keepLines w:val="0"/>
              <w:pageBreakBefore w:val="0"/>
              <w:widowControl/>
              <w:kinsoku/>
              <w:overflowPunct/>
              <w:topLinePunct w:val="0"/>
              <w:autoSpaceDE/>
              <w:autoSpaceDN/>
              <w:bidi w:val="0"/>
              <w:adjustRightInd/>
              <w:snapToGrid/>
              <w:spacing w:after="0" w:line="32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（2）对第五章“管理内容”中每项工作的理解；</w:t>
            </w:r>
          </w:p>
          <w:p w14:paraId="6B30432B">
            <w:pPr>
              <w:keepNext w:val="0"/>
              <w:keepLines w:val="0"/>
              <w:pageBreakBefore w:val="0"/>
              <w:widowControl/>
              <w:kinsoku/>
              <w:overflowPunct/>
              <w:topLinePunct w:val="0"/>
              <w:autoSpaceDE/>
              <w:autoSpaceDN/>
              <w:bidi w:val="0"/>
              <w:adjustRightInd/>
              <w:snapToGrid/>
              <w:spacing w:after="0" w:line="32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（3）对项目管理目标的理解与明确；</w:t>
            </w:r>
          </w:p>
          <w:p w14:paraId="358DB33F">
            <w:pPr>
              <w:keepNext w:val="0"/>
              <w:keepLines w:val="0"/>
              <w:pageBreakBefore w:val="0"/>
              <w:widowControl/>
              <w:kinsoku/>
              <w:overflowPunct/>
              <w:topLinePunct w:val="0"/>
              <w:autoSpaceDE/>
              <w:autoSpaceDN/>
              <w:bidi w:val="0"/>
              <w:adjustRightInd/>
              <w:snapToGrid/>
              <w:spacing w:after="0" w:line="32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（4）管理工作的重点、难点分析及应对措施；</w:t>
            </w:r>
          </w:p>
          <w:p w14:paraId="18223DA6">
            <w:pPr>
              <w:keepNext w:val="0"/>
              <w:keepLines w:val="0"/>
              <w:pageBreakBefore w:val="0"/>
              <w:widowControl/>
              <w:kinsoku/>
              <w:overflowPunct/>
              <w:topLinePunct w:val="0"/>
              <w:autoSpaceDE/>
              <w:autoSpaceDN/>
              <w:bidi w:val="0"/>
              <w:adjustRightInd/>
              <w:snapToGrid/>
              <w:spacing w:after="0" w:line="32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（5）是否采用了先进的项目管理技术和方法。如有，请说明其在本项目中的应用方式和预期效果。</w:t>
            </w:r>
          </w:p>
          <w:p w14:paraId="74A3C0E6">
            <w:pPr>
              <w:keepNext w:val="0"/>
              <w:keepLines w:val="0"/>
              <w:pageBreakBefore w:val="0"/>
              <w:widowControl/>
              <w:kinsoku/>
              <w:overflowPunct/>
              <w:topLinePunct w:val="0"/>
              <w:autoSpaceDE/>
              <w:autoSpaceDN/>
              <w:bidi w:val="0"/>
              <w:adjustRightInd/>
              <w:snapToGrid/>
              <w:spacing w:after="0" w:line="320" w:lineRule="exact"/>
              <w:textAlignment w:val="auto"/>
              <w:rPr>
                <w:color w:val="auto"/>
                <w:highlight w:val="none"/>
              </w:rPr>
            </w:pPr>
            <w:r>
              <w:rPr>
                <w:rFonts w:hint="eastAsia" w:ascii="宋体" w:hAnsi="宋体" w:cs="宋体"/>
                <w:color w:val="auto"/>
                <w:kern w:val="0"/>
                <w:sz w:val="24"/>
                <w:highlight w:val="none"/>
              </w:rPr>
              <w:t>投标人每提供上述1项方案，方案内容详细完整、内容丰富、具有针对性和实施性得2分；方案内容完整，但简单、通用，对应项方案得1分；未提供对应项方案或方案内容不完整、缺乏针对性的不得分。最多得10分。</w:t>
            </w:r>
          </w:p>
        </w:tc>
      </w:tr>
      <w:tr w14:paraId="3322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4" w:type="dxa"/>
            <w:vAlign w:val="center"/>
          </w:tcPr>
          <w:p w14:paraId="3F1C2DF8">
            <w:pPr>
              <w:keepNext w:val="0"/>
              <w:keepLines w:val="0"/>
              <w:pageBreakBefore w:val="0"/>
              <w:widowControl/>
              <w:kinsoku/>
              <w:overflowPunct/>
              <w:topLinePunct w:val="0"/>
              <w:autoSpaceDE/>
              <w:autoSpaceDN/>
              <w:bidi w:val="0"/>
              <w:adjustRightInd/>
              <w:snapToGrid/>
              <w:spacing w:after="0" w:line="320" w:lineRule="exact"/>
              <w:ind w:firstLine="28"/>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2.2</w:t>
            </w:r>
          </w:p>
        </w:tc>
        <w:tc>
          <w:tcPr>
            <w:tcW w:w="1486" w:type="dxa"/>
            <w:vAlign w:val="center"/>
          </w:tcPr>
          <w:p w14:paraId="371C4688">
            <w:pPr>
              <w:keepNext w:val="0"/>
              <w:keepLines w:val="0"/>
              <w:pageBreakBefore w:val="0"/>
              <w:widowControl/>
              <w:kinsoku/>
              <w:overflowPunct/>
              <w:topLinePunct w:val="0"/>
              <w:autoSpaceDE/>
              <w:autoSpaceDN/>
              <w:bidi w:val="0"/>
              <w:adjustRightInd/>
              <w:snapToGrid/>
              <w:spacing w:after="0" w:line="320" w:lineRule="exact"/>
              <w:ind w:firstLine="28"/>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质量管理措施</w:t>
            </w:r>
          </w:p>
        </w:tc>
        <w:tc>
          <w:tcPr>
            <w:tcW w:w="840" w:type="dxa"/>
            <w:vAlign w:val="center"/>
          </w:tcPr>
          <w:p w14:paraId="52CA952A">
            <w:pPr>
              <w:keepNext w:val="0"/>
              <w:keepLines w:val="0"/>
              <w:pageBreakBefore w:val="0"/>
              <w:widowControl/>
              <w:kinsoku/>
              <w:overflowPunct/>
              <w:topLinePunct w:val="0"/>
              <w:autoSpaceDE/>
              <w:autoSpaceDN/>
              <w:bidi w:val="0"/>
              <w:adjustRightInd/>
              <w:snapToGrid/>
              <w:spacing w:after="0" w:line="320" w:lineRule="exact"/>
              <w:ind w:firstLine="28"/>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6</w:t>
            </w:r>
          </w:p>
        </w:tc>
        <w:tc>
          <w:tcPr>
            <w:tcW w:w="5477" w:type="dxa"/>
            <w:vAlign w:val="center"/>
          </w:tcPr>
          <w:p w14:paraId="40C94A38">
            <w:pPr>
              <w:keepNext w:val="0"/>
              <w:keepLines w:val="0"/>
              <w:pageBreakBefore w:val="0"/>
              <w:widowControl/>
              <w:kinsoku/>
              <w:overflowPunct/>
              <w:topLinePunct w:val="0"/>
              <w:autoSpaceDE/>
              <w:autoSpaceDN/>
              <w:bidi w:val="0"/>
              <w:adjustRightInd/>
              <w:snapToGrid/>
              <w:spacing w:after="0" w:line="32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投标人结合项目采购需求提供质量管理措施，包括但不限于以下内容：</w:t>
            </w:r>
          </w:p>
          <w:p w14:paraId="053117A5">
            <w:pPr>
              <w:keepNext w:val="0"/>
              <w:keepLines w:val="0"/>
              <w:pageBreakBefore w:val="0"/>
              <w:widowControl/>
              <w:kinsoku/>
              <w:overflowPunct/>
              <w:topLinePunct w:val="0"/>
              <w:autoSpaceDE/>
              <w:autoSpaceDN/>
              <w:bidi w:val="0"/>
              <w:adjustRightInd/>
              <w:snapToGrid/>
              <w:spacing w:after="0" w:line="32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（1）建立完善的质量保证体系（包括但不限于质量管理制度、质量检查制度、质量问题处理流程等）；</w:t>
            </w:r>
          </w:p>
          <w:p w14:paraId="4764CB7D">
            <w:pPr>
              <w:keepNext w:val="0"/>
              <w:keepLines w:val="0"/>
              <w:pageBreakBefore w:val="0"/>
              <w:widowControl/>
              <w:kinsoku/>
              <w:overflowPunct/>
              <w:topLinePunct w:val="0"/>
              <w:autoSpaceDE/>
              <w:autoSpaceDN/>
              <w:bidi w:val="0"/>
              <w:adjustRightInd/>
              <w:snapToGrid/>
              <w:spacing w:after="0" w:line="32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（2）制定质量控制计划；</w:t>
            </w:r>
          </w:p>
          <w:p w14:paraId="00DF5D3F">
            <w:pPr>
              <w:keepNext w:val="0"/>
              <w:keepLines w:val="0"/>
              <w:pageBreakBefore w:val="0"/>
              <w:widowControl/>
              <w:kinsoku/>
              <w:overflowPunct/>
              <w:topLinePunct w:val="0"/>
              <w:autoSpaceDE/>
              <w:autoSpaceDN/>
              <w:bidi w:val="0"/>
              <w:adjustRightInd/>
              <w:snapToGrid/>
              <w:spacing w:after="0" w:line="32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（3）明确质量控制点（如材料验收、隐蔽工程验收、关键工序验收等）和控制方法。</w:t>
            </w:r>
          </w:p>
          <w:p w14:paraId="1408DD68">
            <w:pPr>
              <w:keepNext w:val="0"/>
              <w:keepLines w:val="0"/>
              <w:pageBreakBefore w:val="0"/>
              <w:widowControl/>
              <w:kinsoku/>
              <w:overflowPunct/>
              <w:topLinePunct w:val="0"/>
              <w:autoSpaceDE/>
              <w:autoSpaceDN/>
              <w:bidi w:val="0"/>
              <w:adjustRightInd/>
              <w:snapToGrid/>
              <w:spacing w:after="0" w:line="320" w:lineRule="exact"/>
              <w:textAlignment w:val="auto"/>
              <w:rPr>
                <w:color w:val="auto"/>
                <w:highlight w:val="none"/>
              </w:rPr>
            </w:pPr>
            <w:r>
              <w:rPr>
                <w:rFonts w:hint="eastAsia" w:ascii="宋体" w:hAnsi="宋体" w:cs="宋体"/>
                <w:color w:val="auto"/>
                <w:kern w:val="0"/>
                <w:sz w:val="24"/>
                <w:highlight w:val="none"/>
              </w:rPr>
              <w:t>投标人每提供上述1项方案，方案内容详细完整、内容丰富、具有针对性和实施性得2分；方案内容完整，但简单、通用，对应项方案得1分；未提供对应项方案或方案内容不完整、缺乏针对性的不得分。最多得6分。</w:t>
            </w:r>
          </w:p>
        </w:tc>
      </w:tr>
      <w:tr w14:paraId="33590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blHeader/>
          <w:jc w:val="center"/>
        </w:trPr>
        <w:tc>
          <w:tcPr>
            <w:tcW w:w="784" w:type="dxa"/>
            <w:vAlign w:val="center"/>
          </w:tcPr>
          <w:p w14:paraId="50E184AF">
            <w:pPr>
              <w:keepNext w:val="0"/>
              <w:keepLines w:val="0"/>
              <w:pageBreakBefore w:val="0"/>
              <w:widowControl/>
              <w:kinsoku/>
              <w:overflowPunct/>
              <w:topLinePunct w:val="0"/>
              <w:autoSpaceDE/>
              <w:autoSpaceDN/>
              <w:bidi w:val="0"/>
              <w:adjustRightInd/>
              <w:snapToGrid/>
              <w:spacing w:after="0" w:line="320" w:lineRule="exact"/>
              <w:ind w:firstLine="28"/>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2.3</w:t>
            </w:r>
          </w:p>
        </w:tc>
        <w:tc>
          <w:tcPr>
            <w:tcW w:w="1486" w:type="dxa"/>
            <w:vAlign w:val="center"/>
          </w:tcPr>
          <w:p w14:paraId="76AC075F">
            <w:pPr>
              <w:keepNext w:val="0"/>
              <w:keepLines w:val="0"/>
              <w:pageBreakBefore w:val="0"/>
              <w:widowControl/>
              <w:kinsoku/>
              <w:overflowPunct/>
              <w:topLinePunct w:val="0"/>
              <w:autoSpaceDE/>
              <w:autoSpaceDN/>
              <w:bidi w:val="0"/>
              <w:adjustRightInd/>
              <w:snapToGrid/>
              <w:spacing w:after="0" w:line="320" w:lineRule="exact"/>
              <w:ind w:left="7" w:leftChars="-25" w:hanging="60" w:hangingChars="25"/>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进度管理措施</w:t>
            </w:r>
          </w:p>
        </w:tc>
        <w:tc>
          <w:tcPr>
            <w:tcW w:w="840" w:type="dxa"/>
            <w:vAlign w:val="center"/>
          </w:tcPr>
          <w:p w14:paraId="40A3CF48">
            <w:pPr>
              <w:keepNext w:val="0"/>
              <w:keepLines w:val="0"/>
              <w:pageBreakBefore w:val="0"/>
              <w:widowControl/>
              <w:kinsoku/>
              <w:overflowPunct/>
              <w:topLinePunct w:val="0"/>
              <w:autoSpaceDE/>
              <w:autoSpaceDN/>
              <w:bidi w:val="0"/>
              <w:adjustRightInd/>
              <w:snapToGrid/>
              <w:spacing w:after="0" w:line="320" w:lineRule="exact"/>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6</w:t>
            </w:r>
          </w:p>
        </w:tc>
        <w:tc>
          <w:tcPr>
            <w:tcW w:w="5477" w:type="dxa"/>
            <w:vAlign w:val="center"/>
          </w:tcPr>
          <w:p w14:paraId="6753DC17">
            <w:pPr>
              <w:keepNext w:val="0"/>
              <w:keepLines w:val="0"/>
              <w:pageBreakBefore w:val="0"/>
              <w:widowControl/>
              <w:kinsoku/>
              <w:overflowPunct/>
              <w:topLinePunct w:val="0"/>
              <w:autoSpaceDE/>
              <w:autoSpaceDN/>
              <w:bidi w:val="0"/>
              <w:adjustRightInd/>
              <w:snapToGrid/>
              <w:spacing w:after="0" w:line="32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投标人结合项目采购需求提供进度管理措施，包括但不限于以下内容：</w:t>
            </w:r>
          </w:p>
          <w:p w14:paraId="172F3D84">
            <w:pPr>
              <w:keepNext w:val="0"/>
              <w:keepLines w:val="0"/>
              <w:pageBreakBefore w:val="0"/>
              <w:widowControl/>
              <w:kinsoku/>
              <w:overflowPunct/>
              <w:topLinePunct w:val="0"/>
              <w:autoSpaceDE/>
              <w:autoSpaceDN/>
              <w:bidi w:val="0"/>
              <w:adjustRightInd/>
              <w:snapToGrid/>
              <w:spacing w:after="0" w:line="32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（1）进度计划（需涵盖项目全生命周期各阶段工作内容、综合考虑多因素）；</w:t>
            </w:r>
          </w:p>
          <w:p w14:paraId="0A57BEA8">
            <w:pPr>
              <w:keepNext w:val="0"/>
              <w:keepLines w:val="0"/>
              <w:pageBreakBefore w:val="0"/>
              <w:widowControl/>
              <w:kinsoku/>
              <w:overflowPunct/>
              <w:topLinePunct w:val="0"/>
              <w:autoSpaceDE/>
              <w:autoSpaceDN/>
              <w:bidi w:val="0"/>
              <w:adjustRightInd/>
              <w:snapToGrid/>
              <w:spacing w:after="0" w:line="32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（2）进度执行监控措施（包括但不限于建立监控体系、进度数据收集、现场执行管控措施等）；</w:t>
            </w:r>
          </w:p>
          <w:p w14:paraId="6339F45E">
            <w:pPr>
              <w:keepNext w:val="0"/>
              <w:keepLines w:val="0"/>
              <w:pageBreakBefore w:val="0"/>
              <w:widowControl/>
              <w:kinsoku/>
              <w:overflowPunct/>
              <w:topLinePunct w:val="0"/>
              <w:autoSpaceDE/>
              <w:autoSpaceDN/>
              <w:bidi w:val="0"/>
              <w:adjustRightInd/>
              <w:snapToGrid/>
              <w:spacing w:after="0" w:line="32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（3）进度偏差处理及调整措施；</w:t>
            </w:r>
          </w:p>
          <w:p w14:paraId="4160A2F9">
            <w:pPr>
              <w:keepNext w:val="0"/>
              <w:keepLines w:val="0"/>
              <w:pageBreakBefore w:val="0"/>
              <w:widowControl/>
              <w:kinsoku/>
              <w:overflowPunct/>
              <w:topLinePunct w:val="0"/>
              <w:autoSpaceDE/>
              <w:autoSpaceDN/>
              <w:bidi w:val="0"/>
              <w:adjustRightInd/>
              <w:snapToGrid/>
              <w:spacing w:after="0" w:line="320" w:lineRule="exact"/>
              <w:textAlignment w:val="auto"/>
              <w:rPr>
                <w:color w:val="auto"/>
                <w:highlight w:val="none"/>
              </w:rPr>
            </w:pPr>
            <w:r>
              <w:rPr>
                <w:rFonts w:ascii="宋体" w:hAnsi="宋体" w:cs="宋体"/>
                <w:color w:val="auto"/>
                <w:kern w:val="0"/>
                <w:sz w:val="24"/>
                <w:highlight w:val="none"/>
              </w:rPr>
              <w:t>投标人每提供上述1项方案，方案内容详细完整、内容丰富、具有针对性和实施性得2分；方案内容完整，但简单、通用，对应项方案得1分；未提供对应项方案或方案内容不完整、缺乏针对性的不得分。最多得6分。</w:t>
            </w:r>
          </w:p>
        </w:tc>
      </w:tr>
      <w:tr w14:paraId="50447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4" w:type="dxa"/>
            <w:vAlign w:val="center"/>
          </w:tcPr>
          <w:p w14:paraId="79B041A6">
            <w:pPr>
              <w:keepNext w:val="0"/>
              <w:keepLines w:val="0"/>
              <w:pageBreakBefore w:val="0"/>
              <w:widowControl/>
              <w:kinsoku/>
              <w:overflowPunct/>
              <w:topLinePunct w:val="0"/>
              <w:autoSpaceDE/>
              <w:autoSpaceDN/>
              <w:bidi w:val="0"/>
              <w:adjustRightInd/>
              <w:snapToGrid/>
              <w:spacing w:after="0" w:line="320" w:lineRule="exact"/>
              <w:ind w:firstLine="28"/>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2.4</w:t>
            </w:r>
          </w:p>
        </w:tc>
        <w:tc>
          <w:tcPr>
            <w:tcW w:w="1486" w:type="dxa"/>
            <w:vAlign w:val="center"/>
          </w:tcPr>
          <w:p w14:paraId="79D37017">
            <w:pPr>
              <w:keepNext w:val="0"/>
              <w:keepLines w:val="0"/>
              <w:pageBreakBefore w:val="0"/>
              <w:widowControl/>
              <w:kinsoku/>
              <w:overflowPunct/>
              <w:topLinePunct w:val="0"/>
              <w:autoSpaceDE/>
              <w:autoSpaceDN/>
              <w:bidi w:val="0"/>
              <w:adjustRightInd/>
              <w:snapToGrid/>
              <w:spacing w:after="0" w:line="320" w:lineRule="exact"/>
              <w:ind w:firstLine="28"/>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安全文明施工管理措施</w:t>
            </w:r>
          </w:p>
        </w:tc>
        <w:tc>
          <w:tcPr>
            <w:tcW w:w="840" w:type="dxa"/>
            <w:vAlign w:val="center"/>
          </w:tcPr>
          <w:p w14:paraId="3F802D0C">
            <w:pPr>
              <w:keepNext w:val="0"/>
              <w:keepLines w:val="0"/>
              <w:pageBreakBefore w:val="0"/>
              <w:widowControl/>
              <w:kinsoku/>
              <w:overflowPunct/>
              <w:topLinePunct w:val="0"/>
              <w:autoSpaceDE/>
              <w:autoSpaceDN/>
              <w:bidi w:val="0"/>
              <w:adjustRightInd/>
              <w:snapToGrid/>
              <w:spacing w:after="0" w:line="320" w:lineRule="exact"/>
              <w:ind w:firstLine="28"/>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8</w:t>
            </w:r>
          </w:p>
        </w:tc>
        <w:tc>
          <w:tcPr>
            <w:tcW w:w="5477" w:type="dxa"/>
            <w:vAlign w:val="center"/>
          </w:tcPr>
          <w:p w14:paraId="334D0797">
            <w:pPr>
              <w:keepNext w:val="0"/>
              <w:keepLines w:val="0"/>
              <w:pageBreakBefore w:val="0"/>
              <w:widowControl/>
              <w:kinsoku/>
              <w:overflowPunct/>
              <w:topLinePunct w:val="0"/>
              <w:autoSpaceDE/>
              <w:autoSpaceDN/>
              <w:bidi w:val="0"/>
              <w:adjustRightInd/>
              <w:snapToGrid/>
              <w:spacing w:after="0" w:line="32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投标人结合项目采购需求提供安全文明施工管理措施，包括但不限于以下内容：</w:t>
            </w:r>
          </w:p>
          <w:p w14:paraId="2D290AB7">
            <w:pPr>
              <w:keepNext w:val="0"/>
              <w:keepLines w:val="0"/>
              <w:pageBreakBefore w:val="0"/>
              <w:widowControl/>
              <w:kinsoku/>
              <w:overflowPunct/>
              <w:topLinePunct w:val="0"/>
              <w:autoSpaceDE/>
              <w:autoSpaceDN/>
              <w:bidi w:val="0"/>
              <w:adjustRightInd/>
              <w:snapToGrid/>
              <w:spacing w:after="0" w:line="32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（1）安全文明施工管理制度；</w:t>
            </w:r>
          </w:p>
          <w:p w14:paraId="1A8CE6AC">
            <w:pPr>
              <w:keepNext w:val="0"/>
              <w:keepLines w:val="0"/>
              <w:pageBreakBefore w:val="0"/>
              <w:widowControl/>
              <w:kinsoku/>
              <w:overflowPunct/>
              <w:topLinePunct w:val="0"/>
              <w:autoSpaceDE/>
              <w:autoSpaceDN/>
              <w:bidi w:val="0"/>
              <w:adjustRightInd/>
              <w:snapToGrid/>
              <w:spacing w:after="0" w:line="32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（2）安全文明施工资源配置管理措施；</w:t>
            </w:r>
          </w:p>
          <w:p w14:paraId="2A7A264F">
            <w:pPr>
              <w:keepNext w:val="0"/>
              <w:keepLines w:val="0"/>
              <w:pageBreakBefore w:val="0"/>
              <w:widowControl/>
              <w:kinsoku/>
              <w:overflowPunct/>
              <w:topLinePunct w:val="0"/>
              <w:autoSpaceDE/>
              <w:autoSpaceDN/>
              <w:bidi w:val="0"/>
              <w:adjustRightInd/>
              <w:snapToGrid/>
              <w:spacing w:after="0" w:line="32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（3）安全防护设备和文明施工设施管理措施；</w:t>
            </w:r>
          </w:p>
          <w:p w14:paraId="2B1C65AA">
            <w:pPr>
              <w:keepNext w:val="0"/>
              <w:keepLines w:val="0"/>
              <w:pageBreakBefore w:val="0"/>
              <w:widowControl/>
              <w:kinsoku/>
              <w:overflowPunct/>
              <w:topLinePunct w:val="0"/>
              <w:autoSpaceDE/>
              <w:autoSpaceDN/>
              <w:bidi w:val="0"/>
              <w:adjustRightInd/>
              <w:snapToGrid/>
              <w:spacing w:after="0" w:line="32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（4）安全事故应急管理。</w:t>
            </w:r>
          </w:p>
          <w:p w14:paraId="7B74F0BD">
            <w:pPr>
              <w:keepNext w:val="0"/>
              <w:keepLines w:val="0"/>
              <w:pageBreakBefore w:val="0"/>
              <w:widowControl/>
              <w:kinsoku/>
              <w:overflowPunct/>
              <w:topLinePunct w:val="0"/>
              <w:autoSpaceDE/>
              <w:autoSpaceDN/>
              <w:bidi w:val="0"/>
              <w:adjustRightInd/>
              <w:snapToGrid/>
              <w:spacing w:after="0" w:line="320" w:lineRule="exact"/>
              <w:textAlignment w:val="auto"/>
              <w:rPr>
                <w:color w:val="auto"/>
                <w:highlight w:val="none"/>
              </w:rPr>
            </w:pPr>
            <w:r>
              <w:rPr>
                <w:rFonts w:ascii="宋体" w:hAnsi="宋体" w:cs="宋体"/>
                <w:color w:val="auto"/>
                <w:kern w:val="0"/>
                <w:sz w:val="24"/>
                <w:highlight w:val="none"/>
              </w:rPr>
              <w:t>投标人每提供上述1项方案，方案内容详细完整、内容丰富、具有针对性和实施性得2分；方案内容完整，但简单、通用，对应项方案得1分；未提供对应项方案或方案内容不完整、缺乏针对性的不得分。最多得</w:t>
            </w:r>
            <w:r>
              <w:rPr>
                <w:rFonts w:hint="eastAsia" w:ascii="宋体" w:hAnsi="宋体" w:cs="宋体"/>
                <w:color w:val="auto"/>
                <w:kern w:val="0"/>
                <w:sz w:val="24"/>
                <w:highlight w:val="none"/>
              </w:rPr>
              <w:t>8</w:t>
            </w:r>
            <w:r>
              <w:rPr>
                <w:rFonts w:ascii="宋体" w:hAnsi="宋体" w:cs="宋体"/>
                <w:color w:val="auto"/>
                <w:kern w:val="0"/>
                <w:sz w:val="24"/>
                <w:highlight w:val="none"/>
              </w:rPr>
              <w:t>分。</w:t>
            </w:r>
          </w:p>
        </w:tc>
      </w:tr>
      <w:tr w14:paraId="0B04F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blHeader/>
          <w:jc w:val="center"/>
        </w:trPr>
        <w:tc>
          <w:tcPr>
            <w:tcW w:w="784" w:type="dxa"/>
            <w:vAlign w:val="center"/>
          </w:tcPr>
          <w:p w14:paraId="6D5D810D">
            <w:pPr>
              <w:keepNext w:val="0"/>
              <w:keepLines w:val="0"/>
              <w:pageBreakBefore w:val="0"/>
              <w:widowControl/>
              <w:kinsoku/>
              <w:overflowPunct/>
              <w:topLinePunct w:val="0"/>
              <w:autoSpaceDE/>
              <w:autoSpaceDN/>
              <w:bidi w:val="0"/>
              <w:adjustRightInd/>
              <w:snapToGrid/>
              <w:spacing w:after="0" w:line="320" w:lineRule="exact"/>
              <w:ind w:firstLine="28"/>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2.5</w:t>
            </w:r>
          </w:p>
        </w:tc>
        <w:tc>
          <w:tcPr>
            <w:tcW w:w="1486" w:type="dxa"/>
            <w:vAlign w:val="center"/>
          </w:tcPr>
          <w:p w14:paraId="372CB4BA">
            <w:pPr>
              <w:keepNext w:val="0"/>
              <w:keepLines w:val="0"/>
              <w:pageBreakBefore w:val="0"/>
              <w:widowControl/>
              <w:kinsoku/>
              <w:overflowPunct/>
              <w:topLinePunct w:val="0"/>
              <w:autoSpaceDE/>
              <w:autoSpaceDN/>
              <w:bidi w:val="0"/>
              <w:adjustRightInd/>
              <w:snapToGrid/>
              <w:spacing w:after="0" w:line="320" w:lineRule="exact"/>
              <w:ind w:firstLine="28"/>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造价管理措施</w:t>
            </w:r>
          </w:p>
        </w:tc>
        <w:tc>
          <w:tcPr>
            <w:tcW w:w="840" w:type="dxa"/>
            <w:vAlign w:val="center"/>
          </w:tcPr>
          <w:p w14:paraId="491E17B7">
            <w:pPr>
              <w:keepNext w:val="0"/>
              <w:keepLines w:val="0"/>
              <w:pageBreakBefore w:val="0"/>
              <w:widowControl/>
              <w:kinsoku/>
              <w:overflowPunct/>
              <w:topLinePunct w:val="0"/>
              <w:autoSpaceDE/>
              <w:autoSpaceDN/>
              <w:bidi w:val="0"/>
              <w:adjustRightInd/>
              <w:snapToGrid/>
              <w:spacing w:after="0" w:line="320" w:lineRule="exact"/>
              <w:ind w:firstLine="28"/>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10</w:t>
            </w:r>
          </w:p>
        </w:tc>
        <w:tc>
          <w:tcPr>
            <w:tcW w:w="5477" w:type="dxa"/>
            <w:vAlign w:val="center"/>
          </w:tcPr>
          <w:p w14:paraId="2280A0A6">
            <w:pPr>
              <w:keepNext w:val="0"/>
              <w:keepLines w:val="0"/>
              <w:pageBreakBefore w:val="0"/>
              <w:widowControl/>
              <w:kinsoku/>
              <w:overflowPunct/>
              <w:topLinePunct w:val="0"/>
              <w:autoSpaceDE/>
              <w:autoSpaceDN/>
              <w:bidi w:val="0"/>
              <w:adjustRightInd/>
              <w:snapToGrid/>
              <w:spacing w:after="0" w:line="32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投标人结合项目采购需求提供造价管理措施，包括但不限于以下内容：</w:t>
            </w:r>
          </w:p>
          <w:p w14:paraId="3B9FB9A0">
            <w:pPr>
              <w:keepNext w:val="0"/>
              <w:keepLines w:val="0"/>
              <w:pageBreakBefore w:val="0"/>
              <w:widowControl/>
              <w:kinsoku/>
              <w:overflowPunct/>
              <w:topLinePunct w:val="0"/>
              <w:autoSpaceDE/>
              <w:autoSpaceDN/>
              <w:bidi w:val="0"/>
              <w:adjustRightInd/>
              <w:snapToGrid/>
              <w:spacing w:after="0" w:line="32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（1）造价管理制度；</w:t>
            </w:r>
          </w:p>
          <w:p w14:paraId="79A1073D">
            <w:pPr>
              <w:keepNext w:val="0"/>
              <w:keepLines w:val="0"/>
              <w:pageBreakBefore w:val="0"/>
              <w:widowControl/>
              <w:kinsoku/>
              <w:overflowPunct/>
              <w:topLinePunct w:val="0"/>
              <w:autoSpaceDE/>
              <w:autoSpaceDN/>
              <w:bidi w:val="0"/>
              <w:adjustRightInd/>
              <w:snapToGrid/>
              <w:spacing w:after="0" w:line="32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（2）造价预算编制准确的管理措施；</w:t>
            </w:r>
          </w:p>
          <w:p w14:paraId="319FA061">
            <w:pPr>
              <w:keepNext w:val="0"/>
              <w:keepLines w:val="0"/>
              <w:pageBreakBefore w:val="0"/>
              <w:widowControl/>
              <w:kinsoku/>
              <w:overflowPunct/>
              <w:topLinePunct w:val="0"/>
              <w:autoSpaceDE/>
              <w:autoSpaceDN/>
              <w:bidi w:val="0"/>
              <w:adjustRightInd/>
              <w:snapToGrid/>
              <w:spacing w:after="0" w:line="32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（3）成本控制措施；</w:t>
            </w:r>
          </w:p>
          <w:p w14:paraId="53D86E65">
            <w:pPr>
              <w:keepNext w:val="0"/>
              <w:keepLines w:val="0"/>
              <w:pageBreakBefore w:val="0"/>
              <w:widowControl/>
              <w:kinsoku/>
              <w:overflowPunct/>
              <w:topLinePunct w:val="0"/>
              <w:autoSpaceDE/>
              <w:autoSpaceDN/>
              <w:bidi w:val="0"/>
              <w:adjustRightInd/>
              <w:snapToGrid/>
              <w:spacing w:after="0" w:line="32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（4）工程变更与索赔管理措施；</w:t>
            </w:r>
          </w:p>
          <w:p w14:paraId="31100BA2">
            <w:pPr>
              <w:keepNext w:val="0"/>
              <w:keepLines w:val="0"/>
              <w:pageBreakBefore w:val="0"/>
              <w:widowControl/>
              <w:kinsoku/>
              <w:overflowPunct/>
              <w:topLinePunct w:val="0"/>
              <w:autoSpaceDE/>
              <w:autoSpaceDN/>
              <w:bidi w:val="0"/>
              <w:adjustRightInd/>
              <w:snapToGrid/>
              <w:spacing w:after="0" w:line="32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（5）竣工结算管理措施。</w:t>
            </w:r>
          </w:p>
          <w:p w14:paraId="4F9B11C1">
            <w:pPr>
              <w:keepNext w:val="0"/>
              <w:keepLines w:val="0"/>
              <w:pageBreakBefore w:val="0"/>
              <w:widowControl/>
              <w:kinsoku/>
              <w:overflowPunct/>
              <w:topLinePunct w:val="0"/>
              <w:autoSpaceDE/>
              <w:autoSpaceDN/>
              <w:bidi w:val="0"/>
              <w:adjustRightInd/>
              <w:snapToGrid/>
              <w:spacing w:after="0" w:line="320" w:lineRule="exact"/>
              <w:textAlignment w:val="auto"/>
              <w:rPr>
                <w:color w:val="auto"/>
                <w:highlight w:val="none"/>
              </w:rPr>
            </w:pPr>
            <w:r>
              <w:rPr>
                <w:rFonts w:ascii="宋体" w:hAnsi="宋体" w:cs="宋体"/>
                <w:color w:val="auto"/>
                <w:kern w:val="0"/>
                <w:sz w:val="24"/>
                <w:highlight w:val="none"/>
              </w:rPr>
              <w:t>投标人每提供上述1项方案，方案内容详细完整、内容丰富、具有针对性和实施性得2分；方案内容完整，但简单、通用，对应项方案得1分；未提供对应项方案或方案内容不完整、缺乏针对性的不得分。最多得</w:t>
            </w:r>
            <w:r>
              <w:rPr>
                <w:rFonts w:hint="eastAsia" w:ascii="宋体" w:hAnsi="宋体" w:cs="宋体"/>
                <w:color w:val="auto"/>
                <w:kern w:val="0"/>
                <w:sz w:val="24"/>
                <w:highlight w:val="none"/>
              </w:rPr>
              <w:t>10</w:t>
            </w:r>
            <w:r>
              <w:rPr>
                <w:rFonts w:ascii="宋体" w:hAnsi="宋体" w:cs="宋体"/>
                <w:color w:val="auto"/>
                <w:kern w:val="0"/>
                <w:sz w:val="24"/>
                <w:highlight w:val="none"/>
              </w:rPr>
              <w:t>分。</w:t>
            </w:r>
          </w:p>
        </w:tc>
      </w:tr>
      <w:tr w14:paraId="685BE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4" w:type="dxa"/>
            <w:vAlign w:val="center"/>
          </w:tcPr>
          <w:p w14:paraId="57EC2C2F">
            <w:pPr>
              <w:keepNext w:val="0"/>
              <w:keepLines w:val="0"/>
              <w:pageBreakBefore w:val="0"/>
              <w:widowControl/>
              <w:kinsoku/>
              <w:overflowPunct/>
              <w:topLinePunct w:val="0"/>
              <w:autoSpaceDE/>
              <w:autoSpaceDN/>
              <w:bidi w:val="0"/>
              <w:adjustRightInd/>
              <w:snapToGrid/>
              <w:spacing w:after="0" w:line="320" w:lineRule="exact"/>
              <w:ind w:firstLine="28"/>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2.6</w:t>
            </w:r>
          </w:p>
        </w:tc>
        <w:tc>
          <w:tcPr>
            <w:tcW w:w="1486" w:type="dxa"/>
            <w:vAlign w:val="center"/>
          </w:tcPr>
          <w:p w14:paraId="1A67DC58">
            <w:pPr>
              <w:keepNext w:val="0"/>
              <w:keepLines w:val="0"/>
              <w:pageBreakBefore w:val="0"/>
              <w:widowControl/>
              <w:kinsoku/>
              <w:overflowPunct/>
              <w:topLinePunct w:val="0"/>
              <w:autoSpaceDE/>
              <w:autoSpaceDN/>
              <w:bidi w:val="0"/>
              <w:adjustRightInd/>
              <w:snapToGrid/>
              <w:spacing w:after="0" w:line="320" w:lineRule="exact"/>
              <w:ind w:firstLine="28"/>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工程监理的管理措施</w:t>
            </w:r>
          </w:p>
        </w:tc>
        <w:tc>
          <w:tcPr>
            <w:tcW w:w="840" w:type="dxa"/>
            <w:vAlign w:val="center"/>
          </w:tcPr>
          <w:p w14:paraId="1D7CEA92">
            <w:pPr>
              <w:keepNext w:val="0"/>
              <w:keepLines w:val="0"/>
              <w:pageBreakBefore w:val="0"/>
              <w:widowControl/>
              <w:kinsoku/>
              <w:overflowPunct/>
              <w:topLinePunct w:val="0"/>
              <w:autoSpaceDE/>
              <w:autoSpaceDN/>
              <w:bidi w:val="0"/>
              <w:adjustRightInd/>
              <w:snapToGrid/>
              <w:spacing w:after="0" w:line="320" w:lineRule="exact"/>
              <w:ind w:firstLine="28"/>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8</w:t>
            </w:r>
          </w:p>
        </w:tc>
        <w:tc>
          <w:tcPr>
            <w:tcW w:w="5477" w:type="dxa"/>
            <w:vAlign w:val="center"/>
          </w:tcPr>
          <w:p w14:paraId="5C3FAB45">
            <w:pPr>
              <w:keepNext w:val="0"/>
              <w:keepLines w:val="0"/>
              <w:pageBreakBefore w:val="0"/>
              <w:widowControl/>
              <w:kinsoku/>
              <w:overflowPunct/>
              <w:topLinePunct w:val="0"/>
              <w:autoSpaceDE/>
              <w:autoSpaceDN/>
              <w:bidi w:val="0"/>
              <w:adjustRightInd/>
              <w:snapToGrid/>
              <w:spacing w:after="0" w:line="32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投标人结合项目采购需求提供工程监理的管理措施，包括但不限于以下内容：</w:t>
            </w:r>
          </w:p>
          <w:p w14:paraId="119A53CE">
            <w:pPr>
              <w:keepNext w:val="0"/>
              <w:keepLines w:val="0"/>
              <w:pageBreakBefore w:val="0"/>
              <w:widowControl/>
              <w:numPr>
                <w:ilvl w:val="0"/>
                <w:numId w:val="18"/>
              </w:numPr>
              <w:kinsoku/>
              <w:overflowPunct/>
              <w:topLinePunct w:val="0"/>
              <w:autoSpaceDE/>
              <w:autoSpaceDN/>
              <w:bidi w:val="0"/>
              <w:adjustRightInd/>
              <w:snapToGrid/>
              <w:spacing w:after="0" w:line="32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对监理单位的工程质量控制措施</w:t>
            </w:r>
          </w:p>
          <w:p w14:paraId="688DC23A">
            <w:pPr>
              <w:keepNext w:val="0"/>
              <w:keepLines w:val="0"/>
              <w:pageBreakBefore w:val="0"/>
              <w:widowControl/>
              <w:numPr>
                <w:ilvl w:val="0"/>
                <w:numId w:val="18"/>
              </w:numPr>
              <w:kinsoku/>
              <w:overflowPunct/>
              <w:topLinePunct w:val="0"/>
              <w:autoSpaceDE/>
              <w:autoSpaceDN/>
              <w:bidi w:val="0"/>
              <w:adjustRightInd/>
              <w:snapToGrid/>
              <w:spacing w:after="0" w:line="32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对监理单位的投资控制措施</w:t>
            </w:r>
          </w:p>
          <w:p w14:paraId="21611459">
            <w:pPr>
              <w:keepNext w:val="0"/>
              <w:keepLines w:val="0"/>
              <w:pageBreakBefore w:val="0"/>
              <w:widowControl/>
              <w:numPr>
                <w:ilvl w:val="0"/>
                <w:numId w:val="18"/>
              </w:numPr>
              <w:kinsoku/>
              <w:overflowPunct/>
              <w:topLinePunct w:val="0"/>
              <w:autoSpaceDE/>
              <w:autoSpaceDN/>
              <w:bidi w:val="0"/>
              <w:adjustRightInd/>
              <w:snapToGrid/>
              <w:spacing w:after="0" w:line="32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对监理单位的进度控制</w:t>
            </w:r>
          </w:p>
          <w:p w14:paraId="245655AD">
            <w:pPr>
              <w:keepNext w:val="0"/>
              <w:keepLines w:val="0"/>
              <w:pageBreakBefore w:val="0"/>
              <w:widowControl/>
              <w:numPr>
                <w:ilvl w:val="0"/>
                <w:numId w:val="18"/>
              </w:numPr>
              <w:kinsoku/>
              <w:overflowPunct/>
              <w:topLinePunct w:val="0"/>
              <w:autoSpaceDE/>
              <w:autoSpaceDN/>
              <w:bidi w:val="0"/>
              <w:adjustRightInd/>
              <w:snapToGrid/>
              <w:spacing w:after="0" w:line="32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对监理单位的合同管理、信息管理及安全管控措施。</w:t>
            </w:r>
          </w:p>
          <w:p w14:paraId="1F21A24B">
            <w:pPr>
              <w:keepNext w:val="0"/>
              <w:keepLines w:val="0"/>
              <w:pageBreakBefore w:val="0"/>
              <w:widowControl/>
              <w:kinsoku/>
              <w:overflowPunct/>
              <w:topLinePunct w:val="0"/>
              <w:autoSpaceDE/>
              <w:autoSpaceDN/>
              <w:bidi w:val="0"/>
              <w:adjustRightInd/>
              <w:snapToGrid/>
              <w:spacing w:after="0" w:line="320" w:lineRule="exact"/>
              <w:textAlignment w:val="auto"/>
              <w:rPr>
                <w:rFonts w:hint="eastAsia" w:ascii="宋体" w:hAnsi="宋体" w:cs="宋体"/>
                <w:color w:val="auto"/>
                <w:kern w:val="0"/>
                <w:sz w:val="24"/>
                <w:highlight w:val="none"/>
              </w:rPr>
            </w:pPr>
            <w:r>
              <w:rPr>
                <w:rFonts w:ascii="宋体" w:hAnsi="宋体" w:cs="宋体"/>
                <w:color w:val="auto"/>
                <w:kern w:val="0"/>
                <w:sz w:val="24"/>
                <w:highlight w:val="none"/>
              </w:rPr>
              <w:t>投标人每提供上述1项方案，方案内容详细完整、内容丰富、具有针对性和实施性得2分；方案内容完整，但简单、通用，对应项方案得1分；未提供对应项方案或方案内容不完整、缺乏针对性的不得分。最多得</w:t>
            </w:r>
            <w:r>
              <w:rPr>
                <w:rFonts w:hint="eastAsia" w:ascii="宋体" w:hAnsi="宋体" w:cs="宋体"/>
                <w:color w:val="auto"/>
                <w:kern w:val="0"/>
                <w:sz w:val="24"/>
                <w:highlight w:val="none"/>
              </w:rPr>
              <w:t>8</w:t>
            </w:r>
            <w:r>
              <w:rPr>
                <w:rFonts w:ascii="宋体" w:hAnsi="宋体" w:cs="宋体"/>
                <w:color w:val="auto"/>
                <w:kern w:val="0"/>
                <w:sz w:val="24"/>
                <w:highlight w:val="none"/>
              </w:rPr>
              <w:t>分。</w:t>
            </w:r>
          </w:p>
        </w:tc>
      </w:tr>
      <w:tr w14:paraId="7E5E4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2" w:hRule="atLeast"/>
          <w:tblHeader/>
          <w:jc w:val="center"/>
        </w:trPr>
        <w:tc>
          <w:tcPr>
            <w:tcW w:w="784" w:type="dxa"/>
            <w:vAlign w:val="center"/>
          </w:tcPr>
          <w:p w14:paraId="28905DEF">
            <w:pPr>
              <w:keepNext w:val="0"/>
              <w:keepLines w:val="0"/>
              <w:pageBreakBefore w:val="0"/>
              <w:widowControl/>
              <w:kinsoku/>
              <w:overflowPunct/>
              <w:topLinePunct w:val="0"/>
              <w:autoSpaceDE/>
              <w:autoSpaceDN/>
              <w:bidi w:val="0"/>
              <w:adjustRightInd/>
              <w:snapToGrid/>
              <w:spacing w:after="0" w:line="320" w:lineRule="exact"/>
              <w:ind w:firstLine="28"/>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2.7</w:t>
            </w:r>
          </w:p>
        </w:tc>
        <w:tc>
          <w:tcPr>
            <w:tcW w:w="1486" w:type="dxa"/>
            <w:vAlign w:val="center"/>
          </w:tcPr>
          <w:p w14:paraId="45707370">
            <w:pPr>
              <w:keepNext w:val="0"/>
              <w:keepLines w:val="0"/>
              <w:pageBreakBefore w:val="0"/>
              <w:widowControl/>
              <w:kinsoku/>
              <w:overflowPunct/>
              <w:topLinePunct w:val="0"/>
              <w:autoSpaceDE/>
              <w:autoSpaceDN/>
              <w:bidi w:val="0"/>
              <w:adjustRightInd/>
              <w:snapToGrid/>
              <w:spacing w:after="0" w:line="320" w:lineRule="exact"/>
              <w:ind w:firstLine="28"/>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项目投资管理措施</w:t>
            </w:r>
          </w:p>
        </w:tc>
        <w:tc>
          <w:tcPr>
            <w:tcW w:w="840" w:type="dxa"/>
            <w:vAlign w:val="center"/>
          </w:tcPr>
          <w:p w14:paraId="060972D2">
            <w:pPr>
              <w:keepNext w:val="0"/>
              <w:keepLines w:val="0"/>
              <w:pageBreakBefore w:val="0"/>
              <w:widowControl/>
              <w:kinsoku/>
              <w:overflowPunct/>
              <w:topLinePunct w:val="0"/>
              <w:autoSpaceDE/>
              <w:autoSpaceDN/>
              <w:bidi w:val="0"/>
              <w:adjustRightInd/>
              <w:snapToGrid/>
              <w:spacing w:after="0" w:line="320" w:lineRule="exact"/>
              <w:ind w:firstLine="28"/>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8</w:t>
            </w:r>
          </w:p>
        </w:tc>
        <w:tc>
          <w:tcPr>
            <w:tcW w:w="5477" w:type="dxa"/>
            <w:vAlign w:val="center"/>
          </w:tcPr>
          <w:p w14:paraId="3386A1AE">
            <w:pPr>
              <w:keepNext w:val="0"/>
              <w:keepLines w:val="0"/>
              <w:pageBreakBefore w:val="0"/>
              <w:widowControl/>
              <w:kinsoku/>
              <w:overflowPunct/>
              <w:topLinePunct w:val="0"/>
              <w:autoSpaceDE/>
              <w:autoSpaceDN/>
              <w:bidi w:val="0"/>
              <w:adjustRightInd/>
              <w:snapToGrid/>
              <w:spacing w:after="0" w:line="32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投标人结合项目采购需求提供项目投资管理</w:t>
            </w:r>
            <w:r>
              <w:rPr>
                <w:rFonts w:hint="eastAsia" w:ascii="宋体" w:hAnsi="宋体" w:cs="宋体"/>
                <w:color w:val="auto"/>
                <w:sz w:val="24"/>
                <w:highlight w:val="none"/>
              </w:rPr>
              <w:t>措施</w:t>
            </w:r>
            <w:r>
              <w:rPr>
                <w:rFonts w:hint="eastAsia" w:ascii="宋体" w:hAnsi="宋体" w:cs="宋体"/>
                <w:color w:val="auto"/>
                <w:kern w:val="0"/>
                <w:sz w:val="24"/>
                <w:highlight w:val="none"/>
              </w:rPr>
              <w:t>，包括但不限于以下内容：</w:t>
            </w:r>
          </w:p>
          <w:p w14:paraId="4EF55D50">
            <w:pPr>
              <w:keepNext w:val="0"/>
              <w:keepLines w:val="0"/>
              <w:pageBreakBefore w:val="0"/>
              <w:widowControl/>
              <w:kinsoku/>
              <w:overflowPunct/>
              <w:topLinePunct w:val="0"/>
              <w:autoSpaceDE/>
              <w:autoSpaceDN/>
              <w:bidi w:val="0"/>
              <w:adjustRightInd/>
              <w:snapToGrid/>
              <w:spacing w:after="0" w:line="320" w:lineRule="exact"/>
              <w:textAlignment w:val="auto"/>
              <w:rPr>
                <w:rFonts w:hint="eastAsia" w:ascii="宋体" w:hAnsi="宋体" w:cs="宋体"/>
                <w:color w:val="auto"/>
                <w:kern w:val="0"/>
                <w:sz w:val="24"/>
                <w:highlight w:val="none"/>
              </w:rPr>
            </w:pPr>
            <w:r>
              <w:rPr>
                <w:rFonts w:ascii="宋体" w:hAnsi="宋体" w:cs="宋体"/>
                <w:color w:val="auto"/>
                <w:kern w:val="0"/>
                <w:sz w:val="24"/>
                <w:highlight w:val="none"/>
              </w:rPr>
              <w:t>（</w:t>
            </w:r>
            <w:r>
              <w:rPr>
                <w:rFonts w:hint="eastAsia" w:ascii="宋体" w:hAnsi="宋体" w:cs="宋体"/>
                <w:color w:val="auto"/>
                <w:kern w:val="0"/>
                <w:sz w:val="24"/>
                <w:highlight w:val="none"/>
              </w:rPr>
              <w:t>1</w:t>
            </w:r>
            <w:r>
              <w:rPr>
                <w:rFonts w:ascii="宋体" w:hAnsi="宋体" w:cs="宋体"/>
                <w:color w:val="auto"/>
                <w:kern w:val="0"/>
                <w:sz w:val="24"/>
                <w:highlight w:val="none"/>
              </w:rPr>
              <w:t>）</w:t>
            </w:r>
            <w:r>
              <w:rPr>
                <w:rFonts w:hint="eastAsia" w:ascii="宋体" w:hAnsi="宋体" w:cs="宋体"/>
                <w:color w:val="auto"/>
                <w:kern w:val="0"/>
                <w:sz w:val="24"/>
                <w:highlight w:val="none"/>
              </w:rPr>
              <w:t>设计阶段的投资管理措施；</w:t>
            </w:r>
          </w:p>
          <w:p w14:paraId="36099C61">
            <w:pPr>
              <w:keepNext w:val="0"/>
              <w:keepLines w:val="0"/>
              <w:pageBreakBefore w:val="0"/>
              <w:widowControl/>
              <w:kinsoku/>
              <w:overflowPunct/>
              <w:topLinePunct w:val="0"/>
              <w:autoSpaceDE/>
              <w:autoSpaceDN/>
              <w:bidi w:val="0"/>
              <w:adjustRightInd/>
              <w:snapToGrid/>
              <w:spacing w:after="0" w:line="320" w:lineRule="exact"/>
              <w:textAlignment w:val="auto"/>
              <w:rPr>
                <w:rFonts w:hint="eastAsia" w:ascii="宋体" w:hAnsi="宋体" w:cs="宋体"/>
                <w:color w:val="auto"/>
                <w:kern w:val="0"/>
                <w:sz w:val="24"/>
                <w:highlight w:val="none"/>
              </w:rPr>
            </w:pPr>
            <w:r>
              <w:rPr>
                <w:rFonts w:ascii="宋体" w:hAnsi="宋体" w:cs="宋体"/>
                <w:color w:val="auto"/>
                <w:kern w:val="0"/>
                <w:sz w:val="24"/>
                <w:highlight w:val="none"/>
              </w:rPr>
              <w:t>（</w:t>
            </w:r>
            <w:r>
              <w:rPr>
                <w:rFonts w:hint="eastAsia" w:ascii="宋体" w:hAnsi="宋体" w:cs="宋体"/>
                <w:color w:val="auto"/>
                <w:kern w:val="0"/>
                <w:sz w:val="24"/>
                <w:highlight w:val="none"/>
              </w:rPr>
              <w:t>2</w:t>
            </w:r>
            <w:r>
              <w:rPr>
                <w:rFonts w:ascii="宋体" w:hAnsi="宋体" w:cs="宋体"/>
                <w:color w:val="auto"/>
                <w:kern w:val="0"/>
                <w:sz w:val="24"/>
                <w:highlight w:val="none"/>
              </w:rPr>
              <w:t>）招标采购阶段</w:t>
            </w:r>
            <w:r>
              <w:rPr>
                <w:rFonts w:hint="eastAsia" w:ascii="宋体" w:hAnsi="宋体" w:cs="宋体"/>
                <w:color w:val="auto"/>
                <w:kern w:val="0"/>
                <w:sz w:val="24"/>
                <w:highlight w:val="none"/>
              </w:rPr>
              <w:t>的投资管理措施；</w:t>
            </w:r>
          </w:p>
          <w:p w14:paraId="29C118AB">
            <w:pPr>
              <w:keepNext w:val="0"/>
              <w:keepLines w:val="0"/>
              <w:pageBreakBefore w:val="0"/>
              <w:widowControl/>
              <w:kinsoku/>
              <w:overflowPunct/>
              <w:topLinePunct w:val="0"/>
              <w:autoSpaceDE/>
              <w:autoSpaceDN/>
              <w:bidi w:val="0"/>
              <w:adjustRightInd/>
              <w:snapToGrid/>
              <w:spacing w:after="0" w:line="320" w:lineRule="exact"/>
              <w:textAlignment w:val="auto"/>
              <w:rPr>
                <w:rFonts w:hint="eastAsia" w:ascii="宋体" w:hAnsi="宋体" w:cs="宋体"/>
                <w:color w:val="auto"/>
                <w:kern w:val="0"/>
                <w:sz w:val="24"/>
                <w:highlight w:val="none"/>
              </w:rPr>
            </w:pPr>
            <w:r>
              <w:rPr>
                <w:rFonts w:ascii="宋体" w:hAnsi="宋体" w:cs="宋体"/>
                <w:color w:val="auto"/>
                <w:kern w:val="0"/>
                <w:sz w:val="24"/>
                <w:highlight w:val="none"/>
              </w:rPr>
              <w:t>（</w:t>
            </w:r>
            <w:r>
              <w:rPr>
                <w:rFonts w:hint="eastAsia" w:ascii="宋体" w:hAnsi="宋体" w:cs="宋体"/>
                <w:color w:val="auto"/>
                <w:kern w:val="0"/>
                <w:sz w:val="24"/>
                <w:highlight w:val="none"/>
              </w:rPr>
              <w:t>3</w:t>
            </w:r>
            <w:r>
              <w:rPr>
                <w:rFonts w:ascii="宋体" w:hAnsi="宋体" w:cs="宋体"/>
                <w:color w:val="auto"/>
                <w:kern w:val="0"/>
                <w:sz w:val="24"/>
                <w:highlight w:val="none"/>
              </w:rPr>
              <w:t>）施工阶段</w:t>
            </w:r>
            <w:r>
              <w:rPr>
                <w:rFonts w:hint="eastAsia" w:ascii="宋体" w:hAnsi="宋体" w:cs="宋体"/>
                <w:color w:val="auto"/>
                <w:kern w:val="0"/>
                <w:sz w:val="24"/>
                <w:highlight w:val="none"/>
              </w:rPr>
              <w:t>的投资管理措施；</w:t>
            </w:r>
          </w:p>
          <w:p w14:paraId="6FDC3362">
            <w:pPr>
              <w:keepNext w:val="0"/>
              <w:keepLines w:val="0"/>
              <w:pageBreakBefore w:val="0"/>
              <w:widowControl/>
              <w:kinsoku/>
              <w:overflowPunct/>
              <w:topLinePunct w:val="0"/>
              <w:autoSpaceDE/>
              <w:autoSpaceDN/>
              <w:bidi w:val="0"/>
              <w:adjustRightInd/>
              <w:snapToGrid/>
              <w:spacing w:after="0" w:line="320" w:lineRule="exact"/>
              <w:textAlignment w:val="auto"/>
              <w:rPr>
                <w:rFonts w:hint="eastAsia" w:ascii="宋体" w:hAnsi="宋体" w:cs="宋体"/>
                <w:color w:val="auto"/>
                <w:kern w:val="0"/>
                <w:sz w:val="24"/>
                <w:highlight w:val="none"/>
              </w:rPr>
            </w:pPr>
            <w:r>
              <w:rPr>
                <w:rFonts w:ascii="宋体" w:hAnsi="宋体" w:cs="宋体"/>
                <w:color w:val="auto"/>
                <w:kern w:val="0"/>
                <w:sz w:val="24"/>
                <w:highlight w:val="none"/>
              </w:rPr>
              <w:t>（</w:t>
            </w:r>
            <w:r>
              <w:rPr>
                <w:rFonts w:hint="eastAsia" w:ascii="宋体" w:hAnsi="宋体" w:cs="宋体"/>
                <w:color w:val="auto"/>
                <w:kern w:val="0"/>
                <w:sz w:val="24"/>
                <w:highlight w:val="none"/>
              </w:rPr>
              <w:t>4</w:t>
            </w:r>
            <w:r>
              <w:rPr>
                <w:rFonts w:ascii="宋体" w:hAnsi="宋体" w:cs="宋体"/>
                <w:color w:val="auto"/>
                <w:kern w:val="0"/>
                <w:sz w:val="24"/>
                <w:highlight w:val="none"/>
              </w:rPr>
              <w:t>）</w:t>
            </w:r>
            <w:r>
              <w:rPr>
                <w:rFonts w:hint="eastAsia" w:ascii="宋体" w:hAnsi="宋体" w:cs="宋体"/>
                <w:color w:val="auto"/>
                <w:kern w:val="0"/>
                <w:sz w:val="24"/>
                <w:highlight w:val="none"/>
              </w:rPr>
              <w:t>竣工阶段的投资管理措施。</w:t>
            </w:r>
          </w:p>
          <w:p w14:paraId="6DAC1994">
            <w:pPr>
              <w:keepNext w:val="0"/>
              <w:keepLines w:val="0"/>
              <w:pageBreakBefore w:val="0"/>
              <w:widowControl/>
              <w:kinsoku/>
              <w:overflowPunct/>
              <w:topLinePunct w:val="0"/>
              <w:autoSpaceDE/>
              <w:autoSpaceDN/>
              <w:bidi w:val="0"/>
              <w:adjustRightInd/>
              <w:snapToGrid/>
              <w:spacing w:after="0" w:line="320" w:lineRule="exact"/>
              <w:textAlignment w:val="auto"/>
              <w:rPr>
                <w:rFonts w:hint="eastAsia" w:ascii="宋体" w:hAnsi="宋体" w:cs="宋体"/>
                <w:color w:val="auto"/>
                <w:kern w:val="0"/>
                <w:sz w:val="24"/>
                <w:highlight w:val="none"/>
              </w:rPr>
            </w:pPr>
            <w:r>
              <w:rPr>
                <w:rFonts w:ascii="宋体" w:hAnsi="宋体" w:cs="宋体"/>
                <w:color w:val="auto"/>
                <w:kern w:val="0"/>
                <w:sz w:val="24"/>
                <w:highlight w:val="none"/>
              </w:rPr>
              <w:t>投标人每提供上述1项方案，方案内容详细完整、内容丰富、具有针对性和实施性得2分；方案内容完整，但简单、通用，对应项方案得1分；未提供对应项方案或方案内容不完整、缺乏针对性的不得分。最多得</w:t>
            </w:r>
            <w:r>
              <w:rPr>
                <w:rFonts w:hint="eastAsia" w:ascii="宋体" w:hAnsi="宋体" w:cs="宋体"/>
                <w:color w:val="auto"/>
                <w:kern w:val="0"/>
                <w:sz w:val="24"/>
                <w:highlight w:val="none"/>
              </w:rPr>
              <w:t>8</w:t>
            </w:r>
            <w:r>
              <w:rPr>
                <w:rFonts w:ascii="宋体" w:hAnsi="宋体" w:cs="宋体"/>
                <w:color w:val="auto"/>
                <w:kern w:val="0"/>
                <w:sz w:val="24"/>
                <w:highlight w:val="none"/>
              </w:rPr>
              <w:t>分。</w:t>
            </w:r>
          </w:p>
        </w:tc>
      </w:tr>
      <w:tr w14:paraId="02E1F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4" w:type="dxa"/>
            <w:vAlign w:val="center"/>
          </w:tcPr>
          <w:p w14:paraId="00F13935">
            <w:pPr>
              <w:keepNext w:val="0"/>
              <w:keepLines w:val="0"/>
              <w:pageBreakBefore w:val="0"/>
              <w:widowControl/>
              <w:kinsoku/>
              <w:overflowPunct/>
              <w:topLinePunct w:val="0"/>
              <w:autoSpaceDE/>
              <w:autoSpaceDN/>
              <w:bidi w:val="0"/>
              <w:adjustRightInd/>
              <w:snapToGrid/>
              <w:spacing w:after="0" w:line="320" w:lineRule="exact"/>
              <w:ind w:firstLine="28"/>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2.8</w:t>
            </w:r>
          </w:p>
        </w:tc>
        <w:tc>
          <w:tcPr>
            <w:tcW w:w="1486" w:type="dxa"/>
            <w:vAlign w:val="center"/>
          </w:tcPr>
          <w:p w14:paraId="412C5862">
            <w:pPr>
              <w:keepNext w:val="0"/>
              <w:keepLines w:val="0"/>
              <w:pageBreakBefore w:val="0"/>
              <w:widowControl/>
              <w:kinsoku/>
              <w:overflowPunct/>
              <w:topLinePunct w:val="0"/>
              <w:autoSpaceDE/>
              <w:autoSpaceDN/>
              <w:bidi w:val="0"/>
              <w:adjustRightInd/>
              <w:snapToGrid/>
              <w:spacing w:after="0" w:line="320" w:lineRule="exact"/>
              <w:ind w:firstLine="28"/>
              <w:jc w:val="center"/>
              <w:textAlignment w:val="auto"/>
              <w:rPr>
                <w:rFonts w:hint="eastAsia" w:ascii="宋体" w:hAnsi="宋体" w:cs="宋体"/>
                <w:color w:val="auto"/>
                <w:sz w:val="24"/>
                <w:highlight w:val="none"/>
              </w:rPr>
            </w:pPr>
            <w:r>
              <w:rPr>
                <w:rFonts w:ascii="宋体" w:hAnsi="宋体" w:cs="宋体"/>
                <w:color w:val="auto"/>
                <w:sz w:val="24"/>
                <w:highlight w:val="none"/>
              </w:rPr>
              <w:t>档案及合同管理措施</w:t>
            </w:r>
          </w:p>
        </w:tc>
        <w:tc>
          <w:tcPr>
            <w:tcW w:w="840" w:type="dxa"/>
            <w:vAlign w:val="center"/>
          </w:tcPr>
          <w:p w14:paraId="5D476EEF">
            <w:pPr>
              <w:keepNext w:val="0"/>
              <w:keepLines w:val="0"/>
              <w:pageBreakBefore w:val="0"/>
              <w:widowControl/>
              <w:kinsoku/>
              <w:overflowPunct/>
              <w:topLinePunct w:val="0"/>
              <w:autoSpaceDE/>
              <w:autoSpaceDN/>
              <w:bidi w:val="0"/>
              <w:adjustRightInd/>
              <w:snapToGrid/>
              <w:spacing w:after="0" w:line="320" w:lineRule="exact"/>
              <w:ind w:firstLine="28"/>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4</w:t>
            </w:r>
          </w:p>
        </w:tc>
        <w:tc>
          <w:tcPr>
            <w:tcW w:w="5477" w:type="dxa"/>
            <w:vAlign w:val="center"/>
          </w:tcPr>
          <w:p w14:paraId="1877A922">
            <w:pPr>
              <w:keepNext w:val="0"/>
              <w:keepLines w:val="0"/>
              <w:pageBreakBefore w:val="0"/>
              <w:widowControl/>
              <w:kinsoku/>
              <w:overflowPunct/>
              <w:topLinePunct w:val="0"/>
              <w:autoSpaceDE/>
              <w:autoSpaceDN/>
              <w:bidi w:val="0"/>
              <w:adjustRightInd/>
              <w:snapToGrid/>
              <w:spacing w:after="0" w:line="32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投标人结合项目采购需求提供</w:t>
            </w:r>
            <w:r>
              <w:rPr>
                <w:rFonts w:ascii="宋体" w:hAnsi="宋体" w:cs="宋体"/>
                <w:color w:val="auto"/>
                <w:sz w:val="24"/>
                <w:highlight w:val="none"/>
              </w:rPr>
              <w:t>档案及合同管理措施</w:t>
            </w:r>
            <w:r>
              <w:rPr>
                <w:rFonts w:hint="eastAsia" w:ascii="宋体" w:hAnsi="宋体" w:cs="宋体"/>
                <w:color w:val="auto"/>
                <w:kern w:val="0"/>
                <w:sz w:val="24"/>
                <w:highlight w:val="none"/>
              </w:rPr>
              <w:t>，包括但不限于以下内容：</w:t>
            </w:r>
          </w:p>
          <w:p w14:paraId="41A03CD1">
            <w:pPr>
              <w:keepNext w:val="0"/>
              <w:keepLines w:val="0"/>
              <w:pageBreakBefore w:val="0"/>
              <w:widowControl/>
              <w:kinsoku/>
              <w:overflowPunct/>
              <w:topLinePunct w:val="0"/>
              <w:autoSpaceDE/>
              <w:autoSpaceDN/>
              <w:bidi w:val="0"/>
              <w:adjustRightInd/>
              <w:snapToGrid/>
              <w:spacing w:after="0" w:line="32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ascii="宋体" w:hAnsi="宋体" w:cs="宋体"/>
                <w:color w:val="auto"/>
                <w:kern w:val="0"/>
                <w:sz w:val="24"/>
                <w:highlight w:val="none"/>
              </w:rPr>
              <w:t>档案、资料管理制度</w:t>
            </w:r>
            <w:r>
              <w:rPr>
                <w:rFonts w:hint="eastAsia" w:ascii="宋体" w:hAnsi="宋体" w:cs="宋体"/>
                <w:color w:val="auto"/>
                <w:kern w:val="0"/>
                <w:sz w:val="24"/>
                <w:highlight w:val="none"/>
              </w:rPr>
              <w:t>；</w:t>
            </w:r>
          </w:p>
          <w:p w14:paraId="3B49F1FF">
            <w:pPr>
              <w:keepNext w:val="0"/>
              <w:keepLines w:val="0"/>
              <w:pageBreakBefore w:val="0"/>
              <w:widowControl/>
              <w:kinsoku/>
              <w:overflowPunct/>
              <w:topLinePunct w:val="0"/>
              <w:autoSpaceDE/>
              <w:autoSpaceDN/>
              <w:bidi w:val="0"/>
              <w:adjustRightInd/>
              <w:snapToGrid/>
              <w:spacing w:after="0" w:line="32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ascii="宋体" w:hAnsi="宋体" w:cs="宋体"/>
                <w:color w:val="auto"/>
                <w:kern w:val="0"/>
                <w:sz w:val="24"/>
                <w:highlight w:val="none"/>
              </w:rPr>
              <w:t>档案、资料</w:t>
            </w:r>
            <w:r>
              <w:rPr>
                <w:rFonts w:hint="eastAsia" w:ascii="宋体" w:hAnsi="宋体" w:cs="宋体"/>
                <w:color w:val="auto"/>
                <w:kern w:val="0"/>
                <w:sz w:val="24"/>
                <w:highlight w:val="none"/>
              </w:rPr>
              <w:t>的分类、归档、存储及借阅的管理措施。</w:t>
            </w:r>
          </w:p>
          <w:p w14:paraId="1ED595D6">
            <w:pPr>
              <w:keepNext w:val="0"/>
              <w:keepLines w:val="0"/>
              <w:pageBreakBefore w:val="0"/>
              <w:widowControl/>
              <w:kinsoku/>
              <w:overflowPunct/>
              <w:topLinePunct w:val="0"/>
              <w:autoSpaceDE/>
              <w:autoSpaceDN/>
              <w:bidi w:val="0"/>
              <w:adjustRightInd/>
              <w:snapToGrid/>
              <w:spacing w:after="0" w:line="320" w:lineRule="exact"/>
              <w:textAlignment w:val="auto"/>
              <w:rPr>
                <w:color w:val="auto"/>
                <w:highlight w:val="none"/>
              </w:rPr>
            </w:pPr>
            <w:r>
              <w:rPr>
                <w:rFonts w:ascii="宋体" w:hAnsi="宋体" w:cs="宋体"/>
                <w:color w:val="auto"/>
                <w:kern w:val="0"/>
                <w:sz w:val="24"/>
                <w:highlight w:val="none"/>
              </w:rPr>
              <w:t>投标人每提供上述1项方案，方案内容详细完整、内容丰富、具有针对性和实施性得2分；方案内容完整，但简单、通用，对应项方案得1分；未提供对应项方案或方案内容不完整、缺乏针对性的不得分。最多得</w:t>
            </w:r>
            <w:r>
              <w:rPr>
                <w:rFonts w:hint="eastAsia" w:ascii="宋体" w:hAnsi="宋体" w:cs="宋体"/>
                <w:color w:val="auto"/>
                <w:kern w:val="0"/>
                <w:sz w:val="24"/>
                <w:highlight w:val="none"/>
              </w:rPr>
              <w:t>4</w:t>
            </w:r>
            <w:r>
              <w:rPr>
                <w:rFonts w:ascii="宋体" w:hAnsi="宋体" w:cs="宋体"/>
                <w:color w:val="auto"/>
                <w:kern w:val="0"/>
                <w:sz w:val="24"/>
                <w:highlight w:val="none"/>
              </w:rPr>
              <w:t>分。</w:t>
            </w:r>
          </w:p>
        </w:tc>
      </w:tr>
      <w:tr w14:paraId="164F0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784" w:type="dxa"/>
            <w:vAlign w:val="center"/>
          </w:tcPr>
          <w:p w14:paraId="30C812D1">
            <w:pPr>
              <w:keepNext w:val="0"/>
              <w:keepLines w:val="0"/>
              <w:pageBreakBefore w:val="0"/>
              <w:widowControl/>
              <w:kinsoku/>
              <w:overflowPunct/>
              <w:topLinePunct w:val="0"/>
              <w:autoSpaceDE/>
              <w:autoSpaceDN/>
              <w:bidi w:val="0"/>
              <w:adjustRightInd/>
              <w:snapToGrid/>
              <w:spacing w:after="0" w:line="320" w:lineRule="exact"/>
              <w:ind w:firstLine="28"/>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3</w:t>
            </w:r>
          </w:p>
        </w:tc>
        <w:tc>
          <w:tcPr>
            <w:tcW w:w="1486" w:type="dxa"/>
            <w:vAlign w:val="center"/>
          </w:tcPr>
          <w:p w14:paraId="0686AA4F">
            <w:pPr>
              <w:keepNext w:val="0"/>
              <w:keepLines w:val="0"/>
              <w:pageBreakBefore w:val="0"/>
              <w:widowControl/>
              <w:kinsoku/>
              <w:overflowPunct/>
              <w:topLinePunct w:val="0"/>
              <w:autoSpaceDE/>
              <w:autoSpaceDN/>
              <w:bidi w:val="0"/>
              <w:adjustRightInd/>
              <w:snapToGrid/>
              <w:spacing w:after="0" w:line="320" w:lineRule="exact"/>
              <w:ind w:firstLine="28"/>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投标报价</w:t>
            </w:r>
          </w:p>
        </w:tc>
        <w:tc>
          <w:tcPr>
            <w:tcW w:w="840" w:type="dxa"/>
            <w:vAlign w:val="center"/>
          </w:tcPr>
          <w:p w14:paraId="77403CA9">
            <w:pPr>
              <w:keepNext w:val="0"/>
              <w:keepLines w:val="0"/>
              <w:pageBreakBefore w:val="0"/>
              <w:widowControl/>
              <w:kinsoku/>
              <w:overflowPunct/>
              <w:topLinePunct w:val="0"/>
              <w:autoSpaceDE/>
              <w:autoSpaceDN/>
              <w:bidi w:val="0"/>
              <w:adjustRightInd/>
              <w:snapToGrid/>
              <w:spacing w:after="0" w:line="320" w:lineRule="exact"/>
              <w:ind w:firstLine="28"/>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10</w:t>
            </w:r>
          </w:p>
        </w:tc>
        <w:tc>
          <w:tcPr>
            <w:tcW w:w="5477" w:type="dxa"/>
            <w:vAlign w:val="center"/>
          </w:tcPr>
          <w:p w14:paraId="766426C9">
            <w:pPr>
              <w:keepNext w:val="0"/>
              <w:keepLines w:val="0"/>
              <w:pageBreakBefore w:val="0"/>
              <w:widowControl/>
              <w:kinsoku/>
              <w:overflowPunct/>
              <w:topLinePunct w:val="0"/>
              <w:autoSpaceDE/>
              <w:autoSpaceDN/>
              <w:bidi w:val="0"/>
              <w:adjustRightInd/>
              <w:snapToGrid/>
              <w:spacing w:after="0"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满足招标文件要求且投标价格最低的投标报价为评标基准价，其价格分为满分。其他投标人的价格分统一按照下列公式计算：</w:t>
            </w:r>
          </w:p>
          <w:p w14:paraId="7B30F5E9">
            <w:pPr>
              <w:keepNext w:val="0"/>
              <w:keepLines w:val="0"/>
              <w:pageBreakBefore w:val="0"/>
              <w:widowControl/>
              <w:kinsoku/>
              <w:overflowPunct/>
              <w:topLinePunct w:val="0"/>
              <w:autoSpaceDE/>
              <w:autoSpaceDN/>
              <w:bidi w:val="0"/>
              <w:adjustRightInd/>
              <w:snapToGrid/>
              <w:spacing w:after="0" w:line="320" w:lineRule="exact"/>
              <w:ind w:firstLine="480"/>
              <w:textAlignment w:val="auto"/>
              <w:rPr>
                <w:rFonts w:hint="eastAsia" w:ascii="宋体" w:hAnsi="宋体" w:cs="宋体"/>
                <w:color w:val="auto"/>
                <w:sz w:val="24"/>
                <w:highlight w:val="none"/>
              </w:rPr>
            </w:pPr>
            <w:r>
              <w:rPr>
                <w:rFonts w:hint="eastAsia" w:ascii="宋体" w:hAnsi="宋体" w:cs="宋体"/>
                <w:color w:val="auto"/>
                <w:sz w:val="24"/>
                <w:highlight w:val="none"/>
              </w:rPr>
              <w:t>投标报价得分＝（评标基准价/投标报价）×分值。</w:t>
            </w:r>
          </w:p>
          <w:p w14:paraId="2056E674">
            <w:pPr>
              <w:keepNext w:val="0"/>
              <w:keepLines w:val="0"/>
              <w:pageBreakBefore w:val="0"/>
              <w:widowControl/>
              <w:kinsoku/>
              <w:overflowPunct/>
              <w:topLinePunct w:val="0"/>
              <w:autoSpaceDE/>
              <w:autoSpaceDN/>
              <w:bidi w:val="0"/>
              <w:adjustRightInd/>
              <w:snapToGrid/>
              <w:spacing w:after="0" w:line="320" w:lineRule="exact"/>
              <w:ind w:firstLine="480"/>
              <w:textAlignment w:val="auto"/>
              <w:rPr>
                <w:rFonts w:hint="eastAsia" w:ascii="宋体" w:hAnsi="宋体" w:cs="宋体"/>
                <w:color w:val="auto"/>
                <w:sz w:val="24"/>
                <w:highlight w:val="none"/>
              </w:rPr>
            </w:pPr>
            <w:r>
              <w:rPr>
                <w:rFonts w:hint="eastAsia" w:ascii="宋体" w:hAnsi="宋体" w:cs="宋体"/>
                <w:color w:val="auto"/>
                <w:sz w:val="24"/>
                <w:highlight w:val="none"/>
              </w:rPr>
              <w:t>注1：此处投标报价指经过报价修正，及因落实政府采购政策进行价格调整后的报价，详见第四章《评标程序、评标方法和评标标准》2.4及2.5。</w:t>
            </w:r>
          </w:p>
          <w:p w14:paraId="40D3BEE4">
            <w:pPr>
              <w:keepNext w:val="0"/>
              <w:keepLines w:val="0"/>
              <w:pageBreakBefore w:val="0"/>
              <w:widowControl/>
              <w:kinsoku/>
              <w:overflowPunct/>
              <w:topLinePunct w:val="0"/>
              <w:autoSpaceDE/>
              <w:autoSpaceDN/>
              <w:bidi w:val="0"/>
              <w:adjustRightInd/>
              <w:snapToGrid/>
              <w:spacing w:after="0" w:line="320" w:lineRule="exact"/>
              <w:ind w:firstLine="480"/>
              <w:textAlignment w:val="auto"/>
              <w:rPr>
                <w:color w:val="auto"/>
                <w:highlight w:val="none"/>
              </w:rPr>
            </w:pPr>
            <w:r>
              <w:rPr>
                <w:rFonts w:hint="eastAsia" w:ascii="宋体" w:hAnsi="宋体" w:cs="宋体"/>
                <w:color w:val="auto"/>
                <w:sz w:val="24"/>
                <w:highlight w:val="none"/>
              </w:rPr>
              <w:t>注2：①对小型和微型企业、监狱企业以及残疾人福利性单位的价格给予 10%的扣除，用扣除后的价格参与评审。②报价得分计算结果按四舍五入规则保留小数点后两位数字。</w:t>
            </w:r>
          </w:p>
        </w:tc>
      </w:tr>
      <w:tr w14:paraId="123D9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2270" w:type="dxa"/>
            <w:gridSpan w:val="2"/>
            <w:vAlign w:val="center"/>
          </w:tcPr>
          <w:p w14:paraId="70CC3A21">
            <w:pPr>
              <w:keepNext w:val="0"/>
              <w:keepLines w:val="0"/>
              <w:pageBreakBefore w:val="0"/>
              <w:widowControl/>
              <w:kinsoku/>
              <w:overflowPunct/>
              <w:topLinePunct w:val="0"/>
              <w:autoSpaceDE/>
              <w:autoSpaceDN/>
              <w:bidi w:val="0"/>
              <w:adjustRightInd/>
              <w:snapToGrid/>
              <w:spacing w:after="0" w:line="320" w:lineRule="exact"/>
              <w:ind w:firstLine="28"/>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合计</w:t>
            </w:r>
          </w:p>
        </w:tc>
        <w:tc>
          <w:tcPr>
            <w:tcW w:w="840" w:type="dxa"/>
            <w:vAlign w:val="center"/>
          </w:tcPr>
          <w:p w14:paraId="65DEE77E">
            <w:pPr>
              <w:keepNext w:val="0"/>
              <w:keepLines w:val="0"/>
              <w:pageBreakBefore w:val="0"/>
              <w:widowControl/>
              <w:kinsoku/>
              <w:overflowPunct/>
              <w:topLinePunct w:val="0"/>
              <w:autoSpaceDE/>
              <w:autoSpaceDN/>
              <w:bidi w:val="0"/>
              <w:adjustRightInd/>
              <w:snapToGrid/>
              <w:spacing w:after="0" w:line="320" w:lineRule="exact"/>
              <w:ind w:firstLine="28"/>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100</w:t>
            </w:r>
          </w:p>
        </w:tc>
        <w:tc>
          <w:tcPr>
            <w:tcW w:w="5477" w:type="dxa"/>
            <w:vAlign w:val="center"/>
          </w:tcPr>
          <w:p w14:paraId="3363AF01">
            <w:pPr>
              <w:keepNext w:val="0"/>
              <w:keepLines w:val="0"/>
              <w:pageBreakBefore w:val="0"/>
              <w:widowControl/>
              <w:kinsoku/>
              <w:overflowPunct/>
              <w:topLinePunct w:val="0"/>
              <w:autoSpaceDE/>
              <w:autoSpaceDN/>
              <w:bidi w:val="0"/>
              <w:adjustRightInd/>
              <w:snapToGrid/>
              <w:spacing w:after="0" w:line="320" w:lineRule="exact"/>
              <w:textAlignment w:val="auto"/>
              <w:rPr>
                <w:rFonts w:hint="eastAsia" w:ascii="宋体" w:hAnsi="宋体" w:cs="宋体"/>
                <w:color w:val="auto"/>
                <w:sz w:val="24"/>
                <w:highlight w:val="none"/>
              </w:rPr>
            </w:pPr>
          </w:p>
        </w:tc>
      </w:tr>
    </w:tbl>
    <w:p w14:paraId="60059AE5">
      <w:pPr>
        <w:rPr>
          <w:rFonts w:hint="eastAsia" w:ascii="宋体" w:hAnsi="宋体" w:cs="宋体"/>
          <w:b/>
          <w:color w:val="auto"/>
          <w:sz w:val="24"/>
          <w:highlight w:val="none"/>
        </w:rPr>
      </w:pPr>
      <w:r>
        <w:rPr>
          <w:rFonts w:hint="eastAsia" w:ascii="宋体" w:hAnsi="宋体" w:cs="宋体"/>
          <w:b/>
          <w:color w:val="auto"/>
          <w:sz w:val="24"/>
          <w:highlight w:val="none"/>
        </w:rPr>
        <w:br w:type="page"/>
      </w:r>
    </w:p>
    <w:p w14:paraId="52143B60">
      <w:pPr>
        <w:spacing w:line="480" w:lineRule="auto"/>
        <w:jc w:val="center"/>
        <w:outlineLvl w:val="0"/>
        <w:rPr>
          <w:rFonts w:hint="eastAsia" w:ascii="宋体" w:hAnsi="宋体" w:cs="宋体"/>
          <w:b/>
          <w:color w:val="auto"/>
          <w:sz w:val="36"/>
          <w:szCs w:val="36"/>
          <w:highlight w:val="none"/>
        </w:rPr>
      </w:pPr>
      <w:bookmarkStart w:id="830" w:name="_Toc148368073"/>
      <w:bookmarkStart w:id="831" w:name="_Toc16158"/>
      <w:bookmarkStart w:id="832" w:name="_Toc11420"/>
      <w:r>
        <w:rPr>
          <w:rFonts w:hint="eastAsia" w:ascii="宋体" w:hAnsi="宋体" w:cs="宋体"/>
          <w:b/>
          <w:color w:val="auto"/>
          <w:sz w:val="36"/>
          <w:szCs w:val="36"/>
          <w:highlight w:val="none"/>
        </w:rPr>
        <w:t>第五章   采购需求</w:t>
      </w:r>
      <w:bookmarkEnd w:id="830"/>
      <w:bookmarkEnd w:id="831"/>
      <w:bookmarkEnd w:id="832"/>
    </w:p>
    <w:p w14:paraId="6D36B933">
      <w:pPr>
        <w:spacing w:line="360" w:lineRule="auto"/>
        <w:ind w:left="500" w:hanging="500"/>
        <w:rPr>
          <w:rFonts w:hint="eastAsia" w:ascii="宋体" w:hAnsi="宋体" w:cs="宋体"/>
          <w:b/>
          <w:color w:val="auto"/>
          <w:sz w:val="24"/>
          <w:highlight w:val="none"/>
        </w:rPr>
      </w:pPr>
      <w:bookmarkStart w:id="833" w:name="_Toc6254902"/>
      <w:bookmarkEnd w:id="833"/>
      <w:bookmarkStart w:id="834" w:name="_Toc6254867"/>
      <w:bookmarkEnd w:id="834"/>
      <w:bookmarkStart w:id="835" w:name="_Toc6254844"/>
      <w:bookmarkEnd w:id="835"/>
      <w:bookmarkStart w:id="836" w:name="_Toc6254882"/>
      <w:bookmarkEnd w:id="836"/>
      <w:bookmarkStart w:id="837" w:name="_Toc6254860"/>
      <w:bookmarkEnd w:id="837"/>
      <w:bookmarkStart w:id="838" w:name="_Toc6254879"/>
      <w:bookmarkEnd w:id="838"/>
      <w:bookmarkStart w:id="839" w:name="_Toc6254824"/>
      <w:bookmarkEnd w:id="839"/>
      <w:bookmarkStart w:id="840" w:name="_Toc6254866"/>
      <w:bookmarkEnd w:id="840"/>
      <w:bookmarkStart w:id="841" w:name="_Toc6254862"/>
      <w:bookmarkEnd w:id="841"/>
      <w:bookmarkStart w:id="842" w:name="_Toc6254856"/>
      <w:bookmarkEnd w:id="842"/>
      <w:bookmarkStart w:id="843" w:name="_Toc6254900"/>
      <w:bookmarkEnd w:id="843"/>
      <w:bookmarkStart w:id="844" w:name="_Toc6254889"/>
      <w:bookmarkEnd w:id="844"/>
      <w:bookmarkStart w:id="845" w:name="_Toc6254830"/>
      <w:bookmarkEnd w:id="845"/>
      <w:bookmarkStart w:id="846" w:name="_Toc6254876"/>
      <w:bookmarkEnd w:id="846"/>
      <w:bookmarkStart w:id="847" w:name="_Toc6254854"/>
      <w:bookmarkEnd w:id="847"/>
      <w:bookmarkStart w:id="848" w:name="_Toc6254852"/>
      <w:bookmarkEnd w:id="848"/>
      <w:bookmarkStart w:id="849" w:name="_Toc6254839"/>
      <w:bookmarkEnd w:id="849"/>
      <w:bookmarkStart w:id="850" w:name="_Toc6254883"/>
      <w:bookmarkEnd w:id="850"/>
      <w:bookmarkStart w:id="851" w:name="_Toc6254880"/>
      <w:bookmarkEnd w:id="851"/>
      <w:bookmarkStart w:id="852" w:name="_Toc6254842"/>
      <w:bookmarkEnd w:id="852"/>
      <w:bookmarkStart w:id="853" w:name="_Toc6254871"/>
      <w:bookmarkEnd w:id="853"/>
      <w:bookmarkStart w:id="854" w:name="_Toc6254877"/>
      <w:bookmarkEnd w:id="854"/>
      <w:bookmarkStart w:id="855" w:name="_Toc6254873"/>
      <w:bookmarkEnd w:id="855"/>
      <w:bookmarkStart w:id="856" w:name="_Toc6254851"/>
      <w:bookmarkEnd w:id="856"/>
      <w:bookmarkStart w:id="857" w:name="_Toc6254834"/>
      <w:bookmarkEnd w:id="857"/>
      <w:bookmarkStart w:id="858" w:name="_Toc6254840"/>
      <w:bookmarkEnd w:id="858"/>
      <w:bookmarkStart w:id="859" w:name="_Toc6254885"/>
      <w:bookmarkEnd w:id="859"/>
      <w:bookmarkStart w:id="860" w:name="_Toc6254897"/>
      <w:bookmarkEnd w:id="860"/>
      <w:bookmarkStart w:id="861" w:name="_Toc6254827"/>
      <w:bookmarkEnd w:id="861"/>
      <w:bookmarkStart w:id="862" w:name="_Toc6254888"/>
      <w:bookmarkEnd w:id="862"/>
      <w:bookmarkStart w:id="863" w:name="_Toc6254887"/>
      <w:bookmarkEnd w:id="863"/>
      <w:bookmarkStart w:id="864" w:name="_Toc6254853"/>
      <w:bookmarkEnd w:id="864"/>
      <w:bookmarkStart w:id="865" w:name="_Toc6254898"/>
      <w:bookmarkEnd w:id="865"/>
      <w:bookmarkStart w:id="866" w:name="_Toc6254833"/>
      <w:bookmarkEnd w:id="866"/>
      <w:bookmarkStart w:id="867" w:name="_Toc6254847"/>
      <w:bookmarkEnd w:id="867"/>
      <w:bookmarkStart w:id="868" w:name="_Toc6254823"/>
      <w:bookmarkEnd w:id="868"/>
      <w:bookmarkStart w:id="869" w:name="_Toc6254837"/>
      <w:bookmarkEnd w:id="869"/>
      <w:bookmarkStart w:id="870" w:name="_Toc6254894"/>
      <w:bookmarkEnd w:id="870"/>
      <w:bookmarkStart w:id="871" w:name="_Toc6254857"/>
      <w:bookmarkEnd w:id="871"/>
      <w:bookmarkStart w:id="872" w:name="_Toc6254874"/>
      <w:bookmarkEnd w:id="872"/>
      <w:bookmarkStart w:id="873" w:name="_Toc6254904"/>
      <w:bookmarkEnd w:id="873"/>
      <w:bookmarkStart w:id="874" w:name="_Toc6254861"/>
      <w:bookmarkEnd w:id="874"/>
      <w:bookmarkStart w:id="875" w:name="_Toc6254893"/>
      <w:bookmarkEnd w:id="875"/>
      <w:bookmarkStart w:id="876" w:name="_Toc6254835"/>
      <w:bookmarkEnd w:id="876"/>
      <w:bookmarkStart w:id="877" w:name="_Toc6254903"/>
      <w:bookmarkEnd w:id="877"/>
      <w:bookmarkStart w:id="878" w:name="_Toc6254886"/>
      <w:bookmarkEnd w:id="878"/>
      <w:bookmarkStart w:id="879" w:name="_Toc6254855"/>
      <w:bookmarkEnd w:id="879"/>
      <w:bookmarkStart w:id="880" w:name="_Toc6254849"/>
      <w:bookmarkEnd w:id="880"/>
      <w:bookmarkStart w:id="881" w:name="_Toc6254865"/>
      <w:bookmarkEnd w:id="881"/>
      <w:bookmarkStart w:id="882" w:name="_Toc6254831"/>
      <w:bookmarkEnd w:id="882"/>
      <w:bookmarkStart w:id="883" w:name="_Toc6254901"/>
      <w:bookmarkEnd w:id="883"/>
      <w:bookmarkStart w:id="884" w:name="_Toc6254881"/>
      <w:bookmarkEnd w:id="884"/>
      <w:bookmarkStart w:id="885" w:name="_Toc6254868"/>
      <w:bookmarkEnd w:id="885"/>
      <w:bookmarkStart w:id="886" w:name="_Toc6254845"/>
      <w:bookmarkEnd w:id="886"/>
      <w:bookmarkStart w:id="887" w:name="_Toc6254892"/>
      <w:bookmarkEnd w:id="887"/>
      <w:bookmarkStart w:id="888" w:name="_Toc6254899"/>
      <w:bookmarkEnd w:id="888"/>
      <w:bookmarkStart w:id="889" w:name="_Toc6254878"/>
      <w:bookmarkEnd w:id="889"/>
      <w:bookmarkStart w:id="890" w:name="_Toc6254870"/>
      <w:bookmarkEnd w:id="890"/>
      <w:bookmarkStart w:id="891" w:name="_Toc6254890"/>
      <w:bookmarkEnd w:id="891"/>
      <w:bookmarkStart w:id="892" w:name="_Toc6254895"/>
      <w:bookmarkEnd w:id="892"/>
      <w:bookmarkStart w:id="893" w:name="_Toc6254846"/>
      <w:bookmarkEnd w:id="893"/>
      <w:bookmarkStart w:id="894" w:name="_Toc6254848"/>
      <w:bookmarkEnd w:id="894"/>
      <w:bookmarkStart w:id="895" w:name="_Toc6254836"/>
      <w:bookmarkEnd w:id="895"/>
      <w:bookmarkStart w:id="896" w:name="_Toc6254869"/>
      <w:bookmarkEnd w:id="896"/>
      <w:bookmarkStart w:id="897" w:name="_Toc6254884"/>
      <w:bookmarkEnd w:id="897"/>
      <w:bookmarkStart w:id="898" w:name="_Toc6254826"/>
      <w:bookmarkEnd w:id="898"/>
      <w:bookmarkStart w:id="899" w:name="_Toc6254875"/>
      <w:bookmarkEnd w:id="899"/>
      <w:bookmarkStart w:id="900" w:name="_Toc6254829"/>
      <w:bookmarkEnd w:id="900"/>
      <w:bookmarkStart w:id="901" w:name="_Toc6254843"/>
      <w:bookmarkEnd w:id="901"/>
      <w:bookmarkStart w:id="902" w:name="_Toc6254864"/>
      <w:bookmarkEnd w:id="902"/>
      <w:bookmarkStart w:id="903" w:name="_Toc6254872"/>
      <w:bookmarkEnd w:id="903"/>
      <w:bookmarkStart w:id="904" w:name="_Toc6254841"/>
      <w:bookmarkEnd w:id="904"/>
      <w:bookmarkStart w:id="905" w:name="_Toc6254863"/>
      <w:bookmarkEnd w:id="905"/>
      <w:bookmarkStart w:id="906" w:name="_Toc6254859"/>
      <w:bookmarkEnd w:id="906"/>
      <w:bookmarkStart w:id="907" w:name="_Toc6254838"/>
      <w:bookmarkEnd w:id="907"/>
      <w:bookmarkStart w:id="908" w:name="_Toc6254896"/>
      <w:bookmarkEnd w:id="908"/>
      <w:bookmarkStart w:id="909" w:name="_Toc6254825"/>
      <w:bookmarkEnd w:id="909"/>
      <w:bookmarkStart w:id="910" w:name="_Toc6254850"/>
      <w:bookmarkEnd w:id="910"/>
      <w:bookmarkStart w:id="911" w:name="_Toc6254891"/>
      <w:bookmarkEnd w:id="911"/>
      <w:bookmarkStart w:id="912" w:name="_Toc6254828"/>
      <w:bookmarkEnd w:id="912"/>
      <w:bookmarkStart w:id="913" w:name="_Toc6254832"/>
      <w:bookmarkEnd w:id="913"/>
      <w:bookmarkStart w:id="914" w:name="_Toc6254858"/>
      <w:bookmarkEnd w:id="914"/>
      <w:r>
        <w:rPr>
          <w:rFonts w:hint="eastAsia" w:ascii="宋体" w:hAnsi="宋体" w:cs="宋体"/>
          <w:b/>
          <w:color w:val="auto"/>
          <w:sz w:val="24"/>
          <w:highlight w:val="none"/>
        </w:rPr>
        <w:t>一、采购标的</w:t>
      </w:r>
    </w:p>
    <w:p w14:paraId="676BC5DF">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1. 采购标的</w:t>
      </w:r>
    </w:p>
    <w:p w14:paraId="2C92EF0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eastAsia="zh-CN"/>
        </w:rPr>
        <w:t>房山区域应急救援中心建设工程项目建设管理服务</w:t>
      </w:r>
    </w:p>
    <w:p w14:paraId="1BE8B26B">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2. 建设规模及内容</w:t>
      </w:r>
    </w:p>
    <w:p w14:paraId="4911624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bCs/>
          <w:color w:val="auto"/>
          <w:sz w:val="24"/>
          <w:highlight w:val="none"/>
          <w:lang w:val="zh-TW"/>
        </w:rPr>
      </w:pPr>
      <w:r>
        <w:rPr>
          <w:rFonts w:hint="eastAsia" w:ascii="宋体" w:hAnsi="宋体" w:cs="宋体"/>
          <w:bCs/>
          <w:color w:val="auto"/>
          <w:sz w:val="24"/>
          <w:highlight w:val="none"/>
        </w:rPr>
        <w:t>2.1总建筑面积22617平方米。其中，地上建筑面积16618 平方米，地下建筑面积5999平方米（具体建设规模指标由规划自然资源部门核定）。主要建设应急指挥用房、队伍驻防及实训用房、实训演练配套用房、水上训练用房、装备储备库、设备用房、地下人防等，同步建设体能训练场地、森林防火实训场地、管网照明等红线内室外工程</w:t>
      </w:r>
      <w:r>
        <w:rPr>
          <w:rFonts w:hint="eastAsia" w:ascii="宋体" w:hAnsi="宋体" w:cs="宋体"/>
          <w:bCs/>
          <w:color w:val="auto"/>
          <w:sz w:val="24"/>
          <w:highlight w:val="none"/>
          <w:lang w:val="zh-TW"/>
        </w:rPr>
        <w:t>。</w:t>
      </w:r>
    </w:p>
    <w:p w14:paraId="007BD6F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bCs/>
          <w:color w:val="auto"/>
          <w:sz w:val="24"/>
          <w:highlight w:val="none"/>
        </w:rPr>
        <w:t>2.2</w:t>
      </w:r>
      <w:r>
        <w:rPr>
          <w:rFonts w:hint="eastAsia" w:ascii="宋体" w:hAnsi="宋体" w:cs="宋体"/>
          <w:bCs/>
          <w:color w:val="auto"/>
          <w:sz w:val="24"/>
          <w:highlight w:val="none"/>
          <w:lang w:val="zh-TW"/>
        </w:rPr>
        <w:t>建设周期：</w:t>
      </w:r>
      <w:r>
        <w:rPr>
          <w:rFonts w:hint="eastAsia" w:ascii="宋体" w:hAnsi="宋体" w:cs="宋体"/>
          <w:color w:val="auto"/>
          <w:sz w:val="24"/>
          <w:highlight w:val="none"/>
          <w:u w:val="single"/>
        </w:rPr>
        <w:t>项目建设周期预计为12个月，如遇不可控、不可抗事项（如：自然灾害、重特大活动、政策法规变更、重大技术难题等），影响建设周期，将根据实际建设周期为准。</w:t>
      </w:r>
    </w:p>
    <w:p w14:paraId="3AF4FCFD">
      <w:pPr>
        <w:spacing w:line="360" w:lineRule="auto"/>
        <w:ind w:firstLine="480" w:firstLineChars="200"/>
        <w:rPr>
          <w:rFonts w:hint="eastAsia" w:ascii="宋体" w:hAnsi="宋体" w:cs="宋体"/>
          <w:bCs/>
          <w:color w:val="auto"/>
          <w:sz w:val="24"/>
          <w:highlight w:val="none"/>
          <w:lang w:val="zh-TW"/>
        </w:rPr>
      </w:pPr>
    </w:p>
    <w:p w14:paraId="639A47A8">
      <w:pPr>
        <w:spacing w:line="360" w:lineRule="auto"/>
        <w:ind w:left="500" w:hanging="500"/>
        <w:rPr>
          <w:rFonts w:hint="eastAsia" w:ascii="宋体" w:hAnsi="宋体" w:cs="宋体"/>
          <w:b/>
          <w:color w:val="auto"/>
          <w:sz w:val="24"/>
          <w:highlight w:val="none"/>
        </w:rPr>
      </w:pPr>
      <w:r>
        <w:rPr>
          <w:rFonts w:hint="eastAsia" w:ascii="宋体" w:hAnsi="宋体" w:cs="宋体"/>
          <w:b/>
          <w:color w:val="auto"/>
          <w:sz w:val="24"/>
          <w:highlight w:val="none"/>
        </w:rPr>
        <w:t>二、</w:t>
      </w:r>
      <w:r>
        <w:rPr>
          <w:rFonts w:hint="eastAsia" w:ascii="宋体" w:hAnsi="宋体" w:cs="宋体"/>
          <w:b/>
          <w:color w:val="auto"/>
          <w:sz w:val="24"/>
          <w:highlight w:val="none"/>
        </w:rPr>
        <w:t>商务要求</w:t>
      </w:r>
    </w:p>
    <w:p w14:paraId="30BBD864">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b/>
          <w:i/>
          <w:color w:val="auto"/>
          <w:sz w:val="24"/>
          <w:highlight w:val="none"/>
        </w:rPr>
      </w:pPr>
      <w:r>
        <w:rPr>
          <w:rFonts w:hint="eastAsia" w:ascii="宋体" w:hAnsi="宋体" w:cs="宋体"/>
          <w:b/>
          <w:color w:val="auto"/>
          <w:sz w:val="24"/>
          <w:highlight w:val="none"/>
        </w:rPr>
        <w:t>1. 实施的时间和地点</w:t>
      </w:r>
    </w:p>
    <w:p w14:paraId="31693E6F">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实施时间：自本项目委托合同签订之日起至完成工程结算及工程档案资料移交为止。</w:t>
      </w:r>
    </w:p>
    <w:p w14:paraId="2D8CF47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b/>
          <w:color w:val="auto"/>
          <w:sz w:val="24"/>
          <w:highlight w:val="none"/>
        </w:rPr>
      </w:pPr>
      <w:r>
        <w:rPr>
          <w:rFonts w:hint="eastAsia" w:ascii="宋体" w:hAnsi="宋体" w:cs="宋体"/>
          <w:bCs/>
          <w:color w:val="auto"/>
          <w:sz w:val="24"/>
          <w:highlight w:val="none"/>
        </w:rPr>
        <w:t>实施地点：项目场地位于房山区良乡组团FS00-0129街区内，北至现状白杨西路，东至现状凯旋大街，南至规划栗香路，西至规划栗安街。</w:t>
      </w:r>
    </w:p>
    <w:p w14:paraId="138ACE99">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宋体"/>
          <w:b/>
          <w:color w:val="auto"/>
          <w:sz w:val="24"/>
          <w:highlight w:val="none"/>
        </w:rPr>
      </w:pPr>
      <w:r>
        <w:rPr>
          <w:rFonts w:hint="eastAsia" w:ascii="宋体" w:hAnsi="宋体" w:cs="宋体"/>
          <w:b/>
          <w:color w:val="auto"/>
          <w:sz w:val="24"/>
          <w:highlight w:val="none"/>
        </w:rPr>
        <w:t>2.付款条件（进度和方式）</w:t>
      </w:r>
    </w:p>
    <w:p w14:paraId="34BFF291">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2.1合同签订且政府资金到位后的30个工作日内，</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按合同金额的30%支付</w:t>
      </w:r>
      <w:r>
        <w:rPr>
          <w:rFonts w:hint="eastAsia" w:ascii="宋体" w:hAnsi="宋体" w:cs="宋体"/>
          <w:color w:val="auto"/>
          <w:sz w:val="24"/>
          <w:highlight w:val="none"/>
          <w:lang w:val="en-US" w:eastAsia="zh-CN"/>
        </w:rPr>
        <w:t>中标单位</w:t>
      </w:r>
      <w:r>
        <w:rPr>
          <w:rFonts w:hint="eastAsia" w:ascii="宋体" w:hAnsi="宋体" w:cs="宋体"/>
          <w:color w:val="auto"/>
          <w:sz w:val="24"/>
          <w:highlight w:val="none"/>
        </w:rPr>
        <w:t>预付款。（具体支付时间以市发改委资金到账时间为准）</w:t>
      </w:r>
    </w:p>
    <w:p w14:paraId="10A19768">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2.2第二次付款：</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在</w:t>
      </w:r>
      <w:r>
        <w:rPr>
          <w:rFonts w:hint="eastAsia" w:ascii="宋体" w:hAnsi="宋体" w:cs="宋体"/>
          <w:color w:val="auto"/>
          <w:sz w:val="24"/>
          <w:highlight w:val="none"/>
        </w:rPr>
        <w:t>项目结构主体施工达到正负零标高后</w:t>
      </w:r>
      <w:r>
        <w:rPr>
          <w:rFonts w:hint="eastAsia" w:ascii="宋体" w:hAnsi="宋体" w:cs="宋体"/>
          <w:color w:val="auto"/>
          <w:sz w:val="24"/>
          <w:highlight w:val="none"/>
        </w:rPr>
        <w:t>且政府资金到位后的30个工作日内，支付至合同总价的50%；</w:t>
      </w:r>
    </w:p>
    <w:p w14:paraId="2AED71D7">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2.3第三次付款：</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在</w:t>
      </w:r>
      <w:r>
        <w:rPr>
          <w:rFonts w:hint="eastAsia" w:ascii="宋体" w:hAnsi="宋体" w:cs="宋体"/>
          <w:color w:val="auto"/>
          <w:sz w:val="24"/>
          <w:highlight w:val="none"/>
        </w:rPr>
        <w:t>在项目结构主体施工封顶后</w:t>
      </w:r>
      <w:r>
        <w:rPr>
          <w:rFonts w:hint="eastAsia" w:ascii="宋体" w:hAnsi="宋体" w:cs="宋体"/>
          <w:color w:val="auto"/>
          <w:sz w:val="24"/>
          <w:highlight w:val="none"/>
        </w:rPr>
        <w:t>且政府资金到位后的30个工作日内，支付至合同总价的70%；</w:t>
      </w:r>
    </w:p>
    <w:p w14:paraId="4739AA19">
      <w:pPr>
        <w:spacing w:after="0" w:line="360" w:lineRule="auto"/>
        <w:ind w:firstLine="480" w:firstLineChars="200"/>
        <w:rPr>
          <w:rFonts w:hint="eastAsia" w:ascii="宋体" w:hAnsi="宋体" w:cs="宋体"/>
          <w:bCs/>
          <w:color w:val="auto"/>
          <w:sz w:val="24"/>
          <w:highlight w:val="none"/>
        </w:rPr>
      </w:pPr>
      <w:r>
        <w:rPr>
          <w:rFonts w:hint="eastAsia" w:ascii="宋体" w:hAnsi="宋体" w:cs="宋体"/>
          <w:color w:val="auto"/>
          <w:sz w:val="24"/>
          <w:highlight w:val="none"/>
        </w:rPr>
        <w:t>2.4第四次付款：</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 xml:space="preserve">在竣工验收后且政府资金到位后的30个工作日内，支付至合同总价95%； </w:t>
      </w:r>
      <w:r>
        <w:rPr>
          <w:rFonts w:hint="eastAsia" w:ascii="宋体" w:hAnsi="宋体" w:cs="宋体"/>
          <w:bCs/>
          <w:color w:val="auto"/>
          <w:sz w:val="24"/>
          <w:highlight w:val="none"/>
        </w:rPr>
        <w:t xml:space="preserve"> </w:t>
      </w:r>
    </w:p>
    <w:p w14:paraId="718B25B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2.5第五次付款：待项目取得决算批复后，</w:t>
      </w:r>
      <w:r>
        <w:rPr>
          <w:rFonts w:hint="eastAsia" w:ascii="宋体" w:hAnsi="宋体" w:cs="宋体"/>
          <w:color w:val="auto"/>
          <w:sz w:val="24"/>
          <w:highlight w:val="none"/>
        </w:rPr>
        <w:t>支付剩余合同</w:t>
      </w:r>
      <w:r>
        <w:rPr>
          <w:rFonts w:hint="eastAsia" w:ascii="宋体" w:hAnsi="宋体" w:cs="宋体"/>
          <w:color w:val="auto"/>
          <w:sz w:val="24"/>
          <w:highlight w:val="none"/>
          <w:lang w:val="en-US" w:eastAsia="zh-CN"/>
        </w:rPr>
        <w:t>金额</w:t>
      </w:r>
      <w:r>
        <w:rPr>
          <w:rFonts w:hint="eastAsia" w:ascii="宋体" w:hAnsi="宋体" w:cs="宋体"/>
          <w:color w:val="auto"/>
          <w:sz w:val="24"/>
          <w:highlight w:val="none"/>
        </w:rPr>
        <w:t>。</w:t>
      </w:r>
    </w:p>
    <w:p w14:paraId="644CAB8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但因政府资金拨付延迟而导致采购人不能按照合同的约定及时向中标单位支付合同</w:t>
      </w:r>
      <w:r>
        <w:rPr>
          <w:rFonts w:hint="eastAsia" w:ascii="宋体" w:hAnsi="宋体" w:cs="宋体"/>
          <w:bCs/>
          <w:color w:val="auto"/>
          <w:sz w:val="24"/>
          <w:highlight w:val="none"/>
          <w:lang w:val="en-US" w:eastAsia="zh-CN"/>
        </w:rPr>
        <w:t>金额</w:t>
      </w:r>
      <w:r>
        <w:rPr>
          <w:rFonts w:hint="eastAsia" w:ascii="宋体" w:hAnsi="宋体" w:cs="宋体"/>
          <w:bCs/>
          <w:color w:val="auto"/>
          <w:sz w:val="24"/>
          <w:highlight w:val="none"/>
        </w:rPr>
        <w:t>时，不构成采购人的违约行为，中标单位不得因此追究采购人违约责任</w:t>
      </w:r>
      <w:r>
        <w:rPr>
          <w:rFonts w:hint="eastAsia" w:ascii="宋体" w:hAnsi="宋体" w:cs="宋体"/>
          <w:bCs/>
          <w:color w:val="auto"/>
          <w:sz w:val="24"/>
          <w:highlight w:val="none"/>
        </w:rPr>
        <w:t>。</w:t>
      </w:r>
    </w:p>
    <w:p w14:paraId="07FD419A">
      <w:pPr>
        <w:spacing w:line="360" w:lineRule="auto"/>
        <w:ind w:left="500" w:hanging="500"/>
        <w:rPr>
          <w:rFonts w:hint="eastAsia" w:ascii="宋体" w:hAnsi="宋体" w:cs="宋体"/>
          <w:b/>
          <w:color w:val="auto"/>
          <w:sz w:val="24"/>
          <w:highlight w:val="none"/>
        </w:rPr>
      </w:pPr>
      <w:r>
        <w:rPr>
          <w:rFonts w:hint="eastAsia" w:ascii="宋体" w:hAnsi="宋体" w:cs="宋体"/>
          <w:b/>
          <w:color w:val="auto"/>
          <w:sz w:val="24"/>
          <w:highlight w:val="none"/>
        </w:rPr>
        <w:t>三、技术要求</w:t>
      </w:r>
    </w:p>
    <w:p w14:paraId="19CA53F1">
      <w:pPr>
        <w:keepNext w:val="0"/>
        <w:keepLines w:val="0"/>
        <w:pageBreakBefore w:val="0"/>
        <w:kinsoku/>
        <w:wordWrap/>
        <w:overflowPunct/>
        <w:topLinePunct w:val="0"/>
        <w:autoSpaceDE/>
        <w:autoSpaceDN/>
        <w:bidi w:val="0"/>
        <w:adjustRightInd/>
        <w:spacing w:after="0" w:line="360" w:lineRule="auto"/>
        <w:textAlignment w:val="auto"/>
        <w:rPr>
          <w:rFonts w:hint="eastAsia" w:ascii="宋体" w:hAnsi="宋体" w:cs="宋体"/>
          <w:b/>
          <w:color w:val="auto"/>
          <w:sz w:val="24"/>
          <w:highlight w:val="none"/>
        </w:rPr>
      </w:pPr>
      <w:r>
        <w:rPr>
          <w:rFonts w:hint="eastAsia" w:ascii="宋体" w:hAnsi="宋体" w:cs="宋体"/>
          <w:b/>
          <w:color w:val="auto"/>
          <w:sz w:val="24"/>
          <w:highlight w:val="none"/>
        </w:rPr>
        <w:t>1. 基本要求</w:t>
      </w:r>
    </w:p>
    <w:p w14:paraId="0202F15D">
      <w:pPr>
        <w:keepNext w:val="0"/>
        <w:keepLines w:val="0"/>
        <w:pageBreakBefore w:val="0"/>
        <w:kinsoku/>
        <w:wordWrap/>
        <w:overflowPunct/>
        <w:topLinePunct w:val="0"/>
        <w:autoSpaceDE/>
        <w:autoSpaceDN/>
        <w:bidi w:val="0"/>
        <w:adjustRightInd/>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1.1 采购标的需实现的功能或者目标</w:t>
      </w:r>
    </w:p>
    <w:p w14:paraId="45F221BA">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bCs/>
          <w:color w:val="auto"/>
          <w:sz w:val="24"/>
          <w:highlight w:val="none"/>
        </w:rPr>
      </w:pPr>
      <w:r>
        <w:rPr>
          <w:rFonts w:hint="eastAsia" w:ascii="宋体" w:hAnsi="宋体" w:cs="宋体"/>
          <w:color w:val="auto"/>
          <w:sz w:val="24"/>
          <w:highlight w:val="none"/>
        </w:rPr>
        <w:t>管理范围：</w:t>
      </w:r>
      <w:r>
        <w:rPr>
          <w:rFonts w:hint="eastAsia" w:ascii="宋体" w:hAnsi="宋体" w:cs="宋体"/>
          <w:color w:val="auto"/>
          <w:sz w:val="24"/>
          <w:highlight w:val="none"/>
          <w:u w:val="single"/>
        </w:rPr>
        <w:t>市发改委关于本项目建议书（代可行性研究报告）</w:t>
      </w:r>
      <w:r>
        <w:rPr>
          <w:rFonts w:hint="eastAsia" w:ascii="宋体" w:hAnsi="宋体" w:cs="宋体"/>
          <w:color w:val="auto"/>
          <w:sz w:val="24"/>
          <w:highlight w:val="none"/>
        </w:rPr>
        <w:t>批复中的所有建设内容（除批复中的土地及专业设备投资内容）。</w:t>
      </w:r>
    </w:p>
    <w:p w14:paraId="7504A51A">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项目管理内容：协助采购人开展</w:t>
      </w:r>
      <w:r>
        <w:rPr>
          <w:rFonts w:hint="eastAsia" w:ascii="宋体" w:hAnsi="宋体" w:cs="宋体"/>
          <w:color w:val="auto"/>
          <w:sz w:val="24"/>
          <w:highlight w:val="none"/>
          <w:u w:val="single"/>
        </w:rPr>
        <w:t>市发改委关于本项目建议书（代可行性研究报告）批复中的所有建设内容</w:t>
      </w:r>
      <w:r>
        <w:rPr>
          <w:rFonts w:hint="eastAsia" w:ascii="宋体" w:hAnsi="宋体" w:cs="宋体"/>
          <w:bCs/>
          <w:color w:val="auto"/>
          <w:sz w:val="24"/>
          <w:highlight w:val="none"/>
        </w:rPr>
        <w:t>（除土地及专业设备投资内容）所有建设内容的项目前期管理、投资造价管理、设计管理、采购管理、合同管理、施工</w:t>
      </w:r>
      <w:r>
        <w:rPr>
          <w:rFonts w:hint="eastAsia" w:ascii="宋体" w:hAnsi="宋体" w:cs="宋体"/>
          <w:color w:val="auto"/>
          <w:sz w:val="24"/>
          <w:highlight w:val="none"/>
          <w:u w:val="single"/>
        </w:rPr>
        <w:t>安全质量进度</w:t>
      </w:r>
      <w:r>
        <w:rPr>
          <w:rFonts w:hint="eastAsia" w:ascii="宋体" w:hAnsi="宋体" w:cs="宋体"/>
          <w:bCs/>
          <w:color w:val="auto"/>
          <w:sz w:val="24"/>
          <w:highlight w:val="none"/>
        </w:rPr>
        <w:t>管理、</w:t>
      </w:r>
      <w:r>
        <w:rPr>
          <w:rFonts w:hint="eastAsia" w:ascii="宋体" w:hAnsi="宋体" w:cs="宋体"/>
          <w:color w:val="auto"/>
          <w:sz w:val="24"/>
          <w:highlight w:val="none"/>
          <w:u w:val="single"/>
        </w:rPr>
        <w:t>竣工验收、</w:t>
      </w:r>
      <w:r>
        <w:rPr>
          <w:rFonts w:hint="eastAsia" w:ascii="宋体" w:hAnsi="宋体" w:cs="宋体"/>
          <w:bCs/>
          <w:color w:val="auto"/>
          <w:sz w:val="24"/>
          <w:highlight w:val="none"/>
        </w:rPr>
        <w:t>档案管理等方面工作。</w:t>
      </w:r>
    </w:p>
    <w:p w14:paraId="4E3EC0B1">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b/>
          <w:color w:val="auto"/>
          <w:sz w:val="24"/>
          <w:highlight w:val="none"/>
        </w:rPr>
      </w:pPr>
      <w:r>
        <w:rPr>
          <w:rFonts w:hint="eastAsia" w:ascii="宋体" w:hAnsi="宋体" w:cs="宋体"/>
          <w:bCs/>
          <w:color w:val="auto"/>
          <w:sz w:val="24"/>
          <w:highlight w:val="none"/>
        </w:rPr>
        <w:t>1.1.1</w:t>
      </w:r>
      <w:r>
        <w:rPr>
          <w:rFonts w:ascii="宋体" w:hAnsi="宋体" w:cs="宋体"/>
          <w:bCs/>
          <w:color w:val="auto"/>
          <w:sz w:val="24"/>
          <w:highlight w:val="none"/>
        </w:rPr>
        <w:t>投资目标:</w:t>
      </w:r>
      <w:r>
        <w:rPr>
          <w:rFonts w:ascii="宋体" w:hAnsi="宋体" w:cs="宋体"/>
          <w:b/>
          <w:color w:val="auto"/>
          <w:sz w:val="24"/>
          <w:highlight w:val="none"/>
        </w:rPr>
        <w:t>设计概算不超投资估算。实际投资不超批复的概算。</w:t>
      </w:r>
    </w:p>
    <w:p w14:paraId="58733605">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1.1.2</w:t>
      </w:r>
      <w:r>
        <w:rPr>
          <w:rFonts w:ascii="宋体" w:hAnsi="宋体" w:cs="宋体"/>
          <w:bCs/>
          <w:color w:val="auto"/>
          <w:sz w:val="24"/>
          <w:highlight w:val="none"/>
        </w:rPr>
        <w:t>工期目标:</w:t>
      </w:r>
      <w:r>
        <w:rPr>
          <w:rFonts w:ascii="宋体" w:hAnsi="宋体" w:cs="宋体"/>
          <w:b/>
          <w:color w:val="auto"/>
          <w:sz w:val="24"/>
          <w:highlight w:val="none"/>
        </w:rPr>
        <w:t>严格按项目总工期进度计划组织落实，确保实现设计、施工等里程碑控制目标。</w:t>
      </w:r>
      <w:r>
        <w:rPr>
          <w:rFonts w:ascii="宋体" w:hAnsi="宋体" w:cs="宋体"/>
          <w:bCs/>
          <w:color w:val="auto"/>
          <w:sz w:val="24"/>
          <w:highlight w:val="none"/>
        </w:rPr>
        <w:t>确保按期竣工验收合格并交付使用。</w:t>
      </w:r>
    </w:p>
    <w:p w14:paraId="56EC30FC">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1.1.3</w:t>
      </w:r>
      <w:r>
        <w:rPr>
          <w:rFonts w:ascii="宋体" w:hAnsi="宋体" w:cs="宋体"/>
          <w:bCs/>
          <w:color w:val="auto"/>
          <w:sz w:val="24"/>
          <w:highlight w:val="none"/>
        </w:rPr>
        <w:t>质量目标:</w:t>
      </w:r>
    </w:p>
    <w:p w14:paraId="3E202537">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（1）</w:t>
      </w:r>
      <w:r>
        <w:rPr>
          <w:rFonts w:ascii="宋体" w:hAnsi="宋体" w:cs="宋体"/>
          <w:bCs/>
          <w:color w:val="auto"/>
          <w:sz w:val="24"/>
          <w:highlight w:val="none"/>
        </w:rPr>
        <w:t>设计质量:</w:t>
      </w:r>
      <w:r>
        <w:rPr>
          <w:rFonts w:ascii="宋体" w:hAnsi="宋体" w:cs="宋体"/>
          <w:b/>
          <w:color w:val="auto"/>
          <w:sz w:val="24"/>
          <w:highlight w:val="none"/>
        </w:rPr>
        <w:t>符合现行国家行业设计规范、标准</w:t>
      </w:r>
      <w:r>
        <w:rPr>
          <w:rFonts w:hint="eastAsia" w:ascii="宋体" w:hAnsi="宋体" w:cs="宋体"/>
          <w:bCs/>
          <w:color w:val="auto"/>
          <w:sz w:val="24"/>
          <w:highlight w:val="none"/>
        </w:rPr>
        <w:t>。</w:t>
      </w:r>
    </w:p>
    <w:p w14:paraId="72407782">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（2）</w:t>
      </w:r>
      <w:r>
        <w:rPr>
          <w:rFonts w:ascii="宋体" w:hAnsi="宋体" w:cs="宋体"/>
          <w:bCs/>
          <w:color w:val="auto"/>
          <w:sz w:val="24"/>
          <w:highlight w:val="none"/>
        </w:rPr>
        <w:t>施工质量:</w:t>
      </w:r>
      <w:r>
        <w:rPr>
          <w:rFonts w:ascii="宋体" w:hAnsi="宋体" w:cs="宋体"/>
          <w:b/>
          <w:color w:val="auto"/>
          <w:sz w:val="24"/>
          <w:highlight w:val="none"/>
        </w:rPr>
        <w:t>达到国家现行施工验收规范“合格”标准，验收合格率100%</w:t>
      </w:r>
      <w:r>
        <w:rPr>
          <w:rFonts w:ascii="宋体" w:hAnsi="宋体" w:cs="宋体"/>
          <w:bCs/>
          <w:color w:val="auto"/>
          <w:sz w:val="24"/>
          <w:highlight w:val="none"/>
        </w:rPr>
        <w:t>。</w:t>
      </w:r>
    </w:p>
    <w:p w14:paraId="2E35AFD6">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b/>
          <w:color w:val="auto"/>
          <w:sz w:val="24"/>
          <w:highlight w:val="none"/>
        </w:rPr>
      </w:pPr>
      <w:r>
        <w:rPr>
          <w:rFonts w:hint="eastAsia" w:ascii="宋体" w:hAnsi="宋体" w:cs="宋体"/>
          <w:bCs/>
          <w:color w:val="auto"/>
          <w:sz w:val="24"/>
          <w:highlight w:val="none"/>
        </w:rPr>
        <w:t>1.1.4</w:t>
      </w:r>
      <w:r>
        <w:rPr>
          <w:rFonts w:ascii="宋体" w:hAnsi="宋体" w:cs="宋体"/>
          <w:bCs/>
          <w:color w:val="auto"/>
          <w:sz w:val="24"/>
          <w:highlight w:val="none"/>
        </w:rPr>
        <w:t>安全文明施工目标:</w:t>
      </w:r>
      <w:r>
        <w:rPr>
          <w:rFonts w:ascii="宋体" w:hAnsi="宋体" w:cs="宋体"/>
          <w:b/>
          <w:color w:val="auto"/>
          <w:sz w:val="24"/>
          <w:highlight w:val="none"/>
        </w:rPr>
        <w:t>严格按照国家及北京市有关安全生产文明施工法规进行管理。确保不发生一般及以上安全生产事故。</w:t>
      </w:r>
    </w:p>
    <w:p w14:paraId="5CA77716">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1.1.5</w:t>
      </w:r>
      <w:r>
        <w:rPr>
          <w:rFonts w:ascii="宋体" w:hAnsi="宋体" w:cs="宋体"/>
          <w:bCs/>
          <w:color w:val="auto"/>
          <w:sz w:val="24"/>
          <w:highlight w:val="none"/>
        </w:rPr>
        <w:t>绿色建筑目标:取得绿色建筑</w:t>
      </w:r>
      <w:r>
        <w:rPr>
          <w:rFonts w:hint="eastAsia" w:ascii="宋体" w:hAnsi="宋体" w:cs="宋体"/>
          <w:bCs/>
          <w:color w:val="auto"/>
          <w:sz w:val="24"/>
          <w:highlight w:val="none"/>
        </w:rPr>
        <w:t>二</w:t>
      </w:r>
      <w:r>
        <w:rPr>
          <w:rFonts w:ascii="宋体" w:hAnsi="宋体" w:cs="宋体"/>
          <w:bCs/>
          <w:color w:val="auto"/>
          <w:sz w:val="24"/>
          <w:highlight w:val="none"/>
        </w:rPr>
        <w:t>星认证(最终星级认证等级目标以政府要求为准)。</w:t>
      </w:r>
    </w:p>
    <w:p w14:paraId="1F9078BC">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1.1.6</w:t>
      </w:r>
      <w:r>
        <w:rPr>
          <w:rFonts w:ascii="宋体" w:hAnsi="宋体" w:cs="宋体"/>
          <w:bCs/>
          <w:color w:val="auto"/>
          <w:sz w:val="24"/>
          <w:highlight w:val="none"/>
        </w:rPr>
        <w:t>建设程序管理目标：符合国家和项目所在地现行投资建设项目审批手续办理要求。</w:t>
      </w:r>
    </w:p>
    <w:p w14:paraId="047493CD">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1.1.7</w:t>
      </w:r>
      <w:r>
        <w:rPr>
          <w:rFonts w:ascii="宋体" w:hAnsi="宋体" w:cs="宋体"/>
          <w:bCs/>
          <w:color w:val="auto"/>
          <w:sz w:val="24"/>
          <w:highlight w:val="none"/>
        </w:rPr>
        <w:t>建设资金管理目标：符合国家和项目所在地现行政府投资使用管理要求。</w:t>
      </w:r>
    </w:p>
    <w:p w14:paraId="442EB393">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1.1.8</w:t>
      </w:r>
      <w:r>
        <w:rPr>
          <w:rFonts w:ascii="宋体" w:hAnsi="宋体" w:cs="宋体"/>
          <w:bCs/>
          <w:color w:val="auto"/>
          <w:sz w:val="24"/>
          <w:highlight w:val="none"/>
        </w:rPr>
        <w:t>现场实施管理目标：符合国家和项目所在地现行有关工程建设法律法规规定</w:t>
      </w:r>
      <w:r>
        <w:rPr>
          <w:rFonts w:hint="eastAsia" w:ascii="宋体" w:hAnsi="宋体" w:cs="宋体"/>
          <w:color w:val="auto"/>
          <w:sz w:val="24"/>
          <w:highlight w:val="none"/>
          <w:u w:val="single"/>
        </w:rPr>
        <w:t>，协助</w:t>
      </w:r>
      <w:r>
        <w:rPr>
          <w:rFonts w:hint="eastAsia" w:ascii="宋体" w:hAnsi="宋体" w:cs="宋体"/>
          <w:color w:val="auto"/>
          <w:sz w:val="24"/>
          <w:highlight w:val="none"/>
          <w:u w:val="single"/>
          <w:lang w:eastAsia="zh-CN"/>
        </w:rPr>
        <w:t>采购人</w:t>
      </w:r>
      <w:r>
        <w:rPr>
          <w:rFonts w:hint="eastAsia" w:ascii="宋体" w:hAnsi="宋体" w:cs="宋体"/>
          <w:color w:val="auto"/>
          <w:sz w:val="24"/>
          <w:highlight w:val="none"/>
          <w:u w:val="single"/>
        </w:rPr>
        <w:t>有效履行相关法律法规规定、</w:t>
      </w:r>
      <w:r>
        <w:rPr>
          <w:rFonts w:hint="eastAsia" w:ascii="宋体" w:hAnsi="宋体" w:cs="宋体"/>
          <w:color w:val="auto"/>
          <w:sz w:val="24"/>
          <w:highlight w:val="none"/>
          <w:u w:val="single"/>
          <w:lang w:eastAsia="zh-CN"/>
        </w:rPr>
        <w:t>采购人</w:t>
      </w:r>
      <w:r>
        <w:rPr>
          <w:rFonts w:hint="eastAsia" w:ascii="宋体" w:hAnsi="宋体" w:cs="宋体"/>
          <w:color w:val="auto"/>
          <w:sz w:val="24"/>
          <w:highlight w:val="none"/>
          <w:u w:val="single"/>
        </w:rPr>
        <w:t>所签合同协议约定的</w:t>
      </w:r>
      <w:r>
        <w:rPr>
          <w:rFonts w:hint="eastAsia" w:ascii="宋体" w:hAnsi="宋体" w:cs="宋体"/>
          <w:color w:val="auto"/>
          <w:sz w:val="24"/>
          <w:highlight w:val="none"/>
          <w:u w:val="single"/>
          <w:lang w:eastAsia="zh-CN"/>
        </w:rPr>
        <w:t>采购人</w:t>
      </w:r>
      <w:r>
        <w:rPr>
          <w:rFonts w:hint="eastAsia" w:ascii="宋体" w:hAnsi="宋体" w:cs="宋体"/>
          <w:color w:val="auto"/>
          <w:sz w:val="24"/>
          <w:highlight w:val="none"/>
          <w:u w:val="single"/>
        </w:rPr>
        <w:t>职责要求。</w:t>
      </w:r>
    </w:p>
    <w:p w14:paraId="274C7872">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1.1.9</w:t>
      </w:r>
      <w:r>
        <w:rPr>
          <w:rFonts w:ascii="宋体" w:hAnsi="宋体" w:cs="宋体"/>
          <w:bCs/>
          <w:color w:val="auto"/>
          <w:sz w:val="24"/>
          <w:highlight w:val="none"/>
        </w:rPr>
        <w:t>资料档案管理目标：符合国家和项目所在地现行工程建设资料档案管理要求。</w:t>
      </w:r>
    </w:p>
    <w:p w14:paraId="3BB56E4D">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1.1.10</w:t>
      </w:r>
      <w:r>
        <w:rPr>
          <w:rFonts w:ascii="宋体" w:hAnsi="宋体" w:cs="宋体"/>
          <w:bCs/>
          <w:color w:val="auto"/>
          <w:sz w:val="24"/>
          <w:highlight w:val="none"/>
        </w:rPr>
        <w:t>组织协调管理目标：构建职责明确、关系清晰、履约诚信、沟通顺畅的由各参建单位组成的项目建设扩大团队体系。</w:t>
      </w:r>
    </w:p>
    <w:p w14:paraId="3A55655A">
      <w:pPr>
        <w:keepNext w:val="0"/>
        <w:keepLines w:val="0"/>
        <w:pageBreakBefore w:val="0"/>
        <w:kinsoku/>
        <w:wordWrap/>
        <w:overflowPunct/>
        <w:topLinePunct w:val="0"/>
        <w:autoSpaceDE/>
        <w:autoSpaceDN/>
        <w:bidi w:val="0"/>
        <w:adjustRightInd/>
        <w:spacing w:after="0" w:line="360" w:lineRule="auto"/>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1.2 需执行的国家相关标准、行业标准、地方标准或者其他标准、规范</w:t>
      </w:r>
    </w:p>
    <w:p w14:paraId="791DFE51">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1.2.1《建设工程项目管理规范》GB/T50326-2017;</w:t>
      </w:r>
    </w:p>
    <w:p w14:paraId="0EB2545A">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1.2.2《工程项目管理导则》(试行)(中国工程咨询协会);</w:t>
      </w:r>
    </w:p>
    <w:p w14:paraId="76F4460F">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1.2.3</w:t>
      </w:r>
      <w:r>
        <w:rPr>
          <w:rFonts w:hint="eastAsia" w:ascii="宋体" w:hAnsi="宋体" w:cs="宋体"/>
          <w:color w:val="auto"/>
          <w:sz w:val="24"/>
          <w:highlight w:val="none"/>
        </w:rPr>
        <w:t>《中华人民共和国保守国家秘密法》</w:t>
      </w:r>
      <w:r>
        <w:rPr>
          <w:rFonts w:hint="eastAsia" w:ascii="宋体" w:hAnsi="宋体" w:cs="宋体"/>
          <w:color w:val="auto"/>
          <w:sz w:val="24"/>
          <w:highlight w:val="none"/>
          <w:lang w:eastAsia="zh-CN"/>
        </w:rPr>
        <w:t>；</w:t>
      </w:r>
    </w:p>
    <w:p w14:paraId="6A5ABBF6">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1.2.4</w:t>
      </w:r>
      <w:r>
        <w:rPr>
          <w:rFonts w:hint="eastAsia" w:ascii="宋体" w:hAnsi="宋体" w:cs="宋体"/>
          <w:color w:val="auto"/>
          <w:sz w:val="24"/>
          <w:highlight w:val="none"/>
        </w:rPr>
        <w:t>以及其它现行的有关工程建设国家、行业的规范、规程、标准等</w:t>
      </w:r>
    </w:p>
    <w:p w14:paraId="35E9C035">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以上规范如有更新，以国家、地方、行业最新标准为准。在实施本项目期间除应遵循上述规范外，还应遵循未列出的其它法律、法规及相关国家、地方、行业标准规范。</w:t>
      </w:r>
    </w:p>
    <w:p w14:paraId="637F840C">
      <w:pPr>
        <w:keepNext w:val="0"/>
        <w:keepLines w:val="0"/>
        <w:pageBreakBefore w:val="0"/>
        <w:kinsoku/>
        <w:wordWrap/>
        <w:overflowPunct/>
        <w:topLinePunct w:val="0"/>
        <w:autoSpaceDE/>
        <w:autoSpaceDN/>
        <w:bidi w:val="0"/>
        <w:adjustRightInd/>
        <w:spacing w:after="0" w:line="360" w:lineRule="auto"/>
        <w:textAlignment w:val="auto"/>
        <w:rPr>
          <w:rFonts w:hint="eastAsia" w:ascii="宋体" w:hAnsi="宋体" w:cs="宋体"/>
          <w:b/>
          <w:color w:val="auto"/>
          <w:sz w:val="24"/>
          <w:highlight w:val="none"/>
        </w:rPr>
      </w:pPr>
    </w:p>
    <w:p w14:paraId="2DF9B58C">
      <w:pPr>
        <w:keepNext w:val="0"/>
        <w:keepLines w:val="0"/>
        <w:pageBreakBefore w:val="0"/>
        <w:kinsoku/>
        <w:wordWrap/>
        <w:overflowPunct/>
        <w:topLinePunct w:val="0"/>
        <w:autoSpaceDE/>
        <w:autoSpaceDN/>
        <w:bidi w:val="0"/>
        <w:adjustRightInd/>
        <w:spacing w:after="0" w:line="360" w:lineRule="auto"/>
        <w:textAlignment w:val="auto"/>
        <w:rPr>
          <w:rFonts w:hint="eastAsia" w:ascii="宋体" w:hAnsi="宋体" w:cs="宋体"/>
          <w:b/>
          <w:color w:val="auto"/>
          <w:sz w:val="24"/>
          <w:highlight w:val="none"/>
        </w:rPr>
      </w:pPr>
      <w:r>
        <w:rPr>
          <w:rFonts w:hint="eastAsia" w:ascii="宋体" w:hAnsi="宋体" w:cs="宋体"/>
          <w:b/>
          <w:color w:val="auto"/>
          <w:sz w:val="24"/>
          <w:highlight w:val="none"/>
        </w:rPr>
        <w:t>2. 服务内容及要求</w:t>
      </w:r>
    </w:p>
    <w:p w14:paraId="5FB698FE">
      <w:pPr>
        <w:keepNext w:val="0"/>
        <w:keepLines w:val="0"/>
        <w:pageBreakBefore w:val="0"/>
        <w:widowControl/>
        <w:kinsoku/>
        <w:wordWrap/>
        <w:overflowPunct/>
        <w:topLinePunct w:val="0"/>
        <w:autoSpaceDE/>
        <w:autoSpaceDN/>
        <w:bidi w:val="0"/>
        <w:adjustRightInd/>
        <w:spacing w:after="0" w:line="360" w:lineRule="auto"/>
        <w:contextualSpacing/>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2.1采购标的需满足的服务标准、期限等要求；</w:t>
      </w:r>
    </w:p>
    <w:p w14:paraId="7B184001">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管理内容：</w:t>
      </w:r>
      <w:r>
        <w:rPr>
          <w:rFonts w:hint="eastAsia" w:ascii="宋体" w:hAnsi="宋体" w:cs="宋体"/>
          <w:bCs/>
          <w:color w:val="auto"/>
          <w:sz w:val="24"/>
          <w:highlight w:val="none"/>
        </w:rPr>
        <w:t>协助采购人开展</w:t>
      </w:r>
      <w:r>
        <w:rPr>
          <w:rFonts w:hint="eastAsia" w:ascii="宋体" w:hAnsi="宋体" w:cs="宋体"/>
          <w:color w:val="auto"/>
          <w:sz w:val="24"/>
          <w:highlight w:val="none"/>
          <w:u w:val="single"/>
        </w:rPr>
        <w:t>市发改委关于本项目建议书（代可行性研究报告）批复中的所有建设内容</w:t>
      </w:r>
      <w:r>
        <w:rPr>
          <w:rFonts w:hint="eastAsia" w:ascii="宋体" w:hAnsi="宋体" w:cs="宋体"/>
          <w:bCs/>
          <w:color w:val="auto"/>
          <w:sz w:val="24"/>
          <w:highlight w:val="none"/>
        </w:rPr>
        <w:t>（除土地及专业设备投资内容）所有建设内容的项目前期管理、投资造价管理、设计管理、采购管理、合同管理、施工</w:t>
      </w:r>
      <w:r>
        <w:rPr>
          <w:rFonts w:hint="eastAsia" w:ascii="宋体" w:hAnsi="宋体" w:cs="宋体"/>
          <w:color w:val="auto"/>
          <w:sz w:val="24"/>
          <w:highlight w:val="none"/>
          <w:u w:val="single"/>
        </w:rPr>
        <w:t>安全质量进度</w:t>
      </w:r>
      <w:r>
        <w:rPr>
          <w:rFonts w:hint="eastAsia" w:ascii="宋体" w:hAnsi="宋体" w:cs="宋体"/>
          <w:bCs/>
          <w:color w:val="auto"/>
          <w:sz w:val="24"/>
          <w:highlight w:val="none"/>
        </w:rPr>
        <w:t>管理、</w:t>
      </w:r>
      <w:r>
        <w:rPr>
          <w:rFonts w:hint="eastAsia" w:ascii="宋体" w:hAnsi="宋体" w:cs="宋体"/>
          <w:color w:val="auto"/>
          <w:sz w:val="24"/>
          <w:highlight w:val="none"/>
          <w:u w:val="single"/>
        </w:rPr>
        <w:t>竣工验收、</w:t>
      </w:r>
      <w:r>
        <w:rPr>
          <w:rFonts w:hint="eastAsia" w:ascii="宋体" w:hAnsi="宋体" w:cs="宋体"/>
          <w:bCs/>
          <w:color w:val="auto"/>
          <w:sz w:val="24"/>
          <w:highlight w:val="none"/>
        </w:rPr>
        <w:t>档案管理等方面工作，具体事项如下：</w:t>
      </w:r>
    </w:p>
    <w:p w14:paraId="6C5C709B">
      <w:pPr>
        <w:keepNext w:val="0"/>
        <w:keepLines w:val="0"/>
        <w:pageBreakBefore w:val="0"/>
        <w:kinsoku/>
        <w:wordWrap/>
        <w:overflowPunct/>
        <w:topLinePunct w:val="0"/>
        <w:autoSpaceDE/>
        <w:autoSpaceDN/>
        <w:bidi w:val="0"/>
        <w:adjustRightInd/>
        <w:spacing w:after="0" w:line="360" w:lineRule="auto"/>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2.1.1项目前期管理</w:t>
      </w:r>
    </w:p>
    <w:p w14:paraId="3158C918">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（1）对项目采购人办理项目所需的审批手续提供技术支撑，协助采购人报送项目资料到有关发改、规自、土地、文物、地震、园林绿化、人防、消防、建委等部门办理审批手续。</w:t>
      </w:r>
    </w:p>
    <w:p w14:paraId="36276F04">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（2）组织交评、水保等相关单位，开展相关工作，并组织相关单位为其工作开展提供必要的基础数据。</w:t>
      </w:r>
    </w:p>
    <w:p w14:paraId="21DAC95E">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（3）在办理市政配套有关手续过程中提供必要的技术服务。</w:t>
      </w:r>
    </w:p>
    <w:p w14:paraId="7525AE0C">
      <w:pPr>
        <w:keepNext w:val="0"/>
        <w:keepLines w:val="0"/>
        <w:pageBreakBefore w:val="0"/>
        <w:tabs>
          <w:tab w:val="left" w:pos="426"/>
        </w:tabs>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olor w:val="auto"/>
          <w:sz w:val="24"/>
          <w:highlight w:val="none"/>
        </w:rPr>
        <w:t>（4）向</w:t>
      </w:r>
      <w:r>
        <w:rPr>
          <w:rFonts w:hint="eastAsia" w:ascii="宋体" w:hAnsi="宋体"/>
          <w:color w:val="auto"/>
          <w:sz w:val="24"/>
          <w:highlight w:val="none"/>
          <w:lang w:eastAsia="zh-CN"/>
        </w:rPr>
        <w:t>采购人</w:t>
      </w:r>
      <w:r>
        <w:rPr>
          <w:rFonts w:hint="eastAsia" w:ascii="宋体" w:hAnsi="宋体"/>
          <w:color w:val="auto"/>
          <w:sz w:val="24"/>
          <w:highlight w:val="none"/>
        </w:rPr>
        <w:t>推荐建设领域专家，为</w:t>
      </w:r>
      <w:r>
        <w:rPr>
          <w:rFonts w:hint="eastAsia" w:ascii="宋体" w:hAnsi="宋体"/>
          <w:color w:val="auto"/>
          <w:sz w:val="24"/>
          <w:highlight w:val="none"/>
          <w:lang w:eastAsia="zh-CN"/>
        </w:rPr>
        <w:t>采购人</w:t>
      </w:r>
      <w:r>
        <w:rPr>
          <w:rFonts w:hint="eastAsia" w:ascii="宋体" w:hAnsi="宋体"/>
          <w:color w:val="auto"/>
          <w:sz w:val="24"/>
          <w:highlight w:val="none"/>
        </w:rPr>
        <w:t>相关决策、方案对比等提供技术支持。</w:t>
      </w:r>
    </w:p>
    <w:p w14:paraId="0CCE9CD3">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p>
    <w:p w14:paraId="616BD79D">
      <w:pPr>
        <w:keepNext w:val="0"/>
        <w:keepLines w:val="0"/>
        <w:pageBreakBefore w:val="0"/>
        <w:kinsoku/>
        <w:wordWrap/>
        <w:overflowPunct/>
        <w:topLinePunct w:val="0"/>
        <w:autoSpaceDE/>
        <w:autoSpaceDN/>
        <w:bidi w:val="0"/>
        <w:adjustRightInd/>
        <w:spacing w:after="0" w:line="360" w:lineRule="auto"/>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2.1.2投资造价管理</w:t>
      </w:r>
    </w:p>
    <w:p w14:paraId="013B9248">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（1）负责制定各阶段资金（资金占用）计划，进行定期的或阶段性的投资预测和投资评估，并提供相应的资金评估风险意见。</w:t>
      </w:r>
    </w:p>
    <w:p w14:paraId="65678B60">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（2）负责对设计单位编制的初步设计概算进行审核，审核内容包括初设概算的完整性、与投资估算内容、金额的变化情况。</w:t>
      </w:r>
    </w:p>
    <w:p w14:paraId="505ADD0F">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（3）审核各相关合同费用、价款调整方式及支付方式，并对合同履行过程中的工程款支付进行审核。</w:t>
      </w:r>
    </w:p>
    <w:p w14:paraId="48DF5F11">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（4）审核暂估项部分工程量清单及招标控制价，确保其的完整性及合理性，参与暂估价材料、设备的询价工作。</w:t>
      </w:r>
    </w:p>
    <w:p w14:paraId="557A2A41">
      <w:pPr>
        <w:keepNext w:val="0"/>
        <w:keepLines w:val="0"/>
        <w:pageBreakBefore w:val="0"/>
        <w:tabs>
          <w:tab w:val="left" w:pos="426"/>
        </w:tabs>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（5）对工程变更文件进行审核，涉及结构变化、费用变化、建设标准变化的报采购人（委托单位）同意后执行，并协助采购人（委托单位）履行变更程序。</w:t>
      </w:r>
    </w:p>
    <w:p w14:paraId="5CA8C2C2">
      <w:pPr>
        <w:keepNext w:val="0"/>
        <w:keepLines w:val="0"/>
        <w:pageBreakBefore w:val="0"/>
        <w:tabs>
          <w:tab w:val="left" w:pos="426"/>
        </w:tabs>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（6）负责组织工程结算工作，拟定结算（审核）方案，确保工程结算工作符合相关要求。</w:t>
      </w:r>
    </w:p>
    <w:p w14:paraId="34807E54">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（7）协助采购人接受相关审计监察单位的检查。</w:t>
      </w:r>
    </w:p>
    <w:p w14:paraId="407B263F">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（8）负责编制审核项目工程量清单及控制价，确保其的完整性及合理性。</w:t>
      </w:r>
    </w:p>
    <w:p w14:paraId="4F770E89">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（9）对施工过程中发生的新材料、新设备、新工艺，进行市场询价、认价工作，并报甲方确认。</w:t>
      </w:r>
    </w:p>
    <w:p w14:paraId="6ACBDA82">
      <w:pPr>
        <w:keepNext w:val="0"/>
        <w:keepLines w:val="0"/>
        <w:pageBreakBefore w:val="0"/>
        <w:tabs>
          <w:tab w:val="left" w:pos="426"/>
        </w:tabs>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（10）配合</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开展竣工决算相关工作。</w:t>
      </w:r>
    </w:p>
    <w:p w14:paraId="44FCD484">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p>
    <w:p w14:paraId="25757AD5">
      <w:pPr>
        <w:keepNext w:val="0"/>
        <w:keepLines w:val="0"/>
        <w:pageBreakBefore w:val="0"/>
        <w:kinsoku/>
        <w:wordWrap/>
        <w:overflowPunct/>
        <w:topLinePunct w:val="0"/>
        <w:autoSpaceDE/>
        <w:autoSpaceDN/>
        <w:bidi w:val="0"/>
        <w:adjustRightInd/>
        <w:spacing w:after="0" w:line="360" w:lineRule="auto"/>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2.1.3设计管理</w:t>
      </w:r>
    </w:p>
    <w:p w14:paraId="26F607C9">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（1）组织设计单位办理设计文件、施工图审查等审批手续。</w:t>
      </w:r>
    </w:p>
    <w:p w14:paraId="47956BA8">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（2）组织设计单位为发改、规自、土地、地震、园林绿化、人防、消防等审批手续提供所需设计文件。</w:t>
      </w:r>
    </w:p>
    <w:p w14:paraId="4A4FEA5E">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（3）组织设计单位开展优化设计工作，及时将各方审核意见、专家咨询、论证意见以及采购人使用意见提供给设计单位，对项目设计进行优化。</w:t>
      </w:r>
    </w:p>
    <w:p w14:paraId="76DEE5EC">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（4）审核设计单位提出的详细的设计进度计划和出图计划，并控制其执行。</w:t>
      </w:r>
    </w:p>
    <w:p w14:paraId="60277D67">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（5）协助采购人组织施工图设计技术交底，审查签发交底会议纪要。涉及工期费用、建设标准或使用功能的报采购人确定。</w:t>
      </w:r>
    </w:p>
    <w:p w14:paraId="6602BD32">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（6）组织或协助采购人对项目过程出现的问题或遇到的技术难题召开专题研讨会，解决相关问题。</w:t>
      </w:r>
    </w:p>
    <w:p w14:paraId="12210CC5">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（7）审核设计变更的必要性、经济性、建筑造型和使用功能是否满足采购人的要求。</w:t>
      </w:r>
    </w:p>
    <w:p w14:paraId="18F3A0BC">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（8）审核最终交付的施工图设计是否有足够的深度，是否满足可施工性的要求，以确保施工进度计划的顺利进行</w:t>
      </w:r>
    </w:p>
    <w:p w14:paraId="556A047E">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（9）协助采购人进行图纸和设计文件的管理。</w:t>
      </w:r>
    </w:p>
    <w:p w14:paraId="5F3B3874">
      <w:pPr>
        <w:keepNext w:val="0"/>
        <w:keepLines w:val="0"/>
        <w:pageBreakBefore w:val="0"/>
        <w:kinsoku/>
        <w:wordWrap/>
        <w:overflowPunct/>
        <w:topLinePunct w:val="0"/>
        <w:autoSpaceDE/>
        <w:autoSpaceDN/>
        <w:bidi w:val="0"/>
        <w:adjustRightInd/>
        <w:spacing w:after="0" w:line="360" w:lineRule="auto"/>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2.1.4采购管理</w:t>
      </w:r>
    </w:p>
    <w:p w14:paraId="7DF19C71">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（1）根据工程建设需要和采购人的相关要求，合法、合规开展招标管理咨询服务，</w:t>
      </w:r>
      <w:r>
        <w:rPr>
          <w:rFonts w:hint="eastAsia" w:ascii="宋体" w:hAnsi="宋体"/>
          <w:color w:val="auto"/>
          <w:sz w:val="24"/>
          <w:highlight w:val="none"/>
        </w:rPr>
        <w:t>参与采购文件编制，</w:t>
      </w:r>
      <w:r>
        <w:rPr>
          <w:rFonts w:hint="eastAsia" w:ascii="宋体" w:hAnsi="宋体" w:cs="宋体"/>
          <w:color w:val="auto"/>
          <w:sz w:val="24"/>
          <w:highlight w:val="none"/>
        </w:rPr>
        <w:t>针对具体授权事项开展具体采购管理服务。</w:t>
      </w:r>
    </w:p>
    <w:p w14:paraId="390BA73E">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（2）组织审核勘察、设计、施工、监理等采购过程文件，并向采购人报送采购阶段过程文件审核成果。</w:t>
      </w:r>
    </w:p>
    <w:p w14:paraId="0F1BC9AC">
      <w:pPr>
        <w:keepNext w:val="0"/>
        <w:keepLines w:val="0"/>
        <w:pageBreakBefore w:val="0"/>
        <w:kinsoku/>
        <w:wordWrap/>
        <w:overflowPunct/>
        <w:topLinePunct w:val="0"/>
        <w:autoSpaceDE/>
        <w:autoSpaceDN/>
        <w:bidi w:val="0"/>
        <w:adjustRightInd/>
        <w:spacing w:after="0" w:line="360" w:lineRule="auto"/>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2.1.5合同管理</w:t>
      </w:r>
    </w:p>
    <w:p w14:paraId="38147E49">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（1）协助采购人进行工程勘察合同、设计合同、施工合同、监理合同、相关咨询类合同和甲供材料（设备）合同、保修合同的起草、谈判以及合同条款的解释。</w:t>
      </w:r>
    </w:p>
    <w:p w14:paraId="053D9635">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（2）协助采购人审核合同条款的修改和补充。</w:t>
      </w:r>
    </w:p>
    <w:p w14:paraId="26B82102">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（3）记录有关合同执行台帐，对合同进行跟踪管理。</w:t>
      </w:r>
    </w:p>
    <w:p w14:paraId="00D71496">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（4）审核合同的索赔和反索赔，提出报告报采购人审定。</w:t>
      </w:r>
    </w:p>
    <w:p w14:paraId="563D5D36">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（5）协助采购人进行合同争议的协调。</w:t>
      </w:r>
    </w:p>
    <w:p w14:paraId="1062C797">
      <w:pPr>
        <w:keepNext w:val="0"/>
        <w:keepLines w:val="0"/>
        <w:pageBreakBefore w:val="0"/>
        <w:tabs>
          <w:tab w:val="left" w:pos="426"/>
        </w:tabs>
        <w:kinsoku/>
        <w:wordWrap/>
        <w:overflowPunct/>
        <w:topLinePunct w:val="0"/>
        <w:autoSpaceDE/>
        <w:autoSpaceDN/>
        <w:bidi w:val="0"/>
        <w:adjustRightInd/>
        <w:spacing w:after="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（6）工程竣工完成1个月内，提供设计、施工、监理合同履约情况评价。</w:t>
      </w:r>
    </w:p>
    <w:p w14:paraId="27235CBA">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p>
    <w:p w14:paraId="0B2DCC98">
      <w:pPr>
        <w:keepNext w:val="0"/>
        <w:keepLines w:val="0"/>
        <w:pageBreakBefore w:val="0"/>
        <w:kinsoku/>
        <w:wordWrap/>
        <w:overflowPunct/>
        <w:topLinePunct w:val="0"/>
        <w:autoSpaceDE/>
        <w:autoSpaceDN/>
        <w:bidi w:val="0"/>
        <w:adjustRightInd/>
        <w:spacing w:after="0" w:line="360" w:lineRule="auto"/>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2.1.6施工现场管理</w:t>
      </w:r>
    </w:p>
    <w:p w14:paraId="770E9857">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（1）协助采购人确定的工程质量目标，并根据工程质量目标制定相应的分解目标，提出相应措施。</w:t>
      </w:r>
    </w:p>
    <w:p w14:paraId="05F7397F">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（2）督促相关单位制定相应的质保体系，及达到质量目标的对策措施。</w:t>
      </w:r>
    </w:p>
    <w:p w14:paraId="78656239">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（3）监督监理单位审查施工单位资质、考察施工单位综合实力，并负责对工程现场进行质量管理。</w:t>
      </w:r>
    </w:p>
    <w:p w14:paraId="64762189">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（4）组织相关单位定期向采购人提交工程质量情况报告。</w:t>
      </w:r>
    </w:p>
    <w:p w14:paraId="22F1764A">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（5）参加处理工程质量事故、查明事故原因和责任，报采购人备案并督促和检查事故处理方案的实施。</w:t>
      </w:r>
    </w:p>
    <w:p w14:paraId="2453AF7B">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（6）督促、检查参建单位安全生产管理制度的建立和健全，落实安全生产责任制，协助采购人与其签订安全生产、文明施工协议。</w:t>
      </w:r>
    </w:p>
    <w:p w14:paraId="397FB6CF">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（7）每周组织检查安全生产措施落实情况，并不定期开展有针对性的安全检查。</w:t>
      </w:r>
    </w:p>
    <w:p w14:paraId="7394F4B8">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（8）根据工程进度，督促总包单位及时分析梳理项目安全生产风险点，并采取有效措施予以防范。</w:t>
      </w:r>
    </w:p>
    <w:p w14:paraId="347D28A9">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（9）参加安全事故调查处理工作，督促、检查相关单位做到“四不放过”原则。</w:t>
      </w:r>
    </w:p>
    <w:p w14:paraId="408DB1F0">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（10）督促各总包单位在竣工后妥善地进行成品保护。</w:t>
      </w:r>
    </w:p>
    <w:p w14:paraId="16F01629">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（11）按照采购人对总工期的要求，提出控制计划目标，督促总包单位制定项目施工总进度计划，确定控制节点及里程碑。</w:t>
      </w:r>
    </w:p>
    <w:p w14:paraId="138EF1CC">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（12）督促、检查、落实各阶段各单位进度实施情况。</w:t>
      </w:r>
    </w:p>
    <w:p w14:paraId="6DDEDCD9">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（13）严格按进度计划进行动态管理，一旦发现进度偏差趋向，及时查明原因，并采取相应的积极措施予以调整。 </w:t>
      </w:r>
    </w:p>
    <w:p w14:paraId="19CB6473">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（14）审核有关单位提出的工期索赔报告，并协助</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处理相关问题。</w:t>
      </w:r>
    </w:p>
    <w:p w14:paraId="2AD94DBF">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（15）协调各独立承包的进退场时间以及相应的施工周期，合理安排交叉施工顺序。</w:t>
      </w:r>
    </w:p>
    <w:p w14:paraId="6D88542D">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（16）督促并检查总包单位编制专业承包商、供货商的采购计划，保证采购进度与工程进展契合。</w:t>
      </w:r>
    </w:p>
    <w:p w14:paraId="31453055">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（17）督促监理审核竣工图及工程施工竣工资料，并进行技术交底。</w:t>
      </w:r>
    </w:p>
    <w:p w14:paraId="465C054B">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18）项目管理公司负责编制招标采购管理办法、合同管理办法、工程计量管理办法、工程款支付管理办法、认质认价管理办法、变更洽商管理办法、工程质量管理办法、安全生产管理办法、应急事件管理办法、档案资料管理办法</w:t>
      </w:r>
      <w:r>
        <w:rPr>
          <w:rFonts w:hint="eastAsia" w:ascii="宋体" w:hAnsi="宋体" w:cs="宋体"/>
          <w:color w:val="auto"/>
          <w:sz w:val="24"/>
          <w:highlight w:val="none"/>
          <w:lang w:eastAsia="zh-CN"/>
        </w:rPr>
        <w:t>。</w:t>
      </w:r>
    </w:p>
    <w:p w14:paraId="5343F4F9">
      <w:pPr>
        <w:keepNext w:val="0"/>
        <w:keepLines w:val="0"/>
        <w:pageBreakBefore w:val="0"/>
        <w:kinsoku/>
        <w:wordWrap/>
        <w:overflowPunct/>
        <w:topLinePunct w:val="0"/>
        <w:autoSpaceDE/>
        <w:autoSpaceDN/>
        <w:bidi w:val="0"/>
        <w:adjustRightInd/>
        <w:spacing w:after="0" w:line="360" w:lineRule="auto"/>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2.1.7竣工验收</w:t>
      </w:r>
    </w:p>
    <w:p w14:paraId="633168DC">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（1）协助采购人组织参建单位进行工程竣工验收，办理项目竣工备案及相关事项。</w:t>
      </w:r>
    </w:p>
    <w:p w14:paraId="0D39D6FC">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（2）协助采购人组织相关单位办理规自、消防、环保、交通、人防、水务、档案等竣工、报验备案手续。</w:t>
      </w:r>
    </w:p>
    <w:p w14:paraId="7EF935FE">
      <w:pPr>
        <w:keepNext w:val="0"/>
        <w:keepLines w:val="0"/>
        <w:pageBreakBefore w:val="0"/>
        <w:kinsoku/>
        <w:wordWrap/>
        <w:overflowPunct/>
        <w:topLinePunct w:val="0"/>
        <w:autoSpaceDE/>
        <w:autoSpaceDN/>
        <w:bidi w:val="0"/>
        <w:adjustRightInd/>
        <w:spacing w:after="0" w:line="360" w:lineRule="auto"/>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2.1.8档案管理</w:t>
      </w:r>
    </w:p>
    <w:p w14:paraId="3999572C">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（1）负责组织召开项目管理例会，负责项目管理例会会议纪要的编制和发布。</w:t>
      </w:r>
    </w:p>
    <w:p w14:paraId="4AB1FD3D">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（2）负责日常项目信息的收集和整理，每月定期向采购人报告项目进展、关键事宜、支付状况及项目预测。</w:t>
      </w:r>
    </w:p>
    <w:p w14:paraId="294CE73A">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（3）负责项目信息处理和发布，及时向采购人及参建单位进行传递。</w:t>
      </w:r>
    </w:p>
    <w:p w14:paraId="064F5C4A">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（4）管理工程档案资料，组织各参建单位提交各自的成果性资料文件（包括前期、施工中以及竣工资料）完善交接手续。</w:t>
      </w:r>
    </w:p>
    <w:p w14:paraId="2D94298C">
      <w:pPr>
        <w:keepNext w:val="0"/>
        <w:keepLines w:val="0"/>
        <w:pageBreakBefore w:val="0"/>
        <w:kinsoku/>
        <w:wordWrap/>
        <w:overflowPunct/>
        <w:topLinePunct w:val="0"/>
        <w:autoSpaceDE/>
        <w:autoSpaceDN/>
        <w:bidi w:val="0"/>
        <w:adjustRightInd/>
        <w:spacing w:after="0" w:line="360" w:lineRule="auto"/>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2.2 委托管理期限：</w:t>
      </w:r>
      <w:r>
        <w:rPr>
          <w:rFonts w:hint="eastAsia" w:ascii="宋体" w:hAnsi="宋体" w:cs="宋体"/>
          <w:color w:val="auto"/>
          <w:sz w:val="24"/>
          <w:highlight w:val="none"/>
        </w:rPr>
        <w:t>自本项目委托合同签订之日起至完成工程结算及工程档案资料移交为止。</w:t>
      </w:r>
    </w:p>
    <w:p w14:paraId="280AAF36">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p>
    <w:p w14:paraId="3CF06BCE">
      <w:pPr>
        <w:keepNext w:val="0"/>
        <w:keepLines w:val="0"/>
        <w:pageBreakBefore w:val="0"/>
        <w:kinsoku/>
        <w:wordWrap/>
        <w:overflowPunct/>
        <w:topLinePunct w:val="0"/>
        <w:autoSpaceDE/>
        <w:autoSpaceDN/>
        <w:bidi w:val="0"/>
        <w:adjustRightInd/>
        <w:spacing w:after="0" w:line="360" w:lineRule="auto"/>
        <w:textAlignment w:val="auto"/>
        <w:rPr>
          <w:rFonts w:hint="eastAsia" w:ascii="宋体" w:hAnsi="宋体" w:cs="宋体"/>
          <w:b/>
          <w:color w:val="auto"/>
          <w:sz w:val="24"/>
          <w:highlight w:val="none"/>
        </w:rPr>
      </w:pPr>
      <w:r>
        <w:rPr>
          <w:rFonts w:hint="eastAsia" w:ascii="宋体" w:hAnsi="宋体" w:cs="宋体"/>
          <w:b/>
          <w:color w:val="auto"/>
          <w:sz w:val="24"/>
          <w:highlight w:val="none"/>
        </w:rPr>
        <w:t>3. 履约验收标准</w:t>
      </w:r>
    </w:p>
    <w:p w14:paraId="6E6498B9">
      <w:pPr>
        <w:keepNext w:val="0"/>
        <w:keepLines w:val="0"/>
        <w:pageBreakBefore w:val="0"/>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3.1履约验收的主体、方式：采购人，自合同签订之日起至工程结算及工程档案移交完成，以驻场方式提供管理服务。</w:t>
      </w:r>
    </w:p>
    <w:p w14:paraId="2443D7B6">
      <w:pPr>
        <w:keepNext w:val="0"/>
        <w:keepLines w:val="0"/>
        <w:pageBreakBefore w:val="0"/>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3.2履约验收的程序：/</w:t>
      </w:r>
    </w:p>
    <w:p w14:paraId="59B7272D">
      <w:pPr>
        <w:keepNext w:val="0"/>
        <w:keepLines w:val="0"/>
        <w:pageBreakBefore w:val="0"/>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3.3履约验收的内容和验收标准:协助采购人取得竣工验收备案手续，且以档案馆移交完成竣工资料为准。</w:t>
      </w:r>
    </w:p>
    <w:p w14:paraId="4F57FEAF">
      <w:pPr>
        <w:keepNext w:val="0"/>
        <w:keepLines w:val="0"/>
        <w:pageBreakBefore w:val="0"/>
        <w:kinsoku/>
        <w:wordWrap/>
        <w:overflowPunct/>
        <w:topLinePunct w:val="0"/>
        <w:autoSpaceDE/>
        <w:autoSpaceDN/>
        <w:bidi w:val="0"/>
        <w:adjustRightInd/>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3.4履约验收时间：项目办理完竣工验收备案手续，中标单位向采购人移交项目全部档案资料。</w:t>
      </w:r>
    </w:p>
    <w:p w14:paraId="6266BCD1">
      <w:pPr>
        <w:keepNext w:val="0"/>
        <w:keepLines w:val="0"/>
        <w:pageBreakBefore w:val="0"/>
        <w:kinsoku/>
        <w:wordWrap/>
        <w:overflowPunct/>
        <w:topLinePunct w:val="0"/>
        <w:autoSpaceDE/>
        <w:autoSpaceDN/>
        <w:bidi w:val="0"/>
        <w:adjustRightInd/>
        <w:spacing w:after="0" w:line="360" w:lineRule="auto"/>
        <w:textAlignment w:val="auto"/>
        <w:rPr>
          <w:rFonts w:hint="eastAsia" w:ascii="宋体" w:hAnsi="宋体" w:cs="宋体"/>
          <w:b/>
          <w:color w:val="auto"/>
          <w:sz w:val="24"/>
          <w:highlight w:val="none"/>
        </w:rPr>
      </w:pPr>
    </w:p>
    <w:p w14:paraId="1A66851B">
      <w:pPr>
        <w:keepNext w:val="0"/>
        <w:keepLines w:val="0"/>
        <w:pageBreakBefore w:val="0"/>
        <w:kinsoku/>
        <w:wordWrap/>
        <w:overflowPunct/>
        <w:topLinePunct w:val="0"/>
        <w:autoSpaceDE/>
        <w:autoSpaceDN/>
        <w:bidi w:val="0"/>
        <w:adjustRightInd/>
        <w:spacing w:after="0" w:line="360" w:lineRule="auto"/>
        <w:textAlignment w:val="auto"/>
        <w:rPr>
          <w:rFonts w:hint="eastAsia" w:ascii="宋体" w:hAnsi="宋体" w:cs="宋体"/>
          <w:b/>
          <w:color w:val="auto"/>
          <w:sz w:val="24"/>
          <w:highlight w:val="none"/>
        </w:rPr>
      </w:pPr>
      <w:r>
        <w:rPr>
          <w:rFonts w:hint="eastAsia" w:ascii="宋体" w:hAnsi="宋体" w:cs="宋体"/>
          <w:b/>
          <w:color w:val="auto"/>
          <w:sz w:val="24"/>
          <w:highlight w:val="none"/>
        </w:rPr>
        <w:t>4. 项目管理服务团队人员、资格及驻场要求</w:t>
      </w:r>
    </w:p>
    <w:p w14:paraId="6A0D14DA">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以下项目管理咨询服务团队人员配备表中执业资格或职称及人员数量为</w:t>
      </w:r>
      <w:r>
        <w:rPr>
          <w:rFonts w:hint="eastAsia" w:ascii="宋体" w:hAnsi="宋体" w:cs="宋体"/>
          <w:b/>
          <w:bCs/>
          <w:color w:val="auto"/>
          <w:sz w:val="24"/>
          <w:highlight w:val="none"/>
        </w:rPr>
        <w:t>最低要求</w:t>
      </w:r>
      <w:r>
        <w:rPr>
          <w:rFonts w:hint="eastAsia" w:ascii="宋体" w:hAnsi="宋体" w:cs="宋体"/>
          <w:color w:val="auto"/>
          <w:sz w:val="24"/>
          <w:highlight w:val="none"/>
        </w:rPr>
        <w:t>，人员均需具备</w:t>
      </w:r>
      <w:r>
        <w:rPr>
          <w:rFonts w:hint="eastAsia" w:ascii="宋体" w:hAnsi="宋体" w:cs="宋体"/>
          <w:b/>
          <w:bCs/>
          <w:color w:val="auto"/>
          <w:sz w:val="24"/>
          <w:highlight w:val="none"/>
        </w:rPr>
        <w:t>相应职业资格和相关经验</w:t>
      </w:r>
      <w:r>
        <w:rPr>
          <w:rFonts w:hint="eastAsia" w:ascii="宋体" w:hAnsi="宋体" w:cs="宋体"/>
          <w:color w:val="auto"/>
          <w:sz w:val="24"/>
          <w:highlight w:val="none"/>
        </w:rPr>
        <w:t xml:space="preserve">，成员要保持相对稳定。项目管理人员如不称职，采购人有权提出更换。 </w:t>
      </w:r>
    </w:p>
    <w:p w14:paraId="12E5EA4E">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项目管理咨询服务团队人员配备表</w:t>
      </w:r>
    </w:p>
    <w:tbl>
      <w:tblPr>
        <w:tblStyle w:val="48"/>
        <w:tblW w:w="8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3106"/>
        <w:gridCol w:w="1274"/>
        <w:gridCol w:w="3489"/>
      </w:tblGrid>
      <w:tr w14:paraId="1A33B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69" w:type="dxa"/>
            <w:vAlign w:val="center"/>
          </w:tcPr>
          <w:p w14:paraId="195A7686">
            <w:pPr>
              <w:keepNext w:val="0"/>
              <w:keepLines w:val="0"/>
              <w:pageBreakBefore w:val="0"/>
              <w:kinsoku/>
              <w:wordWrap/>
              <w:overflowPunct/>
              <w:topLinePunct w:val="0"/>
              <w:autoSpaceDE/>
              <w:autoSpaceDN/>
              <w:bidi w:val="0"/>
              <w:adjustRightInd/>
              <w:spacing w:after="0" w:line="36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序号</w:t>
            </w:r>
          </w:p>
        </w:tc>
        <w:tc>
          <w:tcPr>
            <w:tcW w:w="3106" w:type="dxa"/>
            <w:vAlign w:val="center"/>
          </w:tcPr>
          <w:p w14:paraId="3E81B165">
            <w:pPr>
              <w:keepNext w:val="0"/>
              <w:keepLines w:val="0"/>
              <w:pageBreakBefore w:val="0"/>
              <w:kinsoku/>
              <w:wordWrap/>
              <w:overflowPunct/>
              <w:topLinePunct w:val="0"/>
              <w:autoSpaceDE/>
              <w:autoSpaceDN/>
              <w:bidi w:val="0"/>
              <w:adjustRightInd/>
              <w:spacing w:after="0" w:line="36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岗位名称</w:t>
            </w:r>
          </w:p>
        </w:tc>
        <w:tc>
          <w:tcPr>
            <w:tcW w:w="1274" w:type="dxa"/>
            <w:vAlign w:val="center"/>
          </w:tcPr>
          <w:p w14:paraId="107F4ACF">
            <w:pPr>
              <w:keepNext w:val="0"/>
              <w:keepLines w:val="0"/>
              <w:pageBreakBefore w:val="0"/>
              <w:kinsoku/>
              <w:wordWrap/>
              <w:overflowPunct/>
              <w:topLinePunct w:val="0"/>
              <w:autoSpaceDE/>
              <w:autoSpaceDN/>
              <w:bidi w:val="0"/>
              <w:adjustRightInd/>
              <w:spacing w:after="0" w:line="36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人数</w:t>
            </w:r>
          </w:p>
        </w:tc>
        <w:tc>
          <w:tcPr>
            <w:tcW w:w="3489" w:type="dxa"/>
            <w:vAlign w:val="center"/>
          </w:tcPr>
          <w:p w14:paraId="7E6595E0">
            <w:pPr>
              <w:keepNext w:val="0"/>
              <w:keepLines w:val="0"/>
              <w:pageBreakBefore w:val="0"/>
              <w:kinsoku/>
              <w:wordWrap/>
              <w:overflowPunct/>
              <w:topLinePunct w:val="0"/>
              <w:autoSpaceDE/>
              <w:autoSpaceDN/>
              <w:bidi w:val="0"/>
              <w:adjustRightInd/>
              <w:spacing w:after="0" w:line="36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执业资格或职称</w:t>
            </w:r>
          </w:p>
        </w:tc>
      </w:tr>
      <w:tr w14:paraId="11613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vAlign w:val="center"/>
          </w:tcPr>
          <w:p w14:paraId="4D453EDA">
            <w:pPr>
              <w:keepNext w:val="0"/>
              <w:keepLines w:val="0"/>
              <w:pageBreakBefore w:val="0"/>
              <w:kinsoku/>
              <w:wordWrap/>
              <w:overflowPunct/>
              <w:topLinePunct w:val="0"/>
              <w:autoSpaceDE/>
              <w:autoSpaceDN/>
              <w:bidi w:val="0"/>
              <w:adjustRightInd/>
              <w:spacing w:after="0" w:line="36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1</w:t>
            </w:r>
          </w:p>
        </w:tc>
        <w:tc>
          <w:tcPr>
            <w:tcW w:w="3106" w:type="dxa"/>
            <w:vAlign w:val="center"/>
          </w:tcPr>
          <w:p w14:paraId="74891BBE">
            <w:pPr>
              <w:keepNext w:val="0"/>
              <w:keepLines w:val="0"/>
              <w:pageBreakBefore w:val="0"/>
              <w:kinsoku/>
              <w:wordWrap/>
              <w:overflowPunct/>
              <w:topLinePunct w:val="0"/>
              <w:autoSpaceDE/>
              <w:autoSpaceDN/>
              <w:bidi w:val="0"/>
              <w:adjustRightInd/>
              <w:spacing w:after="0" w:line="36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项目负责人</w:t>
            </w:r>
          </w:p>
        </w:tc>
        <w:tc>
          <w:tcPr>
            <w:tcW w:w="1274" w:type="dxa"/>
            <w:vAlign w:val="center"/>
          </w:tcPr>
          <w:p w14:paraId="4AFA2D1A">
            <w:pPr>
              <w:keepNext w:val="0"/>
              <w:keepLines w:val="0"/>
              <w:pageBreakBefore w:val="0"/>
              <w:kinsoku/>
              <w:wordWrap/>
              <w:overflowPunct/>
              <w:topLinePunct w:val="0"/>
              <w:autoSpaceDE/>
              <w:autoSpaceDN/>
              <w:bidi w:val="0"/>
              <w:adjustRightInd/>
              <w:spacing w:after="0" w:line="36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1</w:t>
            </w:r>
          </w:p>
        </w:tc>
        <w:tc>
          <w:tcPr>
            <w:tcW w:w="3489" w:type="dxa"/>
            <w:vAlign w:val="center"/>
          </w:tcPr>
          <w:p w14:paraId="7AA119A1">
            <w:pPr>
              <w:keepNext w:val="0"/>
              <w:keepLines w:val="0"/>
              <w:pageBreakBefore w:val="0"/>
              <w:kinsoku/>
              <w:wordWrap/>
              <w:overflowPunct/>
              <w:topLinePunct w:val="0"/>
              <w:autoSpaceDE/>
              <w:autoSpaceDN/>
              <w:bidi w:val="0"/>
              <w:adjustRightInd/>
              <w:spacing w:after="0" w:line="36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一建建造师或高级工程师</w:t>
            </w:r>
          </w:p>
        </w:tc>
      </w:tr>
      <w:tr w14:paraId="7AAC3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69" w:type="dxa"/>
            <w:vAlign w:val="center"/>
          </w:tcPr>
          <w:p w14:paraId="59A8F539">
            <w:pPr>
              <w:keepNext w:val="0"/>
              <w:keepLines w:val="0"/>
              <w:pageBreakBefore w:val="0"/>
              <w:kinsoku/>
              <w:wordWrap/>
              <w:overflowPunct/>
              <w:topLinePunct w:val="0"/>
              <w:autoSpaceDE/>
              <w:autoSpaceDN/>
              <w:bidi w:val="0"/>
              <w:adjustRightInd/>
              <w:spacing w:after="0" w:line="36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2</w:t>
            </w:r>
          </w:p>
        </w:tc>
        <w:tc>
          <w:tcPr>
            <w:tcW w:w="3106" w:type="dxa"/>
            <w:vAlign w:val="center"/>
          </w:tcPr>
          <w:p w14:paraId="41D460AD">
            <w:pPr>
              <w:keepNext w:val="0"/>
              <w:keepLines w:val="0"/>
              <w:pageBreakBefore w:val="0"/>
              <w:kinsoku/>
              <w:wordWrap/>
              <w:overflowPunct/>
              <w:topLinePunct w:val="0"/>
              <w:autoSpaceDE/>
              <w:autoSpaceDN/>
              <w:bidi w:val="0"/>
              <w:adjustRightInd/>
              <w:spacing w:after="0" w:line="36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前期工程师</w:t>
            </w:r>
          </w:p>
        </w:tc>
        <w:tc>
          <w:tcPr>
            <w:tcW w:w="1274" w:type="dxa"/>
            <w:vAlign w:val="center"/>
          </w:tcPr>
          <w:p w14:paraId="0B8DA5F1">
            <w:pPr>
              <w:keepNext w:val="0"/>
              <w:keepLines w:val="0"/>
              <w:pageBreakBefore w:val="0"/>
              <w:kinsoku/>
              <w:wordWrap/>
              <w:overflowPunct/>
              <w:topLinePunct w:val="0"/>
              <w:autoSpaceDE/>
              <w:autoSpaceDN/>
              <w:bidi w:val="0"/>
              <w:adjustRightInd/>
              <w:spacing w:after="0" w:line="36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1</w:t>
            </w:r>
          </w:p>
        </w:tc>
        <w:tc>
          <w:tcPr>
            <w:tcW w:w="3489" w:type="dxa"/>
            <w:vAlign w:val="center"/>
          </w:tcPr>
          <w:p w14:paraId="5423C0E7">
            <w:pPr>
              <w:keepNext w:val="0"/>
              <w:keepLines w:val="0"/>
              <w:pageBreakBefore w:val="0"/>
              <w:kinsoku/>
              <w:wordWrap/>
              <w:overflowPunct/>
              <w:topLinePunct w:val="0"/>
              <w:autoSpaceDE/>
              <w:autoSpaceDN/>
              <w:bidi w:val="0"/>
              <w:adjustRightInd/>
              <w:spacing w:after="0" w:line="36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中级职称</w:t>
            </w:r>
          </w:p>
        </w:tc>
      </w:tr>
      <w:tr w14:paraId="2300C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69" w:type="dxa"/>
            <w:vAlign w:val="center"/>
          </w:tcPr>
          <w:p w14:paraId="3C3FDB03">
            <w:pPr>
              <w:keepNext w:val="0"/>
              <w:keepLines w:val="0"/>
              <w:pageBreakBefore w:val="0"/>
              <w:kinsoku/>
              <w:wordWrap/>
              <w:overflowPunct/>
              <w:topLinePunct w:val="0"/>
              <w:autoSpaceDE/>
              <w:autoSpaceDN/>
              <w:bidi w:val="0"/>
              <w:adjustRightInd/>
              <w:spacing w:after="0" w:line="36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3</w:t>
            </w:r>
          </w:p>
        </w:tc>
        <w:tc>
          <w:tcPr>
            <w:tcW w:w="3106" w:type="dxa"/>
            <w:vAlign w:val="center"/>
          </w:tcPr>
          <w:p w14:paraId="78C1CAD8">
            <w:pPr>
              <w:keepNext w:val="0"/>
              <w:keepLines w:val="0"/>
              <w:pageBreakBefore w:val="0"/>
              <w:kinsoku/>
              <w:wordWrap/>
              <w:overflowPunct/>
              <w:topLinePunct w:val="0"/>
              <w:autoSpaceDE/>
              <w:autoSpaceDN/>
              <w:bidi w:val="0"/>
              <w:adjustRightInd/>
              <w:spacing w:after="0" w:line="36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造价工程师</w:t>
            </w:r>
          </w:p>
        </w:tc>
        <w:tc>
          <w:tcPr>
            <w:tcW w:w="1274" w:type="dxa"/>
            <w:vAlign w:val="center"/>
          </w:tcPr>
          <w:p w14:paraId="3D8FA89F">
            <w:pPr>
              <w:keepNext w:val="0"/>
              <w:keepLines w:val="0"/>
              <w:pageBreakBefore w:val="0"/>
              <w:kinsoku/>
              <w:wordWrap/>
              <w:overflowPunct/>
              <w:topLinePunct w:val="0"/>
              <w:autoSpaceDE/>
              <w:autoSpaceDN/>
              <w:bidi w:val="0"/>
              <w:adjustRightInd/>
              <w:spacing w:after="0" w:line="360" w:lineRule="auto"/>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c>
          <w:tcPr>
            <w:tcW w:w="3489" w:type="dxa"/>
            <w:vAlign w:val="center"/>
          </w:tcPr>
          <w:p w14:paraId="4B44A1D2">
            <w:pPr>
              <w:keepNext w:val="0"/>
              <w:keepLines w:val="0"/>
              <w:pageBreakBefore w:val="0"/>
              <w:kinsoku/>
              <w:wordWrap/>
              <w:overflowPunct/>
              <w:topLinePunct w:val="0"/>
              <w:autoSpaceDE/>
              <w:autoSpaceDN/>
              <w:bidi w:val="0"/>
              <w:adjustRightInd/>
              <w:spacing w:after="0" w:line="36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一级注册造价工程师</w:t>
            </w:r>
          </w:p>
        </w:tc>
      </w:tr>
      <w:tr w14:paraId="7CB4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69" w:type="dxa"/>
            <w:vAlign w:val="center"/>
          </w:tcPr>
          <w:p w14:paraId="7022A1A6">
            <w:pPr>
              <w:keepNext w:val="0"/>
              <w:keepLines w:val="0"/>
              <w:pageBreakBefore w:val="0"/>
              <w:kinsoku/>
              <w:wordWrap/>
              <w:overflowPunct/>
              <w:topLinePunct w:val="0"/>
              <w:autoSpaceDE/>
              <w:autoSpaceDN/>
              <w:bidi w:val="0"/>
              <w:adjustRightInd/>
              <w:spacing w:after="0" w:line="36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4</w:t>
            </w:r>
          </w:p>
        </w:tc>
        <w:tc>
          <w:tcPr>
            <w:tcW w:w="3106" w:type="dxa"/>
            <w:vAlign w:val="center"/>
          </w:tcPr>
          <w:p w14:paraId="7BA06213">
            <w:pPr>
              <w:keepNext w:val="0"/>
              <w:keepLines w:val="0"/>
              <w:pageBreakBefore w:val="0"/>
              <w:kinsoku/>
              <w:wordWrap/>
              <w:overflowPunct/>
              <w:topLinePunct w:val="0"/>
              <w:autoSpaceDE/>
              <w:autoSpaceDN/>
              <w:bidi w:val="0"/>
              <w:adjustRightInd/>
              <w:spacing w:after="0" w:line="36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现场工程师（安全）</w:t>
            </w:r>
          </w:p>
        </w:tc>
        <w:tc>
          <w:tcPr>
            <w:tcW w:w="1274" w:type="dxa"/>
            <w:vAlign w:val="center"/>
          </w:tcPr>
          <w:p w14:paraId="52DF6E02">
            <w:pPr>
              <w:keepNext w:val="0"/>
              <w:keepLines w:val="0"/>
              <w:pageBreakBefore w:val="0"/>
              <w:kinsoku/>
              <w:wordWrap/>
              <w:overflowPunct/>
              <w:topLinePunct w:val="0"/>
              <w:autoSpaceDE/>
              <w:autoSpaceDN/>
              <w:bidi w:val="0"/>
              <w:adjustRightInd/>
              <w:spacing w:after="0" w:line="36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1</w:t>
            </w:r>
          </w:p>
        </w:tc>
        <w:tc>
          <w:tcPr>
            <w:tcW w:w="3489" w:type="dxa"/>
            <w:vAlign w:val="center"/>
          </w:tcPr>
          <w:p w14:paraId="608C2D59">
            <w:pPr>
              <w:keepNext w:val="0"/>
              <w:keepLines w:val="0"/>
              <w:pageBreakBefore w:val="0"/>
              <w:kinsoku/>
              <w:wordWrap/>
              <w:overflowPunct/>
              <w:topLinePunct w:val="0"/>
              <w:autoSpaceDE/>
              <w:autoSpaceDN/>
              <w:bidi w:val="0"/>
              <w:adjustRightInd/>
              <w:spacing w:after="0" w:line="36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注册安全工程师</w:t>
            </w:r>
          </w:p>
        </w:tc>
      </w:tr>
      <w:tr w14:paraId="09811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69" w:type="dxa"/>
            <w:vAlign w:val="center"/>
          </w:tcPr>
          <w:p w14:paraId="37B9AF3B">
            <w:pPr>
              <w:keepNext w:val="0"/>
              <w:keepLines w:val="0"/>
              <w:pageBreakBefore w:val="0"/>
              <w:kinsoku/>
              <w:wordWrap/>
              <w:overflowPunct/>
              <w:topLinePunct w:val="0"/>
              <w:autoSpaceDE/>
              <w:autoSpaceDN/>
              <w:bidi w:val="0"/>
              <w:adjustRightInd/>
              <w:spacing w:after="0" w:line="36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5</w:t>
            </w:r>
          </w:p>
        </w:tc>
        <w:tc>
          <w:tcPr>
            <w:tcW w:w="3106" w:type="dxa"/>
            <w:vAlign w:val="center"/>
          </w:tcPr>
          <w:p w14:paraId="69843FED">
            <w:pPr>
              <w:keepNext w:val="0"/>
              <w:keepLines w:val="0"/>
              <w:pageBreakBefore w:val="0"/>
              <w:kinsoku/>
              <w:wordWrap/>
              <w:overflowPunct/>
              <w:topLinePunct w:val="0"/>
              <w:autoSpaceDE/>
              <w:autoSpaceDN/>
              <w:bidi w:val="0"/>
              <w:adjustRightInd/>
              <w:spacing w:after="0" w:line="36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现场工程师（质量进度）</w:t>
            </w:r>
          </w:p>
        </w:tc>
        <w:tc>
          <w:tcPr>
            <w:tcW w:w="1274" w:type="dxa"/>
            <w:vAlign w:val="center"/>
          </w:tcPr>
          <w:p w14:paraId="11954A9B">
            <w:pPr>
              <w:keepNext w:val="0"/>
              <w:keepLines w:val="0"/>
              <w:pageBreakBefore w:val="0"/>
              <w:kinsoku/>
              <w:wordWrap/>
              <w:overflowPunct/>
              <w:topLinePunct w:val="0"/>
              <w:autoSpaceDE/>
              <w:autoSpaceDN/>
              <w:bidi w:val="0"/>
              <w:adjustRightInd/>
              <w:spacing w:after="0" w:line="36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1</w:t>
            </w:r>
          </w:p>
        </w:tc>
        <w:tc>
          <w:tcPr>
            <w:tcW w:w="3489" w:type="dxa"/>
            <w:vAlign w:val="center"/>
          </w:tcPr>
          <w:p w14:paraId="275BD82E">
            <w:pPr>
              <w:keepNext w:val="0"/>
              <w:keepLines w:val="0"/>
              <w:pageBreakBefore w:val="0"/>
              <w:kinsoku/>
              <w:wordWrap/>
              <w:overflowPunct/>
              <w:topLinePunct w:val="0"/>
              <w:autoSpaceDE/>
              <w:autoSpaceDN/>
              <w:bidi w:val="0"/>
              <w:adjustRightInd/>
              <w:spacing w:after="0" w:line="36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中级职称</w:t>
            </w:r>
          </w:p>
        </w:tc>
      </w:tr>
    </w:tbl>
    <w:p w14:paraId="38176A72">
      <w:pPr>
        <w:keepNext w:val="0"/>
        <w:keepLines w:val="0"/>
        <w:pageBreakBefore w:val="0"/>
        <w:kinsoku/>
        <w:wordWrap/>
        <w:overflowPunct/>
        <w:topLinePunct w:val="0"/>
        <w:autoSpaceDE/>
        <w:autoSpaceDN/>
        <w:bidi w:val="0"/>
        <w:adjustRightInd/>
        <w:spacing w:after="0" w:line="360" w:lineRule="auto"/>
        <w:textAlignment w:val="auto"/>
        <w:rPr>
          <w:rFonts w:hint="eastAsia" w:ascii="宋体" w:hAnsi="宋体" w:cs="宋体"/>
          <w:color w:val="auto"/>
          <w:sz w:val="24"/>
          <w:highlight w:val="none"/>
        </w:rPr>
      </w:pPr>
    </w:p>
    <w:p w14:paraId="755B693C">
      <w:pPr>
        <w:keepNext w:val="0"/>
        <w:keepLines w:val="0"/>
        <w:pageBreakBefore w:val="0"/>
        <w:kinsoku/>
        <w:wordWrap/>
        <w:overflowPunct/>
        <w:topLinePunct w:val="0"/>
        <w:autoSpaceDE/>
        <w:autoSpaceDN/>
        <w:bidi w:val="0"/>
        <w:adjustRightInd/>
        <w:spacing w:after="0" w:line="360" w:lineRule="auto"/>
        <w:textAlignment w:val="auto"/>
        <w:rPr>
          <w:rFonts w:hint="eastAsia" w:ascii="宋体" w:hAnsi="宋体" w:cs="宋体"/>
          <w:b/>
          <w:color w:val="auto"/>
          <w:sz w:val="24"/>
          <w:highlight w:val="none"/>
        </w:rPr>
      </w:pPr>
      <w:r>
        <w:rPr>
          <w:rFonts w:hint="eastAsia" w:ascii="宋体" w:hAnsi="宋体" w:cs="宋体"/>
          <w:b/>
          <w:color w:val="auto"/>
          <w:sz w:val="24"/>
          <w:highlight w:val="none"/>
        </w:rPr>
        <w:t>5. 其他要求</w:t>
      </w:r>
    </w:p>
    <w:p w14:paraId="4EE10A1F">
      <w:pPr>
        <w:keepNext w:val="0"/>
        <w:keepLines w:val="0"/>
        <w:pageBreakBefore w:val="0"/>
        <w:kinsoku/>
        <w:wordWrap/>
        <w:overflowPunct/>
        <w:topLinePunct w:val="0"/>
        <w:autoSpaceDE/>
        <w:autoSpaceDN/>
        <w:bidi w:val="0"/>
        <w:adjustRightInd/>
        <w:spacing w:after="0" w:line="360" w:lineRule="auto"/>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5.1为落实政府采购政策需满足的要求</w:t>
      </w:r>
    </w:p>
    <w:p w14:paraId="2A4E33AF">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根据《中华人民共和国中小企业促进法》、《政府采购促进中小企业发展管理办法》（财库〔2020〕46号）、《关于印发中小企业划型标准规定的通知》（工信部联企业〔2011〕300 号）、《国务院关于进一步促进中小企业发展的若干意见》等关于中小企业的相关规定，本项目执行中小企业相关政策。符合政策规定的监狱企业和残疾人福利性单位视同小型、微型企业，享受预留份额、评审中价格扣除等政府采购促进中小企业发展的政府采购政策。</w:t>
      </w:r>
    </w:p>
    <w:p w14:paraId="1521940C">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5.1.1本项目是否专门面向中小企业预留采购份额，见第一章《投标邀请》。</w:t>
      </w:r>
    </w:p>
    <w:p w14:paraId="4439512C">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5.1.2采购标的对应的中小企业划分标准所属行业，见第二章《投标人须知》。</w:t>
      </w:r>
    </w:p>
    <w:p w14:paraId="65EBE364">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cs="宋体"/>
          <w:b/>
          <w:color w:val="auto"/>
          <w:sz w:val="24"/>
          <w:highlight w:val="none"/>
        </w:rPr>
      </w:pPr>
      <w:r>
        <w:rPr>
          <w:rFonts w:hint="eastAsia" w:ascii="宋体" w:hAnsi="宋体" w:cs="宋体"/>
          <w:color w:val="auto"/>
          <w:sz w:val="24"/>
          <w:highlight w:val="none"/>
        </w:rPr>
        <w:t>5.1.3小微企业价格评审优惠的政策调整，见第四章《评标程序、评标方法和评标标准》。</w:t>
      </w:r>
    </w:p>
    <w:p w14:paraId="257F6E70">
      <w:pPr>
        <w:rPr>
          <w:rFonts w:hint="eastAsia" w:ascii="宋体" w:hAnsi="宋体" w:cs="宋体"/>
          <w:color w:val="auto"/>
          <w:sz w:val="24"/>
          <w:highlight w:val="none"/>
        </w:rPr>
      </w:pPr>
      <w:r>
        <w:rPr>
          <w:rFonts w:hint="eastAsia" w:ascii="宋体" w:hAnsi="宋体" w:cs="宋体"/>
          <w:color w:val="auto"/>
          <w:sz w:val="24"/>
          <w:highlight w:val="none"/>
        </w:rPr>
        <w:br w:type="page"/>
      </w:r>
    </w:p>
    <w:p w14:paraId="24BC82E0">
      <w:pPr>
        <w:spacing w:line="360" w:lineRule="auto"/>
        <w:jc w:val="center"/>
        <w:outlineLvl w:val="0"/>
        <w:rPr>
          <w:rFonts w:hint="eastAsia" w:ascii="宋体" w:hAnsi="宋体" w:cs="宋体"/>
          <w:b/>
          <w:color w:val="auto"/>
          <w:sz w:val="36"/>
          <w:szCs w:val="36"/>
          <w:highlight w:val="none"/>
        </w:rPr>
      </w:pPr>
      <w:bookmarkStart w:id="915" w:name="_Toc25203"/>
      <w:bookmarkStart w:id="916" w:name="_Toc148368074"/>
      <w:bookmarkStart w:id="917" w:name="_Toc4466"/>
      <w:r>
        <w:rPr>
          <w:rFonts w:hint="eastAsia" w:ascii="宋体" w:hAnsi="宋体" w:cs="宋体"/>
          <w:b/>
          <w:color w:val="auto"/>
          <w:sz w:val="36"/>
          <w:szCs w:val="36"/>
          <w:highlight w:val="none"/>
        </w:rPr>
        <w:t xml:space="preserve">第六章   </w:t>
      </w:r>
      <w:bookmarkStart w:id="918" w:name="_Hlk112839160"/>
      <w:r>
        <w:rPr>
          <w:rFonts w:hint="eastAsia" w:ascii="宋体" w:hAnsi="宋体" w:cs="宋体"/>
          <w:b/>
          <w:color w:val="auto"/>
          <w:sz w:val="36"/>
          <w:szCs w:val="36"/>
          <w:highlight w:val="none"/>
        </w:rPr>
        <w:t>拟签订的合同文本</w:t>
      </w:r>
      <w:bookmarkEnd w:id="915"/>
      <w:bookmarkEnd w:id="916"/>
      <w:bookmarkEnd w:id="917"/>
      <w:bookmarkEnd w:id="918"/>
    </w:p>
    <w:p w14:paraId="6EF58A16">
      <w:pPr>
        <w:rPr>
          <w:rFonts w:hint="eastAsia" w:ascii="宋体" w:hAnsi="宋体" w:cs="宋体"/>
          <w:color w:val="auto"/>
          <w:szCs w:val="22"/>
          <w:highlight w:val="none"/>
        </w:rPr>
      </w:pPr>
      <w:bookmarkStart w:id="919" w:name="_Toc399769488"/>
      <w:bookmarkStart w:id="920" w:name="_Toc43105274"/>
      <w:bookmarkStart w:id="921" w:name="_Toc495677452"/>
      <w:bookmarkStart w:id="922" w:name="_Hlk99714273"/>
    </w:p>
    <w:bookmarkEnd w:id="919"/>
    <w:bookmarkEnd w:id="920"/>
    <w:bookmarkEnd w:id="921"/>
    <w:bookmarkEnd w:id="922"/>
    <w:p w14:paraId="5CBF6F78">
      <w:pPr>
        <w:spacing w:before="156" w:beforeLines="50" w:after="156" w:afterLines="50" w:line="360" w:lineRule="auto"/>
        <w:ind w:firstLine="3900" w:firstLineChars="1300"/>
        <w:jc w:val="right"/>
        <w:rPr>
          <w:rFonts w:hint="eastAsia" w:ascii="宋体" w:hAnsi="宋体" w:cs="宋体"/>
          <w:color w:val="auto"/>
          <w:sz w:val="30"/>
          <w:szCs w:val="30"/>
          <w:highlight w:val="none"/>
        </w:rPr>
      </w:pPr>
      <w:bookmarkStart w:id="923" w:name="_Toc148368075"/>
      <w:r>
        <w:rPr>
          <w:rFonts w:hint="eastAsia" w:ascii="宋体" w:hAnsi="宋体" w:cs="宋体"/>
          <w:color w:val="auto"/>
          <w:sz w:val="30"/>
          <w:szCs w:val="30"/>
          <w:highlight w:val="none"/>
        </w:rPr>
        <w:t>合同编号：</w:t>
      </w:r>
    </w:p>
    <w:p w14:paraId="372423A3">
      <w:pPr>
        <w:spacing w:before="156" w:beforeLines="50" w:after="156" w:afterLines="50" w:line="360" w:lineRule="auto"/>
        <w:jc w:val="center"/>
        <w:rPr>
          <w:rFonts w:hint="eastAsia" w:ascii="宋体" w:hAnsi="宋体" w:cs="宋体"/>
          <w:color w:val="auto"/>
          <w:sz w:val="36"/>
          <w:szCs w:val="36"/>
          <w:highlight w:val="none"/>
        </w:rPr>
      </w:pPr>
    </w:p>
    <w:p w14:paraId="00780447">
      <w:pPr>
        <w:spacing w:before="156" w:beforeLines="50" w:after="156" w:afterLines="50" w:line="360" w:lineRule="auto"/>
        <w:jc w:val="center"/>
        <w:rPr>
          <w:rFonts w:hint="eastAsia" w:ascii="宋体" w:hAnsi="宋体" w:cs="宋体"/>
          <w:color w:val="auto"/>
          <w:sz w:val="36"/>
          <w:szCs w:val="36"/>
          <w:highlight w:val="none"/>
        </w:rPr>
      </w:pPr>
    </w:p>
    <w:p w14:paraId="1748C607">
      <w:pPr>
        <w:spacing w:before="156" w:beforeLines="50" w:after="156" w:afterLines="50" w:line="360" w:lineRule="auto"/>
        <w:jc w:val="center"/>
        <w:rPr>
          <w:rFonts w:hint="eastAsia" w:ascii="宋体" w:hAnsi="宋体" w:cs="宋体"/>
          <w:color w:val="auto"/>
          <w:sz w:val="36"/>
          <w:szCs w:val="36"/>
          <w:highlight w:val="none"/>
        </w:rPr>
      </w:pPr>
    </w:p>
    <w:p w14:paraId="5DE1B0CA">
      <w:pPr>
        <w:spacing w:before="156" w:beforeLines="50" w:after="156" w:afterLines="50" w:line="360" w:lineRule="auto"/>
        <w:jc w:val="center"/>
        <w:rPr>
          <w:rFonts w:hint="eastAsia" w:ascii="宋体" w:hAnsi="宋体" w:cs="宋体"/>
          <w:b/>
          <w:bCs/>
          <w:color w:val="auto"/>
          <w:sz w:val="52"/>
          <w:szCs w:val="52"/>
          <w:highlight w:val="none"/>
        </w:rPr>
      </w:pPr>
      <w:bookmarkStart w:id="924" w:name="_Toc24601"/>
      <w:r>
        <w:rPr>
          <w:rFonts w:hint="eastAsia" w:ascii="宋体" w:hAnsi="宋体" w:cs="宋体"/>
          <w:b/>
          <w:bCs/>
          <w:color w:val="auto"/>
          <w:sz w:val="52"/>
          <w:szCs w:val="52"/>
          <w:highlight w:val="none"/>
        </w:rPr>
        <w:t>建设工程项目管理咨询委托合同</w:t>
      </w:r>
      <w:bookmarkEnd w:id="924"/>
    </w:p>
    <w:p w14:paraId="36482E35">
      <w:pPr>
        <w:spacing w:after="109" w:line="360" w:lineRule="auto"/>
        <w:jc w:val="center"/>
        <w:rPr>
          <w:rFonts w:hint="eastAsia" w:ascii="宋体" w:hAnsi="宋体" w:cs="宋体"/>
          <w:b/>
          <w:bCs/>
          <w:color w:val="auto"/>
          <w:sz w:val="32"/>
          <w:szCs w:val="32"/>
          <w:highlight w:val="none"/>
        </w:rPr>
      </w:pPr>
    </w:p>
    <w:p w14:paraId="0A2169F2">
      <w:pPr>
        <w:spacing w:after="109" w:line="360" w:lineRule="auto"/>
        <w:jc w:val="center"/>
        <w:rPr>
          <w:rFonts w:hint="eastAsia" w:ascii="宋体" w:hAnsi="宋体" w:cs="宋体"/>
          <w:b/>
          <w:bCs/>
          <w:color w:val="auto"/>
          <w:sz w:val="32"/>
          <w:szCs w:val="32"/>
          <w:highlight w:val="none"/>
        </w:rPr>
      </w:pPr>
    </w:p>
    <w:p w14:paraId="3EEA0F5A">
      <w:pPr>
        <w:spacing w:after="109" w:line="360" w:lineRule="auto"/>
        <w:jc w:val="center"/>
        <w:rPr>
          <w:rFonts w:hint="eastAsia" w:ascii="宋体" w:hAnsi="宋体" w:cs="宋体"/>
          <w:b/>
          <w:bCs/>
          <w:color w:val="auto"/>
          <w:sz w:val="32"/>
          <w:szCs w:val="32"/>
          <w:highlight w:val="none"/>
        </w:rPr>
      </w:pPr>
    </w:p>
    <w:p w14:paraId="345BD081">
      <w:pPr>
        <w:spacing w:after="109" w:line="360" w:lineRule="auto"/>
        <w:jc w:val="center"/>
        <w:rPr>
          <w:rFonts w:hint="eastAsia" w:ascii="宋体" w:hAnsi="宋体" w:cs="宋体"/>
          <w:b/>
          <w:bCs/>
          <w:color w:val="auto"/>
          <w:sz w:val="32"/>
          <w:szCs w:val="32"/>
          <w:highlight w:val="none"/>
        </w:rPr>
      </w:pPr>
    </w:p>
    <w:p w14:paraId="4F7B6645">
      <w:pPr>
        <w:spacing w:line="360" w:lineRule="auto"/>
        <w:rPr>
          <w:rFonts w:hint="eastAsia" w:ascii="宋体" w:hAnsi="宋体" w:eastAsia="宋体" w:cs="宋体"/>
          <w:b/>
          <w:bCs/>
          <w:color w:val="auto"/>
          <w:sz w:val="30"/>
          <w:szCs w:val="30"/>
          <w:highlight w:val="none"/>
          <w:u w:val="single"/>
          <w:lang w:eastAsia="zh-CN"/>
        </w:rPr>
      </w:pPr>
      <w:r>
        <w:rPr>
          <w:rFonts w:hint="eastAsia" w:ascii="宋体" w:hAnsi="宋体" w:cs="宋体"/>
          <w:b/>
          <w:bCs/>
          <w:color w:val="auto"/>
          <w:sz w:val="30"/>
          <w:szCs w:val="30"/>
          <w:highlight w:val="none"/>
        </w:rPr>
        <w:t>项目名称：</w:t>
      </w:r>
      <w:r>
        <w:rPr>
          <w:rFonts w:hint="eastAsia" w:ascii="宋体" w:hAnsi="宋体" w:cs="宋体"/>
          <w:b/>
          <w:bCs/>
          <w:color w:val="auto"/>
          <w:sz w:val="30"/>
          <w:szCs w:val="30"/>
          <w:highlight w:val="none"/>
          <w:u w:val="single"/>
          <w:lang w:eastAsia="zh-CN"/>
        </w:rPr>
        <w:t>房山区域应急救援中心建设工程项目建设管理服务</w:t>
      </w:r>
    </w:p>
    <w:p w14:paraId="4C0F5622">
      <w:pPr>
        <w:spacing w:before="156" w:beforeLines="50" w:after="156" w:afterLines="50" w:line="360" w:lineRule="auto"/>
        <w:ind w:left="2526" w:leftChars="1" w:hanging="2524" w:hangingChars="838"/>
        <w:rPr>
          <w:rFonts w:hint="eastAsia" w:ascii="宋体" w:hAnsi="宋体" w:cs="宋体"/>
          <w:b/>
          <w:bCs/>
          <w:color w:val="auto"/>
          <w:sz w:val="30"/>
          <w:szCs w:val="30"/>
          <w:highlight w:val="none"/>
          <w:u w:val="single"/>
        </w:rPr>
      </w:pPr>
      <w:bookmarkStart w:id="925" w:name="_Toc14868"/>
      <w:r>
        <w:rPr>
          <w:rFonts w:hint="eastAsia" w:ascii="宋体" w:hAnsi="宋体" w:cs="宋体"/>
          <w:b/>
          <w:bCs/>
          <w:color w:val="auto"/>
          <w:sz w:val="30"/>
          <w:szCs w:val="30"/>
          <w:highlight w:val="none"/>
        </w:rPr>
        <w:t>工程地点：</w:t>
      </w:r>
      <w:r>
        <w:rPr>
          <w:rFonts w:hint="eastAsia" w:ascii="宋体" w:hAnsi="宋体" w:cs="宋体"/>
          <w:b/>
          <w:bCs/>
          <w:color w:val="auto"/>
          <w:sz w:val="30"/>
          <w:szCs w:val="30"/>
          <w:highlight w:val="none"/>
          <w:u w:val="single"/>
        </w:rPr>
        <w:t>北京市房山区</w:t>
      </w:r>
      <w:bookmarkEnd w:id="925"/>
      <w:r>
        <w:rPr>
          <w:rFonts w:hint="eastAsia" w:ascii="宋体" w:hAnsi="宋体" w:cs="宋体"/>
          <w:b/>
          <w:bCs/>
          <w:color w:val="auto"/>
          <w:sz w:val="30"/>
          <w:szCs w:val="30"/>
          <w:highlight w:val="none"/>
          <w:u w:val="single"/>
        </w:rPr>
        <w:t xml:space="preserve">良乡组团FS00-0129街区 </w:t>
      </w:r>
    </w:p>
    <w:p w14:paraId="036833DE">
      <w:pPr>
        <w:spacing w:before="156" w:beforeLines="50" w:after="156" w:afterLines="50" w:line="360" w:lineRule="auto"/>
        <w:ind w:left="2526" w:leftChars="1" w:hanging="2524" w:hangingChars="838"/>
        <w:rPr>
          <w:rFonts w:hint="eastAsia" w:ascii="宋体" w:hAnsi="宋体" w:cs="宋体"/>
          <w:bCs/>
          <w:color w:val="auto"/>
          <w:sz w:val="30"/>
          <w:szCs w:val="30"/>
          <w:highlight w:val="none"/>
        </w:rPr>
      </w:pPr>
      <w:bookmarkStart w:id="926" w:name="_Toc8175"/>
      <w:r>
        <w:rPr>
          <w:rFonts w:hint="eastAsia" w:ascii="宋体" w:hAnsi="宋体" w:cs="宋体"/>
          <w:b/>
          <w:bCs/>
          <w:color w:val="auto"/>
          <w:sz w:val="30"/>
          <w:szCs w:val="30"/>
          <w:highlight w:val="none"/>
        </w:rPr>
        <w:t>委 托 人：</w:t>
      </w:r>
      <w:r>
        <w:rPr>
          <w:rFonts w:hint="eastAsia" w:ascii="宋体" w:hAnsi="宋体" w:cs="宋体"/>
          <w:b/>
          <w:bCs/>
          <w:color w:val="auto"/>
          <w:sz w:val="30"/>
          <w:szCs w:val="30"/>
          <w:highlight w:val="none"/>
          <w:u w:val="single"/>
        </w:rPr>
        <w:t>北京市</w:t>
      </w:r>
      <w:bookmarkEnd w:id="926"/>
      <w:r>
        <w:rPr>
          <w:rFonts w:hint="eastAsia" w:ascii="宋体" w:hAnsi="宋体" w:cs="宋体"/>
          <w:b/>
          <w:bCs/>
          <w:color w:val="auto"/>
          <w:sz w:val="30"/>
          <w:szCs w:val="30"/>
          <w:highlight w:val="none"/>
          <w:u w:val="single"/>
        </w:rPr>
        <w:t>应急管理局</w:t>
      </w:r>
    </w:p>
    <w:p w14:paraId="4F9A7323">
      <w:pPr>
        <w:spacing w:before="156" w:beforeLines="50" w:after="156" w:afterLines="50" w:line="360" w:lineRule="auto"/>
        <w:ind w:left="2526" w:leftChars="1" w:hanging="2524" w:hangingChars="838"/>
        <w:rPr>
          <w:rFonts w:hint="eastAsia" w:ascii="宋体" w:hAnsi="宋体" w:cs="宋体"/>
          <w:b/>
          <w:bCs/>
          <w:color w:val="auto"/>
          <w:sz w:val="30"/>
          <w:szCs w:val="30"/>
          <w:highlight w:val="none"/>
          <w:u w:val="single"/>
        </w:rPr>
      </w:pPr>
      <w:bookmarkStart w:id="927" w:name="_Toc1070"/>
      <w:r>
        <w:rPr>
          <w:rFonts w:hint="eastAsia" w:ascii="宋体" w:hAnsi="宋体" w:cs="宋体"/>
          <w:b/>
          <w:bCs/>
          <w:color w:val="auto"/>
          <w:sz w:val="30"/>
          <w:szCs w:val="30"/>
          <w:highlight w:val="none"/>
        </w:rPr>
        <w:t>受 托 人：</w:t>
      </w:r>
      <w:bookmarkEnd w:id="927"/>
      <w:r>
        <w:rPr>
          <w:rFonts w:hint="eastAsia" w:ascii="宋体" w:hAnsi="宋体" w:cs="宋体"/>
          <w:b/>
          <w:bCs/>
          <w:color w:val="auto"/>
          <w:sz w:val="30"/>
          <w:szCs w:val="30"/>
          <w:highlight w:val="none"/>
          <w:u w:val="single"/>
        </w:rPr>
        <w:t xml:space="preserve">               </w:t>
      </w:r>
    </w:p>
    <w:p w14:paraId="733FD4FC">
      <w:pPr>
        <w:spacing w:before="156" w:beforeLines="50" w:after="156" w:afterLines="50" w:line="360" w:lineRule="auto"/>
        <w:ind w:left="2526" w:leftChars="1" w:hanging="2524" w:hangingChars="838"/>
        <w:rPr>
          <w:rFonts w:hint="eastAsia" w:ascii="宋体" w:hAnsi="宋体" w:cs="宋体"/>
          <w:b/>
          <w:bCs/>
          <w:color w:val="auto"/>
          <w:sz w:val="30"/>
          <w:szCs w:val="30"/>
          <w:highlight w:val="none"/>
          <w:u w:val="single"/>
        </w:rPr>
      </w:pPr>
      <w:r>
        <w:rPr>
          <w:rFonts w:hint="eastAsia" w:ascii="宋体" w:hAnsi="宋体" w:cs="宋体"/>
          <w:b/>
          <w:bCs/>
          <w:color w:val="auto"/>
          <w:sz w:val="30"/>
          <w:szCs w:val="30"/>
          <w:highlight w:val="none"/>
        </w:rPr>
        <w:t>签订日期：</w:t>
      </w:r>
      <w:r>
        <w:rPr>
          <w:rFonts w:hint="eastAsia" w:ascii="宋体" w:hAnsi="宋体" w:cs="宋体"/>
          <w:b/>
          <w:color w:val="auto"/>
          <w:sz w:val="30"/>
          <w:szCs w:val="30"/>
          <w:highlight w:val="none"/>
          <w:u w:val="single"/>
        </w:rPr>
        <w:t>2025年  月  日</w:t>
      </w:r>
    </w:p>
    <w:p w14:paraId="72DACE7D">
      <w:pPr>
        <w:spacing w:before="156" w:beforeLines="50" w:after="156" w:afterLines="50" w:line="360" w:lineRule="auto"/>
        <w:ind w:left="2526" w:leftChars="1" w:hanging="2524" w:hangingChars="838"/>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 xml:space="preserve">签订地点：  </w:t>
      </w:r>
      <w:r>
        <w:rPr>
          <w:rFonts w:hint="eastAsia" w:ascii="宋体" w:hAnsi="宋体" w:cs="宋体"/>
          <w:b/>
          <w:bCs/>
          <w:color w:val="auto"/>
          <w:sz w:val="30"/>
          <w:szCs w:val="30"/>
          <w:highlight w:val="none"/>
          <w:u w:val="single"/>
        </w:rPr>
        <w:t xml:space="preserve">北京市  </w:t>
      </w:r>
    </w:p>
    <w:p w14:paraId="4F3096DB">
      <w:pPr>
        <w:spacing w:after="109" w:line="360" w:lineRule="auto"/>
        <w:ind w:left="2526" w:leftChars="1" w:hanging="2524" w:hangingChars="838"/>
        <w:jc w:val="center"/>
        <w:rPr>
          <w:rFonts w:hint="eastAsia" w:ascii="宋体" w:hAnsi="宋体" w:cs="宋体"/>
          <w:b/>
          <w:bCs/>
          <w:color w:val="auto"/>
          <w:sz w:val="30"/>
          <w:szCs w:val="30"/>
          <w:highlight w:val="none"/>
        </w:rPr>
        <w:sectPr>
          <w:footerReference r:id="rId18" w:type="first"/>
          <w:footerReference r:id="rId17" w:type="default"/>
          <w:pgSz w:w="11905" w:h="16838"/>
          <w:pgMar w:top="1417" w:right="1701" w:bottom="1417" w:left="1701" w:header="1020" w:footer="850" w:gutter="0"/>
          <w:cols w:space="0" w:num="1"/>
          <w:rtlGutter w:val="0"/>
          <w:docGrid w:linePitch="312" w:charSpace="0"/>
        </w:sectPr>
      </w:pPr>
    </w:p>
    <w:p w14:paraId="16183CBB">
      <w:pPr>
        <w:spacing w:after="0" w:line="360" w:lineRule="auto"/>
        <w:jc w:val="center"/>
        <w:rPr>
          <w:rFonts w:hint="eastAsia" w:ascii="宋体" w:hAnsi="宋体" w:cs="宋体"/>
          <w:b/>
          <w:bCs/>
          <w:color w:val="auto"/>
          <w:sz w:val="32"/>
          <w:szCs w:val="32"/>
          <w:highlight w:val="none"/>
        </w:rPr>
      </w:pPr>
      <w:bookmarkStart w:id="928" w:name="_Toc372878294"/>
      <w:bookmarkStart w:id="929" w:name="_Toc372877732"/>
      <w:r>
        <w:rPr>
          <w:rFonts w:hint="eastAsia" w:ascii="宋体" w:hAnsi="宋体" w:cs="宋体"/>
          <w:b/>
          <w:bCs/>
          <w:color w:val="auto"/>
          <w:sz w:val="32"/>
          <w:szCs w:val="32"/>
          <w:highlight w:val="none"/>
        </w:rPr>
        <w:t>目录</w:t>
      </w:r>
    </w:p>
    <w:sdt>
      <w:sdtPr>
        <w:rPr>
          <w:rFonts w:ascii="宋体" w:hAnsi="宋体"/>
          <w:color w:val="auto"/>
          <w:highlight w:val="none"/>
        </w:rPr>
        <w:id w:val="147466619"/>
        <w15:color w:val="DBDBDB"/>
        <w:docPartObj>
          <w:docPartGallery w:val="Table of Contents"/>
          <w:docPartUnique/>
        </w:docPartObj>
      </w:sdtPr>
      <w:sdtEndPr>
        <w:rPr>
          <w:rFonts w:hint="eastAsia" w:ascii="宋体" w:hAnsi="宋体" w:cs="宋体"/>
          <w:bCs/>
          <w:color w:val="auto"/>
          <w:sz w:val="24"/>
          <w:highlight w:val="none"/>
        </w:rPr>
      </w:sdtEndPr>
      <w:sdtContent>
        <w:p w14:paraId="3ADE9E5C">
          <w:pPr>
            <w:spacing w:after="0" w:line="240" w:lineRule="auto"/>
            <w:jc w:val="center"/>
            <w:rPr>
              <w:color w:val="auto"/>
              <w:highlight w:val="none"/>
            </w:rPr>
          </w:pPr>
        </w:p>
        <w:p w14:paraId="096E13C1">
          <w:pPr>
            <w:pStyle w:val="32"/>
            <w:tabs>
              <w:tab w:val="right" w:leader="dot" w:pos="8306"/>
              <w:tab w:val="clear" w:pos="1050"/>
              <w:tab w:val="clear" w:pos="8937"/>
            </w:tabs>
            <w:spacing w:after="0" w:line="360" w:lineRule="auto"/>
            <w:rPr>
              <w:rFonts w:hint="eastAsia" w:cs="宋体"/>
              <w:color w:val="auto"/>
              <w:highlight w:val="none"/>
            </w:rPr>
          </w:pPr>
          <w:r>
            <w:rPr>
              <w:rFonts w:hint="eastAsia" w:cs="宋体"/>
              <w:bCs/>
              <w:color w:val="auto"/>
              <w:highlight w:val="none"/>
            </w:rPr>
            <w:fldChar w:fldCharType="begin"/>
          </w:r>
          <w:r>
            <w:rPr>
              <w:rFonts w:hint="eastAsia" w:cs="宋体"/>
              <w:bCs/>
              <w:color w:val="auto"/>
              <w:highlight w:val="none"/>
            </w:rPr>
            <w:instrText xml:space="preserve">TOC \o "1-1" \h \u </w:instrText>
          </w:r>
          <w:r>
            <w:rPr>
              <w:rFonts w:hint="eastAsia" w:cs="宋体"/>
              <w:bCs/>
              <w:color w:val="auto"/>
              <w:highlight w:val="none"/>
            </w:rPr>
            <w:fldChar w:fldCharType="separate"/>
          </w:r>
          <w:r>
            <w:rPr>
              <w:color w:val="auto"/>
              <w:highlight w:val="none"/>
            </w:rPr>
            <w:fldChar w:fldCharType="begin"/>
          </w:r>
          <w:r>
            <w:rPr>
              <w:color w:val="auto"/>
              <w:highlight w:val="none"/>
            </w:rPr>
            <w:instrText xml:space="preserve"> HYPERLINK \l "_Toc26925" </w:instrText>
          </w:r>
          <w:r>
            <w:rPr>
              <w:color w:val="auto"/>
              <w:highlight w:val="none"/>
            </w:rPr>
            <w:fldChar w:fldCharType="separate"/>
          </w:r>
          <w:r>
            <w:rPr>
              <w:rFonts w:hint="eastAsia" w:cs="宋体"/>
              <w:bCs/>
              <w:color w:val="auto"/>
              <w:highlight w:val="none"/>
            </w:rPr>
            <w:t>协议书</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_Toc26925 \h </w:instrText>
          </w:r>
          <w:r>
            <w:rPr>
              <w:rFonts w:hint="eastAsia" w:cs="宋体"/>
              <w:color w:val="auto"/>
              <w:highlight w:val="none"/>
            </w:rPr>
            <w:fldChar w:fldCharType="separate"/>
          </w:r>
          <w:r>
            <w:rPr>
              <w:rFonts w:hint="eastAsia" w:cs="宋体"/>
              <w:color w:val="auto"/>
              <w:highlight w:val="none"/>
            </w:rPr>
            <w:t>46</w:t>
          </w:r>
          <w:r>
            <w:rPr>
              <w:rFonts w:hint="eastAsia" w:cs="宋体"/>
              <w:color w:val="auto"/>
              <w:highlight w:val="none"/>
            </w:rPr>
            <w:fldChar w:fldCharType="end"/>
          </w:r>
          <w:r>
            <w:rPr>
              <w:rFonts w:hint="eastAsia" w:cs="宋体"/>
              <w:color w:val="auto"/>
              <w:highlight w:val="none"/>
            </w:rPr>
            <w:fldChar w:fldCharType="end"/>
          </w:r>
        </w:p>
        <w:p w14:paraId="5EF88EE8">
          <w:pPr>
            <w:pStyle w:val="32"/>
            <w:tabs>
              <w:tab w:val="right" w:leader="dot" w:pos="8306"/>
              <w:tab w:val="clear" w:pos="1050"/>
              <w:tab w:val="clear" w:pos="8937"/>
            </w:tabs>
            <w:spacing w:after="0" w:line="360" w:lineRule="auto"/>
            <w:rPr>
              <w:rFonts w:hint="eastAsia" w:cs="宋体"/>
              <w:color w:val="auto"/>
              <w:highlight w:val="none"/>
            </w:rPr>
          </w:pPr>
          <w:r>
            <w:rPr>
              <w:color w:val="auto"/>
              <w:highlight w:val="none"/>
            </w:rPr>
            <w:fldChar w:fldCharType="begin"/>
          </w:r>
          <w:r>
            <w:rPr>
              <w:color w:val="auto"/>
              <w:highlight w:val="none"/>
            </w:rPr>
            <w:instrText xml:space="preserve"> HYPERLINK \l "_Toc25988" </w:instrText>
          </w:r>
          <w:r>
            <w:rPr>
              <w:color w:val="auto"/>
              <w:highlight w:val="none"/>
            </w:rPr>
            <w:fldChar w:fldCharType="separate"/>
          </w:r>
          <w:r>
            <w:rPr>
              <w:rFonts w:hint="eastAsia" w:cs="宋体"/>
              <w:bCs/>
              <w:color w:val="auto"/>
              <w:highlight w:val="none"/>
            </w:rPr>
            <w:t>一、项目概况</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_Toc25988 \h </w:instrText>
          </w:r>
          <w:r>
            <w:rPr>
              <w:rFonts w:hint="eastAsia" w:cs="宋体"/>
              <w:color w:val="auto"/>
              <w:highlight w:val="none"/>
            </w:rPr>
            <w:fldChar w:fldCharType="separate"/>
          </w:r>
          <w:r>
            <w:rPr>
              <w:rFonts w:hint="eastAsia" w:cs="宋体"/>
              <w:color w:val="auto"/>
              <w:highlight w:val="none"/>
            </w:rPr>
            <w:t>46</w:t>
          </w:r>
          <w:r>
            <w:rPr>
              <w:rFonts w:hint="eastAsia" w:cs="宋体"/>
              <w:color w:val="auto"/>
              <w:highlight w:val="none"/>
            </w:rPr>
            <w:fldChar w:fldCharType="end"/>
          </w:r>
          <w:r>
            <w:rPr>
              <w:rFonts w:hint="eastAsia" w:cs="宋体"/>
              <w:color w:val="auto"/>
              <w:highlight w:val="none"/>
            </w:rPr>
            <w:fldChar w:fldCharType="end"/>
          </w:r>
        </w:p>
        <w:p w14:paraId="008F322D">
          <w:pPr>
            <w:pStyle w:val="32"/>
            <w:tabs>
              <w:tab w:val="right" w:leader="dot" w:pos="8306"/>
              <w:tab w:val="clear" w:pos="1050"/>
              <w:tab w:val="clear" w:pos="8937"/>
            </w:tabs>
            <w:spacing w:after="0" w:line="360" w:lineRule="auto"/>
            <w:rPr>
              <w:rFonts w:hint="eastAsia" w:cs="宋体"/>
              <w:color w:val="auto"/>
              <w:highlight w:val="none"/>
            </w:rPr>
          </w:pPr>
          <w:r>
            <w:rPr>
              <w:color w:val="auto"/>
              <w:highlight w:val="none"/>
            </w:rPr>
            <w:fldChar w:fldCharType="begin"/>
          </w:r>
          <w:r>
            <w:rPr>
              <w:color w:val="auto"/>
              <w:highlight w:val="none"/>
            </w:rPr>
            <w:instrText xml:space="preserve"> HYPERLINK \l "_Toc13726" </w:instrText>
          </w:r>
          <w:r>
            <w:rPr>
              <w:color w:val="auto"/>
              <w:highlight w:val="none"/>
            </w:rPr>
            <w:fldChar w:fldCharType="separate"/>
          </w:r>
          <w:r>
            <w:rPr>
              <w:rFonts w:hint="eastAsia" w:cs="宋体"/>
              <w:bCs/>
              <w:color w:val="auto"/>
              <w:highlight w:val="none"/>
            </w:rPr>
            <w:t>二、管理范围和内容</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_Toc13726 \h </w:instrText>
          </w:r>
          <w:r>
            <w:rPr>
              <w:rFonts w:hint="eastAsia" w:cs="宋体"/>
              <w:color w:val="auto"/>
              <w:highlight w:val="none"/>
            </w:rPr>
            <w:fldChar w:fldCharType="separate"/>
          </w:r>
          <w:r>
            <w:rPr>
              <w:rFonts w:hint="eastAsia" w:cs="宋体"/>
              <w:color w:val="auto"/>
              <w:highlight w:val="none"/>
            </w:rPr>
            <w:t>46</w:t>
          </w:r>
          <w:r>
            <w:rPr>
              <w:rFonts w:hint="eastAsia" w:cs="宋体"/>
              <w:color w:val="auto"/>
              <w:highlight w:val="none"/>
            </w:rPr>
            <w:fldChar w:fldCharType="end"/>
          </w:r>
          <w:r>
            <w:rPr>
              <w:rFonts w:hint="eastAsia" w:cs="宋体"/>
              <w:color w:val="auto"/>
              <w:highlight w:val="none"/>
            </w:rPr>
            <w:fldChar w:fldCharType="end"/>
          </w:r>
        </w:p>
        <w:p w14:paraId="10849E4D">
          <w:pPr>
            <w:pStyle w:val="32"/>
            <w:tabs>
              <w:tab w:val="right" w:leader="dot" w:pos="8306"/>
              <w:tab w:val="clear" w:pos="1050"/>
              <w:tab w:val="clear" w:pos="8937"/>
            </w:tabs>
            <w:spacing w:after="0" w:line="360" w:lineRule="auto"/>
            <w:rPr>
              <w:rFonts w:hint="eastAsia" w:cs="宋体"/>
              <w:color w:val="auto"/>
              <w:highlight w:val="none"/>
            </w:rPr>
          </w:pPr>
          <w:r>
            <w:rPr>
              <w:color w:val="auto"/>
              <w:highlight w:val="none"/>
            </w:rPr>
            <w:fldChar w:fldCharType="begin"/>
          </w:r>
          <w:r>
            <w:rPr>
              <w:color w:val="auto"/>
              <w:highlight w:val="none"/>
            </w:rPr>
            <w:instrText xml:space="preserve"> HYPERLINK \l "_Toc14115" </w:instrText>
          </w:r>
          <w:r>
            <w:rPr>
              <w:color w:val="auto"/>
              <w:highlight w:val="none"/>
            </w:rPr>
            <w:fldChar w:fldCharType="separate"/>
          </w:r>
          <w:r>
            <w:rPr>
              <w:rFonts w:hint="eastAsia" w:cs="宋体"/>
              <w:bCs/>
              <w:color w:val="auto"/>
              <w:highlight w:val="none"/>
            </w:rPr>
            <w:t>三、委托管理目标</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_Toc14115 \h </w:instrText>
          </w:r>
          <w:r>
            <w:rPr>
              <w:rFonts w:hint="eastAsia" w:cs="宋体"/>
              <w:color w:val="auto"/>
              <w:highlight w:val="none"/>
            </w:rPr>
            <w:fldChar w:fldCharType="separate"/>
          </w:r>
          <w:r>
            <w:rPr>
              <w:rFonts w:hint="eastAsia" w:cs="宋体"/>
              <w:color w:val="auto"/>
              <w:highlight w:val="none"/>
            </w:rPr>
            <w:t>46</w:t>
          </w:r>
          <w:r>
            <w:rPr>
              <w:rFonts w:hint="eastAsia" w:cs="宋体"/>
              <w:color w:val="auto"/>
              <w:highlight w:val="none"/>
            </w:rPr>
            <w:fldChar w:fldCharType="end"/>
          </w:r>
          <w:r>
            <w:rPr>
              <w:rFonts w:hint="eastAsia" w:cs="宋体"/>
              <w:color w:val="auto"/>
              <w:highlight w:val="none"/>
            </w:rPr>
            <w:fldChar w:fldCharType="end"/>
          </w:r>
        </w:p>
        <w:p w14:paraId="4AB99B0F">
          <w:pPr>
            <w:pStyle w:val="32"/>
            <w:tabs>
              <w:tab w:val="right" w:leader="dot" w:pos="8306"/>
              <w:tab w:val="clear" w:pos="1050"/>
              <w:tab w:val="clear" w:pos="8937"/>
            </w:tabs>
            <w:spacing w:after="0" w:line="360" w:lineRule="auto"/>
            <w:rPr>
              <w:rFonts w:hint="eastAsia" w:cs="宋体"/>
              <w:color w:val="auto"/>
              <w:highlight w:val="none"/>
            </w:rPr>
          </w:pPr>
          <w:r>
            <w:rPr>
              <w:color w:val="auto"/>
              <w:highlight w:val="none"/>
            </w:rPr>
            <w:fldChar w:fldCharType="begin"/>
          </w:r>
          <w:r>
            <w:rPr>
              <w:color w:val="auto"/>
              <w:highlight w:val="none"/>
            </w:rPr>
            <w:instrText xml:space="preserve"> HYPERLINK \l "_Toc22918" </w:instrText>
          </w:r>
          <w:r>
            <w:rPr>
              <w:color w:val="auto"/>
              <w:highlight w:val="none"/>
            </w:rPr>
            <w:fldChar w:fldCharType="separate"/>
          </w:r>
          <w:r>
            <w:rPr>
              <w:rFonts w:hint="eastAsia" w:cs="宋体"/>
              <w:bCs/>
              <w:color w:val="auto"/>
              <w:highlight w:val="none"/>
            </w:rPr>
            <w:t>四、委托管理期限</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_Toc22918 \h </w:instrText>
          </w:r>
          <w:r>
            <w:rPr>
              <w:rFonts w:hint="eastAsia" w:cs="宋体"/>
              <w:color w:val="auto"/>
              <w:highlight w:val="none"/>
            </w:rPr>
            <w:fldChar w:fldCharType="separate"/>
          </w:r>
          <w:r>
            <w:rPr>
              <w:rFonts w:hint="eastAsia" w:cs="宋体"/>
              <w:color w:val="auto"/>
              <w:highlight w:val="none"/>
            </w:rPr>
            <w:t>50</w:t>
          </w:r>
          <w:r>
            <w:rPr>
              <w:rFonts w:hint="eastAsia" w:cs="宋体"/>
              <w:color w:val="auto"/>
              <w:highlight w:val="none"/>
            </w:rPr>
            <w:fldChar w:fldCharType="end"/>
          </w:r>
          <w:r>
            <w:rPr>
              <w:rFonts w:hint="eastAsia" w:cs="宋体"/>
              <w:color w:val="auto"/>
              <w:highlight w:val="none"/>
            </w:rPr>
            <w:fldChar w:fldCharType="end"/>
          </w:r>
        </w:p>
        <w:p w14:paraId="4D7E5E6F">
          <w:pPr>
            <w:pStyle w:val="32"/>
            <w:tabs>
              <w:tab w:val="right" w:leader="dot" w:pos="8306"/>
              <w:tab w:val="clear" w:pos="1050"/>
              <w:tab w:val="clear" w:pos="8937"/>
            </w:tabs>
            <w:spacing w:after="0" w:line="360" w:lineRule="auto"/>
            <w:rPr>
              <w:rFonts w:hint="eastAsia" w:cs="宋体"/>
              <w:color w:val="auto"/>
              <w:highlight w:val="none"/>
            </w:rPr>
          </w:pPr>
          <w:r>
            <w:rPr>
              <w:color w:val="auto"/>
              <w:highlight w:val="none"/>
            </w:rPr>
            <w:fldChar w:fldCharType="begin"/>
          </w:r>
          <w:r>
            <w:rPr>
              <w:color w:val="auto"/>
              <w:highlight w:val="none"/>
            </w:rPr>
            <w:instrText xml:space="preserve"> HYPERLINK \l "_Toc18485" </w:instrText>
          </w:r>
          <w:r>
            <w:rPr>
              <w:color w:val="auto"/>
              <w:highlight w:val="none"/>
            </w:rPr>
            <w:fldChar w:fldCharType="separate"/>
          </w:r>
          <w:r>
            <w:rPr>
              <w:rFonts w:hint="eastAsia" w:cs="宋体"/>
              <w:bCs/>
              <w:color w:val="auto"/>
              <w:highlight w:val="none"/>
            </w:rPr>
            <w:t>五、</w:t>
          </w:r>
          <w:r>
            <w:rPr>
              <w:rFonts w:hint="eastAsia" w:cs="宋体"/>
              <w:bCs/>
              <w:color w:val="auto"/>
              <w:highlight w:val="none"/>
              <w:lang w:eastAsia="zh-CN"/>
            </w:rPr>
            <w:t>合同金额</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_Toc18485 \h </w:instrText>
          </w:r>
          <w:r>
            <w:rPr>
              <w:rFonts w:hint="eastAsia" w:cs="宋体"/>
              <w:color w:val="auto"/>
              <w:highlight w:val="none"/>
            </w:rPr>
            <w:fldChar w:fldCharType="separate"/>
          </w:r>
          <w:r>
            <w:rPr>
              <w:rFonts w:hint="eastAsia" w:cs="宋体"/>
              <w:color w:val="auto"/>
              <w:highlight w:val="none"/>
            </w:rPr>
            <w:t>50</w:t>
          </w:r>
          <w:r>
            <w:rPr>
              <w:rFonts w:hint="eastAsia" w:cs="宋体"/>
              <w:color w:val="auto"/>
              <w:highlight w:val="none"/>
            </w:rPr>
            <w:fldChar w:fldCharType="end"/>
          </w:r>
          <w:r>
            <w:rPr>
              <w:rFonts w:hint="eastAsia" w:cs="宋体"/>
              <w:color w:val="auto"/>
              <w:highlight w:val="none"/>
            </w:rPr>
            <w:fldChar w:fldCharType="end"/>
          </w:r>
        </w:p>
        <w:p w14:paraId="03F9B187">
          <w:pPr>
            <w:pStyle w:val="32"/>
            <w:tabs>
              <w:tab w:val="right" w:leader="dot" w:pos="8306"/>
              <w:tab w:val="clear" w:pos="1050"/>
              <w:tab w:val="clear" w:pos="8937"/>
            </w:tabs>
            <w:spacing w:after="0" w:line="360" w:lineRule="auto"/>
            <w:rPr>
              <w:rFonts w:hint="eastAsia" w:cs="宋体"/>
              <w:color w:val="auto"/>
              <w:highlight w:val="none"/>
            </w:rPr>
          </w:pPr>
          <w:r>
            <w:rPr>
              <w:color w:val="auto"/>
              <w:highlight w:val="none"/>
            </w:rPr>
            <w:fldChar w:fldCharType="begin"/>
          </w:r>
          <w:r>
            <w:rPr>
              <w:color w:val="auto"/>
              <w:highlight w:val="none"/>
            </w:rPr>
            <w:instrText xml:space="preserve"> HYPERLINK \l "_Toc23186" </w:instrText>
          </w:r>
          <w:r>
            <w:rPr>
              <w:color w:val="auto"/>
              <w:highlight w:val="none"/>
            </w:rPr>
            <w:fldChar w:fldCharType="separate"/>
          </w:r>
          <w:r>
            <w:rPr>
              <w:rFonts w:hint="eastAsia" w:cs="宋体"/>
              <w:bCs/>
              <w:color w:val="auto"/>
              <w:highlight w:val="none"/>
            </w:rPr>
            <w:t>六、本合同由以下文件组成</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_Toc23186 \h </w:instrText>
          </w:r>
          <w:r>
            <w:rPr>
              <w:rFonts w:hint="eastAsia" w:cs="宋体"/>
              <w:color w:val="auto"/>
              <w:highlight w:val="none"/>
            </w:rPr>
            <w:fldChar w:fldCharType="separate"/>
          </w:r>
          <w:r>
            <w:rPr>
              <w:rFonts w:hint="eastAsia" w:cs="宋体"/>
              <w:color w:val="auto"/>
              <w:highlight w:val="none"/>
            </w:rPr>
            <w:t>50</w:t>
          </w:r>
          <w:r>
            <w:rPr>
              <w:rFonts w:hint="eastAsia" w:cs="宋体"/>
              <w:color w:val="auto"/>
              <w:highlight w:val="none"/>
            </w:rPr>
            <w:fldChar w:fldCharType="end"/>
          </w:r>
          <w:r>
            <w:rPr>
              <w:rFonts w:hint="eastAsia" w:cs="宋体"/>
              <w:color w:val="auto"/>
              <w:highlight w:val="none"/>
            </w:rPr>
            <w:fldChar w:fldCharType="end"/>
          </w:r>
        </w:p>
        <w:p w14:paraId="1D1C3C6C">
          <w:pPr>
            <w:pStyle w:val="32"/>
            <w:tabs>
              <w:tab w:val="right" w:leader="dot" w:pos="8306"/>
              <w:tab w:val="clear" w:pos="1050"/>
              <w:tab w:val="clear" w:pos="8937"/>
            </w:tabs>
            <w:spacing w:after="0" w:line="360" w:lineRule="auto"/>
            <w:rPr>
              <w:rFonts w:hint="eastAsia" w:cs="宋体"/>
              <w:color w:val="auto"/>
              <w:highlight w:val="none"/>
            </w:rPr>
          </w:pPr>
          <w:r>
            <w:rPr>
              <w:color w:val="auto"/>
              <w:highlight w:val="none"/>
            </w:rPr>
            <w:fldChar w:fldCharType="begin"/>
          </w:r>
          <w:r>
            <w:rPr>
              <w:color w:val="auto"/>
              <w:highlight w:val="none"/>
            </w:rPr>
            <w:instrText xml:space="preserve"> HYPERLINK \l "_Toc10348" </w:instrText>
          </w:r>
          <w:r>
            <w:rPr>
              <w:color w:val="auto"/>
              <w:highlight w:val="none"/>
            </w:rPr>
            <w:fldChar w:fldCharType="separate"/>
          </w:r>
          <w:r>
            <w:rPr>
              <w:rFonts w:hint="eastAsia" w:cs="宋体"/>
              <w:bCs/>
              <w:color w:val="auto"/>
              <w:highlight w:val="none"/>
            </w:rPr>
            <w:t>七、委托人承诺</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_Toc10348 \h </w:instrText>
          </w:r>
          <w:r>
            <w:rPr>
              <w:rFonts w:hint="eastAsia" w:cs="宋体"/>
              <w:color w:val="auto"/>
              <w:highlight w:val="none"/>
            </w:rPr>
            <w:fldChar w:fldCharType="separate"/>
          </w:r>
          <w:r>
            <w:rPr>
              <w:rFonts w:hint="eastAsia" w:cs="宋体"/>
              <w:color w:val="auto"/>
              <w:highlight w:val="none"/>
            </w:rPr>
            <w:t>51</w:t>
          </w:r>
          <w:r>
            <w:rPr>
              <w:rFonts w:hint="eastAsia" w:cs="宋体"/>
              <w:color w:val="auto"/>
              <w:highlight w:val="none"/>
            </w:rPr>
            <w:fldChar w:fldCharType="end"/>
          </w:r>
          <w:r>
            <w:rPr>
              <w:rFonts w:hint="eastAsia" w:cs="宋体"/>
              <w:color w:val="auto"/>
              <w:highlight w:val="none"/>
            </w:rPr>
            <w:fldChar w:fldCharType="end"/>
          </w:r>
        </w:p>
        <w:p w14:paraId="5F46AD6F">
          <w:pPr>
            <w:pStyle w:val="32"/>
            <w:tabs>
              <w:tab w:val="right" w:leader="dot" w:pos="8306"/>
              <w:tab w:val="clear" w:pos="1050"/>
              <w:tab w:val="clear" w:pos="8937"/>
            </w:tabs>
            <w:spacing w:after="0" w:line="360" w:lineRule="auto"/>
            <w:rPr>
              <w:rFonts w:hint="eastAsia" w:cs="宋体"/>
              <w:color w:val="auto"/>
              <w:highlight w:val="none"/>
            </w:rPr>
          </w:pPr>
          <w:r>
            <w:rPr>
              <w:color w:val="auto"/>
              <w:highlight w:val="none"/>
            </w:rPr>
            <w:fldChar w:fldCharType="begin"/>
          </w:r>
          <w:r>
            <w:rPr>
              <w:color w:val="auto"/>
              <w:highlight w:val="none"/>
            </w:rPr>
            <w:instrText xml:space="preserve"> HYPERLINK \l "_Toc3962" </w:instrText>
          </w:r>
          <w:r>
            <w:rPr>
              <w:color w:val="auto"/>
              <w:highlight w:val="none"/>
            </w:rPr>
            <w:fldChar w:fldCharType="separate"/>
          </w:r>
          <w:r>
            <w:rPr>
              <w:rFonts w:hint="eastAsia" w:cs="宋体"/>
              <w:bCs/>
              <w:color w:val="auto"/>
              <w:highlight w:val="none"/>
            </w:rPr>
            <w:t>八、受托人承诺</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_Toc3962 \h </w:instrText>
          </w:r>
          <w:r>
            <w:rPr>
              <w:rFonts w:hint="eastAsia" w:cs="宋体"/>
              <w:color w:val="auto"/>
              <w:highlight w:val="none"/>
            </w:rPr>
            <w:fldChar w:fldCharType="separate"/>
          </w:r>
          <w:r>
            <w:rPr>
              <w:rFonts w:hint="eastAsia" w:cs="宋体"/>
              <w:color w:val="auto"/>
              <w:highlight w:val="none"/>
            </w:rPr>
            <w:t>51</w:t>
          </w:r>
          <w:r>
            <w:rPr>
              <w:rFonts w:hint="eastAsia" w:cs="宋体"/>
              <w:color w:val="auto"/>
              <w:highlight w:val="none"/>
            </w:rPr>
            <w:fldChar w:fldCharType="end"/>
          </w:r>
          <w:r>
            <w:rPr>
              <w:rFonts w:hint="eastAsia" w:cs="宋体"/>
              <w:color w:val="auto"/>
              <w:highlight w:val="none"/>
            </w:rPr>
            <w:fldChar w:fldCharType="end"/>
          </w:r>
        </w:p>
        <w:p w14:paraId="35786FFD">
          <w:pPr>
            <w:pStyle w:val="32"/>
            <w:tabs>
              <w:tab w:val="right" w:leader="dot" w:pos="8306"/>
              <w:tab w:val="clear" w:pos="1050"/>
              <w:tab w:val="clear" w:pos="8937"/>
            </w:tabs>
            <w:spacing w:after="0" w:line="360" w:lineRule="auto"/>
            <w:rPr>
              <w:rFonts w:hint="eastAsia" w:cs="宋体"/>
              <w:color w:val="auto"/>
              <w:highlight w:val="none"/>
            </w:rPr>
          </w:pPr>
          <w:r>
            <w:rPr>
              <w:color w:val="auto"/>
              <w:highlight w:val="none"/>
            </w:rPr>
            <w:fldChar w:fldCharType="begin"/>
          </w:r>
          <w:r>
            <w:rPr>
              <w:color w:val="auto"/>
              <w:highlight w:val="none"/>
            </w:rPr>
            <w:instrText xml:space="preserve"> HYPERLINK \l "_Toc2603" </w:instrText>
          </w:r>
          <w:r>
            <w:rPr>
              <w:color w:val="auto"/>
              <w:highlight w:val="none"/>
            </w:rPr>
            <w:fldChar w:fldCharType="separate"/>
          </w:r>
          <w:r>
            <w:rPr>
              <w:rFonts w:hint="eastAsia" w:cs="宋体"/>
              <w:bCs/>
              <w:color w:val="auto"/>
              <w:highlight w:val="none"/>
            </w:rPr>
            <w:t>九、合同份数</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_Toc2603 \h </w:instrText>
          </w:r>
          <w:r>
            <w:rPr>
              <w:rFonts w:hint="eastAsia" w:cs="宋体"/>
              <w:color w:val="auto"/>
              <w:highlight w:val="none"/>
            </w:rPr>
            <w:fldChar w:fldCharType="separate"/>
          </w:r>
          <w:r>
            <w:rPr>
              <w:rFonts w:hint="eastAsia" w:cs="宋体"/>
              <w:color w:val="auto"/>
              <w:highlight w:val="none"/>
            </w:rPr>
            <w:t>51</w:t>
          </w:r>
          <w:r>
            <w:rPr>
              <w:rFonts w:hint="eastAsia" w:cs="宋体"/>
              <w:color w:val="auto"/>
              <w:highlight w:val="none"/>
            </w:rPr>
            <w:fldChar w:fldCharType="end"/>
          </w:r>
          <w:r>
            <w:rPr>
              <w:rFonts w:hint="eastAsia" w:cs="宋体"/>
              <w:color w:val="auto"/>
              <w:highlight w:val="none"/>
            </w:rPr>
            <w:fldChar w:fldCharType="end"/>
          </w:r>
        </w:p>
        <w:p w14:paraId="686D0FA1">
          <w:pPr>
            <w:pStyle w:val="32"/>
            <w:tabs>
              <w:tab w:val="right" w:leader="dot" w:pos="8306"/>
              <w:tab w:val="clear" w:pos="1050"/>
              <w:tab w:val="clear" w:pos="8937"/>
            </w:tabs>
            <w:spacing w:after="0" w:line="360" w:lineRule="auto"/>
            <w:rPr>
              <w:rFonts w:hint="eastAsia" w:cs="宋体"/>
              <w:color w:val="auto"/>
              <w:highlight w:val="none"/>
            </w:rPr>
          </w:pPr>
          <w:r>
            <w:rPr>
              <w:color w:val="auto"/>
              <w:highlight w:val="none"/>
            </w:rPr>
            <w:fldChar w:fldCharType="begin"/>
          </w:r>
          <w:r>
            <w:rPr>
              <w:color w:val="auto"/>
              <w:highlight w:val="none"/>
            </w:rPr>
            <w:instrText xml:space="preserve"> HYPERLINK \l "_Toc25979" </w:instrText>
          </w:r>
          <w:r>
            <w:rPr>
              <w:color w:val="auto"/>
              <w:highlight w:val="none"/>
            </w:rPr>
            <w:fldChar w:fldCharType="separate"/>
          </w:r>
          <w:r>
            <w:rPr>
              <w:rFonts w:hint="eastAsia" w:cs="宋体"/>
              <w:bCs/>
              <w:color w:val="auto"/>
              <w:highlight w:val="none"/>
            </w:rPr>
            <w:t>第一部分 通用合同条款</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_Toc25979 \h </w:instrText>
          </w:r>
          <w:r>
            <w:rPr>
              <w:rFonts w:hint="eastAsia" w:cs="宋体"/>
              <w:color w:val="auto"/>
              <w:highlight w:val="none"/>
            </w:rPr>
            <w:fldChar w:fldCharType="separate"/>
          </w:r>
          <w:r>
            <w:rPr>
              <w:rFonts w:hint="eastAsia" w:cs="宋体"/>
              <w:color w:val="auto"/>
              <w:highlight w:val="none"/>
            </w:rPr>
            <w:t>52</w:t>
          </w:r>
          <w:r>
            <w:rPr>
              <w:rFonts w:hint="eastAsia" w:cs="宋体"/>
              <w:color w:val="auto"/>
              <w:highlight w:val="none"/>
            </w:rPr>
            <w:fldChar w:fldCharType="end"/>
          </w:r>
          <w:r>
            <w:rPr>
              <w:rFonts w:hint="eastAsia" w:cs="宋体"/>
              <w:color w:val="auto"/>
              <w:highlight w:val="none"/>
            </w:rPr>
            <w:fldChar w:fldCharType="end"/>
          </w:r>
        </w:p>
        <w:p w14:paraId="3AFD81B5">
          <w:pPr>
            <w:pStyle w:val="32"/>
            <w:tabs>
              <w:tab w:val="right" w:leader="dot" w:pos="8306"/>
              <w:tab w:val="clear" w:pos="1050"/>
              <w:tab w:val="clear" w:pos="8937"/>
            </w:tabs>
            <w:spacing w:after="0" w:line="360" w:lineRule="auto"/>
            <w:rPr>
              <w:rFonts w:hint="eastAsia" w:cs="宋体"/>
              <w:color w:val="auto"/>
              <w:highlight w:val="none"/>
            </w:rPr>
          </w:pPr>
          <w:r>
            <w:rPr>
              <w:color w:val="auto"/>
              <w:highlight w:val="none"/>
            </w:rPr>
            <w:fldChar w:fldCharType="begin"/>
          </w:r>
          <w:r>
            <w:rPr>
              <w:color w:val="auto"/>
              <w:highlight w:val="none"/>
            </w:rPr>
            <w:instrText xml:space="preserve"> HYPERLINK \l "_Toc8339" </w:instrText>
          </w:r>
          <w:r>
            <w:rPr>
              <w:color w:val="auto"/>
              <w:highlight w:val="none"/>
            </w:rPr>
            <w:fldChar w:fldCharType="separate"/>
          </w:r>
          <w:r>
            <w:rPr>
              <w:rFonts w:hint="eastAsia" w:cs="宋体"/>
              <w:bCs/>
              <w:color w:val="auto"/>
              <w:highlight w:val="none"/>
            </w:rPr>
            <w:t>第一章 词语定义、适用的法律法规、语言</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_Toc8339 \h </w:instrText>
          </w:r>
          <w:r>
            <w:rPr>
              <w:rFonts w:hint="eastAsia" w:cs="宋体"/>
              <w:color w:val="auto"/>
              <w:highlight w:val="none"/>
            </w:rPr>
            <w:fldChar w:fldCharType="separate"/>
          </w:r>
          <w:r>
            <w:rPr>
              <w:rFonts w:hint="eastAsia" w:cs="宋体"/>
              <w:color w:val="auto"/>
              <w:highlight w:val="none"/>
            </w:rPr>
            <w:t>52</w:t>
          </w:r>
          <w:r>
            <w:rPr>
              <w:rFonts w:hint="eastAsia" w:cs="宋体"/>
              <w:color w:val="auto"/>
              <w:highlight w:val="none"/>
            </w:rPr>
            <w:fldChar w:fldCharType="end"/>
          </w:r>
          <w:r>
            <w:rPr>
              <w:rFonts w:hint="eastAsia" w:cs="宋体"/>
              <w:color w:val="auto"/>
              <w:highlight w:val="none"/>
            </w:rPr>
            <w:fldChar w:fldCharType="end"/>
          </w:r>
        </w:p>
        <w:p w14:paraId="2A65DE03">
          <w:pPr>
            <w:pStyle w:val="32"/>
            <w:tabs>
              <w:tab w:val="right" w:leader="dot" w:pos="8306"/>
              <w:tab w:val="clear" w:pos="1050"/>
              <w:tab w:val="clear" w:pos="8937"/>
            </w:tabs>
            <w:spacing w:after="0" w:line="360" w:lineRule="auto"/>
            <w:rPr>
              <w:rFonts w:hint="eastAsia" w:cs="宋体"/>
              <w:color w:val="auto"/>
              <w:highlight w:val="none"/>
            </w:rPr>
          </w:pPr>
          <w:r>
            <w:rPr>
              <w:color w:val="auto"/>
              <w:highlight w:val="none"/>
            </w:rPr>
            <w:fldChar w:fldCharType="begin"/>
          </w:r>
          <w:r>
            <w:rPr>
              <w:color w:val="auto"/>
              <w:highlight w:val="none"/>
            </w:rPr>
            <w:instrText xml:space="preserve"> HYPERLINK \l "_Toc15006" </w:instrText>
          </w:r>
          <w:r>
            <w:rPr>
              <w:color w:val="auto"/>
              <w:highlight w:val="none"/>
            </w:rPr>
            <w:fldChar w:fldCharType="separate"/>
          </w:r>
          <w:r>
            <w:rPr>
              <w:rFonts w:hint="eastAsia" w:cs="宋体"/>
              <w:bCs/>
              <w:color w:val="auto"/>
              <w:highlight w:val="none"/>
            </w:rPr>
            <w:t>第二章 权利</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_Toc15006 \h </w:instrText>
          </w:r>
          <w:r>
            <w:rPr>
              <w:rFonts w:hint="eastAsia" w:cs="宋体"/>
              <w:color w:val="auto"/>
              <w:highlight w:val="none"/>
            </w:rPr>
            <w:fldChar w:fldCharType="separate"/>
          </w:r>
          <w:r>
            <w:rPr>
              <w:rFonts w:hint="eastAsia" w:cs="宋体"/>
              <w:color w:val="auto"/>
              <w:highlight w:val="none"/>
            </w:rPr>
            <w:t>52</w:t>
          </w:r>
          <w:r>
            <w:rPr>
              <w:rFonts w:hint="eastAsia" w:cs="宋体"/>
              <w:color w:val="auto"/>
              <w:highlight w:val="none"/>
            </w:rPr>
            <w:fldChar w:fldCharType="end"/>
          </w:r>
          <w:r>
            <w:rPr>
              <w:rFonts w:hint="eastAsia" w:cs="宋体"/>
              <w:color w:val="auto"/>
              <w:highlight w:val="none"/>
            </w:rPr>
            <w:fldChar w:fldCharType="end"/>
          </w:r>
        </w:p>
        <w:p w14:paraId="2102EA17">
          <w:pPr>
            <w:pStyle w:val="32"/>
            <w:tabs>
              <w:tab w:val="right" w:leader="dot" w:pos="8306"/>
              <w:tab w:val="clear" w:pos="1050"/>
              <w:tab w:val="clear" w:pos="8937"/>
            </w:tabs>
            <w:spacing w:after="0" w:line="360" w:lineRule="auto"/>
            <w:rPr>
              <w:rFonts w:hint="eastAsia" w:cs="宋体"/>
              <w:color w:val="auto"/>
              <w:highlight w:val="none"/>
            </w:rPr>
          </w:pPr>
          <w:r>
            <w:rPr>
              <w:color w:val="auto"/>
              <w:highlight w:val="none"/>
            </w:rPr>
            <w:fldChar w:fldCharType="begin"/>
          </w:r>
          <w:r>
            <w:rPr>
              <w:color w:val="auto"/>
              <w:highlight w:val="none"/>
            </w:rPr>
            <w:instrText xml:space="preserve"> HYPERLINK \l "_Toc13111" </w:instrText>
          </w:r>
          <w:r>
            <w:rPr>
              <w:color w:val="auto"/>
              <w:highlight w:val="none"/>
            </w:rPr>
            <w:fldChar w:fldCharType="separate"/>
          </w:r>
          <w:r>
            <w:rPr>
              <w:rFonts w:hint="eastAsia" w:cs="宋体"/>
              <w:bCs/>
              <w:color w:val="auto"/>
              <w:highlight w:val="none"/>
            </w:rPr>
            <w:t>第三章 义务</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_Toc13111 \h </w:instrText>
          </w:r>
          <w:r>
            <w:rPr>
              <w:rFonts w:hint="eastAsia" w:cs="宋体"/>
              <w:color w:val="auto"/>
              <w:highlight w:val="none"/>
            </w:rPr>
            <w:fldChar w:fldCharType="separate"/>
          </w:r>
          <w:r>
            <w:rPr>
              <w:rFonts w:hint="eastAsia" w:cs="宋体"/>
              <w:color w:val="auto"/>
              <w:highlight w:val="none"/>
            </w:rPr>
            <w:t>54</w:t>
          </w:r>
          <w:r>
            <w:rPr>
              <w:rFonts w:hint="eastAsia" w:cs="宋体"/>
              <w:color w:val="auto"/>
              <w:highlight w:val="none"/>
            </w:rPr>
            <w:fldChar w:fldCharType="end"/>
          </w:r>
          <w:r>
            <w:rPr>
              <w:rFonts w:hint="eastAsia" w:cs="宋体"/>
              <w:color w:val="auto"/>
              <w:highlight w:val="none"/>
            </w:rPr>
            <w:fldChar w:fldCharType="end"/>
          </w:r>
        </w:p>
        <w:p w14:paraId="07DB3566">
          <w:pPr>
            <w:pStyle w:val="32"/>
            <w:tabs>
              <w:tab w:val="right" w:leader="dot" w:pos="8306"/>
              <w:tab w:val="clear" w:pos="1050"/>
              <w:tab w:val="clear" w:pos="8937"/>
            </w:tabs>
            <w:spacing w:after="0" w:line="360" w:lineRule="auto"/>
            <w:rPr>
              <w:rFonts w:hint="eastAsia" w:cs="宋体"/>
              <w:color w:val="auto"/>
              <w:highlight w:val="none"/>
            </w:rPr>
          </w:pPr>
          <w:r>
            <w:rPr>
              <w:color w:val="auto"/>
              <w:highlight w:val="none"/>
            </w:rPr>
            <w:fldChar w:fldCharType="begin"/>
          </w:r>
          <w:r>
            <w:rPr>
              <w:color w:val="auto"/>
              <w:highlight w:val="none"/>
            </w:rPr>
            <w:instrText xml:space="preserve"> HYPERLINK \l "_Toc15153" </w:instrText>
          </w:r>
          <w:r>
            <w:rPr>
              <w:color w:val="auto"/>
              <w:highlight w:val="none"/>
            </w:rPr>
            <w:fldChar w:fldCharType="separate"/>
          </w:r>
          <w:r>
            <w:rPr>
              <w:rFonts w:hint="eastAsia" w:cs="宋体"/>
              <w:bCs/>
              <w:color w:val="auto"/>
              <w:highlight w:val="none"/>
            </w:rPr>
            <w:t>第四章 责任</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_Toc15153 \h </w:instrText>
          </w:r>
          <w:r>
            <w:rPr>
              <w:rFonts w:hint="eastAsia" w:cs="宋体"/>
              <w:color w:val="auto"/>
              <w:highlight w:val="none"/>
            </w:rPr>
            <w:fldChar w:fldCharType="separate"/>
          </w:r>
          <w:r>
            <w:rPr>
              <w:rFonts w:hint="eastAsia" w:cs="宋体"/>
              <w:color w:val="auto"/>
              <w:highlight w:val="none"/>
            </w:rPr>
            <w:t>55</w:t>
          </w:r>
          <w:r>
            <w:rPr>
              <w:rFonts w:hint="eastAsia" w:cs="宋体"/>
              <w:color w:val="auto"/>
              <w:highlight w:val="none"/>
            </w:rPr>
            <w:fldChar w:fldCharType="end"/>
          </w:r>
          <w:r>
            <w:rPr>
              <w:rFonts w:hint="eastAsia" w:cs="宋体"/>
              <w:color w:val="auto"/>
              <w:highlight w:val="none"/>
            </w:rPr>
            <w:fldChar w:fldCharType="end"/>
          </w:r>
        </w:p>
        <w:p w14:paraId="7F9C30A4">
          <w:pPr>
            <w:pStyle w:val="32"/>
            <w:tabs>
              <w:tab w:val="right" w:leader="dot" w:pos="8306"/>
              <w:tab w:val="clear" w:pos="1050"/>
              <w:tab w:val="clear" w:pos="8937"/>
            </w:tabs>
            <w:spacing w:after="0" w:line="360" w:lineRule="auto"/>
            <w:rPr>
              <w:rFonts w:hint="eastAsia" w:cs="宋体"/>
              <w:color w:val="auto"/>
              <w:highlight w:val="none"/>
            </w:rPr>
          </w:pPr>
          <w:r>
            <w:rPr>
              <w:color w:val="auto"/>
              <w:highlight w:val="none"/>
            </w:rPr>
            <w:fldChar w:fldCharType="begin"/>
          </w:r>
          <w:r>
            <w:rPr>
              <w:color w:val="auto"/>
              <w:highlight w:val="none"/>
            </w:rPr>
            <w:instrText xml:space="preserve"> HYPERLINK \l "_Toc15394" </w:instrText>
          </w:r>
          <w:r>
            <w:rPr>
              <w:color w:val="auto"/>
              <w:highlight w:val="none"/>
            </w:rPr>
            <w:fldChar w:fldCharType="separate"/>
          </w:r>
          <w:r>
            <w:rPr>
              <w:rFonts w:hint="eastAsia" w:cs="宋体"/>
              <w:bCs/>
              <w:color w:val="auto"/>
              <w:highlight w:val="none"/>
            </w:rPr>
            <w:t>第五章 合同生效、变更与终止</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_Toc15394 \h </w:instrText>
          </w:r>
          <w:r>
            <w:rPr>
              <w:rFonts w:hint="eastAsia" w:cs="宋体"/>
              <w:color w:val="auto"/>
              <w:highlight w:val="none"/>
            </w:rPr>
            <w:fldChar w:fldCharType="separate"/>
          </w:r>
          <w:r>
            <w:rPr>
              <w:rFonts w:hint="eastAsia" w:cs="宋体"/>
              <w:color w:val="auto"/>
              <w:highlight w:val="none"/>
            </w:rPr>
            <w:t>56</w:t>
          </w:r>
          <w:r>
            <w:rPr>
              <w:rFonts w:hint="eastAsia" w:cs="宋体"/>
              <w:color w:val="auto"/>
              <w:highlight w:val="none"/>
            </w:rPr>
            <w:fldChar w:fldCharType="end"/>
          </w:r>
          <w:r>
            <w:rPr>
              <w:rFonts w:hint="eastAsia" w:cs="宋体"/>
              <w:color w:val="auto"/>
              <w:highlight w:val="none"/>
            </w:rPr>
            <w:fldChar w:fldCharType="end"/>
          </w:r>
        </w:p>
        <w:p w14:paraId="2602F253">
          <w:pPr>
            <w:pStyle w:val="32"/>
            <w:tabs>
              <w:tab w:val="right" w:leader="dot" w:pos="8306"/>
              <w:tab w:val="clear" w:pos="1050"/>
              <w:tab w:val="clear" w:pos="8937"/>
            </w:tabs>
            <w:spacing w:after="0" w:line="360" w:lineRule="auto"/>
            <w:rPr>
              <w:rFonts w:hint="eastAsia" w:cs="宋体"/>
              <w:color w:val="auto"/>
              <w:highlight w:val="none"/>
            </w:rPr>
          </w:pPr>
          <w:r>
            <w:rPr>
              <w:color w:val="auto"/>
              <w:highlight w:val="none"/>
            </w:rPr>
            <w:fldChar w:fldCharType="begin"/>
          </w:r>
          <w:r>
            <w:rPr>
              <w:color w:val="auto"/>
              <w:highlight w:val="none"/>
            </w:rPr>
            <w:instrText xml:space="preserve"> HYPERLINK \l "_Toc25636" </w:instrText>
          </w:r>
          <w:r>
            <w:rPr>
              <w:color w:val="auto"/>
              <w:highlight w:val="none"/>
            </w:rPr>
            <w:fldChar w:fldCharType="separate"/>
          </w:r>
          <w:r>
            <w:rPr>
              <w:rFonts w:hint="eastAsia" w:cs="宋体"/>
              <w:bCs/>
              <w:color w:val="auto"/>
              <w:highlight w:val="none"/>
            </w:rPr>
            <w:t>第六章 争议的解决</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_Toc25636 \h </w:instrText>
          </w:r>
          <w:r>
            <w:rPr>
              <w:rFonts w:hint="eastAsia" w:cs="宋体"/>
              <w:color w:val="auto"/>
              <w:highlight w:val="none"/>
            </w:rPr>
            <w:fldChar w:fldCharType="separate"/>
          </w:r>
          <w:r>
            <w:rPr>
              <w:rFonts w:hint="eastAsia" w:cs="宋体"/>
              <w:color w:val="auto"/>
              <w:highlight w:val="none"/>
            </w:rPr>
            <w:t>56</w:t>
          </w:r>
          <w:r>
            <w:rPr>
              <w:rFonts w:hint="eastAsia" w:cs="宋体"/>
              <w:color w:val="auto"/>
              <w:highlight w:val="none"/>
            </w:rPr>
            <w:fldChar w:fldCharType="end"/>
          </w:r>
          <w:r>
            <w:rPr>
              <w:rFonts w:hint="eastAsia" w:cs="宋体"/>
              <w:color w:val="auto"/>
              <w:highlight w:val="none"/>
            </w:rPr>
            <w:fldChar w:fldCharType="end"/>
          </w:r>
        </w:p>
        <w:p w14:paraId="5A171F9C">
          <w:pPr>
            <w:pStyle w:val="32"/>
            <w:tabs>
              <w:tab w:val="right" w:leader="dot" w:pos="8306"/>
              <w:tab w:val="clear" w:pos="1050"/>
              <w:tab w:val="clear" w:pos="8937"/>
            </w:tabs>
            <w:spacing w:after="0" w:line="360" w:lineRule="auto"/>
            <w:rPr>
              <w:rFonts w:hint="eastAsia" w:cs="宋体"/>
              <w:color w:val="auto"/>
              <w:highlight w:val="none"/>
            </w:rPr>
          </w:pPr>
          <w:r>
            <w:rPr>
              <w:color w:val="auto"/>
              <w:highlight w:val="none"/>
            </w:rPr>
            <w:fldChar w:fldCharType="begin"/>
          </w:r>
          <w:r>
            <w:rPr>
              <w:color w:val="auto"/>
              <w:highlight w:val="none"/>
            </w:rPr>
            <w:instrText xml:space="preserve"> HYPERLINK \l "_Toc19279" </w:instrText>
          </w:r>
          <w:r>
            <w:rPr>
              <w:color w:val="auto"/>
              <w:highlight w:val="none"/>
            </w:rPr>
            <w:fldChar w:fldCharType="separate"/>
          </w:r>
          <w:r>
            <w:rPr>
              <w:rFonts w:hint="eastAsia" w:cs="宋体"/>
              <w:bCs/>
              <w:color w:val="auto"/>
              <w:highlight w:val="none"/>
            </w:rPr>
            <w:t>第二部分 专用合同条款</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_Toc19279 \h </w:instrText>
          </w:r>
          <w:r>
            <w:rPr>
              <w:rFonts w:hint="eastAsia" w:cs="宋体"/>
              <w:color w:val="auto"/>
              <w:highlight w:val="none"/>
            </w:rPr>
            <w:fldChar w:fldCharType="separate"/>
          </w:r>
          <w:r>
            <w:rPr>
              <w:rFonts w:hint="eastAsia" w:cs="宋体"/>
              <w:color w:val="auto"/>
              <w:highlight w:val="none"/>
            </w:rPr>
            <w:t>57</w:t>
          </w:r>
          <w:r>
            <w:rPr>
              <w:rFonts w:hint="eastAsia" w:cs="宋体"/>
              <w:color w:val="auto"/>
              <w:highlight w:val="none"/>
            </w:rPr>
            <w:fldChar w:fldCharType="end"/>
          </w:r>
          <w:r>
            <w:rPr>
              <w:rFonts w:hint="eastAsia" w:cs="宋体"/>
              <w:color w:val="auto"/>
              <w:highlight w:val="none"/>
            </w:rPr>
            <w:fldChar w:fldCharType="end"/>
          </w:r>
        </w:p>
        <w:p w14:paraId="44248C1F">
          <w:pPr>
            <w:pStyle w:val="32"/>
            <w:tabs>
              <w:tab w:val="right" w:leader="dot" w:pos="8306"/>
              <w:tab w:val="clear" w:pos="1050"/>
              <w:tab w:val="clear" w:pos="8937"/>
            </w:tabs>
            <w:spacing w:after="0" w:line="360" w:lineRule="auto"/>
            <w:rPr>
              <w:rFonts w:hint="eastAsia" w:cs="宋体"/>
              <w:color w:val="auto"/>
              <w:highlight w:val="none"/>
            </w:rPr>
          </w:pPr>
          <w:r>
            <w:rPr>
              <w:color w:val="auto"/>
              <w:highlight w:val="none"/>
            </w:rPr>
            <w:fldChar w:fldCharType="begin"/>
          </w:r>
          <w:r>
            <w:rPr>
              <w:color w:val="auto"/>
              <w:highlight w:val="none"/>
            </w:rPr>
            <w:instrText xml:space="preserve"> HYPERLINK \l "_Toc6436" </w:instrText>
          </w:r>
          <w:r>
            <w:rPr>
              <w:color w:val="auto"/>
              <w:highlight w:val="none"/>
            </w:rPr>
            <w:fldChar w:fldCharType="separate"/>
          </w:r>
          <w:r>
            <w:rPr>
              <w:rFonts w:hint="eastAsia" w:cs="宋体"/>
              <w:bCs/>
              <w:color w:val="auto"/>
              <w:highlight w:val="none"/>
            </w:rPr>
            <w:t>第一条 委托项目</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_Toc6436 \h </w:instrText>
          </w:r>
          <w:r>
            <w:rPr>
              <w:rFonts w:hint="eastAsia" w:cs="宋体"/>
              <w:color w:val="auto"/>
              <w:highlight w:val="none"/>
            </w:rPr>
            <w:fldChar w:fldCharType="separate"/>
          </w:r>
          <w:r>
            <w:rPr>
              <w:rFonts w:hint="eastAsia" w:cs="宋体"/>
              <w:color w:val="auto"/>
              <w:highlight w:val="none"/>
            </w:rPr>
            <w:t>57</w:t>
          </w:r>
          <w:r>
            <w:rPr>
              <w:rFonts w:hint="eastAsia" w:cs="宋体"/>
              <w:color w:val="auto"/>
              <w:highlight w:val="none"/>
            </w:rPr>
            <w:fldChar w:fldCharType="end"/>
          </w:r>
          <w:r>
            <w:rPr>
              <w:rFonts w:hint="eastAsia" w:cs="宋体"/>
              <w:color w:val="auto"/>
              <w:highlight w:val="none"/>
            </w:rPr>
            <w:fldChar w:fldCharType="end"/>
          </w:r>
        </w:p>
        <w:p w14:paraId="4920630B">
          <w:pPr>
            <w:pStyle w:val="32"/>
            <w:tabs>
              <w:tab w:val="right" w:leader="dot" w:pos="8306"/>
              <w:tab w:val="clear" w:pos="1050"/>
              <w:tab w:val="clear" w:pos="8937"/>
            </w:tabs>
            <w:spacing w:after="0" w:line="360" w:lineRule="auto"/>
            <w:rPr>
              <w:rFonts w:hint="eastAsia" w:cs="宋体"/>
              <w:color w:val="auto"/>
              <w:highlight w:val="none"/>
            </w:rPr>
          </w:pPr>
          <w:r>
            <w:rPr>
              <w:color w:val="auto"/>
              <w:highlight w:val="none"/>
            </w:rPr>
            <w:fldChar w:fldCharType="begin"/>
          </w:r>
          <w:r>
            <w:rPr>
              <w:color w:val="auto"/>
              <w:highlight w:val="none"/>
            </w:rPr>
            <w:instrText xml:space="preserve"> HYPERLINK \l "_Toc725" </w:instrText>
          </w:r>
          <w:r>
            <w:rPr>
              <w:color w:val="auto"/>
              <w:highlight w:val="none"/>
            </w:rPr>
            <w:fldChar w:fldCharType="separate"/>
          </w:r>
          <w:r>
            <w:rPr>
              <w:rFonts w:hint="eastAsia" w:cs="宋体"/>
              <w:bCs/>
              <w:color w:val="auto"/>
              <w:highlight w:val="none"/>
            </w:rPr>
            <w:t>第二条 合同适用的法律及依据</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_Toc725 \h </w:instrText>
          </w:r>
          <w:r>
            <w:rPr>
              <w:rFonts w:hint="eastAsia" w:cs="宋体"/>
              <w:color w:val="auto"/>
              <w:highlight w:val="none"/>
            </w:rPr>
            <w:fldChar w:fldCharType="separate"/>
          </w:r>
          <w:r>
            <w:rPr>
              <w:rFonts w:hint="eastAsia" w:cs="宋体"/>
              <w:color w:val="auto"/>
              <w:highlight w:val="none"/>
            </w:rPr>
            <w:t>57</w:t>
          </w:r>
          <w:r>
            <w:rPr>
              <w:rFonts w:hint="eastAsia" w:cs="宋体"/>
              <w:color w:val="auto"/>
              <w:highlight w:val="none"/>
            </w:rPr>
            <w:fldChar w:fldCharType="end"/>
          </w:r>
          <w:r>
            <w:rPr>
              <w:rFonts w:hint="eastAsia" w:cs="宋体"/>
              <w:color w:val="auto"/>
              <w:highlight w:val="none"/>
            </w:rPr>
            <w:fldChar w:fldCharType="end"/>
          </w:r>
        </w:p>
        <w:p w14:paraId="7A847868">
          <w:pPr>
            <w:pStyle w:val="32"/>
            <w:tabs>
              <w:tab w:val="right" w:leader="dot" w:pos="8306"/>
              <w:tab w:val="clear" w:pos="1050"/>
              <w:tab w:val="clear" w:pos="8937"/>
            </w:tabs>
            <w:spacing w:after="0" w:line="360" w:lineRule="auto"/>
            <w:rPr>
              <w:rFonts w:hint="eastAsia" w:cs="宋体"/>
              <w:color w:val="auto"/>
              <w:highlight w:val="none"/>
            </w:rPr>
          </w:pPr>
          <w:r>
            <w:rPr>
              <w:color w:val="auto"/>
              <w:highlight w:val="none"/>
            </w:rPr>
            <w:fldChar w:fldCharType="begin"/>
          </w:r>
          <w:r>
            <w:rPr>
              <w:color w:val="auto"/>
              <w:highlight w:val="none"/>
            </w:rPr>
            <w:instrText xml:space="preserve"> HYPERLINK \l "_Toc29861" </w:instrText>
          </w:r>
          <w:r>
            <w:rPr>
              <w:color w:val="auto"/>
              <w:highlight w:val="none"/>
            </w:rPr>
            <w:fldChar w:fldCharType="separate"/>
          </w:r>
          <w:r>
            <w:rPr>
              <w:rFonts w:hint="eastAsia" w:cs="宋体"/>
              <w:bCs/>
              <w:color w:val="auto"/>
              <w:highlight w:val="none"/>
            </w:rPr>
            <w:t>第三条 现场办公条件</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_Toc29861 \h </w:instrText>
          </w:r>
          <w:r>
            <w:rPr>
              <w:rFonts w:hint="eastAsia" w:cs="宋体"/>
              <w:color w:val="auto"/>
              <w:highlight w:val="none"/>
            </w:rPr>
            <w:fldChar w:fldCharType="separate"/>
          </w:r>
          <w:r>
            <w:rPr>
              <w:rFonts w:hint="eastAsia" w:cs="宋体"/>
              <w:color w:val="auto"/>
              <w:highlight w:val="none"/>
            </w:rPr>
            <w:t>57</w:t>
          </w:r>
          <w:r>
            <w:rPr>
              <w:rFonts w:hint="eastAsia" w:cs="宋体"/>
              <w:color w:val="auto"/>
              <w:highlight w:val="none"/>
            </w:rPr>
            <w:fldChar w:fldCharType="end"/>
          </w:r>
          <w:r>
            <w:rPr>
              <w:rFonts w:hint="eastAsia" w:cs="宋体"/>
              <w:color w:val="auto"/>
              <w:highlight w:val="none"/>
            </w:rPr>
            <w:fldChar w:fldCharType="end"/>
          </w:r>
        </w:p>
        <w:p w14:paraId="470C1EB3">
          <w:pPr>
            <w:pStyle w:val="32"/>
            <w:tabs>
              <w:tab w:val="right" w:leader="dot" w:pos="8306"/>
              <w:tab w:val="clear" w:pos="1050"/>
              <w:tab w:val="clear" w:pos="8937"/>
            </w:tabs>
            <w:spacing w:after="0" w:line="360" w:lineRule="auto"/>
            <w:rPr>
              <w:rFonts w:hint="eastAsia" w:cs="宋体"/>
              <w:color w:val="auto"/>
              <w:highlight w:val="none"/>
            </w:rPr>
          </w:pPr>
          <w:r>
            <w:rPr>
              <w:color w:val="auto"/>
              <w:highlight w:val="none"/>
            </w:rPr>
            <w:fldChar w:fldCharType="begin"/>
          </w:r>
          <w:r>
            <w:rPr>
              <w:color w:val="auto"/>
              <w:highlight w:val="none"/>
            </w:rPr>
            <w:instrText xml:space="preserve"> HYPERLINK \l "_Toc22847" </w:instrText>
          </w:r>
          <w:r>
            <w:rPr>
              <w:color w:val="auto"/>
              <w:highlight w:val="none"/>
            </w:rPr>
            <w:fldChar w:fldCharType="separate"/>
          </w:r>
          <w:r>
            <w:rPr>
              <w:rFonts w:hint="eastAsia" w:cs="宋体"/>
              <w:bCs/>
              <w:color w:val="auto"/>
              <w:highlight w:val="none"/>
            </w:rPr>
            <w:t xml:space="preserve">第四条 </w:t>
          </w:r>
          <w:r>
            <w:rPr>
              <w:rFonts w:hint="eastAsia" w:cs="宋体"/>
              <w:bCs/>
              <w:color w:val="auto"/>
              <w:highlight w:val="none"/>
              <w:lang w:eastAsia="zh-CN"/>
            </w:rPr>
            <w:t>合同金额</w:t>
          </w:r>
          <w:r>
            <w:rPr>
              <w:rFonts w:hint="eastAsia" w:cs="宋体"/>
              <w:bCs/>
              <w:color w:val="auto"/>
              <w:highlight w:val="none"/>
            </w:rPr>
            <w:t>及支付方式</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_Toc22847 \h </w:instrText>
          </w:r>
          <w:r>
            <w:rPr>
              <w:rFonts w:hint="eastAsia" w:cs="宋体"/>
              <w:color w:val="auto"/>
              <w:highlight w:val="none"/>
            </w:rPr>
            <w:fldChar w:fldCharType="separate"/>
          </w:r>
          <w:r>
            <w:rPr>
              <w:rFonts w:hint="eastAsia" w:cs="宋体"/>
              <w:color w:val="auto"/>
              <w:highlight w:val="none"/>
            </w:rPr>
            <w:t>57</w:t>
          </w:r>
          <w:r>
            <w:rPr>
              <w:rFonts w:hint="eastAsia" w:cs="宋体"/>
              <w:color w:val="auto"/>
              <w:highlight w:val="none"/>
            </w:rPr>
            <w:fldChar w:fldCharType="end"/>
          </w:r>
          <w:r>
            <w:rPr>
              <w:rFonts w:hint="eastAsia" w:cs="宋体"/>
              <w:color w:val="auto"/>
              <w:highlight w:val="none"/>
            </w:rPr>
            <w:fldChar w:fldCharType="end"/>
          </w:r>
        </w:p>
        <w:p w14:paraId="370288AD">
          <w:pPr>
            <w:pStyle w:val="32"/>
            <w:tabs>
              <w:tab w:val="right" w:leader="dot" w:pos="8306"/>
              <w:tab w:val="clear" w:pos="1050"/>
              <w:tab w:val="clear" w:pos="8937"/>
            </w:tabs>
            <w:spacing w:after="0" w:line="360" w:lineRule="auto"/>
            <w:rPr>
              <w:rFonts w:hint="eastAsia" w:cs="宋体"/>
              <w:color w:val="auto"/>
              <w:highlight w:val="none"/>
            </w:rPr>
          </w:pPr>
          <w:r>
            <w:rPr>
              <w:color w:val="auto"/>
              <w:highlight w:val="none"/>
            </w:rPr>
            <w:fldChar w:fldCharType="begin"/>
          </w:r>
          <w:r>
            <w:rPr>
              <w:color w:val="auto"/>
              <w:highlight w:val="none"/>
            </w:rPr>
            <w:instrText xml:space="preserve"> HYPERLINK \l "_Toc26947" </w:instrText>
          </w:r>
          <w:r>
            <w:rPr>
              <w:color w:val="auto"/>
              <w:highlight w:val="none"/>
            </w:rPr>
            <w:fldChar w:fldCharType="separate"/>
          </w:r>
          <w:r>
            <w:rPr>
              <w:rFonts w:hint="eastAsia" w:cs="宋体"/>
              <w:bCs/>
              <w:color w:val="auto"/>
              <w:kern w:val="0"/>
              <w:highlight w:val="none"/>
            </w:rPr>
            <w:t>第五条 委托人的书面回复期限</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_Toc26947 \h </w:instrText>
          </w:r>
          <w:r>
            <w:rPr>
              <w:rFonts w:hint="eastAsia" w:cs="宋体"/>
              <w:color w:val="auto"/>
              <w:highlight w:val="none"/>
            </w:rPr>
            <w:fldChar w:fldCharType="separate"/>
          </w:r>
          <w:r>
            <w:rPr>
              <w:rFonts w:hint="eastAsia" w:cs="宋体"/>
              <w:color w:val="auto"/>
              <w:highlight w:val="none"/>
            </w:rPr>
            <w:t>58</w:t>
          </w:r>
          <w:r>
            <w:rPr>
              <w:rFonts w:hint="eastAsia" w:cs="宋体"/>
              <w:color w:val="auto"/>
              <w:highlight w:val="none"/>
            </w:rPr>
            <w:fldChar w:fldCharType="end"/>
          </w:r>
          <w:r>
            <w:rPr>
              <w:rFonts w:hint="eastAsia" w:cs="宋体"/>
              <w:color w:val="auto"/>
              <w:highlight w:val="none"/>
            </w:rPr>
            <w:fldChar w:fldCharType="end"/>
          </w:r>
        </w:p>
        <w:p w14:paraId="774231E8">
          <w:pPr>
            <w:pStyle w:val="32"/>
            <w:tabs>
              <w:tab w:val="right" w:leader="dot" w:pos="8306"/>
              <w:tab w:val="clear" w:pos="1050"/>
              <w:tab w:val="clear" w:pos="8937"/>
            </w:tabs>
            <w:spacing w:after="0" w:line="360" w:lineRule="auto"/>
            <w:rPr>
              <w:rFonts w:hint="eastAsia" w:cs="宋体"/>
              <w:color w:val="auto"/>
              <w:highlight w:val="none"/>
            </w:rPr>
          </w:pPr>
          <w:r>
            <w:rPr>
              <w:color w:val="auto"/>
              <w:highlight w:val="none"/>
            </w:rPr>
            <w:fldChar w:fldCharType="begin"/>
          </w:r>
          <w:r>
            <w:rPr>
              <w:color w:val="auto"/>
              <w:highlight w:val="none"/>
            </w:rPr>
            <w:instrText xml:space="preserve"> HYPERLINK \l "_Toc31731" </w:instrText>
          </w:r>
          <w:r>
            <w:rPr>
              <w:color w:val="auto"/>
              <w:highlight w:val="none"/>
            </w:rPr>
            <w:fldChar w:fldCharType="separate"/>
          </w:r>
          <w:r>
            <w:rPr>
              <w:rFonts w:hint="eastAsia" w:cs="宋体"/>
              <w:bCs/>
              <w:color w:val="auto"/>
              <w:highlight w:val="none"/>
            </w:rPr>
            <w:t>第六条 委托人的联系人</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_Toc31731 \h </w:instrText>
          </w:r>
          <w:r>
            <w:rPr>
              <w:rFonts w:hint="eastAsia" w:cs="宋体"/>
              <w:color w:val="auto"/>
              <w:highlight w:val="none"/>
            </w:rPr>
            <w:fldChar w:fldCharType="separate"/>
          </w:r>
          <w:r>
            <w:rPr>
              <w:rFonts w:hint="eastAsia" w:cs="宋体"/>
              <w:color w:val="auto"/>
              <w:highlight w:val="none"/>
            </w:rPr>
            <w:t>58</w:t>
          </w:r>
          <w:r>
            <w:rPr>
              <w:rFonts w:hint="eastAsia" w:cs="宋体"/>
              <w:color w:val="auto"/>
              <w:highlight w:val="none"/>
            </w:rPr>
            <w:fldChar w:fldCharType="end"/>
          </w:r>
          <w:r>
            <w:rPr>
              <w:rFonts w:hint="eastAsia" w:cs="宋体"/>
              <w:color w:val="auto"/>
              <w:highlight w:val="none"/>
            </w:rPr>
            <w:fldChar w:fldCharType="end"/>
          </w:r>
        </w:p>
        <w:p w14:paraId="4181820C">
          <w:pPr>
            <w:pStyle w:val="32"/>
            <w:tabs>
              <w:tab w:val="right" w:leader="dot" w:pos="8306"/>
              <w:tab w:val="clear" w:pos="1050"/>
              <w:tab w:val="clear" w:pos="8937"/>
            </w:tabs>
            <w:spacing w:after="0" w:line="360" w:lineRule="auto"/>
            <w:rPr>
              <w:rFonts w:hint="eastAsia" w:cs="宋体"/>
              <w:bCs/>
              <w:color w:val="auto"/>
              <w:highlight w:val="none"/>
            </w:rPr>
            <w:sectPr>
              <w:footerReference r:id="rId19" w:type="default"/>
              <w:pgSz w:w="11905" w:h="16838"/>
              <w:pgMar w:top="1417" w:right="1701" w:bottom="1417" w:left="1701" w:header="1020" w:footer="850" w:gutter="0"/>
              <w:cols w:space="0" w:num="1"/>
              <w:rtlGutter w:val="0"/>
              <w:docGrid w:linePitch="312" w:charSpace="0"/>
            </w:sectPr>
          </w:pPr>
        </w:p>
        <w:p w14:paraId="2066EE70">
          <w:pPr>
            <w:pStyle w:val="32"/>
            <w:tabs>
              <w:tab w:val="right" w:leader="dot" w:pos="8306"/>
              <w:tab w:val="clear" w:pos="1050"/>
              <w:tab w:val="clear" w:pos="8937"/>
            </w:tabs>
            <w:spacing w:after="0" w:line="360" w:lineRule="auto"/>
            <w:rPr>
              <w:rFonts w:hint="eastAsia" w:cs="宋体"/>
              <w:color w:val="auto"/>
              <w:highlight w:val="none"/>
            </w:rPr>
          </w:pPr>
          <w:r>
            <w:rPr>
              <w:color w:val="auto"/>
              <w:highlight w:val="none"/>
            </w:rPr>
            <w:fldChar w:fldCharType="begin"/>
          </w:r>
          <w:r>
            <w:rPr>
              <w:color w:val="auto"/>
              <w:highlight w:val="none"/>
            </w:rPr>
            <w:instrText xml:space="preserve"> HYPERLINK \l "_Toc18206" </w:instrText>
          </w:r>
          <w:r>
            <w:rPr>
              <w:color w:val="auto"/>
              <w:highlight w:val="none"/>
            </w:rPr>
            <w:fldChar w:fldCharType="separate"/>
          </w:r>
          <w:r>
            <w:rPr>
              <w:rFonts w:hint="eastAsia" w:cs="宋体"/>
              <w:bCs/>
              <w:color w:val="auto"/>
              <w:highlight w:val="none"/>
            </w:rPr>
            <w:t>第七条 受托人项目经理</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_Toc18206 \h </w:instrText>
          </w:r>
          <w:r>
            <w:rPr>
              <w:rFonts w:hint="eastAsia" w:cs="宋体"/>
              <w:color w:val="auto"/>
              <w:highlight w:val="none"/>
            </w:rPr>
            <w:fldChar w:fldCharType="separate"/>
          </w:r>
          <w:r>
            <w:rPr>
              <w:rFonts w:hint="eastAsia" w:cs="宋体"/>
              <w:color w:val="auto"/>
              <w:highlight w:val="none"/>
            </w:rPr>
            <w:t>58</w:t>
          </w:r>
          <w:r>
            <w:rPr>
              <w:rFonts w:hint="eastAsia" w:cs="宋体"/>
              <w:color w:val="auto"/>
              <w:highlight w:val="none"/>
            </w:rPr>
            <w:fldChar w:fldCharType="end"/>
          </w:r>
          <w:r>
            <w:rPr>
              <w:rFonts w:hint="eastAsia" w:cs="宋体"/>
              <w:color w:val="auto"/>
              <w:highlight w:val="none"/>
            </w:rPr>
            <w:fldChar w:fldCharType="end"/>
          </w:r>
        </w:p>
        <w:p w14:paraId="27D5FDA1">
          <w:pPr>
            <w:pStyle w:val="32"/>
            <w:tabs>
              <w:tab w:val="right" w:leader="dot" w:pos="8306"/>
              <w:tab w:val="clear" w:pos="1050"/>
              <w:tab w:val="clear" w:pos="8937"/>
            </w:tabs>
            <w:spacing w:after="0" w:line="360" w:lineRule="auto"/>
            <w:rPr>
              <w:rFonts w:hint="eastAsia" w:cs="宋体"/>
              <w:color w:val="auto"/>
              <w:highlight w:val="none"/>
            </w:rPr>
          </w:pPr>
          <w:r>
            <w:rPr>
              <w:color w:val="auto"/>
              <w:highlight w:val="none"/>
            </w:rPr>
            <w:fldChar w:fldCharType="begin"/>
          </w:r>
          <w:r>
            <w:rPr>
              <w:color w:val="auto"/>
              <w:highlight w:val="none"/>
            </w:rPr>
            <w:instrText xml:space="preserve"> HYPERLINK \l "_Toc14747" </w:instrText>
          </w:r>
          <w:r>
            <w:rPr>
              <w:color w:val="auto"/>
              <w:highlight w:val="none"/>
            </w:rPr>
            <w:fldChar w:fldCharType="separate"/>
          </w:r>
          <w:r>
            <w:rPr>
              <w:rFonts w:hint="eastAsia" w:cs="宋体"/>
              <w:bCs/>
              <w:color w:val="auto"/>
              <w:highlight w:val="none"/>
            </w:rPr>
            <w:t>第八条 争议的解决方式</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_Toc14747 \h </w:instrText>
          </w:r>
          <w:r>
            <w:rPr>
              <w:rFonts w:hint="eastAsia" w:cs="宋体"/>
              <w:color w:val="auto"/>
              <w:highlight w:val="none"/>
            </w:rPr>
            <w:fldChar w:fldCharType="separate"/>
          </w:r>
          <w:r>
            <w:rPr>
              <w:rFonts w:hint="eastAsia" w:cs="宋体"/>
              <w:color w:val="auto"/>
              <w:highlight w:val="none"/>
            </w:rPr>
            <w:t>58</w:t>
          </w:r>
          <w:r>
            <w:rPr>
              <w:rFonts w:hint="eastAsia" w:cs="宋体"/>
              <w:color w:val="auto"/>
              <w:highlight w:val="none"/>
            </w:rPr>
            <w:fldChar w:fldCharType="end"/>
          </w:r>
          <w:r>
            <w:rPr>
              <w:rFonts w:hint="eastAsia" w:cs="宋体"/>
              <w:color w:val="auto"/>
              <w:highlight w:val="none"/>
            </w:rPr>
            <w:fldChar w:fldCharType="end"/>
          </w:r>
        </w:p>
        <w:p w14:paraId="576FD324">
          <w:pPr>
            <w:pStyle w:val="32"/>
            <w:tabs>
              <w:tab w:val="right" w:leader="dot" w:pos="8306"/>
              <w:tab w:val="clear" w:pos="1050"/>
              <w:tab w:val="clear" w:pos="8937"/>
            </w:tabs>
            <w:spacing w:after="0" w:line="360" w:lineRule="auto"/>
            <w:rPr>
              <w:rFonts w:hint="eastAsia" w:cs="宋体"/>
              <w:color w:val="auto"/>
              <w:highlight w:val="none"/>
            </w:rPr>
          </w:pPr>
          <w:r>
            <w:rPr>
              <w:color w:val="auto"/>
              <w:highlight w:val="none"/>
            </w:rPr>
            <w:fldChar w:fldCharType="begin"/>
          </w:r>
          <w:r>
            <w:rPr>
              <w:color w:val="auto"/>
              <w:highlight w:val="none"/>
            </w:rPr>
            <w:instrText xml:space="preserve"> HYPERLINK \l "_Toc3356" </w:instrText>
          </w:r>
          <w:r>
            <w:rPr>
              <w:color w:val="auto"/>
              <w:highlight w:val="none"/>
            </w:rPr>
            <w:fldChar w:fldCharType="separate"/>
          </w:r>
          <w:r>
            <w:rPr>
              <w:rFonts w:hint="eastAsia" w:cs="宋体"/>
              <w:bCs/>
              <w:color w:val="auto"/>
              <w:highlight w:val="none"/>
            </w:rPr>
            <w:t>第九条 补充条款</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_Toc3356 \h </w:instrText>
          </w:r>
          <w:r>
            <w:rPr>
              <w:rFonts w:hint="eastAsia" w:cs="宋体"/>
              <w:color w:val="auto"/>
              <w:highlight w:val="none"/>
            </w:rPr>
            <w:fldChar w:fldCharType="separate"/>
          </w:r>
          <w:r>
            <w:rPr>
              <w:rFonts w:hint="eastAsia" w:cs="宋体"/>
              <w:color w:val="auto"/>
              <w:highlight w:val="none"/>
            </w:rPr>
            <w:t>58</w:t>
          </w:r>
          <w:r>
            <w:rPr>
              <w:rFonts w:hint="eastAsia" w:cs="宋体"/>
              <w:color w:val="auto"/>
              <w:highlight w:val="none"/>
            </w:rPr>
            <w:fldChar w:fldCharType="end"/>
          </w:r>
          <w:r>
            <w:rPr>
              <w:rFonts w:hint="eastAsia" w:cs="宋体"/>
              <w:color w:val="auto"/>
              <w:highlight w:val="none"/>
            </w:rPr>
            <w:fldChar w:fldCharType="end"/>
          </w:r>
        </w:p>
        <w:p w14:paraId="7803FB1E">
          <w:pPr>
            <w:pStyle w:val="32"/>
            <w:tabs>
              <w:tab w:val="right" w:leader="dot" w:pos="8306"/>
              <w:tab w:val="clear" w:pos="1050"/>
              <w:tab w:val="clear" w:pos="8937"/>
            </w:tabs>
            <w:spacing w:after="0" w:line="360" w:lineRule="auto"/>
            <w:rPr>
              <w:rFonts w:hint="eastAsia" w:cs="宋体"/>
              <w:color w:val="auto"/>
              <w:highlight w:val="none"/>
            </w:rPr>
          </w:pPr>
          <w:r>
            <w:rPr>
              <w:color w:val="auto"/>
              <w:highlight w:val="none"/>
            </w:rPr>
            <w:fldChar w:fldCharType="begin"/>
          </w:r>
          <w:r>
            <w:rPr>
              <w:color w:val="auto"/>
              <w:highlight w:val="none"/>
            </w:rPr>
            <w:instrText xml:space="preserve"> HYPERLINK \l "_Toc23774" </w:instrText>
          </w:r>
          <w:r>
            <w:rPr>
              <w:color w:val="auto"/>
              <w:highlight w:val="none"/>
            </w:rPr>
            <w:fldChar w:fldCharType="separate"/>
          </w:r>
          <w:r>
            <w:rPr>
              <w:rFonts w:hint="eastAsia" w:cs="宋体"/>
              <w:color w:val="auto"/>
              <w:kern w:val="1"/>
              <w:highlight w:val="none"/>
            </w:rPr>
            <w:t>附件1：中标通知书</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_Toc23774 \h </w:instrText>
          </w:r>
          <w:r>
            <w:rPr>
              <w:rFonts w:hint="eastAsia" w:cs="宋体"/>
              <w:color w:val="auto"/>
              <w:highlight w:val="none"/>
            </w:rPr>
            <w:fldChar w:fldCharType="separate"/>
          </w:r>
          <w:r>
            <w:rPr>
              <w:rFonts w:hint="eastAsia" w:cs="宋体"/>
              <w:color w:val="auto"/>
              <w:highlight w:val="none"/>
            </w:rPr>
            <w:t>60</w:t>
          </w:r>
          <w:r>
            <w:rPr>
              <w:rFonts w:hint="eastAsia" w:cs="宋体"/>
              <w:color w:val="auto"/>
              <w:highlight w:val="none"/>
            </w:rPr>
            <w:fldChar w:fldCharType="end"/>
          </w:r>
          <w:r>
            <w:rPr>
              <w:rFonts w:hint="eastAsia" w:cs="宋体"/>
              <w:color w:val="auto"/>
              <w:highlight w:val="none"/>
            </w:rPr>
            <w:fldChar w:fldCharType="end"/>
          </w:r>
        </w:p>
        <w:p w14:paraId="4BC5B571">
          <w:pPr>
            <w:pStyle w:val="32"/>
            <w:tabs>
              <w:tab w:val="right" w:leader="dot" w:pos="8306"/>
              <w:tab w:val="clear" w:pos="1050"/>
              <w:tab w:val="clear" w:pos="8937"/>
            </w:tabs>
            <w:spacing w:after="0" w:line="360" w:lineRule="auto"/>
            <w:rPr>
              <w:rFonts w:hint="eastAsia" w:cs="宋体"/>
              <w:color w:val="auto"/>
              <w:highlight w:val="none"/>
            </w:rPr>
          </w:pPr>
          <w:r>
            <w:rPr>
              <w:color w:val="auto"/>
              <w:highlight w:val="none"/>
            </w:rPr>
            <w:fldChar w:fldCharType="begin"/>
          </w:r>
          <w:r>
            <w:rPr>
              <w:color w:val="auto"/>
              <w:highlight w:val="none"/>
            </w:rPr>
            <w:instrText xml:space="preserve"> HYPERLINK \l "_Toc27960" </w:instrText>
          </w:r>
          <w:r>
            <w:rPr>
              <w:color w:val="auto"/>
              <w:highlight w:val="none"/>
            </w:rPr>
            <w:fldChar w:fldCharType="separate"/>
          </w:r>
          <w:r>
            <w:rPr>
              <w:rFonts w:hint="eastAsia" w:cs="宋体"/>
              <w:color w:val="auto"/>
              <w:kern w:val="1"/>
              <w:highlight w:val="none"/>
            </w:rPr>
            <w:t>附件2：拟投入本项目主要人员汇总表</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_Toc27960 \h </w:instrText>
          </w:r>
          <w:r>
            <w:rPr>
              <w:rFonts w:hint="eastAsia" w:cs="宋体"/>
              <w:color w:val="auto"/>
              <w:highlight w:val="none"/>
            </w:rPr>
            <w:fldChar w:fldCharType="separate"/>
          </w:r>
          <w:r>
            <w:rPr>
              <w:rFonts w:hint="eastAsia" w:cs="宋体"/>
              <w:color w:val="auto"/>
              <w:highlight w:val="none"/>
            </w:rPr>
            <w:t>61</w:t>
          </w:r>
          <w:r>
            <w:rPr>
              <w:rFonts w:hint="eastAsia" w:cs="宋体"/>
              <w:color w:val="auto"/>
              <w:highlight w:val="none"/>
            </w:rPr>
            <w:fldChar w:fldCharType="end"/>
          </w:r>
          <w:r>
            <w:rPr>
              <w:rFonts w:hint="eastAsia" w:cs="宋体"/>
              <w:color w:val="auto"/>
              <w:highlight w:val="none"/>
            </w:rPr>
            <w:fldChar w:fldCharType="end"/>
          </w:r>
        </w:p>
        <w:p w14:paraId="7ACEA084">
          <w:pPr>
            <w:spacing w:after="0" w:line="360" w:lineRule="auto"/>
            <w:rPr>
              <w:rFonts w:hint="eastAsia" w:ascii="宋体" w:hAnsi="宋体" w:cs="宋体"/>
              <w:b/>
              <w:bCs/>
              <w:color w:val="auto"/>
              <w:sz w:val="24"/>
              <w:highlight w:val="none"/>
            </w:rPr>
            <w:sectPr>
              <w:footerReference r:id="rId20" w:type="default"/>
              <w:pgSz w:w="11905" w:h="16838"/>
              <w:pgMar w:top="1417" w:right="1701" w:bottom="1417" w:left="1701" w:header="1020" w:footer="850" w:gutter="0"/>
              <w:cols w:space="0" w:num="1"/>
              <w:rtlGutter w:val="0"/>
              <w:docGrid w:linePitch="312" w:charSpace="0"/>
            </w:sectPr>
          </w:pPr>
          <w:r>
            <w:rPr>
              <w:rFonts w:hint="eastAsia" w:ascii="宋体" w:hAnsi="宋体" w:cs="宋体"/>
              <w:bCs/>
              <w:color w:val="auto"/>
              <w:sz w:val="24"/>
              <w:highlight w:val="none"/>
            </w:rPr>
            <w:fldChar w:fldCharType="end"/>
          </w:r>
        </w:p>
      </w:sdtContent>
    </w:sdt>
    <w:p w14:paraId="63F0DA71">
      <w:pPr>
        <w:spacing w:after="0" w:line="360" w:lineRule="auto"/>
        <w:jc w:val="center"/>
        <w:outlineLvl w:val="1"/>
        <w:rPr>
          <w:rFonts w:hint="eastAsia" w:ascii="宋体" w:hAnsi="宋体" w:cs="宋体"/>
          <w:b/>
          <w:bCs/>
          <w:color w:val="auto"/>
          <w:sz w:val="36"/>
          <w:szCs w:val="36"/>
          <w:highlight w:val="none"/>
        </w:rPr>
      </w:pPr>
      <w:bookmarkStart w:id="930" w:name="_Toc26925"/>
      <w:r>
        <w:rPr>
          <w:rFonts w:hint="eastAsia" w:ascii="宋体" w:hAnsi="宋体" w:cs="宋体"/>
          <w:b/>
          <w:bCs/>
          <w:color w:val="auto"/>
          <w:sz w:val="36"/>
          <w:szCs w:val="36"/>
          <w:highlight w:val="none"/>
        </w:rPr>
        <w:t>协议书</w:t>
      </w:r>
      <w:bookmarkEnd w:id="928"/>
      <w:bookmarkEnd w:id="929"/>
      <w:bookmarkEnd w:id="930"/>
    </w:p>
    <w:p w14:paraId="29F90FDF">
      <w:pPr>
        <w:spacing w:after="0"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委托人：</w:t>
      </w:r>
      <w:r>
        <w:rPr>
          <w:rFonts w:hint="eastAsia" w:ascii="宋体" w:hAnsi="宋体" w:cs="宋体"/>
          <w:color w:val="auto"/>
          <w:sz w:val="24"/>
          <w:highlight w:val="none"/>
          <w:u w:val="single"/>
        </w:rPr>
        <w:t>北京市应急管理局</w:t>
      </w:r>
    </w:p>
    <w:p w14:paraId="52E2AA4A">
      <w:pPr>
        <w:spacing w:after="0" w:line="360" w:lineRule="auto"/>
        <w:ind w:firstLine="480" w:firstLineChars="200"/>
        <w:rPr>
          <w:rFonts w:hint="eastAsia" w:ascii="宋体" w:hAnsi="宋体" w:cs="宋体"/>
          <w:color w:val="auto"/>
          <w:sz w:val="24"/>
          <w:highlight w:val="none"/>
          <w:u w:val="single"/>
        </w:rPr>
      </w:pPr>
      <w:bookmarkStart w:id="931" w:name="_Toc349"/>
      <w:r>
        <w:rPr>
          <w:rFonts w:hint="eastAsia" w:ascii="宋体" w:hAnsi="宋体" w:cs="宋体"/>
          <w:color w:val="auto"/>
          <w:sz w:val="24"/>
          <w:highlight w:val="none"/>
        </w:rPr>
        <w:t>受托人：</w:t>
      </w:r>
      <w:bookmarkEnd w:id="931"/>
      <w:r>
        <w:rPr>
          <w:rFonts w:hint="eastAsia" w:ascii="宋体" w:hAnsi="宋体" w:cs="宋体"/>
          <w:color w:val="auto"/>
          <w:sz w:val="24"/>
          <w:highlight w:val="none"/>
          <w:u w:val="single"/>
        </w:rPr>
        <w:t xml:space="preserve">                 </w:t>
      </w:r>
    </w:p>
    <w:p w14:paraId="5CABAF46">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为了加强本工程的科学规范化管理，提高经济效益，遵循平等、自愿、公平和诚实信用的原则，根据《中华人民共和国民法典》，委托人委托受托人作为项目管理单位，对工程进行项目管理工作。经委托人与受托人协商一致，签订本合同。</w:t>
      </w:r>
    </w:p>
    <w:p w14:paraId="416FFAD4">
      <w:pPr>
        <w:spacing w:after="0" w:line="360" w:lineRule="auto"/>
        <w:ind w:firstLine="482" w:firstLineChars="200"/>
        <w:rPr>
          <w:rFonts w:hint="eastAsia" w:ascii="宋体" w:hAnsi="宋体" w:cs="宋体"/>
          <w:b/>
          <w:bCs/>
          <w:color w:val="auto"/>
          <w:sz w:val="24"/>
          <w:highlight w:val="none"/>
        </w:rPr>
      </w:pPr>
      <w:bookmarkStart w:id="932" w:name="_Toc372877733"/>
      <w:bookmarkStart w:id="933" w:name="_Toc25988"/>
      <w:bookmarkStart w:id="934" w:name="_Toc372878295"/>
      <w:r>
        <w:rPr>
          <w:rFonts w:hint="eastAsia" w:ascii="宋体" w:hAnsi="宋体" w:cs="宋体"/>
          <w:b/>
          <w:bCs/>
          <w:color w:val="auto"/>
          <w:sz w:val="24"/>
          <w:highlight w:val="none"/>
        </w:rPr>
        <w:t>一、项目概况</w:t>
      </w:r>
      <w:bookmarkEnd w:id="932"/>
      <w:bookmarkEnd w:id="933"/>
      <w:bookmarkEnd w:id="934"/>
    </w:p>
    <w:p w14:paraId="7FF66E2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eastAsia="宋体"/>
          <w:bCs/>
          <w:color w:val="auto"/>
          <w:sz w:val="24"/>
          <w:highlight w:val="none"/>
          <w:lang w:eastAsia="zh-CN"/>
        </w:rPr>
      </w:pPr>
      <w:bookmarkStart w:id="935" w:name="_Toc276746350"/>
      <w:bookmarkStart w:id="936" w:name="_Toc276746472"/>
      <w:bookmarkStart w:id="937" w:name="_Toc187044712"/>
      <w:bookmarkStart w:id="938" w:name="_Toc454011882"/>
      <w:bookmarkStart w:id="939" w:name="_Toc454005874"/>
      <w:bookmarkStart w:id="940" w:name="_Toc454008774"/>
      <w:r>
        <w:rPr>
          <w:rFonts w:hint="eastAsia" w:ascii="宋体" w:hAnsi="宋体" w:cs="宋体"/>
          <w:color w:val="auto"/>
          <w:sz w:val="24"/>
          <w:highlight w:val="none"/>
        </w:rPr>
        <w:t>1.项目名称</w:t>
      </w:r>
      <w:bookmarkEnd w:id="935"/>
      <w:bookmarkEnd w:id="936"/>
      <w:bookmarkEnd w:id="937"/>
      <w:r>
        <w:rPr>
          <w:rFonts w:hint="eastAsia" w:ascii="宋体" w:hAnsi="宋体" w:cs="宋体"/>
          <w:color w:val="auto"/>
          <w:sz w:val="24"/>
          <w:highlight w:val="none"/>
        </w:rPr>
        <w:t>：</w:t>
      </w:r>
      <w:bookmarkEnd w:id="938"/>
      <w:bookmarkEnd w:id="939"/>
      <w:bookmarkEnd w:id="940"/>
      <w:bookmarkStart w:id="941" w:name="OLE_LINK17"/>
      <w:bookmarkStart w:id="942" w:name="_Toc276746351"/>
      <w:bookmarkStart w:id="943" w:name="_Toc187044713"/>
      <w:bookmarkStart w:id="944" w:name="_Toc276746473"/>
      <w:bookmarkStart w:id="945" w:name="_Toc454005875"/>
      <w:bookmarkStart w:id="946" w:name="_Toc454008775"/>
      <w:bookmarkStart w:id="947" w:name="_Toc454011883"/>
      <w:r>
        <w:rPr>
          <w:rFonts w:hint="eastAsia" w:ascii="宋体" w:hAnsi="宋体" w:cs="宋体"/>
          <w:color w:val="auto"/>
          <w:sz w:val="24"/>
          <w:highlight w:val="none"/>
          <w:u w:val="single"/>
          <w:lang w:eastAsia="zh-CN"/>
        </w:rPr>
        <w:t>房山区域应急救援中心建设工程项目建设管理服务</w:t>
      </w:r>
    </w:p>
    <w:bookmarkEnd w:id="941"/>
    <w:p w14:paraId="2BECD7E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rPr>
        <w:t>2.项目</w:t>
      </w:r>
      <w:bookmarkEnd w:id="942"/>
      <w:bookmarkEnd w:id="943"/>
      <w:bookmarkEnd w:id="944"/>
      <w:r>
        <w:rPr>
          <w:rFonts w:hint="eastAsia" w:ascii="宋体" w:hAnsi="宋体" w:cs="宋体"/>
          <w:color w:val="auto"/>
          <w:sz w:val="24"/>
          <w:highlight w:val="none"/>
        </w:rPr>
        <w:t>地点：</w:t>
      </w:r>
      <w:bookmarkEnd w:id="945"/>
      <w:bookmarkEnd w:id="946"/>
      <w:bookmarkEnd w:id="947"/>
      <w:r>
        <w:rPr>
          <w:rFonts w:hint="eastAsia" w:ascii="宋体" w:hAnsi="宋体" w:cs="宋体"/>
          <w:color w:val="auto"/>
          <w:sz w:val="24"/>
          <w:highlight w:val="none"/>
          <w:u w:val="single"/>
        </w:rPr>
        <w:t>项目场地位于房山区良乡组团FS00-0129街区内，北至现状白杨西路，东至现状凯旋大街，南至规划栗香路，西至规划栗安街。</w:t>
      </w:r>
    </w:p>
    <w:p w14:paraId="3822F3E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bCs/>
          <w:color w:val="auto"/>
          <w:sz w:val="24"/>
          <w:highlight w:val="none"/>
        </w:rPr>
      </w:pPr>
      <w:bookmarkStart w:id="948" w:name="_Toc454011885"/>
      <w:bookmarkStart w:id="949" w:name="_Toc454008777"/>
      <w:bookmarkStart w:id="950" w:name="_Toc454005877"/>
      <w:r>
        <w:rPr>
          <w:rFonts w:hint="eastAsia" w:ascii="宋体" w:hAnsi="宋体" w:cs="宋体"/>
          <w:color w:val="auto"/>
          <w:sz w:val="24"/>
          <w:highlight w:val="none"/>
        </w:rPr>
        <w:t>3.建设规模及内容：</w:t>
      </w:r>
      <w:bookmarkEnd w:id="948"/>
      <w:bookmarkEnd w:id="949"/>
      <w:bookmarkEnd w:id="950"/>
      <w:r>
        <w:rPr>
          <w:rFonts w:hint="eastAsia" w:ascii="宋体" w:hAnsi="宋体" w:cs="宋体"/>
          <w:color w:val="auto"/>
          <w:sz w:val="24"/>
          <w:highlight w:val="none"/>
          <w:u w:val="single"/>
          <w:lang w:val="zh-TW" w:eastAsia="zh-TW"/>
        </w:rPr>
        <w:t>总建筑面积 22617平方米。其中，地上建筑面积16618 平方米，地下建筑面积 5999平方米（具体建设规模指标由规划自然资源部门核定）。主要建设应急指挥用房、队伍驻防及实训用房、实训演练配套用房、水上训练用房、装备储备库、设备用房、地下人防等，同步建设体能训练场地、森林防火实训场地、管网照明等红线内室外工程</w:t>
      </w:r>
      <w:r>
        <w:rPr>
          <w:rFonts w:hint="eastAsia" w:ascii="宋体" w:hAnsi="宋体" w:cs="宋体"/>
          <w:color w:val="auto"/>
          <w:sz w:val="24"/>
          <w:highlight w:val="none"/>
          <w:u w:val="single"/>
          <w:lang w:val="zh-TW"/>
        </w:rPr>
        <w:t>。</w:t>
      </w:r>
    </w:p>
    <w:p w14:paraId="2FF4005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4.建设周期：</w:t>
      </w:r>
      <w:r>
        <w:rPr>
          <w:rFonts w:hint="eastAsia" w:ascii="宋体" w:hAnsi="宋体" w:cs="宋体"/>
          <w:color w:val="auto"/>
          <w:sz w:val="24"/>
          <w:highlight w:val="none"/>
          <w:u w:val="single"/>
        </w:rPr>
        <w:t>项目建设周期预计为12个月，如遇不可控、不可抗事项（如：自然灾害、重特大活动、政策法规变更、重大技术难题等），影响建设周期，将根据实际建设周期为准。</w:t>
      </w:r>
    </w:p>
    <w:p w14:paraId="3EBD18FD">
      <w:pPr>
        <w:pStyle w:val="16"/>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cs="宋体"/>
          <w:color w:val="auto"/>
          <w:sz w:val="24"/>
          <w:highlight w:val="none"/>
          <w:u w:val="single"/>
        </w:rPr>
      </w:pPr>
      <w:r>
        <w:rPr>
          <w:rFonts w:hint="eastAsia" w:ascii="宋体" w:hAnsi="宋体" w:cs="宋体"/>
          <w:color w:val="auto"/>
          <w:sz w:val="24"/>
          <w:highlight w:val="none"/>
        </w:rPr>
        <w:t>5.项目总投资：</w:t>
      </w:r>
      <w:r>
        <w:rPr>
          <w:rFonts w:hint="eastAsia" w:ascii="宋体" w:hAnsi="宋体" w:cs="宋体"/>
          <w:color w:val="auto"/>
          <w:sz w:val="24"/>
          <w:highlight w:val="none"/>
          <w:u w:val="single"/>
          <w:lang w:val="zh-TW" w:eastAsia="zh-TW"/>
        </w:rPr>
        <w:t>项目总投资为</w:t>
      </w:r>
      <w:r>
        <w:rPr>
          <w:rFonts w:hint="eastAsia" w:ascii="宋体" w:hAnsi="宋体" w:cs="宋体"/>
          <w:color w:val="auto"/>
          <w:sz w:val="24"/>
          <w:highlight w:val="none"/>
          <w:u w:val="single"/>
          <w:lang w:eastAsia="zh-TW"/>
        </w:rPr>
        <w:t>23884</w:t>
      </w:r>
      <w:r>
        <w:rPr>
          <w:rFonts w:hint="eastAsia" w:ascii="宋体" w:hAnsi="宋体" w:cs="宋体"/>
          <w:color w:val="auto"/>
          <w:sz w:val="24"/>
          <w:highlight w:val="none"/>
          <w:u w:val="single"/>
          <w:lang w:val="zh-TW" w:eastAsia="zh-TW"/>
        </w:rPr>
        <w:t>万元，其中工程费</w:t>
      </w:r>
      <w:r>
        <w:rPr>
          <w:rFonts w:hint="eastAsia" w:ascii="宋体" w:hAnsi="宋体" w:cs="宋体"/>
          <w:color w:val="auto"/>
          <w:sz w:val="24"/>
          <w:highlight w:val="none"/>
          <w:u w:val="single"/>
          <w:lang w:eastAsia="zh-TW"/>
        </w:rPr>
        <w:t>16713</w:t>
      </w:r>
      <w:r>
        <w:rPr>
          <w:rFonts w:hint="eastAsia" w:ascii="宋体" w:hAnsi="宋体" w:cs="宋体"/>
          <w:color w:val="auto"/>
          <w:sz w:val="24"/>
          <w:highlight w:val="none"/>
          <w:u w:val="single"/>
          <w:lang w:val="zh-TW" w:eastAsia="zh-TW"/>
        </w:rPr>
        <w:t>万元，工程建设其他费</w:t>
      </w:r>
      <w:r>
        <w:rPr>
          <w:rFonts w:hint="eastAsia" w:ascii="宋体" w:hAnsi="宋体" w:cs="宋体"/>
          <w:color w:val="auto"/>
          <w:sz w:val="24"/>
          <w:highlight w:val="none"/>
          <w:u w:val="single"/>
          <w:lang w:eastAsia="zh-TW"/>
        </w:rPr>
        <w:t>1351</w:t>
      </w:r>
      <w:r>
        <w:rPr>
          <w:rFonts w:hint="eastAsia" w:ascii="宋体" w:hAnsi="宋体" w:cs="宋体"/>
          <w:color w:val="auto"/>
          <w:sz w:val="24"/>
          <w:highlight w:val="none"/>
          <w:u w:val="single"/>
          <w:lang w:val="zh-TW" w:eastAsia="zh-TW"/>
        </w:rPr>
        <w:t>万元，基本预备费</w:t>
      </w:r>
      <w:r>
        <w:rPr>
          <w:rFonts w:hint="eastAsia" w:ascii="宋体" w:hAnsi="宋体" w:cs="宋体"/>
          <w:color w:val="auto"/>
          <w:sz w:val="24"/>
          <w:highlight w:val="none"/>
          <w:u w:val="single"/>
          <w:lang w:eastAsia="zh-TW"/>
        </w:rPr>
        <w:t>903</w:t>
      </w:r>
      <w:r>
        <w:rPr>
          <w:rFonts w:hint="eastAsia" w:ascii="宋体" w:hAnsi="宋体" w:cs="宋体"/>
          <w:color w:val="auto"/>
          <w:sz w:val="24"/>
          <w:highlight w:val="none"/>
          <w:u w:val="single"/>
          <w:lang w:val="zh-TW" w:eastAsia="zh-TW"/>
        </w:rPr>
        <w:t>万元，土地费</w:t>
      </w:r>
      <w:r>
        <w:rPr>
          <w:rFonts w:hint="eastAsia" w:ascii="宋体" w:hAnsi="宋体" w:cs="宋体"/>
          <w:color w:val="auto"/>
          <w:sz w:val="24"/>
          <w:highlight w:val="none"/>
          <w:u w:val="single"/>
          <w:lang w:eastAsia="zh-TW"/>
        </w:rPr>
        <w:t>2580</w:t>
      </w:r>
      <w:r>
        <w:rPr>
          <w:rFonts w:hint="eastAsia" w:ascii="宋体" w:hAnsi="宋体" w:cs="宋体"/>
          <w:color w:val="auto"/>
          <w:sz w:val="24"/>
          <w:highlight w:val="none"/>
          <w:u w:val="single"/>
          <w:lang w:val="zh-TW" w:eastAsia="zh-TW"/>
        </w:rPr>
        <w:t>万元，由市政府固定资产投资解决，土地费由房山区包干使用</w:t>
      </w:r>
      <w:r>
        <w:rPr>
          <w:rFonts w:hint="eastAsia" w:ascii="宋体" w:hAnsi="宋体" w:cs="宋体"/>
          <w:color w:val="auto"/>
          <w:sz w:val="24"/>
          <w:highlight w:val="none"/>
          <w:u w:val="single"/>
          <w:lang w:eastAsia="zh-TW"/>
        </w:rPr>
        <w:t>;</w:t>
      </w:r>
      <w:r>
        <w:rPr>
          <w:rFonts w:hint="eastAsia" w:ascii="宋体" w:hAnsi="宋体" w:cs="宋体"/>
          <w:color w:val="auto"/>
          <w:sz w:val="24"/>
          <w:highlight w:val="none"/>
          <w:u w:val="single"/>
          <w:lang w:val="zh-TW" w:eastAsia="zh-TW"/>
        </w:rPr>
        <w:t>专业设备费</w:t>
      </w:r>
      <w:r>
        <w:rPr>
          <w:rFonts w:hint="eastAsia" w:ascii="宋体" w:hAnsi="宋体" w:cs="宋体"/>
          <w:color w:val="auto"/>
          <w:sz w:val="24"/>
          <w:highlight w:val="none"/>
          <w:u w:val="single"/>
          <w:lang w:eastAsia="zh-TW"/>
        </w:rPr>
        <w:t>2337</w:t>
      </w:r>
      <w:r>
        <w:rPr>
          <w:rFonts w:hint="eastAsia" w:ascii="宋体" w:hAnsi="宋体" w:cs="宋体"/>
          <w:color w:val="auto"/>
          <w:sz w:val="24"/>
          <w:highlight w:val="none"/>
          <w:u w:val="single"/>
          <w:lang w:val="zh-TW" w:eastAsia="zh-TW"/>
        </w:rPr>
        <w:t>万元。由市财政局资金保障，最终金额以市财政局评审金额为准。</w:t>
      </w:r>
    </w:p>
    <w:p w14:paraId="77747B85">
      <w:pPr>
        <w:spacing w:after="0" w:line="360" w:lineRule="auto"/>
        <w:ind w:firstLine="482" w:firstLineChars="200"/>
        <w:rPr>
          <w:rFonts w:hint="eastAsia" w:ascii="宋体" w:hAnsi="宋体" w:cs="宋体"/>
          <w:b/>
          <w:bCs/>
          <w:color w:val="auto"/>
          <w:sz w:val="24"/>
          <w:highlight w:val="none"/>
        </w:rPr>
      </w:pPr>
      <w:bookmarkStart w:id="951" w:name="_Toc372878296"/>
      <w:bookmarkStart w:id="952" w:name="_Toc372877734"/>
      <w:bookmarkStart w:id="953" w:name="_Toc13726"/>
      <w:r>
        <w:rPr>
          <w:rFonts w:hint="eastAsia" w:ascii="宋体" w:hAnsi="宋体" w:cs="宋体"/>
          <w:b/>
          <w:bCs/>
          <w:color w:val="auto"/>
          <w:sz w:val="24"/>
          <w:highlight w:val="none"/>
        </w:rPr>
        <w:t>二、管理范围和内容</w:t>
      </w:r>
      <w:bookmarkEnd w:id="951"/>
      <w:bookmarkEnd w:id="952"/>
      <w:bookmarkEnd w:id="953"/>
    </w:p>
    <w:p w14:paraId="4AB3A6CF">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1.管理范围：</w:t>
      </w:r>
      <w:r>
        <w:rPr>
          <w:rFonts w:hint="eastAsia" w:ascii="宋体" w:hAnsi="宋体" w:cs="宋体"/>
          <w:color w:val="auto"/>
          <w:sz w:val="24"/>
          <w:highlight w:val="none"/>
          <w:u w:val="single"/>
        </w:rPr>
        <w:t>市发改委关于本项目建议书（代可行性研究报告）批复中的所有建设内容（除批复中的土地及专业设备投资内容）。</w:t>
      </w:r>
    </w:p>
    <w:p w14:paraId="6913390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2.管理内容：</w:t>
      </w:r>
      <w:r>
        <w:rPr>
          <w:rFonts w:hint="eastAsia" w:ascii="宋体" w:hAnsi="宋体" w:cs="宋体"/>
          <w:color w:val="auto"/>
          <w:sz w:val="24"/>
          <w:highlight w:val="none"/>
          <w:u w:val="single"/>
        </w:rPr>
        <w:t>协助委托人开展市发改委关于本项目建议书（代可行性研究报告）批复中的所有建设内容（除土地及专业设备投资内容）的项目前期管理、投资造价管理、设计管理、采购管理、合同管理、施工安全质量进度管理、竣工验收、档案管理等方面工作，具体事项如下</w:t>
      </w:r>
      <w:r>
        <w:rPr>
          <w:rFonts w:hint="eastAsia" w:ascii="宋体" w:hAnsi="宋体" w:cs="宋体"/>
          <w:color w:val="auto"/>
          <w:sz w:val="24"/>
          <w:highlight w:val="none"/>
        </w:rPr>
        <w:t>：</w:t>
      </w:r>
    </w:p>
    <w:p w14:paraId="217F959D">
      <w:pPr>
        <w:keepNext w:val="0"/>
        <w:keepLines w:val="0"/>
        <w:pageBreakBefore w:val="0"/>
        <w:widowControl w:val="0"/>
        <w:tabs>
          <w:tab w:val="left" w:pos="426"/>
        </w:tabs>
        <w:kinsoku/>
        <w:wordWrap/>
        <w:overflowPunct/>
        <w:topLinePunct w:val="0"/>
        <w:autoSpaceDE/>
        <w:autoSpaceDN/>
        <w:bidi w:val="0"/>
        <w:adjustRightInd/>
        <w:snapToGrid/>
        <w:spacing w:after="0" w:line="360" w:lineRule="auto"/>
        <w:ind w:firstLine="482" w:firstLineChars="200"/>
        <w:textAlignment w:val="auto"/>
        <w:rPr>
          <w:rFonts w:hint="eastAsia" w:ascii="宋体" w:hAnsi="宋体" w:cs="宋体"/>
          <w:b/>
          <w:color w:val="auto"/>
          <w:sz w:val="24"/>
          <w:highlight w:val="none"/>
        </w:rPr>
      </w:pPr>
      <w:bookmarkStart w:id="954" w:name="_Toc14115"/>
      <w:r>
        <w:rPr>
          <w:rFonts w:hint="eastAsia" w:ascii="宋体" w:hAnsi="宋体" w:cs="宋体"/>
          <w:b/>
          <w:color w:val="auto"/>
          <w:sz w:val="24"/>
          <w:highlight w:val="none"/>
        </w:rPr>
        <w:t>2.1项目前期管理</w:t>
      </w:r>
    </w:p>
    <w:p w14:paraId="369B7A3B">
      <w:pPr>
        <w:keepNext w:val="0"/>
        <w:keepLines w:val="0"/>
        <w:pageBreakBefore w:val="0"/>
        <w:widowControl w:val="0"/>
        <w:tabs>
          <w:tab w:val="left" w:pos="426"/>
        </w:tabs>
        <w:kinsoku/>
        <w:wordWrap/>
        <w:overflowPunct/>
        <w:topLinePunct w:val="0"/>
        <w:autoSpaceDE/>
        <w:autoSpaceDN/>
        <w:bidi w:val="0"/>
        <w:adjustRightInd/>
        <w:snapToGrid/>
        <w:spacing w:after="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1)对项目建设单位办理项目所需的审批手续提供技术支撑，协助建设单位报送项目资料到有关发改、规自、土地、文物、地震、园林绿化、人防、消防、建委等部门办理审批手续。</w:t>
      </w:r>
    </w:p>
    <w:p w14:paraId="05AD0D3E">
      <w:pPr>
        <w:keepNext w:val="0"/>
        <w:keepLines w:val="0"/>
        <w:pageBreakBefore w:val="0"/>
        <w:widowControl w:val="0"/>
        <w:tabs>
          <w:tab w:val="left" w:pos="426"/>
        </w:tabs>
        <w:kinsoku/>
        <w:wordWrap/>
        <w:overflowPunct/>
        <w:topLinePunct w:val="0"/>
        <w:autoSpaceDE/>
        <w:autoSpaceDN/>
        <w:bidi w:val="0"/>
        <w:adjustRightInd/>
        <w:snapToGrid/>
        <w:spacing w:after="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2）组织交评、水保等相关单位，开展相关工作，并组织相关单位为其工作开展提供必要的基础数据。</w:t>
      </w:r>
    </w:p>
    <w:p w14:paraId="5AE1B4E6">
      <w:pPr>
        <w:keepNext w:val="0"/>
        <w:keepLines w:val="0"/>
        <w:pageBreakBefore w:val="0"/>
        <w:widowControl w:val="0"/>
        <w:tabs>
          <w:tab w:val="left" w:pos="426"/>
        </w:tabs>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olor w:val="auto"/>
          <w:sz w:val="24"/>
          <w:highlight w:val="none"/>
        </w:rPr>
        <w:t>3）在办理市政配套有关手续过程中提供必要的技术服务</w:t>
      </w:r>
      <w:r>
        <w:rPr>
          <w:rFonts w:hint="eastAsia" w:ascii="宋体" w:hAnsi="宋体" w:cs="宋体"/>
          <w:color w:val="auto"/>
          <w:sz w:val="24"/>
          <w:highlight w:val="none"/>
        </w:rPr>
        <w:t>。</w:t>
      </w:r>
    </w:p>
    <w:p w14:paraId="1FE5D04C">
      <w:pPr>
        <w:keepNext w:val="0"/>
        <w:keepLines w:val="0"/>
        <w:pageBreakBefore w:val="0"/>
        <w:widowControl w:val="0"/>
        <w:tabs>
          <w:tab w:val="left" w:pos="426"/>
        </w:tabs>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olor w:val="auto"/>
          <w:sz w:val="24"/>
          <w:highlight w:val="none"/>
        </w:rPr>
        <w:t>4）向建设单位推荐建设领域专家，为建设单位相关决策、方案对比等提供技术支持。</w:t>
      </w:r>
    </w:p>
    <w:p w14:paraId="4E74A6EF">
      <w:pPr>
        <w:keepNext w:val="0"/>
        <w:keepLines w:val="0"/>
        <w:pageBreakBefore w:val="0"/>
        <w:widowControl w:val="0"/>
        <w:tabs>
          <w:tab w:val="left" w:pos="426"/>
        </w:tabs>
        <w:kinsoku/>
        <w:wordWrap/>
        <w:overflowPunct/>
        <w:topLinePunct w:val="0"/>
        <w:autoSpaceDE/>
        <w:autoSpaceDN/>
        <w:bidi w:val="0"/>
        <w:adjustRightInd/>
        <w:snapToGrid/>
        <w:spacing w:after="0" w:line="360" w:lineRule="auto"/>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2.2投资造价管理</w:t>
      </w:r>
    </w:p>
    <w:p w14:paraId="6C3508EC">
      <w:pPr>
        <w:keepNext w:val="0"/>
        <w:keepLines w:val="0"/>
        <w:pageBreakBefore w:val="0"/>
        <w:widowControl w:val="0"/>
        <w:tabs>
          <w:tab w:val="left" w:pos="426"/>
        </w:tabs>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1)负责制定各阶段资金（资金占用）计划，进行定期的或阶段性的投资预测和投资评估，并提供相应的资金评估风险意见。</w:t>
      </w:r>
    </w:p>
    <w:p w14:paraId="49A4275E">
      <w:pPr>
        <w:keepNext w:val="0"/>
        <w:keepLines w:val="0"/>
        <w:pageBreakBefore w:val="0"/>
        <w:widowControl w:val="0"/>
        <w:tabs>
          <w:tab w:val="left" w:pos="426"/>
        </w:tabs>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2）负责对设计单位编制的初步设计概算进行审核，审核内容包括初设概算的完整性、与投资估算内容、金额的变化情况。</w:t>
      </w:r>
    </w:p>
    <w:p w14:paraId="39870EB3">
      <w:pPr>
        <w:keepNext w:val="0"/>
        <w:keepLines w:val="0"/>
        <w:pageBreakBefore w:val="0"/>
        <w:widowControl w:val="0"/>
        <w:tabs>
          <w:tab w:val="left" w:pos="426"/>
        </w:tabs>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3）审核各相关合同费用、价款调整方式及支付方式，并对合同履行过程中的工程款支付进行审核。</w:t>
      </w:r>
    </w:p>
    <w:p w14:paraId="0D4BC2CB">
      <w:pPr>
        <w:keepNext w:val="0"/>
        <w:keepLines w:val="0"/>
        <w:pageBreakBefore w:val="0"/>
        <w:widowControl w:val="0"/>
        <w:tabs>
          <w:tab w:val="left" w:pos="426"/>
        </w:tabs>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4）审核暂估项部分工程量清单及招标控制价，确保其的完整性及合理性，参与暂估价材料、设备的询价工作。</w:t>
      </w:r>
    </w:p>
    <w:p w14:paraId="2E7CB073">
      <w:pPr>
        <w:keepNext w:val="0"/>
        <w:keepLines w:val="0"/>
        <w:pageBreakBefore w:val="0"/>
        <w:widowControl w:val="0"/>
        <w:tabs>
          <w:tab w:val="left" w:pos="426"/>
        </w:tabs>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5）对工程变更文件进行审核，涉及结构变化、费用变化、建设标准变化的报建设单位（委托单位）同意后执行，并协助建设单位（委托单位）履行变更程序。</w:t>
      </w:r>
    </w:p>
    <w:p w14:paraId="4A9329BC">
      <w:pPr>
        <w:keepNext w:val="0"/>
        <w:keepLines w:val="0"/>
        <w:pageBreakBefore w:val="0"/>
        <w:widowControl w:val="0"/>
        <w:tabs>
          <w:tab w:val="left" w:pos="426"/>
        </w:tabs>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6）负责组织工程结算工作，拟定结算（审核）方案，确保工程结算工作符合相关要求。</w:t>
      </w:r>
    </w:p>
    <w:p w14:paraId="0AB4E093">
      <w:pPr>
        <w:keepNext w:val="0"/>
        <w:keepLines w:val="0"/>
        <w:pageBreakBefore w:val="0"/>
        <w:widowControl w:val="0"/>
        <w:tabs>
          <w:tab w:val="left" w:pos="426"/>
        </w:tabs>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7）协助建设单位接受相关审计监察单位的检查。</w:t>
      </w:r>
    </w:p>
    <w:p w14:paraId="58182D16">
      <w:pPr>
        <w:keepNext w:val="0"/>
        <w:keepLines w:val="0"/>
        <w:pageBreakBefore w:val="0"/>
        <w:widowControl w:val="0"/>
        <w:tabs>
          <w:tab w:val="left" w:pos="426"/>
        </w:tabs>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8）负责编制项目工程量清单及控制价，确保其的完整性及合理性。</w:t>
      </w:r>
    </w:p>
    <w:p w14:paraId="32867BFC">
      <w:pPr>
        <w:keepNext w:val="0"/>
        <w:keepLines w:val="0"/>
        <w:pageBreakBefore w:val="0"/>
        <w:widowControl w:val="0"/>
        <w:tabs>
          <w:tab w:val="left" w:pos="426"/>
        </w:tabs>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highlight w:val="none"/>
        </w:rPr>
      </w:pPr>
      <w:r>
        <w:rPr>
          <w:rFonts w:ascii="宋体" w:hAnsi="宋体" w:cs="宋体"/>
          <w:color w:val="auto"/>
          <w:sz w:val="24"/>
          <w:highlight w:val="none"/>
        </w:rPr>
        <w:t>9</w:t>
      </w:r>
      <w:r>
        <w:rPr>
          <w:rFonts w:hint="eastAsia" w:ascii="宋体" w:hAnsi="宋体" w:cs="宋体"/>
          <w:color w:val="auto"/>
          <w:sz w:val="24"/>
          <w:highlight w:val="none"/>
        </w:rPr>
        <w:t>）对施工过程中发生的新材料、新设备、新工艺，进行市场询价、认价工作，并报甲方确认。</w:t>
      </w:r>
    </w:p>
    <w:p w14:paraId="6C4F47F6">
      <w:pPr>
        <w:keepNext w:val="0"/>
        <w:keepLines w:val="0"/>
        <w:pageBreakBefore w:val="0"/>
        <w:widowControl w:val="0"/>
        <w:tabs>
          <w:tab w:val="left" w:pos="426"/>
        </w:tabs>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10）配合建设单位开展竣工决算相关工作。</w:t>
      </w:r>
    </w:p>
    <w:p w14:paraId="3888AB45">
      <w:pPr>
        <w:keepNext w:val="0"/>
        <w:keepLines w:val="0"/>
        <w:pageBreakBefore w:val="0"/>
        <w:widowControl w:val="0"/>
        <w:tabs>
          <w:tab w:val="left" w:pos="426"/>
        </w:tabs>
        <w:kinsoku/>
        <w:wordWrap/>
        <w:overflowPunct/>
        <w:topLinePunct w:val="0"/>
        <w:autoSpaceDE/>
        <w:autoSpaceDN/>
        <w:bidi w:val="0"/>
        <w:adjustRightInd/>
        <w:snapToGrid/>
        <w:spacing w:after="0" w:line="360" w:lineRule="auto"/>
        <w:ind w:firstLine="482" w:firstLineChars="200"/>
        <w:textAlignment w:val="auto"/>
        <w:rPr>
          <w:rFonts w:hint="eastAsia" w:ascii="宋体" w:hAnsi="宋体" w:cs="宋体"/>
          <w:color w:val="auto"/>
          <w:sz w:val="24"/>
          <w:highlight w:val="none"/>
        </w:rPr>
      </w:pPr>
      <w:r>
        <w:rPr>
          <w:rFonts w:hint="eastAsia" w:ascii="宋体" w:hAnsi="宋体" w:cs="宋体"/>
          <w:b/>
          <w:color w:val="auto"/>
          <w:sz w:val="24"/>
          <w:highlight w:val="none"/>
        </w:rPr>
        <w:t>2.3设计管理</w:t>
      </w:r>
    </w:p>
    <w:p w14:paraId="6E1F3621">
      <w:pPr>
        <w:keepNext w:val="0"/>
        <w:keepLines w:val="0"/>
        <w:pageBreakBefore w:val="0"/>
        <w:widowControl w:val="0"/>
        <w:tabs>
          <w:tab w:val="left" w:pos="426"/>
        </w:tabs>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1)组织设计单位办理设计文件、施工图审查等审批手续。</w:t>
      </w:r>
    </w:p>
    <w:p w14:paraId="3E6C7571">
      <w:pPr>
        <w:keepNext w:val="0"/>
        <w:keepLines w:val="0"/>
        <w:pageBreakBefore w:val="0"/>
        <w:widowControl w:val="0"/>
        <w:tabs>
          <w:tab w:val="left" w:pos="426"/>
        </w:tabs>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2）组织设计单位为发改、规自、土地、地震、园林绿化、人防、消防等审批手续提供所需设计文件。</w:t>
      </w:r>
    </w:p>
    <w:p w14:paraId="61E247CA">
      <w:pPr>
        <w:keepNext w:val="0"/>
        <w:keepLines w:val="0"/>
        <w:pageBreakBefore w:val="0"/>
        <w:widowControl w:val="0"/>
        <w:tabs>
          <w:tab w:val="left" w:pos="426"/>
        </w:tabs>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3）组织设计单位开展优化设计工作，及时将各方审核意见、专家咨询、论证意见以及建设单位使用意见提供给设计单位，对项目设计进行优化。</w:t>
      </w:r>
    </w:p>
    <w:p w14:paraId="40E9051F">
      <w:pPr>
        <w:keepNext w:val="0"/>
        <w:keepLines w:val="0"/>
        <w:pageBreakBefore w:val="0"/>
        <w:widowControl w:val="0"/>
        <w:tabs>
          <w:tab w:val="left" w:pos="426"/>
        </w:tabs>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4）审核设计单位提出的详细的设计进度计划和出图计划，并控制其执行。</w:t>
      </w:r>
    </w:p>
    <w:p w14:paraId="46764FF3">
      <w:pPr>
        <w:keepNext w:val="0"/>
        <w:keepLines w:val="0"/>
        <w:pageBreakBefore w:val="0"/>
        <w:widowControl w:val="0"/>
        <w:tabs>
          <w:tab w:val="left" w:pos="426"/>
        </w:tabs>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5）协助建设单位组织施工图设计技术交底，审查签发交底会议纪要。涉及工期费用、建设标准或使用功能的报建设单位确定。</w:t>
      </w:r>
    </w:p>
    <w:p w14:paraId="43E60760">
      <w:pPr>
        <w:keepNext w:val="0"/>
        <w:keepLines w:val="0"/>
        <w:pageBreakBefore w:val="0"/>
        <w:widowControl w:val="0"/>
        <w:tabs>
          <w:tab w:val="left" w:pos="426"/>
        </w:tabs>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6）组织或协助建设单位对项目过程出现的问题或遇到的技术难题召开专题研讨会，解决相关问题。</w:t>
      </w:r>
    </w:p>
    <w:p w14:paraId="6AB5CF81">
      <w:pPr>
        <w:keepNext w:val="0"/>
        <w:keepLines w:val="0"/>
        <w:pageBreakBefore w:val="0"/>
        <w:widowControl w:val="0"/>
        <w:tabs>
          <w:tab w:val="left" w:pos="426"/>
        </w:tabs>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7）审核设计变更的必要性、经济性、建筑造型和使用功能是否满足建设单位的要求。</w:t>
      </w:r>
    </w:p>
    <w:p w14:paraId="5BE67BB3">
      <w:pPr>
        <w:keepNext w:val="0"/>
        <w:keepLines w:val="0"/>
        <w:pageBreakBefore w:val="0"/>
        <w:widowControl w:val="0"/>
        <w:tabs>
          <w:tab w:val="left" w:pos="426"/>
        </w:tabs>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8）审核最终交付的施工图设计是否有足够的深度，是否满足可施工性的要求，以确保施工进度计划的顺利进行</w:t>
      </w:r>
    </w:p>
    <w:p w14:paraId="34247B30">
      <w:pPr>
        <w:keepNext w:val="0"/>
        <w:keepLines w:val="0"/>
        <w:pageBreakBefore w:val="0"/>
        <w:widowControl w:val="0"/>
        <w:tabs>
          <w:tab w:val="left" w:pos="426"/>
        </w:tabs>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9）协助建设单位进行图纸和设计文件的管理。</w:t>
      </w:r>
    </w:p>
    <w:p w14:paraId="7696AF42">
      <w:pPr>
        <w:keepNext w:val="0"/>
        <w:keepLines w:val="0"/>
        <w:pageBreakBefore w:val="0"/>
        <w:widowControl w:val="0"/>
        <w:tabs>
          <w:tab w:val="left" w:pos="426"/>
        </w:tabs>
        <w:kinsoku/>
        <w:wordWrap/>
        <w:overflowPunct/>
        <w:topLinePunct w:val="0"/>
        <w:autoSpaceDE/>
        <w:autoSpaceDN/>
        <w:bidi w:val="0"/>
        <w:adjustRightInd/>
        <w:snapToGrid/>
        <w:spacing w:after="0" w:line="360" w:lineRule="auto"/>
        <w:ind w:firstLine="482" w:firstLineChars="200"/>
        <w:textAlignment w:val="auto"/>
        <w:rPr>
          <w:rFonts w:hint="eastAsia" w:ascii="宋体" w:hAnsi="宋体" w:cs="宋体"/>
          <w:color w:val="auto"/>
          <w:sz w:val="24"/>
          <w:highlight w:val="none"/>
        </w:rPr>
      </w:pPr>
      <w:r>
        <w:rPr>
          <w:rFonts w:hint="eastAsia" w:ascii="宋体" w:hAnsi="宋体" w:cs="宋体"/>
          <w:b/>
          <w:color w:val="auto"/>
          <w:sz w:val="24"/>
          <w:highlight w:val="none"/>
        </w:rPr>
        <w:t>2.4采购管理</w:t>
      </w:r>
    </w:p>
    <w:p w14:paraId="0DCE7A7B">
      <w:pPr>
        <w:keepNext w:val="0"/>
        <w:keepLines w:val="0"/>
        <w:pageBreakBefore w:val="0"/>
        <w:widowControl w:val="0"/>
        <w:tabs>
          <w:tab w:val="left" w:pos="426"/>
        </w:tabs>
        <w:kinsoku/>
        <w:wordWrap/>
        <w:overflowPunct/>
        <w:topLinePunct w:val="0"/>
        <w:autoSpaceDE/>
        <w:autoSpaceDN/>
        <w:bidi w:val="0"/>
        <w:adjustRightInd/>
        <w:snapToGrid/>
        <w:spacing w:after="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1）根据工程建设需要和建设单位的相关要求，合法、合规开展采购管理咨询服务，参与采购文件编制，针对具体授权事项开展具体采购管理服务。</w:t>
      </w:r>
    </w:p>
    <w:p w14:paraId="453D6BC4">
      <w:pPr>
        <w:keepNext w:val="0"/>
        <w:keepLines w:val="0"/>
        <w:pageBreakBefore w:val="0"/>
        <w:widowControl w:val="0"/>
        <w:tabs>
          <w:tab w:val="left" w:pos="426"/>
        </w:tabs>
        <w:kinsoku/>
        <w:wordWrap/>
        <w:overflowPunct/>
        <w:topLinePunct w:val="0"/>
        <w:autoSpaceDE/>
        <w:autoSpaceDN/>
        <w:bidi w:val="0"/>
        <w:adjustRightInd/>
        <w:snapToGrid/>
        <w:spacing w:after="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2）组织审核勘察、设计、施工、监理等采购过程文件，并向建设单位报送采购阶段过程文件审核成果。</w:t>
      </w:r>
    </w:p>
    <w:p w14:paraId="605C290D">
      <w:pPr>
        <w:keepNext w:val="0"/>
        <w:keepLines w:val="0"/>
        <w:pageBreakBefore w:val="0"/>
        <w:widowControl w:val="0"/>
        <w:tabs>
          <w:tab w:val="left" w:pos="426"/>
        </w:tabs>
        <w:kinsoku/>
        <w:wordWrap/>
        <w:overflowPunct/>
        <w:topLinePunct w:val="0"/>
        <w:autoSpaceDE/>
        <w:autoSpaceDN/>
        <w:bidi w:val="0"/>
        <w:adjustRightInd/>
        <w:snapToGrid/>
        <w:spacing w:after="0" w:line="360" w:lineRule="auto"/>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2.5合同管理</w:t>
      </w:r>
    </w:p>
    <w:p w14:paraId="4A9FB250">
      <w:pPr>
        <w:keepNext w:val="0"/>
        <w:keepLines w:val="0"/>
        <w:pageBreakBefore w:val="0"/>
        <w:widowControl w:val="0"/>
        <w:tabs>
          <w:tab w:val="left" w:pos="426"/>
        </w:tabs>
        <w:kinsoku/>
        <w:wordWrap/>
        <w:overflowPunct/>
        <w:topLinePunct w:val="0"/>
        <w:autoSpaceDE/>
        <w:autoSpaceDN/>
        <w:bidi w:val="0"/>
        <w:adjustRightInd/>
        <w:snapToGrid/>
        <w:spacing w:after="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1)协助建设单位进行工程勘察合同、设计合同、施工合同、监理合同、相关咨询类合同和甲供材料（设备）合同、保修合同的起草、谈判以及合同条款的解释。</w:t>
      </w:r>
    </w:p>
    <w:p w14:paraId="6B8871B0">
      <w:pPr>
        <w:keepNext w:val="0"/>
        <w:keepLines w:val="0"/>
        <w:pageBreakBefore w:val="0"/>
        <w:widowControl w:val="0"/>
        <w:tabs>
          <w:tab w:val="left" w:pos="426"/>
        </w:tabs>
        <w:kinsoku/>
        <w:wordWrap/>
        <w:overflowPunct/>
        <w:topLinePunct w:val="0"/>
        <w:autoSpaceDE/>
        <w:autoSpaceDN/>
        <w:bidi w:val="0"/>
        <w:adjustRightInd/>
        <w:snapToGrid/>
        <w:spacing w:after="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2）协助建设单位审核合同条款的修改和补充。</w:t>
      </w:r>
    </w:p>
    <w:p w14:paraId="6C7E69D7">
      <w:pPr>
        <w:keepNext w:val="0"/>
        <w:keepLines w:val="0"/>
        <w:pageBreakBefore w:val="0"/>
        <w:widowControl w:val="0"/>
        <w:tabs>
          <w:tab w:val="left" w:pos="426"/>
        </w:tabs>
        <w:kinsoku/>
        <w:wordWrap/>
        <w:overflowPunct/>
        <w:topLinePunct w:val="0"/>
        <w:autoSpaceDE/>
        <w:autoSpaceDN/>
        <w:bidi w:val="0"/>
        <w:adjustRightInd/>
        <w:snapToGrid/>
        <w:spacing w:after="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3）记录有关合同执行台帐，对合同进行跟踪管理。</w:t>
      </w:r>
    </w:p>
    <w:p w14:paraId="48AF5584">
      <w:pPr>
        <w:keepNext w:val="0"/>
        <w:keepLines w:val="0"/>
        <w:pageBreakBefore w:val="0"/>
        <w:widowControl w:val="0"/>
        <w:tabs>
          <w:tab w:val="left" w:pos="426"/>
        </w:tabs>
        <w:kinsoku/>
        <w:wordWrap/>
        <w:overflowPunct/>
        <w:topLinePunct w:val="0"/>
        <w:autoSpaceDE/>
        <w:autoSpaceDN/>
        <w:bidi w:val="0"/>
        <w:adjustRightInd/>
        <w:snapToGrid/>
        <w:spacing w:after="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4）审核合同的索赔和反索赔，提出报告报建设单位审定。</w:t>
      </w:r>
    </w:p>
    <w:p w14:paraId="09707EE6">
      <w:pPr>
        <w:keepNext w:val="0"/>
        <w:keepLines w:val="0"/>
        <w:pageBreakBefore w:val="0"/>
        <w:widowControl w:val="0"/>
        <w:tabs>
          <w:tab w:val="left" w:pos="426"/>
        </w:tabs>
        <w:kinsoku/>
        <w:wordWrap/>
        <w:overflowPunct/>
        <w:topLinePunct w:val="0"/>
        <w:autoSpaceDE/>
        <w:autoSpaceDN/>
        <w:bidi w:val="0"/>
        <w:adjustRightInd/>
        <w:snapToGrid/>
        <w:spacing w:after="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5）协助建设单位进行合同争议的协调。</w:t>
      </w:r>
    </w:p>
    <w:p w14:paraId="3BC0FE25">
      <w:pPr>
        <w:keepNext w:val="0"/>
        <w:keepLines w:val="0"/>
        <w:pageBreakBefore w:val="0"/>
        <w:widowControl w:val="0"/>
        <w:tabs>
          <w:tab w:val="left" w:pos="426"/>
        </w:tabs>
        <w:kinsoku/>
        <w:wordWrap/>
        <w:overflowPunct/>
        <w:topLinePunct w:val="0"/>
        <w:autoSpaceDE/>
        <w:autoSpaceDN/>
        <w:bidi w:val="0"/>
        <w:adjustRightInd/>
        <w:snapToGrid/>
        <w:spacing w:after="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6）工程竣工完成1个月内，提供设计、施工、监理合同履约情况评价。</w:t>
      </w:r>
    </w:p>
    <w:p w14:paraId="75E29AF1">
      <w:pPr>
        <w:keepNext w:val="0"/>
        <w:keepLines w:val="0"/>
        <w:pageBreakBefore w:val="0"/>
        <w:widowControl w:val="0"/>
        <w:tabs>
          <w:tab w:val="left" w:pos="426"/>
        </w:tabs>
        <w:kinsoku/>
        <w:wordWrap/>
        <w:overflowPunct/>
        <w:topLinePunct w:val="0"/>
        <w:autoSpaceDE/>
        <w:autoSpaceDN/>
        <w:bidi w:val="0"/>
        <w:adjustRightInd/>
        <w:snapToGrid/>
        <w:spacing w:after="0" w:line="360" w:lineRule="auto"/>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2.6施工安全质量进度管理</w:t>
      </w:r>
    </w:p>
    <w:p w14:paraId="115F1706">
      <w:pPr>
        <w:keepNext w:val="0"/>
        <w:keepLines w:val="0"/>
        <w:pageBreakBefore w:val="0"/>
        <w:widowControl w:val="0"/>
        <w:numPr>
          <w:ilvl w:val="1"/>
          <w:numId w:val="0"/>
        </w:numPr>
        <w:tabs>
          <w:tab w:val="left" w:pos="426"/>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olor w:val="auto"/>
          <w:sz w:val="24"/>
          <w:highlight w:val="none"/>
        </w:rPr>
        <w:t>1)协助</w:t>
      </w:r>
      <w:r>
        <w:rPr>
          <w:rFonts w:hint="eastAsia" w:ascii="宋体" w:hAnsi="宋体" w:cs="宋体"/>
          <w:color w:val="auto"/>
          <w:sz w:val="24"/>
          <w:highlight w:val="none"/>
        </w:rPr>
        <w:t>建设单位确定工程质量目标，并根据工程质量目标制定相应的分解目标，提出相应措施。</w:t>
      </w:r>
    </w:p>
    <w:p w14:paraId="0803043F">
      <w:pPr>
        <w:keepNext w:val="0"/>
        <w:keepLines w:val="0"/>
        <w:pageBreakBefore w:val="0"/>
        <w:widowControl w:val="0"/>
        <w:numPr>
          <w:ilvl w:val="1"/>
          <w:numId w:val="0"/>
        </w:numPr>
        <w:tabs>
          <w:tab w:val="left" w:pos="426"/>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olor w:val="auto"/>
          <w:sz w:val="24"/>
          <w:highlight w:val="none"/>
        </w:rPr>
        <w:t>2)</w:t>
      </w:r>
      <w:r>
        <w:rPr>
          <w:rFonts w:hint="eastAsia" w:ascii="宋体" w:hAnsi="宋体" w:cs="宋体"/>
          <w:color w:val="auto"/>
          <w:sz w:val="24"/>
          <w:highlight w:val="none"/>
        </w:rPr>
        <w:t>督促相关单位制定相应的质保体系，及达到质量目标的对策措施。</w:t>
      </w:r>
    </w:p>
    <w:p w14:paraId="76C687CD">
      <w:pPr>
        <w:keepNext w:val="0"/>
        <w:keepLines w:val="0"/>
        <w:pageBreakBefore w:val="0"/>
        <w:widowControl w:val="0"/>
        <w:numPr>
          <w:ilvl w:val="1"/>
          <w:numId w:val="0"/>
        </w:numPr>
        <w:tabs>
          <w:tab w:val="left" w:pos="426"/>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olor w:val="auto"/>
          <w:sz w:val="24"/>
          <w:highlight w:val="none"/>
        </w:rPr>
        <w:t>3)</w:t>
      </w:r>
      <w:r>
        <w:rPr>
          <w:rFonts w:hint="eastAsia" w:ascii="宋体" w:hAnsi="宋体" w:cs="宋体"/>
          <w:color w:val="auto"/>
          <w:sz w:val="24"/>
          <w:highlight w:val="none"/>
        </w:rPr>
        <w:t>监督监理单位审查施工单位资质、考察施工单位综合实力，并负责对工程现场进行质量管理。</w:t>
      </w:r>
    </w:p>
    <w:p w14:paraId="3954B60A">
      <w:pPr>
        <w:keepNext w:val="0"/>
        <w:keepLines w:val="0"/>
        <w:pageBreakBefore w:val="0"/>
        <w:widowControl w:val="0"/>
        <w:numPr>
          <w:ilvl w:val="1"/>
          <w:numId w:val="0"/>
        </w:numPr>
        <w:tabs>
          <w:tab w:val="left" w:pos="426"/>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olor w:val="auto"/>
          <w:sz w:val="24"/>
          <w:highlight w:val="none"/>
        </w:rPr>
        <w:t>4)</w:t>
      </w:r>
      <w:r>
        <w:rPr>
          <w:rFonts w:hint="eastAsia" w:ascii="宋体" w:hAnsi="宋体" w:cs="宋体"/>
          <w:color w:val="auto"/>
          <w:sz w:val="24"/>
          <w:highlight w:val="none"/>
        </w:rPr>
        <w:t>组织相关单位定期向建设单位提交工程质量情况报告。</w:t>
      </w:r>
    </w:p>
    <w:p w14:paraId="01D86D23">
      <w:pPr>
        <w:keepNext w:val="0"/>
        <w:keepLines w:val="0"/>
        <w:pageBreakBefore w:val="0"/>
        <w:widowControl w:val="0"/>
        <w:numPr>
          <w:ilvl w:val="1"/>
          <w:numId w:val="0"/>
        </w:numPr>
        <w:tabs>
          <w:tab w:val="left" w:pos="426"/>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olor w:val="auto"/>
          <w:sz w:val="24"/>
          <w:highlight w:val="none"/>
        </w:rPr>
        <w:t>5)</w:t>
      </w:r>
      <w:r>
        <w:rPr>
          <w:rFonts w:hint="eastAsia" w:ascii="宋体" w:hAnsi="宋体" w:cs="宋体"/>
          <w:color w:val="auto"/>
          <w:sz w:val="24"/>
          <w:highlight w:val="none"/>
        </w:rPr>
        <w:t>参加处理工程质量事故、查明事故原因和责任，报建设单位备案并督促和检查事故处理方案的实施。</w:t>
      </w:r>
    </w:p>
    <w:p w14:paraId="66DF8079">
      <w:pPr>
        <w:keepNext w:val="0"/>
        <w:keepLines w:val="0"/>
        <w:pageBreakBefore w:val="0"/>
        <w:widowControl w:val="0"/>
        <w:numPr>
          <w:ilvl w:val="1"/>
          <w:numId w:val="0"/>
        </w:numPr>
        <w:tabs>
          <w:tab w:val="left" w:pos="426"/>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olor w:val="auto"/>
          <w:sz w:val="24"/>
          <w:highlight w:val="none"/>
        </w:rPr>
        <w:t>6)</w:t>
      </w:r>
      <w:r>
        <w:rPr>
          <w:rFonts w:hint="eastAsia" w:ascii="宋体" w:hAnsi="宋体" w:cs="宋体"/>
          <w:color w:val="auto"/>
          <w:sz w:val="24"/>
          <w:highlight w:val="none"/>
        </w:rPr>
        <w:t>督促、检查参建单位安全生产管理制度的建立和健全，落实安全生产责任制，协助建设单位与其签订安全生产、文明施工协议。</w:t>
      </w:r>
    </w:p>
    <w:p w14:paraId="27509AF8">
      <w:pPr>
        <w:keepNext w:val="0"/>
        <w:keepLines w:val="0"/>
        <w:pageBreakBefore w:val="0"/>
        <w:widowControl w:val="0"/>
        <w:numPr>
          <w:ilvl w:val="1"/>
          <w:numId w:val="0"/>
        </w:numPr>
        <w:tabs>
          <w:tab w:val="left" w:pos="426"/>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olor w:val="auto"/>
          <w:sz w:val="24"/>
          <w:highlight w:val="none"/>
        </w:rPr>
        <w:t>7)每周</w:t>
      </w:r>
      <w:r>
        <w:rPr>
          <w:rFonts w:hint="eastAsia" w:ascii="宋体" w:hAnsi="宋体" w:cs="宋体"/>
          <w:color w:val="auto"/>
          <w:sz w:val="24"/>
          <w:highlight w:val="none"/>
        </w:rPr>
        <w:t>组织检查安全生产措施落实情况，并不定期开展有针对性的安全检查。</w:t>
      </w:r>
    </w:p>
    <w:p w14:paraId="5A55F3FC">
      <w:pPr>
        <w:keepNext w:val="0"/>
        <w:keepLines w:val="0"/>
        <w:pageBreakBefore w:val="0"/>
        <w:widowControl w:val="0"/>
        <w:numPr>
          <w:ilvl w:val="1"/>
          <w:numId w:val="0"/>
        </w:numPr>
        <w:tabs>
          <w:tab w:val="left" w:pos="426"/>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olor w:val="auto"/>
          <w:sz w:val="24"/>
          <w:highlight w:val="none"/>
        </w:rPr>
        <w:t>8)</w:t>
      </w:r>
      <w:r>
        <w:rPr>
          <w:rFonts w:hint="eastAsia" w:ascii="宋体" w:hAnsi="宋体" w:cs="宋体"/>
          <w:color w:val="auto"/>
          <w:sz w:val="24"/>
          <w:highlight w:val="none"/>
        </w:rPr>
        <w:t>根据工程进度，督促总包单位及时分析梳理项目安全生产风险点，并采取有效措施予以防范。</w:t>
      </w:r>
    </w:p>
    <w:p w14:paraId="2E7DE6DC">
      <w:pPr>
        <w:keepNext w:val="0"/>
        <w:keepLines w:val="0"/>
        <w:pageBreakBefore w:val="0"/>
        <w:widowControl w:val="0"/>
        <w:numPr>
          <w:ilvl w:val="1"/>
          <w:numId w:val="0"/>
        </w:numPr>
        <w:tabs>
          <w:tab w:val="left" w:pos="426"/>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olor w:val="auto"/>
          <w:sz w:val="24"/>
          <w:highlight w:val="none"/>
        </w:rPr>
        <w:t>9)</w:t>
      </w:r>
      <w:r>
        <w:rPr>
          <w:rFonts w:hint="eastAsia" w:ascii="宋体" w:hAnsi="宋体" w:cs="宋体"/>
          <w:color w:val="auto"/>
          <w:sz w:val="24"/>
          <w:highlight w:val="none"/>
        </w:rPr>
        <w:t>参加安全事故调查处理工作，督促、检查相关单位做到“四不放过”原则。</w:t>
      </w:r>
    </w:p>
    <w:p w14:paraId="2F0E575F">
      <w:pPr>
        <w:keepNext w:val="0"/>
        <w:keepLines w:val="0"/>
        <w:pageBreakBefore w:val="0"/>
        <w:widowControl w:val="0"/>
        <w:numPr>
          <w:ilvl w:val="1"/>
          <w:numId w:val="0"/>
        </w:numPr>
        <w:tabs>
          <w:tab w:val="left" w:pos="426"/>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olor w:val="auto"/>
          <w:sz w:val="24"/>
          <w:highlight w:val="none"/>
        </w:rPr>
        <w:t>10)</w:t>
      </w:r>
      <w:r>
        <w:rPr>
          <w:rFonts w:hint="eastAsia" w:ascii="宋体" w:hAnsi="宋体" w:cs="宋体"/>
          <w:color w:val="auto"/>
          <w:sz w:val="24"/>
          <w:highlight w:val="none"/>
        </w:rPr>
        <w:t>督促各总包单位在竣工后妥善地进行成品保护。</w:t>
      </w:r>
    </w:p>
    <w:p w14:paraId="543A9BFF">
      <w:pPr>
        <w:keepNext w:val="0"/>
        <w:keepLines w:val="0"/>
        <w:pageBreakBefore w:val="0"/>
        <w:widowControl w:val="0"/>
        <w:numPr>
          <w:ilvl w:val="1"/>
          <w:numId w:val="0"/>
        </w:numPr>
        <w:tabs>
          <w:tab w:val="left" w:pos="426"/>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olor w:val="auto"/>
          <w:sz w:val="24"/>
          <w:highlight w:val="none"/>
        </w:rPr>
        <w:t>11)</w:t>
      </w:r>
      <w:r>
        <w:rPr>
          <w:rFonts w:hint="eastAsia" w:ascii="宋体" w:hAnsi="宋体" w:cs="宋体"/>
          <w:color w:val="auto"/>
          <w:sz w:val="24"/>
          <w:highlight w:val="none"/>
        </w:rPr>
        <w:t>按照建设单位对总工期的要求，提出控制计划目标，督促总包单位制定项目施工总进度计划，确定控制节点及里程碑。</w:t>
      </w:r>
    </w:p>
    <w:p w14:paraId="677F6039">
      <w:pPr>
        <w:keepNext w:val="0"/>
        <w:keepLines w:val="0"/>
        <w:pageBreakBefore w:val="0"/>
        <w:widowControl w:val="0"/>
        <w:numPr>
          <w:ilvl w:val="1"/>
          <w:numId w:val="0"/>
        </w:numPr>
        <w:tabs>
          <w:tab w:val="left" w:pos="426"/>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olor w:val="auto"/>
          <w:sz w:val="24"/>
          <w:highlight w:val="none"/>
        </w:rPr>
        <w:t>12)</w:t>
      </w:r>
      <w:r>
        <w:rPr>
          <w:rFonts w:hint="eastAsia" w:ascii="宋体" w:hAnsi="宋体" w:cs="宋体"/>
          <w:color w:val="auto"/>
          <w:sz w:val="24"/>
          <w:highlight w:val="none"/>
        </w:rPr>
        <w:t>督促、检查、落实各阶段各单位进度实施情况。</w:t>
      </w:r>
    </w:p>
    <w:p w14:paraId="1C9B5BB4">
      <w:pPr>
        <w:keepNext w:val="0"/>
        <w:keepLines w:val="0"/>
        <w:pageBreakBefore w:val="0"/>
        <w:widowControl w:val="0"/>
        <w:numPr>
          <w:ilvl w:val="1"/>
          <w:numId w:val="0"/>
        </w:numPr>
        <w:tabs>
          <w:tab w:val="left" w:pos="426"/>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olor w:val="auto"/>
          <w:sz w:val="24"/>
          <w:highlight w:val="none"/>
        </w:rPr>
        <w:t>13)</w:t>
      </w:r>
      <w:r>
        <w:rPr>
          <w:rFonts w:hint="eastAsia" w:ascii="宋体" w:hAnsi="宋体" w:cs="宋体"/>
          <w:color w:val="auto"/>
          <w:sz w:val="24"/>
          <w:highlight w:val="none"/>
        </w:rPr>
        <w:t xml:space="preserve">严格按进度计划进行动态管理，一旦发现进度偏差趋向，及时查明原因，并采取相应的积极措施予以调整。 </w:t>
      </w:r>
    </w:p>
    <w:p w14:paraId="0F19B893">
      <w:pPr>
        <w:keepNext w:val="0"/>
        <w:keepLines w:val="0"/>
        <w:pageBreakBefore w:val="0"/>
        <w:widowControl w:val="0"/>
        <w:numPr>
          <w:ilvl w:val="1"/>
          <w:numId w:val="0"/>
        </w:numPr>
        <w:tabs>
          <w:tab w:val="left" w:pos="426"/>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olor w:val="auto"/>
          <w:sz w:val="24"/>
          <w:highlight w:val="none"/>
        </w:rPr>
        <w:t>14)</w:t>
      </w:r>
      <w:r>
        <w:rPr>
          <w:rFonts w:hint="eastAsia" w:ascii="宋体" w:hAnsi="宋体" w:cs="宋体"/>
          <w:color w:val="auto"/>
          <w:sz w:val="24"/>
          <w:highlight w:val="none"/>
        </w:rPr>
        <w:t>审核有关单位提出的工期索赔报告，并协助建设单位处理相关问题。</w:t>
      </w:r>
    </w:p>
    <w:p w14:paraId="68CA8B02">
      <w:pPr>
        <w:keepNext w:val="0"/>
        <w:keepLines w:val="0"/>
        <w:pageBreakBefore w:val="0"/>
        <w:widowControl w:val="0"/>
        <w:numPr>
          <w:ilvl w:val="1"/>
          <w:numId w:val="0"/>
        </w:numPr>
        <w:tabs>
          <w:tab w:val="left" w:pos="426"/>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olor w:val="auto"/>
          <w:sz w:val="24"/>
          <w:highlight w:val="none"/>
        </w:rPr>
        <w:t>15)</w:t>
      </w:r>
      <w:r>
        <w:rPr>
          <w:rFonts w:hint="eastAsia" w:ascii="宋体" w:hAnsi="宋体" w:cs="宋体"/>
          <w:color w:val="auto"/>
          <w:sz w:val="24"/>
          <w:highlight w:val="none"/>
        </w:rPr>
        <w:t>协调各独立承包单位的进退场时间以及相应的施工周期，合理安排交叉施工顺序。</w:t>
      </w:r>
    </w:p>
    <w:p w14:paraId="3D43C0FD">
      <w:pPr>
        <w:keepNext w:val="0"/>
        <w:keepLines w:val="0"/>
        <w:pageBreakBefore w:val="0"/>
        <w:widowControl w:val="0"/>
        <w:numPr>
          <w:ilvl w:val="1"/>
          <w:numId w:val="0"/>
        </w:numPr>
        <w:tabs>
          <w:tab w:val="left" w:pos="426"/>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olor w:val="auto"/>
          <w:sz w:val="24"/>
          <w:highlight w:val="none"/>
        </w:rPr>
        <w:t>16)</w:t>
      </w:r>
      <w:r>
        <w:rPr>
          <w:rFonts w:hint="eastAsia" w:ascii="宋体" w:hAnsi="宋体" w:cs="宋体"/>
          <w:color w:val="auto"/>
          <w:sz w:val="24"/>
          <w:highlight w:val="none"/>
        </w:rPr>
        <w:t>督促并检查总包单位编制专业承包商、供货商的采购计划，保证采购进度与工程进展契合。</w:t>
      </w:r>
    </w:p>
    <w:p w14:paraId="6607FCB4">
      <w:pPr>
        <w:keepNext w:val="0"/>
        <w:keepLines w:val="0"/>
        <w:pageBreakBefore w:val="0"/>
        <w:widowControl w:val="0"/>
        <w:numPr>
          <w:ilvl w:val="1"/>
          <w:numId w:val="0"/>
        </w:numPr>
        <w:tabs>
          <w:tab w:val="left" w:pos="426"/>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olor w:val="auto"/>
          <w:sz w:val="24"/>
          <w:highlight w:val="none"/>
        </w:rPr>
        <w:t>17)</w:t>
      </w:r>
      <w:r>
        <w:rPr>
          <w:rFonts w:hint="eastAsia" w:ascii="宋体" w:hAnsi="宋体" w:cs="宋体"/>
          <w:color w:val="auto"/>
          <w:sz w:val="24"/>
          <w:highlight w:val="none"/>
        </w:rPr>
        <w:t>督促监理审核竣工图及工程施工竣工资料，并进行技术交底。</w:t>
      </w:r>
    </w:p>
    <w:p w14:paraId="5B7669B8">
      <w:pPr>
        <w:keepNext w:val="0"/>
        <w:keepLines w:val="0"/>
        <w:pageBreakBefore w:val="0"/>
        <w:widowControl w:val="0"/>
        <w:numPr>
          <w:ilvl w:val="1"/>
          <w:numId w:val="0"/>
        </w:numPr>
        <w:tabs>
          <w:tab w:val="left" w:pos="426"/>
        </w:tabs>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18）项目管理公司负责编制招标采购管理办法、合同管理办法、工程计量管理办法、工程款支付管理办法、认质认价管理办法、变更洽商管理办法、工程质量管理办法、安全生产管理办法、应急事件管理办法、档案资料管理办法</w:t>
      </w:r>
      <w:r>
        <w:rPr>
          <w:rFonts w:hint="eastAsia" w:ascii="宋体" w:hAnsi="宋体" w:cs="宋体"/>
          <w:color w:val="auto"/>
          <w:sz w:val="24"/>
          <w:highlight w:val="none"/>
          <w:lang w:eastAsia="zh-CN"/>
        </w:rPr>
        <w:t>。</w:t>
      </w:r>
    </w:p>
    <w:p w14:paraId="68C299FF">
      <w:pPr>
        <w:keepNext w:val="0"/>
        <w:keepLines w:val="0"/>
        <w:pageBreakBefore w:val="0"/>
        <w:widowControl w:val="0"/>
        <w:tabs>
          <w:tab w:val="left" w:pos="426"/>
        </w:tabs>
        <w:kinsoku/>
        <w:wordWrap/>
        <w:overflowPunct/>
        <w:topLinePunct w:val="0"/>
        <w:autoSpaceDE/>
        <w:autoSpaceDN/>
        <w:bidi w:val="0"/>
        <w:adjustRightInd/>
        <w:snapToGrid/>
        <w:spacing w:after="0" w:line="360" w:lineRule="auto"/>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2.7竣工验收</w:t>
      </w:r>
    </w:p>
    <w:p w14:paraId="0C9AC9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1)协助建设单位组织参建单位进行工程竣工验收，办理项目竣工备案及相关事项。</w:t>
      </w:r>
    </w:p>
    <w:p w14:paraId="191E92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color w:val="auto"/>
          <w:sz w:val="24"/>
          <w:highlight w:val="none"/>
        </w:rPr>
      </w:pPr>
      <w:r>
        <w:rPr>
          <w:rFonts w:hint="eastAsia" w:ascii="宋体" w:hAnsi="宋体" w:cs="宋体"/>
          <w:color w:val="auto"/>
          <w:sz w:val="24"/>
          <w:highlight w:val="none"/>
        </w:rPr>
        <w:t>2)协助建设单位组织相关单位办理规自、消防、环保、交通、人防、水务、档案等竣工、报验备案手续。</w:t>
      </w:r>
    </w:p>
    <w:p w14:paraId="44E80987">
      <w:pPr>
        <w:keepNext w:val="0"/>
        <w:keepLines w:val="0"/>
        <w:pageBreakBefore w:val="0"/>
        <w:widowControl w:val="0"/>
        <w:tabs>
          <w:tab w:val="left" w:pos="426"/>
        </w:tabs>
        <w:kinsoku/>
        <w:wordWrap/>
        <w:overflowPunct/>
        <w:topLinePunct w:val="0"/>
        <w:autoSpaceDE/>
        <w:autoSpaceDN/>
        <w:bidi w:val="0"/>
        <w:adjustRightInd/>
        <w:snapToGrid/>
        <w:spacing w:after="0" w:line="360" w:lineRule="auto"/>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2.8档案管理</w:t>
      </w:r>
    </w:p>
    <w:p w14:paraId="14C25AA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1）负责组织召开项目管理例会，负责项目管理例会会议纪要的编制和发布。</w:t>
      </w:r>
    </w:p>
    <w:p w14:paraId="7F1BC37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2）负责日常项目信息的收集和整理，每月定期向建设单位报告项目进展、关键事宜、支付状况及项目预测。</w:t>
      </w:r>
    </w:p>
    <w:p w14:paraId="67271C3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3）负责项目信息处理和发布，及时向建设单位及参建单位进行传递。</w:t>
      </w:r>
    </w:p>
    <w:p w14:paraId="6272AF1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4）管理工程档案资料，组织各参建单位提交各自的成果性资料文件（包括前期、施工中以及竣工资料）完善交接手续。</w:t>
      </w:r>
    </w:p>
    <w:p w14:paraId="64B4E7C4">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三、委托管理目标</w:t>
      </w:r>
      <w:bookmarkEnd w:id="954"/>
    </w:p>
    <w:p w14:paraId="1DD63E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color w:val="auto"/>
          <w:sz w:val="24"/>
          <w:highlight w:val="none"/>
        </w:rPr>
      </w:pPr>
      <w:r>
        <w:rPr>
          <w:rFonts w:hint="eastAsia" w:ascii="宋体" w:hAnsi="宋体" w:cs="宋体"/>
          <w:bCs/>
          <w:color w:val="auto"/>
          <w:sz w:val="24"/>
          <w:highlight w:val="none"/>
        </w:rPr>
        <w:t>1.</w:t>
      </w:r>
      <w:r>
        <w:rPr>
          <w:rFonts w:ascii="宋体" w:hAnsi="宋体" w:cs="宋体"/>
          <w:bCs/>
          <w:color w:val="auto"/>
          <w:sz w:val="24"/>
          <w:highlight w:val="none"/>
        </w:rPr>
        <w:t>投资目标:</w:t>
      </w:r>
      <w:r>
        <w:rPr>
          <w:rFonts w:ascii="宋体" w:hAnsi="宋体" w:cs="宋体"/>
          <w:b/>
          <w:color w:val="auto"/>
          <w:sz w:val="24"/>
          <w:highlight w:val="none"/>
        </w:rPr>
        <w:t>设计概算不超投资估算。实际投资不超批复的概算。</w:t>
      </w:r>
    </w:p>
    <w:p w14:paraId="6472B0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2.</w:t>
      </w:r>
      <w:r>
        <w:rPr>
          <w:rFonts w:ascii="宋体" w:hAnsi="宋体" w:cs="宋体"/>
          <w:bCs/>
          <w:color w:val="auto"/>
          <w:sz w:val="24"/>
          <w:highlight w:val="none"/>
        </w:rPr>
        <w:t>工期目标:</w:t>
      </w:r>
      <w:r>
        <w:rPr>
          <w:rFonts w:ascii="宋体" w:hAnsi="宋体" w:cs="宋体"/>
          <w:b/>
          <w:color w:val="auto"/>
          <w:sz w:val="24"/>
          <w:highlight w:val="none"/>
        </w:rPr>
        <w:t>严格按项目总工期进度计划组织落实，确保实现设计、施工等里程碑控制目标。</w:t>
      </w:r>
      <w:r>
        <w:rPr>
          <w:rFonts w:ascii="宋体" w:hAnsi="宋体" w:cs="宋体"/>
          <w:bCs/>
          <w:color w:val="auto"/>
          <w:sz w:val="24"/>
          <w:highlight w:val="none"/>
        </w:rPr>
        <w:t>确保按期竣工验收合格并交付使用。</w:t>
      </w:r>
    </w:p>
    <w:p w14:paraId="6DAC1D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3.</w:t>
      </w:r>
      <w:r>
        <w:rPr>
          <w:rFonts w:ascii="宋体" w:hAnsi="宋体" w:cs="宋体"/>
          <w:bCs/>
          <w:color w:val="auto"/>
          <w:sz w:val="24"/>
          <w:highlight w:val="none"/>
        </w:rPr>
        <w:t>质量目标:</w:t>
      </w:r>
    </w:p>
    <w:p w14:paraId="188AE9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（1）</w:t>
      </w:r>
      <w:r>
        <w:rPr>
          <w:rFonts w:ascii="宋体" w:hAnsi="宋体" w:cs="宋体"/>
          <w:bCs/>
          <w:color w:val="auto"/>
          <w:sz w:val="24"/>
          <w:highlight w:val="none"/>
        </w:rPr>
        <w:t>设计质量:</w:t>
      </w:r>
      <w:r>
        <w:rPr>
          <w:rFonts w:ascii="宋体" w:hAnsi="宋体" w:cs="宋体"/>
          <w:b/>
          <w:color w:val="auto"/>
          <w:sz w:val="24"/>
          <w:highlight w:val="none"/>
        </w:rPr>
        <w:t>符合现行国家行业设计规范、标准</w:t>
      </w:r>
      <w:r>
        <w:rPr>
          <w:rFonts w:hint="eastAsia" w:ascii="宋体" w:hAnsi="宋体" w:cs="宋体"/>
          <w:bCs/>
          <w:color w:val="auto"/>
          <w:sz w:val="24"/>
          <w:highlight w:val="none"/>
        </w:rPr>
        <w:t>。</w:t>
      </w:r>
    </w:p>
    <w:p w14:paraId="71B56E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（2）</w:t>
      </w:r>
      <w:r>
        <w:rPr>
          <w:rFonts w:ascii="宋体" w:hAnsi="宋体" w:cs="宋体"/>
          <w:bCs/>
          <w:color w:val="auto"/>
          <w:sz w:val="24"/>
          <w:highlight w:val="none"/>
        </w:rPr>
        <w:t>施工质量:</w:t>
      </w:r>
      <w:r>
        <w:rPr>
          <w:rFonts w:ascii="宋体" w:hAnsi="宋体" w:cs="宋体"/>
          <w:b/>
          <w:color w:val="auto"/>
          <w:sz w:val="24"/>
          <w:highlight w:val="none"/>
        </w:rPr>
        <w:t>达到国家现行施工验收规范“合格”标准，验收合格率100%</w:t>
      </w:r>
      <w:r>
        <w:rPr>
          <w:rFonts w:ascii="宋体" w:hAnsi="宋体" w:cs="宋体"/>
          <w:bCs/>
          <w:color w:val="auto"/>
          <w:sz w:val="24"/>
          <w:highlight w:val="none"/>
        </w:rPr>
        <w:t>。</w:t>
      </w:r>
    </w:p>
    <w:p w14:paraId="0B3CC3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color w:val="auto"/>
          <w:sz w:val="24"/>
          <w:highlight w:val="none"/>
        </w:rPr>
      </w:pPr>
      <w:r>
        <w:rPr>
          <w:rFonts w:hint="eastAsia" w:ascii="宋体" w:hAnsi="宋体" w:cs="宋体"/>
          <w:bCs/>
          <w:color w:val="auto"/>
          <w:sz w:val="24"/>
          <w:highlight w:val="none"/>
        </w:rPr>
        <w:t>4.</w:t>
      </w:r>
      <w:r>
        <w:rPr>
          <w:rFonts w:ascii="宋体" w:hAnsi="宋体" w:cs="宋体"/>
          <w:bCs/>
          <w:color w:val="auto"/>
          <w:sz w:val="24"/>
          <w:highlight w:val="none"/>
        </w:rPr>
        <w:t>安全文明施工目标:</w:t>
      </w:r>
      <w:r>
        <w:rPr>
          <w:rFonts w:ascii="宋体" w:hAnsi="宋体" w:cs="宋体"/>
          <w:b/>
          <w:color w:val="auto"/>
          <w:sz w:val="24"/>
          <w:highlight w:val="none"/>
        </w:rPr>
        <w:t>严格按照国家及北京市有关安全生产文明施工法规进行管理。确保不发生一般及以上安全生产事故。</w:t>
      </w:r>
    </w:p>
    <w:p w14:paraId="2D8D3A3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b/>
          <w:bCs/>
          <w:color w:val="auto"/>
          <w:sz w:val="24"/>
          <w:highlight w:val="none"/>
        </w:rPr>
      </w:pPr>
      <w:r>
        <w:rPr>
          <w:rFonts w:hint="eastAsia" w:ascii="宋体" w:hAnsi="宋体" w:cs="宋体"/>
          <w:bCs/>
          <w:color w:val="auto"/>
          <w:sz w:val="24"/>
          <w:highlight w:val="none"/>
        </w:rPr>
        <w:t>5.</w:t>
      </w:r>
      <w:r>
        <w:rPr>
          <w:rFonts w:ascii="宋体" w:hAnsi="宋体" w:cs="宋体"/>
          <w:bCs/>
          <w:color w:val="auto"/>
          <w:sz w:val="24"/>
          <w:highlight w:val="none"/>
        </w:rPr>
        <w:t>绿色建筑目标:取得绿色建筑</w:t>
      </w:r>
      <w:r>
        <w:rPr>
          <w:rFonts w:hint="eastAsia" w:ascii="宋体" w:hAnsi="宋体" w:cs="宋体"/>
          <w:bCs/>
          <w:color w:val="auto"/>
          <w:sz w:val="24"/>
          <w:highlight w:val="none"/>
        </w:rPr>
        <w:t>二</w:t>
      </w:r>
      <w:r>
        <w:rPr>
          <w:rFonts w:ascii="宋体" w:hAnsi="宋体" w:cs="宋体"/>
          <w:bCs/>
          <w:color w:val="auto"/>
          <w:sz w:val="24"/>
          <w:highlight w:val="none"/>
        </w:rPr>
        <w:t>星认证(最终星级认证等级目标以政府要求为准)。</w:t>
      </w:r>
    </w:p>
    <w:p w14:paraId="0B2C2A31">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highlight w:val="none"/>
        </w:rPr>
      </w:pPr>
      <w:bookmarkStart w:id="955" w:name="_Toc195421818"/>
      <w:bookmarkStart w:id="956" w:name="_Toc142188085"/>
      <w:r>
        <w:rPr>
          <w:rFonts w:hint="eastAsia" w:ascii="宋体" w:hAnsi="宋体" w:cs="宋体"/>
          <w:color w:val="auto"/>
          <w:sz w:val="24"/>
          <w:highlight w:val="none"/>
        </w:rPr>
        <w:t>6.建设程序管理目标</w:t>
      </w:r>
      <w:bookmarkEnd w:id="955"/>
      <w:bookmarkEnd w:id="956"/>
      <w:r>
        <w:rPr>
          <w:rFonts w:hint="eastAsia" w:ascii="宋体" w:hAnsi="宋体" w:cs="宋体"/>
          <w:color w:val="auto"/>
          <w:sz w:val="24"/>
          <w:highlight w:val="none"/>
        </w:rPr>
        <w:t>：</w:t>
      </w:r>
      <w:r>
        <w:rPr>
          <w:rFonts w:hint="eastAsia" w:ascii="宋体" w:hAnsi="宋体" w:cs="宋体"/>
          <w:color w:val="auto"/>
          <w:sz w:val="24"/>
          <w:highlight w:val="none"/>
          <w:u w:val="single"/>
        </w:rPr>
        <w:t>符合国家和项目所在地现行投资建设项目审批手续办理要求。</w:t>
      </w:r>
    </w:p>
    <w:p w14:paraId="385B411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highlight w:val="none"/>
        </w:rPr>
      </w:pPr>
      <w:bookmarkStart w:id="957" w:name="_Toc195421819"/>
      <w:bookmarkStart w:id="958" w:name="_Toc142188086"/>
      <w:r>
        <w:rPr>
          <w:rFonts w:hint="eastAsia" w:ascii="宋体" w:hAnsi="宋体" w:cs="宋体"/>
          <w:color w:val="auto"/>
          <w:sz w:val="24"/>
          <w:highlight w:val="none"/>
        </w:rPr>
        <w:t>7.建设资金管理目标</w:t>
      </w:r>
      <w:bookmarkEnd w:id="957"/>
      <w:bookmarkEnd w:id="958"/>
      <w:r>
        <w:rPr>
          <w:rFonts w:hint="eastAsia" w:ascii="宋体" w:hAnsi="宋体" w:cs="宋体"/>
          <w:color w:val="auto"/>
          <w:sz w:val="24"/>
          <w:highlight w:val="none"/>
        </w:rPr>
        <w:t>：</w:t>
      </w:r>
      <w:r>
        <w:rPr>
          <w:rFonts w:hint="eastAsia" w:ascii="宋体" w:hAnsi="宋体" w:cs="宋体"/>
          <w:color w:val="auto"/>
          <w:sz w:val="24"/>
          <w:highlight w:val="none"/>
          <w:u w:val="single"/>
        </w:rPr>
        <w:t>符合国家和项目所在地现行政府投资使用管理要求。</w:t>
      </w:r>
    </w:p>
    <w:p w14:paraId="1FDBE38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highlight w:val="none"/>
        </w:rPr>
      </w:pPr>
      <w:bookmarkStart w:id="959" w:name="_Toc142188088"/>
      <w:bookmarkStart w:id="960" w:name="_Toc195421821"/>
      <w:r>
        <w:rPr>
          <w:rFonts w:hint="eastAsia" w:ascii="宋体" w:hAnsi="宋体" w:cs="宋体"/>
          <w:color w:val="auto"/>
          <w:sz w:val="24"/>
          <w:highlight w:val="none"/>
        </w:rPr>
        <w:t>8.现场实施管理目标</w:t>
      </w:r>
      <w:bookmarkEnd w:id="959"/>
      <w:bookmarkEnd w:id="960"/>
      <w:r>
        <w:rPr>
          <w:rFonts w:hint="eastAsia" w:ascii="宋体" w:hAnsi="宋体" w:cs="宋体"/>
          <w:color w:val="auto"/>
          <w:sz w:val="24"/>
          <w:highlight w:val="none"/>
        </w:rPr>
        <w:t>：</w:t>
      </w:r>
      <w:r>
        <w:rPr>
          <w:rFonts w:hint="eastAsia" w:ascii="宋体" w:hAnsi="宋体" w:cs="宋体"/>
          <w:color w:val="auto"/>
          <w:sz w:val="24"/>
          <w:highlight w:val="none"/>
          <w:u w:val="single"/>
        </w:rPr>
        <w:t>符合国家和项目所在地现行有关工程建设法律法规规定，协助建设单位有效履行相关法律法规规定、建设单位所签合同协议约定的建设单位职责要求。</w:t>
      </w:r>
    </w:p>
    <w:p w14:paraId="51B53871">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highlight w:val="none"/>
          <w:u w:val="single"/>
        </w:rPr>
      </w:pPr>
      <w:bookmarkStart w:id="961" w:name="_Toc195421822"/>
      <w:bookmarkStart w:id="962" w:name="_Toc142188089"/>
      <w:r>
        <w:rPr>
          <w:rFonts w:hint="eastAsia" w:ascii="宋体" w:hAnsi="宋体" w:cs="宋体"/>
          <w:color w:val="auto"/>
          <w:sz w:val="24"/>
          <w:highlight w:val="none"/>
        </w:rPr>
        <w:t>9.资料档案管理目标</w:t>
      </w:r>
      <w:bookmarkEnd w:id="961"/>
      <w:bookmarkEnd w:id="962"/>
      <w:r>
        <w:rPr>
          <w:rFonts w:hint="eastAsia" w:ascii="宋体" w:hAnsi="宋体" w:cs="宋体"/>
          <w:color w:val="auto"/>
          <w:sz w:val="24"/>
          <w:highlight w:val="none"/>
        </w:rPr>
        <w:t>：</w:t>
      </w:r>
      <w:r>
        <w:rPr>
          <w:rFonts w:hint="eastAsia" w:ascii="宋体" w:hAnsi="宋体" w:cs="宋体"/>
          <w:color w:val="auto"/>
          <w:sz w:val="24"/>
          <w:highlight w:val="none"/>
          <w:u w:val="single"/>
        </w:rPr>
        <w:t>符合国家和项目所在地现行工程建设资料档案管理要求。</w:t>
      </w:r>
    </w:p>
    <w:p w14:paraId="304324F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highlight w:val="none"/>
        </w:rPr>
      </w:pPr>
      <w:bookmarkStart w:id="963" w:name="_Toc195421820"/>
      <w:bookmarkStart w:id="964" w:name="_Toc142188087"/>
      <w:r>
        <w:rPr>
          <w:rFonts w:hint="eastAsia" w:ascii="宋体" w:hAnsi="宋体" w:cs="宋体"/>
          <w:color w:val="auto"/>
          <w:sz w:val="24"/>
          <w:highlight w:val="none"/>
        </w:rPr>
        <w:t>10.组织协调管理目标</w:t>
      </w:r>
      <w:bookmarkEnd w:id="963"/>
      <w:bookmarkEnd w:id="964"/>
      <w:r>
        <w:rPr>
          <w:rFonts w:hint="eastAsia" w:ascii="宋体" w:hAnsi="宋体" w:cs="宋体"/>
          <w:color w:val="auto"/>
          <w:sz w:val="24"/>
          <w:highlight w:val="none"/>
        </w:rPr>
        <w:t>：</w:t>
      </w:r>
      <w:r>
        <w:rPr>
          <w:rFonts w:hint="eastAsia" w:ascii="宋体" w:hAnsi="宋体" w:cs="宋体"/>
          <w:color w:val="auto"/>
          <w:sz w:val="24"/>
          <w:highlight w:val="none"/>
          <w:u w:val="single"/>
        </w:rPr>
        <w:t>构建职责明确、关系清晰、履约诚信、沟通顺畅的由各参建单位组成的项目建设扩大团队体系。</w:t>
      </w:r>
    </w:p>
    <w:p w14:paraId="1AECD585">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cs="宋体"/>
          <w:b/>
          <w:bCs/>
          <w:color w:val="auto"/>
          <w:sz w:val="24"/>
          <w:highlight w:val="none"/>
        </w:rPr>
      </w:pPr>
      <w:bookmarkStart w:id="965" w:name="_Toc372877736"/>
      <w:bookmarkStart w:id="966" w:name="_Toc22918"/>
      <w:bookmarkStart w:id="967" w:name="_Toc372878298"/>
      <w:r>
        <w:rPr>
          <w:rFonts w:hint="eastAsia" w:ascii="宋体" w:hAnsi="宋体" w:cs="宋体"/>
          <w:b/>
          <w:bCs/>
          <w:color w:val="auto"/>
          <w:sz w:val="24"/>
          <w:highlight w:val="none"/>
        </w:rPr>
        <w:t>四、委托管理期限</w:t>
      </w:r>
      <w:bookmarkEnd w:id="965"/>
      <w:bookmarkEnd w:id="966"/>
      <w:bookmarkEnd w:id="967"/>
    </w:p>
    <w:p w14:paraId="0AC809F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自本项目委托合同签订之日起至完成工程结算及工程档案资料移交为止。</w:t>
      </w:r>
    </w:p>
    <w:p w14:paraId="3733EB01">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color w:val="auto"/>
          <w:sz w:val="24"/>
          <w:highlight w:val="none"/>
          <w:lang w:eastAsia="zh-CN"/>
        </w:rPr>
      </w:pPr>
      <w:bookmarkStart w:id="968" w:name="_Toc372877737"/>
      <w:bookmarkStart w:id="969" w:name="_Toc372878299"/>
      <w:bookmarkStart w:id="970" w:name="_Toc18485"/>
      <w:r>
        <w:rPr>
          <w:rFonts w:hint="eastAsia" w:ascii="宋体" w:hAnsi="宋体" w:cs="宋体"/>
          <w:b/>
          <w:bCs/>
          <w:color w:val="auto"/>
          <w:sz w:val="24"/>
          <w:highlight w:val="none"/>
        </w:rPr>
        <w:t>五、</w:t>
      </w:r>
      <w:bookmarkEnd w:id="968"/>
      <w:bookmarkEnd w:id="969"/>
      <w:bookmarkEnd w:id="970"/>
      <w:r>
        <w:rPr>
          <w:rFonts w:hint="eastAsia" w:ascii="宋体" w:hAnsi="宋体" w:cs="宋体"/>
          <w:b/>
          <w:bCs/>
          <w:color w:val="auto"/>
          <w:sz w:val="24"/>
          <w:highlight w:val="none"/>
          <w:lang w:eastAsia="zh-CN"/>
        </w:rPr>
        <w:t>合同金额</w:t>
      </w:r>
    </w:p>
    <w:p w14:paraId="5DCB52C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除合同专用条款另有约定外，酬金均以人民币支付。</w:t>
      </w:r>
    </w:p>
    <w:p w14:paraId="5C32F50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暂定合同金额</w:t>
      </w:r>
      <w:r>
        <w:rPr>
          <w:rFonts w:hint="eastAsia" w:ascii="宋体" w:hAnsi="宋体" w:cs="宋体"/>
          <w:color w:val="auto"/>
          <w:sz w:val="24"/>
          <w:highlight w:val="none"/>
        </w:rPr>
        <w:t>为人民币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圆整</w:t>
      </w:r>
      <w:r>
        <w:rPr>
          <w:rFonts w:hint="eastAsia" w:ascii="宋体" w:hAnsi="宋体" w:cs="宋体"/>
          <w:color w:val="auto"/>
          <w:sz w:val="24"/>
          <w:highlight w:val="none"/>
        </w:rPr>
        <w:t>。</w:t>
      </w:r>
    </w:p>
    <w:p w14:paraId="29EF06D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最终结算金额以工程竣工决算审批金额为准。鉴于本项目的资金来源于政府投资，受托人接受项目管理费合同金额根据最终概算批复金额调整，调整公式为：项目管理费合同额=投标项目管理费金额×（最终概算批复建设单位管理费金额/可研批复建设单位管理费金额）。如委托人已支付金额超出最终审计批复金额对应款项，受托人应将多余款项退还委托人。</w:t>
      </w:r>
    </w:p>
    <w:p w14:paraId="51E6B5F5">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cs="宋体"/>
          <w:b/>
          <w:bCs/>
          <w:color w:val="auto"/>
          <w:sz w:val="24"/>
          <w:highlight w:val="none"/>
        </w:rPr>
      </w:pPr>
      <w:bookmarkStart w:id="971" w:name="_Toc372877738"/>
      <w:bookmarkStart w:id="972" w:name="_Toc372878300"/>
      <w:bookmarkStart w:id="973" w:name="_Toc23186"/>
      <w:r>
        <w:rPr>
          <w:rFonts w:hint="eastAsia" w:ascii="宋体" w:hAnsi="宋体" w:cs="宋体"/>
          <w:b/>
          <w:bCs/>
          <w:color w:val="auto"/>
          <w:sz w:val="24"/>
          <w:highlight w:val="none"/>
        </w:rPr>
        <w:t>六、本合同由以下文件组成</w:t>
      </w:r>
      <w:bookmarkEnd w:id="971"/>
      <w:bookmarkEnd w:id="972"/>
      <w:bookmarkEnd w:id="973"/>
    </w:p>
    <w:p w14:paraId="1ADF4CE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1.协议书</w:t>
      </w:r>
    </w:p>
    <w:p w14:paraId="0395E5A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2.专用合同条款</w:t>
      </w:r>
    </w:p>
    <w:p w14:paraId="2898FAB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3.通用合同条款</w:t>
      </w:r>
    </w:p>
    <w:p w14:paraId="0FD5E771">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4.中标通知书（适用于招标工程）</w:t>
      </w:r>
    </w:p>
    <w:p w14:paraId="1C1C81B1">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5.授权委托书</w:t>
      </w:r>
    </w:p>
    <w:p w14:paraId="0CA81A2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6.其它文件</w:t>
      </w:r>
    </w:p>
    <w:p w14:paraId="27FFFC2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构成本合同的文件若存在歧义或不一致时，则按上述排列次序进行解释。</w:t>
      </w:r>
    </w:p>
    <w:p w14:paraId="2278F734">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cs="宋体"/>
          <w:b/>
          <w:bCs/>
          <w:color w:val="auto"/>
          <w:sz w:val="24"/>
          <w:highlight w:val="none"/>
        </w:rPr>
      </w:pPr>
      <w:bookmarkStart w:id="974" w:name="_Toc10348"/>
      <w:bookmarkStart w:id="975" w:name="_Toc372877739"/>
      <w:bookmarkStart w:id="976" w:name="_Toc372878301"/>
      <w:r>
        <w:rPr>
          <w:rFonts w:hint="eastAsia" w:ascii="宋体" w:hAnsi="宋体" w:cs="宋体"/>
          <w:b/>
          <w:bCs/>
          <w:color w:val="auto"/>
          <w:sz w:val="24"/>
          <w:highlight w:val="none"/>
        </w:rPr>
        <w:t>七、委托人承诺</w:t>
      </w:r>
      <w:bookmarkEnd w:id="974"/>
    </w:p>
    <w:p w14:paraId="15B03E9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b/>
          <w:bCs/>
          <w:color w:val="auto"/>
          <w:sz w:val="24"/>
          <w:highlight w:val="none"/>
        </w:rPr>
      </w:pPr>
      <w:r>
        <w:rPr>
          <w:rFonts w:hint="eastAsia" w:ascii="宋体" w:hAnsi="宋体" w:cs="宋体"/>
          <w:color w:val="auto"/>
          <w:sz w:val="24"/>
          <w:highlight w:val="none"/>
        </w:rPr>
        <w:t>遵守合同中的各项约定，为受托人提供开展本项目工程管理和咨询工作的必要条件，支持受托人开展本项目委托咨询工作，按照合同约定支付报酬。</w:t>
      </w:r>
      <w:bookmarkEnd w:id="975"/>
      <w:bookmarkEnd w:id="976"/>
    </w:p>
    <w:p w14:paraId="255ED3C5">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cs="宋体"/>
          <w:b/>
          <w:bCs/>
          <w:color w:val="auto"/>
          <w:sz w:val="24"/>
          <w:highlight w:val="none"/>
        </w:rPr>
      </w:pPr>
      <w:bookmarkStart w:id="977" w:name="_Toc3962"/>
      <w:bookmarkStart w:id="978" w:name="_Toc372877740"/>
      <w:bookmarkStart w:id="979" w:name="_Toc372878302"/>
      <w:r>
        <w:rPr>
          <w:rFonts w:hint="eastAsia" w:ascii="宋体" w:hAnsi="宋体" w:cs="宋体"/>
          <w:b/>
          <w:bCs/>
          <w:color w:val="auto"/>
          <w:sz w:val="24"/>
          <w:highlight w:val="none"/>
        </w:rPr>
        <w:t>八、受托人承诺</w:t>
      </w:r>
      <w:bookmarkEnd w:id="977"/>
    </w:p>
    <w:p w14:paraId="41EEF20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遵守合同中的各项约定，按照本项目委托咨询工作范围和内容，承担相关管理和咨询任务。</w:t>
      </w:r>
      <w:bookmarkEnd w:id="978"/>
      <w:bookmarkEnd w:id="979"/>
      <w:r>
        <w:rPr>
          <w:rFonts w:hint="eastAsia" w:ascii="宋体" w:hAnsi="宋体" w:cs="宋体"/>
          <w:color w:val="auto"/>
          <w:sz w:val="24"/>
          <w:highlight w:val="none"/>
        </w:rPr>
        <w:t>如若项目管理团队出现不配合建设单位的行为或对建设单位造成严重影响，或对施工质量、安全问题等不上报或瞒报，建设单位有权更换项目管理团队，并对项目管理单位停止款项的支付或相应处罚。</w:t>
      </w:r>
    </w:p>
    <w:p w14:paraId="06C7B8A2">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cs="宋体"/>
          <w:b/>
          <w:bCs/>
          <w:color w:val="auto"/>
          <w:sz w:val="24"/>
          <w:highlight w:val="none"/>
        </w:rPr>
      </w:pPr>
      <w:bookmarkStart w:id="980" w:name="_Toc372877741"/>
      <w:bookmarkStart w:id="981" w:name="_Toc2603"/>
      <w:bookmarkStart w:id="982" w:name="_Toc372878303"/>
      <w:r>
        <w:rPr>
          <w:rFonts w:hint="eastAsia" w:ascii="宋体" w:hAnsi="宋体" w:cs="宋体"/>
          <w:b/>
          <w:bCs/>
          <w:color w:val="auto"/>
          <w:sz w:val="24"/>
          <w:highlight w:val="none"/>
        </w:rPr>
        <w:t>九、合同份数</w:t>
      </w:r>
      <w:bookmarkEnd w:id="980"/>
      <w:bookmarkEnd w:id="981"/>
      <w:bookmarkEnd w:id="982"/>
    </w:p>
    <w:p w14:paraId="3702DA45">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本合同一式</w:t>
      </w:r>
      <w:r>
        <w:rPr>
          <w:rFonts w:hint="eastAsia" w:ascii="宋体" w:hAnsi="宋体" w:cs="宋体"/>
          <w:color w:val="auto"/>
          <w:sz w:val="24"/>
          <w:highlight w:val="none"/>
          <w:u w:val="single"/>
        </w:rPr>
        <w:t>捌</w:t>
      </w:r>
      <w:r>
        <w:rPr>
          <w:rFonts w:hint="eastAsia" w:ascii="宋体" w:hAnsi="宋体" w:cs="宋体"/>
          <w:color w:val="auto"/>
          <w:sz w:val="24"/>
          <w:highlight w:val="none"/>
        </w:rPr>
        <w:t>份，正本</w:t>
      </w:r>
      <w:r>
        <w:rPr>
          <w:rFonts w:hint="eastAsia" w:ascii="宋体" w:hAnsi="宋体" w:cs="宋体"/>
          <w:color w:val="auto"/>
          <w:sz w:val="24"/>
          <w:highlight w:val="none"/>
          <w:u w:val="single"/>
        </w:rPr>
        <w:t>肆</w:t>
      </w:r>
      <w:r>
        <w:rPr>
          <w:rFonts w:hint="eastAsia" w:ascii="宋体" w:hAnsi="宋体" w:cs="宋体"/>
          <w:color w:val="auto"/>
          <w:sz w:val="24"/>
          <w:highlight w:val="none"/>
        </w:rPr>
        <w:t>份，副本</w:t>
      </w:r>
      <w:r>
        <w:rPr>
          <w:rFonts w:hint="eastAsia" w:ascii="宋体" w:hAnsi="宋体" w:cs="宋体"/>
          <w:color w:val="auto"/>
          <w:sz w:val="24"/>
          <w:highlight w:val="none"/>
          <w:u w:val="single"/>
        </w:rPr>
        <w:t>肆</w:t>
      </w:r>
      <w:r>
        <w:rPr>
          <w:rFonts w:hint="eastAsia" w:ascii="宋体" w:hAnsi="宋体" w:cs="宋体"/>
          <w:color w:val="auto"/>
          <w:sz w:val="24"/>
          <w:highlight w:val="none"/>
        </w:rPr>
        <w:t>份，具有同等法律效力。双方各执正本</w:t>
      </w:r>
      <w:r>
        <w:rPr>
          <w:rFonts w:hint="eastAsia" w:ascii="宋体" w:hAnsi="宋体" w:cs="宋体"/>
          <w:color w:val="auto"/>
          <w:sz w:val="24"/>
          <w:highlight w:val="none"/>
          <w:u w:val="single"/>
        </w:rPr>
        <w:t>贰</w:t>
      </w:r>
      <w:r>
        <w:rPr>
          <w:rFonts w:hint="eastAsia" w:ascii="宋体" w:hAnsi="宋体" w:cs="宋体"/>
          <w:color w:val="auto"/>
          <w:sz w:val="24"/>
          <w:highlight w:val="none"/>
        </w:rPr>
        <w:t>份，副本</w:t>
      </w:r>
      <w:r>
        <w:rPr>
          <w:rFonts w:hint="eastAsia" w:ascii="宋体" w:hAnsi="宋体" w:cs="宋体"/>
          <w:color w:val="auto"/>
          <w:sz w:val="24"/>
          <w:highlight w:val="none"/>
          <w:u w:val="single"/>
        </w:rPr>
        <w:t>贰</w:t>
      </w:r>
      <w:r>
        <w:rPr>
          <w:rFonts w:hint="eastAsia" w:ascii="宋体" w:hAnsi="宋体" w:cs="宋体"/>
          <w:color w:val="auto"/>
          <w:sz w:val="24"/>
          <w:highlight w:val="none"/>
        </w:rPr>
        <w:t>份。</w:t>
      </w:r>
    </w:p>
    <w:p w14:paraId="037C647C">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cs="宋体"/>
          <w:b/>
          <w:bCs/>
          <w:color w:val="auto"/>
          <w:sz w:val="24"/>
          <w:highlight w:val="none"/>
        </w:rPr>
      </w:pPr>
      <w:bookmarkStart w:id="983" w:name="_Toc372878304"/>
      <w:bookmarkStart w:id="984" w:name="_Toc372877742"/>
      <w:r>
        <w:rPr>
          <w:rFonts w:hint="eastAsia" w:ascii="宋体" w:hAnsi="宋体" w:cs="宋体"/>
          <w:b/>
          <w:bCs/>
          <w:color w:val="auto"/>
          <w:sz w:val="24"/>
          <w:highlight w:val="none"/>
        </w:rPr>
        <w:t>十、本合同自合同双方法定代表人或授权代表签字并加盖公章之日起生效。</w:t>
      </w:r>
      <w:bookmarkEnd w:id="983"/>
      <w:bookmarkEnd w:id="984"/>
    </w:p>
    <w:p w14:paraId="56278D3C">
      <w:pPr>
        <w:spacing w:after="0" w:line="360" w:lineRule="auto"/>
        <w:ind w:firstLine="480" w:firstLineChars="200"/>
        <w:rPr>
          <w:rFonts w:hint="eastAsia" w:ascii="宋体" w:hAnsi="宋体" w:cs="宋体"/>
          <w:color w:val="auto"/>
          <w:sz w:val="24"/>
          <w:highlight w:val="none"/>
        </w:rPr>
      </w:pPr>
    </w:p>
    <w:p w14:paraId="46622CBC">
      <w:pPr>
        <w:spacing w:after="0" w:line="360" w:lineRule="auto"/>
        <w:ind w:firstLine="480" w:firstLineChars="200"/>
        <w:rPr>
          <w:rFonts w:hint="eastAsia" w:ascii="宋体" w:hAnsi="宋体" w:cs="宋体"/>
          <w:color w:val="auto"/>
          <w:sz w:val="24"/>
          <w:highlight w:val="none"/>
        </w:rPr>
      </w:pPr>
    </w:p>
    <w:p w14:paraId="3F5AFE64">
      <w:pPr>
        <w:spacing w:after="0" w:line="360" w:lineRule="auto"/>
        <w:ind w:firstLine="480" w:firstLineChars="200"/>
        <w:rPr>
          <w:rFonts w:hint="eastAsia" w:ascii="宋体" w:hAnsi="宋体" w:cs="宋体"/>
          <w:color w:val="auto"/>
          <w:sz w:val="24"/>
          <w:highlight w:val="none"/>
        </w:rPr>
      </w:pPr>
    </w:p>
    <w:tbl>
      <w:tblPr>
        <w:tblStyle w:val="4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14:paraId="6E90F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4261" w:type="dxa"/>
          </w:tcPr>
          <w:p w14:paraId="20DE10DB">
            <w:pPr>
              <w:spacing w:after="0" w:line="360" w:lineRule="auto"/>
              <w:rPr>
                <w:rFonts w:hint="eastAsia" w:ascii="宋体" w:hAnsi="宋体" w:cs="宋体"/>
                <w:color w:val="auto"/>
                <w:sz w:val="24"/>
                <w:highlight w:val="none"/>
              </w:rPr>
            </w:pPr>
            <w:r>
              <w:rPr>
                <w:rFonts w:hint="eastAsia" w:ascii="宋体" w:hAnsi="宋体" w:cs="宋体"/>
                <w:color w:val="auto"/>
                <w:sz w:val="24"/>
                <w:highlight w:val="none"/>
              </w:rPr>
              <w:t>委托人（签章）：</w:t>
            </w:r>
          </w:p>
        </w:tc>
        <w:tc>
          <w:tcPr>
            <w:tcW w:w="4261" w:type="dxa"/>
          </w:tcPr>
          <w:p w14:paraId="023962D3">
            <w:pPr>
              <w:spacing w:after="0" w:line="360" w:lineRule="auto"/>
              <w:rPr>
                <w:rFonts w:hint="eastAsia" w:ascii="宋体" w:hAnsi="宋体" w:cs="宋体"/>
                <w:color w:val="auto"/>
                <w:sz w:val="24"/>
                <w:highlight w:val="none"/>
              </w:rPr>
            </w:pPr>
            <w:r>
              <w:rPr>
                <w:rFonts w:hint="eastAsia" w:ascii="宋体" w:hAnsi="宋体" w:cs="宋体"/>
                <w:color w:val="auto"/>
                <w:sz w:val="24"/>
                <w:highlight w:val="none"/>
              </w:rPr>
              <w:t>受托人（签章）：</w:t>
            </w:r>
          </w:p>
        </w:tc>
      </w:tr>
      <w:tr w14:paraId="3D9EF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49F311D3">
            <w:pPr>
              <w:spacing w:after="0" w:line="360" w:lineRule="auto"/>
              <w:rPr>
                <w:rFonts w:hint="eastAsia" w:ascii="宋体" w:hAnsi="宋体" w:cs="宋体"/>
                <w:color w:val="auto"/>
                <w:sz w:val="24"/>
                <w:highlight w:val="none"/>
              </w:rPr>
            </w:pPr>
            <w:r>
              <w:rPr>
                <w:rFonts w:hint="eastAsia" w:ascii="宋体" w:hAnsi="宋体" w:cs="宋体"/>
                <w:color w:val="auto"/>
                <w:sz w:val="24"/>
                <w:highlight w:val="none"/>
              </w:rPr>
              <w:t>法定代表人或</w:t>
            </w:r>
          </w:p>
          <w:p w14:paraId="0CFFA917">
            <w:pPr>
              <w:spacing w:after="0" w:line="360" w:lineRule="auto"/>
              <w:rPr>
                <w:rFonts w:hint="eastAsia" w:ascii="宋体" w:hAnsi="宋体" w:cs="宋体"/>
                <w:color w:val="auto"/>
                <w:sz w:val="24"/>
                <w:highlight w:val="none"/>
                <w:u w:val="single"/>
              </w:rPr>
            </w:pPr>
            <w:r>
              <w:rPr>
                <w:rFonts w:hint="eastAsia" w:ascii="宋体" w:hAnsi="宋体" w:cs="宋体"/>
                <w:color w:val="auto"/>
                <w:sz w:val="24"/>
                <w:highlight w:val="none"/>
              </w:rPr>
              <w:t>授权代表（签字或盖章）：</w:t>
            </w:r>
            <w:r>
              <w:rPr>
                <w:rFonts w:hint="eastAsia" w:ascii="宋体" w:hAnsi="宋体" w:cs="宋体"/>
                <w:color w:val="auto"/>
                <w:sz w:val="24"/>
                <w:highlight w:val="none"/>
                <w:u w:val="single"/>
              </w:rPr>
              <w:t xml:space="preserve">       </w:t>
            </w:r>
          </w:p>
        </w:tc>
        <w:tc>
          <w:tcPr>
            <w:tcW w:w="4261" w:type="dxa"/>
          </w:tcPr>
          <w:p w14:paraId="47069E3D">
            <w:pPr>
              <w:spacing w:after="0" w:line="360" w:lineRule="auto"/>
              <w:rPr>
                <w:rFonts w:hint="eastAsia" w:ascii="宋体" w:hAnsi="宋体" w:cs="宋体"/>
                <w:color w:val="auto"/>
                <w:sz w:val="24"/>
                <w:highlight w:val="none"/>
              </w:rPr>
            </w:pPr>
            <w:r>
              <w:rPr>
                <w:rFonts w:hint="eastAsia" w:ascii="宋体" w:hAnsi="宋体" w:cs="宋体"/>
                <w:color w:val="auto"/>
                <w:sz w:val="24"/>
                <w:highlight w:val="none"/>
              </w:rPr>
              <w:t>法定代表人或</w:t>
            </w:r>
          </w:p>
          <w:p w14:paraId="63F15D8E">
            <w:pPr>
              <w:spacing w:after="0" w:line="360" w:lineRule="auto"/>
              <w:rPr>
                <w:rFonts w:hint="eastAsia" w:ascii="宋体" w:hAnsi="宋体" w:cs="宋体"/>
                <w:color w:val="auto"/>
                <w:sz w:val="24"/>
                <w:highlight w:val="none"/>
                <w:u w:val="single"/>
              </w:rPr>
            </w:pPr>
            <w:r>
              <w:rPr>
                <w:rFonts w:hint="eastAsia" w:ascii="宋体" w:hAnsi="宋体" w:cs="宋体"/>
                <w:color w:val="auto"/>
                <w:sz w:val="24"/>
                <w:highlight w:val="none"/>
              </w:rPr>
              <w:t>授权代表（签字或盖章）：</w:t>
            </w:r>
            <w:r>
              <w:rPr>
                <w:rFonts w:hint="eastAsia" w:ascii="宋体" w:hAnsi="宋体" w:cs="宋体"/>
                <w:color w:val="auto"/>
                <w:sz w:val="24"/>
                <w:highlight w:val="none"/>
                <w:u w:val="single"/>
              </w:rPr>
              <w:t xml:space="preserve">       </w:t>
            </w:r>
          </w:p>
        </w:tc>
      </w:tr>
      <w:tr w14:paraId="1D9A9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15887E48">
            <w:pPr>
              <w:spacing w:after="0"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号</w:t>
            </w:r>
          </w:p>
        </w:tc>
        <w:tc>
          <w:tcPr>
            <w:tcW w:w="4261" w:type="dxa"/>
          </w:tcPr>
          <w:p w14:paraId="30613E2A">
            <w:pPr>
              <w:spacing w:after="0"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olor w:val="auto"/>
                <w:highlight w:val="none"/>
                <w:u w:val="single"/>
              </w:rPr>
              <w:t xml:space="preserve">                </w:t>
            </w:r>
          </w:p>
        </w:tc>
      </w:tr>
      <w:tr w14:paraId="53554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4EEB0F0D">
            <w:pPr>
              <w:spacing w:after="0" w:line="360" w:lineRule="auto"/>
              <w:rPr>
                <w:rFonts w:hint="eastAsia" w:ascii="宋体" w:hAnsi="宋体" w:cs="宋体"/>
                <w:color w:val="auto"/>
                <w:sz w:val="24"/>
                <w:highlight w:val="none"/>
              </w:rPr>
            </w:pPr>
            <w:r>
              <w:rPr>
                <w:rFonts w:hint="eastAsia" w:ascii="宋体" w:hAnsi="宋体" w:cs="宋体"/>
                <w:color w:val="auto"/>
                <w:sz w:val="24"/>
                <w:highlight w:val="none"/>
              </w:rPr>
              <w:t>邮编：</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          </w:t>
            </w:r>
          </w:p>
        </w:tc>
        <w:tc>
          <w:tcPr>
            <w:tcW w:w="4261" w:type="dxa"/>
          </w:tcPr>
          <w:p w14:paraId="2AAD3EF7">
            <w:pPr>
              <w:spacing w:after="0" w:line="360" w:lineRule="auto"/>
              <w:rPr>
                <w:rFonts w:hint="eastAsia" w:ascii="宋体" w:hAnsi="宋体" w:cs="宋体"/>
                <w:color w:val="auto"/>
                <w:sz w:val="24"/>
                <w:highlight w:val="none"/>
                <w:u w:val="single"/>
              </w:rPr>
            </w:pPr>
            <w:r>
              <w:rPr>
                <w:rFonts w:hint="eastAsia" w:ascii="宋体" w:hAnsi="宋体" w:cs="宋体"/>
                <w:color w:val="auto"/>
                <w:sz w:val="24"/>
                <w:highlight w:val="none"/>
              </w:rPr>
              <w:t>邮编：</w:t>
            </w:r>
            <w:r>
              <w:rPr>
                <w:rFonts w:hint="eastAsia" w:ascii="宋体" w:hAnsi="宋体" w:cs="宋体"/>
                <w:color w:val="auto"/>
                <w:sz w:val="24"/>
                <w:highlight w:val="none"/>
                <w:u w:val="single"/>
              </w:rPr>
              <w:t xml:space="preserve">             </w:t>
            </w:r>
          </w:p>
        </w:tc>
      </w:tr>
      <w:tr w14:paraId="31516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0A0575D1">
            <w:pPr>
              <w:spacing w:after="0" w:line="360" w:lineRule="auto"/>
              <w:rPr>
                <w:rFonts w:hint="eastAsia" w:ascii="宋体" w:hAnsi="宋体" w:cs="宋体"/>
                <w:color w:val="auto"/>
                <w:sz w:val="24"/>
                <w:highlight w:val="none"/>
              </w:rPr>
            </w:pPr>
            <w:r>
              <w:rPr>
                <w:rFonts w:hint="eastAsia" w:ascii="宋体" w:hAnsi="宋体" w:cs="宋体"/>
                <w:color w:val="auto"/>
                <w:sz w:val="24"/>
                <w:highlight w:val="none"/>
              </w:rPr>
              <w:t>电话：</w:t>
            </w:r>
            <w:r>
              <w:rPr>
                <w:rFonts w:hint="eastAsia" w:ascii="宋体" w:hAnsi="宋体"/>
                <w:color w:val="auto"/>
                <w:sz w:val="24"/>
                <w:highlight w:val="none"/>
                <w:u w:val="single"/>
              </w:rPr>
              <w:t xml:space="preserve">             </w:t>
            </w:r>
          </w:p>
        </w:tc>
        <w:tc>
          <w:tcPr>
            <w:tcW w:w="4261" w:type="dxa"/>
          </w:tcPr>
          <w:p w14:paraId="0E8577CB">
            <w:pPr>
              <w:spacing w:after="0" w:line="360" w:lineRule="auto"/>
              <w:rPr>
                <w:rFonts w:hint="eastAsia" w:ascii="宋体" w:hAnsi="宋体" w:cs="宋体"/>
                <w:color w:val="auto"/>
                <w:sz w:val="24"/>
                <w:highlight w:val="none"/>
                <w:u w:val="single"/>
              </w:rPr>
            </w:pPr>
            <w:r>
              <w:rPr>
                <w:rFonts w:hint="eastAsia" w:ascii="宋体" w:hAnsi="宋体" w:cs="宋体"/>
                <w:color w:val="auto"/>
                <w:sz w:val="24"/>
                <w:highlight w:val="none"/>
              </w:rPr>
              <w:t>电话：</w:t>
            </w:r>
            <w:r>
              <w:rPr>
                <w:rFonts w:hint="eastAsia" w:ascii="宋体" w:hAnsi="宋体" w:cs="宋体"/>
                <w:color w:val="auto"/>
                <w:sz w:val="24"/>
                <w:highlight w:val="none"/>
                <w:u w:val="single"/>
              </w:rPr>
              <w:t xml:space="preserve">                 </w:t>
            </w:r>
          </w:p>
        </w:tc>
      </w:tr>
      <w:tr w14:paraId="50466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1B1B7611">
            <w:pPr>
              <w:spacing w:after="0" w:line="360" w:lineRule="auto"/>
              <w:rPr>
                <w:rFonts w:hint="eastAsia" w:ascii="宋体" w:hAnsi="宋体" w:cs="宋体"/>
                <w:color w:val="auto"/>
                <w:sz w:val="24"/>
                <w:highlight w:val="none"/>
              </w:rPr>
            </w:pPr>
            <w:r>
              <w:rPr>
                <w:rFonts w:hint="eastAsia" w:ascii="宋体" w:hAnsi="宋体" w:cs="宋体"/>
                <w:color w:val="auto"/>
                <w:sz w:val="24"/>
                <w:highlight w:val="none"/>
              </w:rPr>
              <w:t>传真：</w:t>
            </w:r>
            <w:r>
              <w:rPr>
                <w:rFonts w:hint="eastAsia" w:ascii="宋体" w:hAnsi="宋体"/>
                <w:color w:val="auto"/>
                <w:sz w:val="24"/>
                <w:highlight w:val="none"/>
                <w:u w:val="single"/>
              </w:rPr>
              <w:t xml:space="preserve">  / </w:t>
            </w:r>
            <w:r>
              <w:rPr>
                <w:rFonts w:ascii="宋体" w:hAnsi="宋体"/>
                <w:color w:val="auto"/>
                <w:sz w:val="24"/>
                <w:highlight w:val="none"/>
                <w:u w:val="single"/>
              </w:rPr>
              <w:t xml:space="preserve"> </w:t>
            </w:r>
          </w:p>
        </w:tc>
        <w:tc>
          <w:tcPr>
            <w:tcW w:w="4261" w:type="dxa"/>
          </w:tcPr>
          <w:p w14:paraId="078D3C14">
            <w:pPr>
              <w:spacing w:after="0" w:line="360" w:lineRule="auto"/>
              <w:rPr>
                <w:rFonts w:hint="eastAsia" w:ascii="宋体" w:hAnsi="宋体" w:cs="宋体"/>
                <w:color w:val="auto"/>
                <w:sz w:val="24"/>
                <w:highlight w:val="none"/>
              </w:rPr>
            </w:pPr>
            <w:r>
              <w:rPr>
                <w:rFonts w:hint="eastAsia" w:ascii="宋体" w:hAnsi="宋体" w:cs="宋体"/>
                <w:color w:val="auto"/>
                <w:sz w:val="24"/>
                <w:highlight w:val="none"/>
              </w:rPr>
              <w:t>传真：</w:t>
            </w:r>
            <w:r>
              <w:rPr>
                <w:rFonts w:hint="eastAsia" w:ascii="宋体" w:hAnsi="宋体" w:cs="宋体"/>
                <w:color w:val="auto"/>
                <w:sz w:val="24"/>
                <w:highlight w:val="none"/>
                <w:u w:val="single"/>
              </w:rPr>
              <w:t xml:space="preserve">                 </w:t>
            </w:r>
          </w:p>
        </w:tc>
      </w:tr>
      <w:tr w14:paraId="44ED4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38CA0F9B">
            <w:pPr>
              <w:spacing w:after="0" w:line="360" w:lineRule="auto"/>
              <w:rPr>
                <w:rFonts w:hint="eastAsia"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p>
        </w:tc>
        <w:tc>
          <w:tcPr>
            <w:tcW w:w="4261" w:type="dxa"/>
          </w:tcPr>
          <w:p w14:paraId="3AC57A30">
            <w:pPr>
              <w:spacing w:after="0" w:line="360" w:lineRule="auto"/>
              <w:rPr>
                <w:rFonts w:hint="eastAsia"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p>
        </w:tc>
      </w:tr>
      <w:tr w14:paraId="22066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5D7728A0">
            <w:pPr>
              <w:spacing w:after="0" w:line="360" w:lineRule="auto"/>
              <w:rPr>
                <w:rFonts w:hint="eastAsia" w:ascii="宋体" w:hAnsi="宋体" w:cs="宋体"/>
                <w:color w:val="auto"/>
                <w:sz w:val="24"/>
                <w:highlight w:val="none"/>
              </w:rPr>
            </w:pPr>
            <w:r>
              <w:rPr>
                <w:rFonts w:hint="eastAsia" w:ascii="宋体" w:hAnsi="宋体" w:cs="宋体"/>
                <w:color w:val="auto"/>
                <w:sz w:val="24"/>
                <w:highlight w:val="none"/>
              </w:rPr>
              <w:t>银行帐号：</w:t>
            </w:r>
            <w:r>
              <w:rPr>
                <w:rFonts w:hint="eastAsia" w:ascii="宋体" w:hAnsi="宋体" w:cs="宋体"/>
                <w:color w:val="auto"/>
                <w:sz w:val="24"/>
                <w:highlight w:val="none"/>
                <w:u w:val="single"/>
              </w:rPr>
              <w:t xml:space="preserve">                </w:t>
            </w:r>
          </w:p>
        </w:tc>
        <w:tc>
          <w:tcPr>
            <w:tcW w:w="4261" w:type="dxa"/>
          </w:tcPr>
          <w:p w14:paraId="3F5E5C44">
            <w:pPr>
              <w:spacing w:after="0" w:line="360" w:lineRule="auto"/>
              <w:rPr>
                <w:rFonts w:hint="eastAsia" w:ascii="宋体" w:hAnsi="宋体" w:cs="宋体"/>
                <w:color w:val="auto"/>
                <w:sz w:val="24"/>
                <w:highlight w:val="none"/>
              </w:rPr>
            </w:pPr>
            <w:r>
              <w:rPr>
                <w:rFonts w:hint="eastAsia" w:ascii="宋体" w:hAnsi="宋体" w:cs="宋体"/>
                <w:color w:val="auto"/>
                <w:sz w:val="24"/>
                <w:highlight w:val="none"/>
              </w:rPr>
              <w:t>银行帐号：</w:t>
            </w:r>
            <w:r>
              <w:rPr>
                <w:rFonts w:hint="eastAsia" w:ascii="宋体" w:hAnsi="宋体" w:cs="宋体"/>
                <w:color w:val="auto"/>
                <w:sz w:val="24"/>
                <w:highlight w:val="none"/>
                <w:u w:val="single"/>
              </w:rPr>
              <w:t xml:space="preserve">                 </w:t>
            </w:r>
          </w:p>
        </w:tc>
      </w:tr>
    </w:tbl>
    <w:p w14:paraId="6A32C45E">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38A4403C">
      <w:pPr>
        <w:rPr>
          <w:rFonts w:hint="eastAsia" w:ascii="宋体" w:hAnsi="宋体" w:cs="宋体"/>
          <w:b/>
          <w:bCs/>
          <w:color w:val="auto"/>
          <w:sz w:val="36"/>
          <w:szCs w:val="36"/>
          <w:highlight w:val="none"/>
        </w:rPr>
      </w:pPr>
      <w:bookmarkStart w:id="985" w:name="_Toc25979"/>
      <w:bookmarkStart w:id="986" w:name="_Toc372877743"/>
      <w:bookmarkStart w:id="987" w:name="_Toc372878305"/>
      <w:r>
        <w:rPr>
          <w:rFonts w:hint="eastAsia" w:ascii="宋体" w:hAnsi="宋体" w:cs="宋体"/>
          <w:b/>
          <w:bCs/>
          <w:color w:val="auto"/>
          <w:sz w:val="36"/>
          <w:szCs w:val="36"/>
          <w:highlight w:val="none"/>
        </w:rPr>
        <w:br w:type="page"/>
      </w:r>
    </w:p>
    <w:p w14:paraId="104121D4">
      <w:pPr>
        <w:spacing w:after="0" w:line="600" w:lineRule="auto"/>
        <w:jc w:val="center"/>
        <w:outlineLvl w:val="1"/>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第一部分 通用合同条款</w:t>
      </w:r>
      <w:bookmarkEnd w:id="985"/>
      <w:bookmarkEnd w:id="986"/>
      <w:bookmarkEnd w:id="987"/>
    </w:p>
    <w:p w14:paraId="2DBB884D">
      <w:pPr>
        <w:spacing w:after="0" w:line="360" w:lineRule="auto"/>
        <w:rPr>
          <w:rFonts w:hint="eastAsia" w:ascii="宋体" w:hAnsi="宋体" w:cs="宋体"/>
          <w:b/>
          <w:bCs/>
          <w:color w:val="auto"/>
          <w:sz w:val="28"/>
          <w:szCs w:val="28"/>
          <w:highlight w:val="none"/>
        </w:rPr>
      </w:pPr>
      <w:bookmarkStart w:id="988" w:name="_Toc372877744"/>
      <w:bookmarkStart w:id="989" w:name="_Toc372878306"/>
      <w:bookmarkStart w:id="990" w:name="_Toc8339"/>
      <w:r>
        <w:rPr>
          <w:rFonts w:ascii="宋体" w:hAnsi="宋体" w:cs="宋体"/>
          <w:b/>
          <w:bCs/>
          <w:color w:val="auto"/>
          <w:sz w:val="28"/>
          <w:szCs w:val="28"/>
          <w:highlight w:val="none"/>
        </w:rPr>
        <w:t>第一章</w:t>
      </w:r>
      <w:r>
        <w:rPr>
          <w:rFonts w:hint="eastAsia" w:ascii="宋体" w:hAnsi="宋体" w:cs="宋体"/>
          <w:b/>
          <w:bCs/>
          <w:color w:val="auto"/>
          <w:sz w:val="28"/>
          <w:szCs w:val="28"/>
          <w:highlight w:val="none"/>
        </w:rPr>
        <w:t xml:space="preserve"> 词语定义、适用的法律法规、语言</w:t>
      </w:r>
      <w:bookmarkEnd w:id="988"/>
      <w:bookmarkEnd w:id="989"/>
      <w:bookmarkEnd w:id="990"/>
    </w:p>
    <w:p w14:paraId="0E68B3FD">
      <w:pPr>
        <w:tabs>
          <w:tab w:val="left" w:pos="1620"/>
        </w:tabs>
        <w:spacing w:after="0" w:line="360" w:lineRule="auto"/>
        <w:ind w:left="420" w:leftChars="200"/>
        <w:rPr>
          <w:rFonts w:hint="eastAsia" w:ascii="宋体" w:hAnsi="宋体" w:cs="宋体"/>
          <w:color w:val="auto"/>
          <w:sz w:val="24"/>
          <w:highlight w:val="none"/>
        </w:rPr>
      </w:pPr>
      <w:r>
        <w:rPr>
          <w:rFonts w:hint="eastAsia" w:ascii="宋体" w:hAnsi="宋体" w:cs="宋体"/>
          <w:b/>
          <w:bCs/>
          <w:color w:val="auto"/>
          <w:sz w:val="24"/>
          <w:highlight w:val="none"/>
        </w:rPr>
        <w:t xml:space="preserve">第一条 </w:t>
      </w:r>
      <w:r>
        <w:rPr>
          <w:rFonts w:hint="eastAsia" w:ascii="宋体" w:hAnsi="宋体" w:cs="宋体"/>
          <w:color w:val="auto"/>
          <w:sz w:val="24"/>
          <w:highlight w:val="none"/>
        </w:rPr>
        <w:t>下列词语除专用合同条款另有约定外，应具有本条所赋予的定义：</w:t>
      </w:r>
    </w:p>
    <w:p w14:paraId="61CDA55C">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（1）“项目”是指委托人委托实施咨询的项目。</w:t>
      </w:r>
    </w:p>
    <w:p w14:paraId="294D99F5">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（2）“委托人”是指承担投资责任并委托咨询任务的一方。</w:t>
      </w:r>
    </w:p>
    <w:p w14:paraId="2118162F">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（3）“受托人”是指按照委托咨询合同约定承担咨询工作的一方。</w:t>
      </w:r>
    </w:p>
    <w:p w14:paraId="3417DC2C">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（4）“项目管理部”是指由受托人组建实施具体咨询工作的机构。</w:t>
      </w:r>
    </w:p>
    <w:p w14:paraId="12664852">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（5）“项目经理”是指由受托人任命全面履行本合同的负责人。</w:t>
      </w:r>
    </w:p>
    <w:p w14:paraId="78F13E70">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（6）“正常工作”是指双方在合同中约定，由委托人委托的项目管理工作。</w:t>
      </w:r>
    </w:p>
    <w:p w14:paraId="59F547EC">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（7）“附加工作”是指：①委托人委托咨询范围以外，通过双方书面协议另外增加的工作内容；②由于委托人的原因，使委托咨询工作受到阻碍或延误，造成因增加工作量或延长工作时间而增加的工作。</w:t>
      </w:r>
    </w:p>
    <w:p w14:paraId="31D4FEAE">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（8）“额外工作”是指正常工作和附加工作以外或由于委托人原因而暂停或终止咨询业务，其善后工作及恢复委托咨询业务的工作。</w:t>
      </w:r>
    </w:p>
    <w:p w14:paraId="533B19CC">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（9）“日”是指任何一天零时至第二天零时的时间段。</w:t>
      </w:r>
    </w:p>
    <w:p w14:paraId="1D5996FB">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（10）“月”是指根据公历从一个月份中任何一天开始到下一个月相应日期前一天的时间段。</w:t>
      </w:r>
    </w:p>
    <w:p w14:paraId="1101D5EE">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（11）“专业工作单位”是指由委托人通过法定方式选择承担本项目勘察、设计、施工、材料设备供应安装及监理等工作，具备相应资质的单位。</w:t>
      </w:r>
    </w:p>
    <w:p w14:paraId="0E78CE86">
      <w:pPr>
        <w:numPr>
          <w:ilvl w:val="1"/>
          <w:numId w:val="0"/>
        </w:numPr>
        <w:tabs>
          <w:tab w:val="left" w:pos="1620"/>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 xml:space="preserve">第二条 </w:t>
      </w:r>
      <w:r>
        <w:rPr>
          <w:rFonts w:hint="eastAsia" w:ascii="宋体" w:hAnsi="宋体" w:cs="宋体"/>
          <w:color w:val="auto"/>
          <w:sz w:val="24"/>
          <w:highlight w:val="none"/>
        </w:rPr>
        <w:t>建设工程咨询委托管理合同适用的法律是指国家的法律、行政法规，以及专用合同条款中约定的部门规章或北京市地方法规、地方规章。</w:t>
      </w:r>
    </w:p>
    <w:p w14:paraId="4B97B3F6">
      <w:pPr>
        <w:numPr>
          <w:ilvl w:val="1"/>
          <w:numId w:val="0"/>
        </w:numPr>
        <w:tabs>
          <w:tab w:val="left" w:pos="1620"/>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 xml:space="preserve">第三条 </w:t>
      </w:r>
      <w:r>
        <w:rPr>
          <w:rFonts w:hint="eastAsia" w:ascii="宋体" w:hAnsi="宋体" w:cs="宋体"/>
          <w:color w:val="auto"/>
          <w:sz w:val="24"/>
          <w:highlight w:val="none"/>
        </w:rPr>
        <w:t>本合同文件使用汉语语言文字书写、解释和说明。如专用条件约定使用两种以上（含两种）语言文字时，汉语应为解释和说明本合同的标准语言文字。</w:t>
      </w:r>
    </w:p>
    <w:p w14:paraId="15DFB092">
      <w:pPr>
        <w:spacing w:after="0" w:line="360" w:lineRule="auto"/>
        <w:rPr>
          <w:rFonts w:hint="eastAsia" w:ascii="宋体" w:hAnsi="宋体" w:cs="宋体"/>
          <w:b/>
          <w:bCs/>
          <w:color w:val="auto"/>
          <w:sz w:val="28"/>
          <w:szCs w:val="28"/>
          <w:highlight w:val="none"/>
        </w:rPr>
      </w:pPr>
      <w:bookmarkStart w:id="991" w:name="_Toc372878307"/>
      <w:bookmarkStart w:id="992" w:name="_Toc15006"/>
      <w:bookmarkStart w:id="993" w:name="_Toc372877745"/>
      <w:r>
        <w:rPr>
          <w:rFonts w:ascii="宋体" w:hAnsi="宋体" w:cs="宋体"/>
          <w:b/>
          <w:bCs/>
          <w:color w:val="auto"/>
          <w:sz w:val="28"/>
          <w:szCs w:val="28"/>
          <w:highlight w:val="none"/>
        </w:rPr>
        <w:t>第二章</w:t>
      </w:r>
      <w:r>
        <w:rPr>
          <w:rFonts w:hint="eastAsia" w:ascii="宋体" w:hAnsi="宋体" w:cs="宋体"/>
          <w:b/>
          <w:bCs/>
          <w:color w:val="auto"/>
          <w:sz w:val="28"/>
          <w:szCs w:val="28"/>
          <w:highlight w:val="none"/>
        </w:rPr>
        <w:t xml:space="preserve"> 权利</w:t>
      </w:r>
      <w:bookmarkEnd w:id="991"/>
      <w:bookmarkEnd w:id="992"/>
      <w:bookmarkEnd w:id="993"/>
    </w:p>
    <w:p w14:paraId="4185A077">
      <w:pPr>
        <w:spacing w:after="0" w:line="360" w:lineRule="auto"/>
        <w:jc w:val="center"/>
        <w:rPr>
          <w:rFonts w:hint="eastAsia" w:ascii="宋体" w:hAnsi="宋体" w:cs="宋体"/>
          <w:color w:val="auto"/>
          <w:sz w:val="28"/>
          <w:szCs w:val="28"/>
          <w:highlight w:val="none"/>
        </w:rPr>
      </w:pPr>
      <w:r>
        <w:rPr>
          <w:rFonts w:hint="eastAsia" w:ascii="宋体" w:hAnsi="宋体" w:cs="宋体"/>
          <w:b/>
          <w:bCs/>
          <w:color w:val="auto"/>
          <w:sz w:val="28"/>
          <w:szCs w:val="28"/>
          <w:highlight w:val="none"/>
        </w:rPr>
        <w:t>委托人权利</w:t>
      </w:r>
    </w:p>
    <w:p w14:paraId="3E69BD63">
      <w:pPr>
        <w:numPr>
          <w:ilvl w:val="1"/>
          <w:numId w:val="0"/>
        </w:numPr>
        <w:tabs>
          <w:tab w:val="left" w:pos="1620"/>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 xml:space="preserve">第四条 </w:t>
      </w:r>
      <w:r>
        <w:rPr>
          <w:rFonts w:hint="eastAsia" w:ascii="宋体" w:hAnsi="宋体" w:cs="宋体"/>
          <w:color w:val="auto"/>
          <w:sz w:val="24"/>
          <w:highlight w:val="none"/>
        </w:rPr>
        <w:t>委托人有权对委托的咨询工作进行监督，有权要求受托人接受政府部门对本项目的监督和检查，有权要求受托人协助落实政府部门针对本项目存在问题所提出的处理意见。</w:t>
      </w:r>
    </w:p>
    <w:p w14:paraId="799355BB">
      <w:pPr>
        <w:numPr>
          <w:ilvl w:val="1"/>
          <w:numId w:val="0"/>
        </w:numPr>
        <w:tabs>
          <w:tab w:val="left" w:pos="1620"/>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 xml:space="preserve">第五条 </w:t>
      </w:r>
      <w:r>
        <w:rPr>
          <w:rFonts w:hint="eastAsia" w:ascii="宋体" w:hAnsi="宋体" w:cs="宋体"/>
          <w:color w:val="auto"/>
          <w:sz w:val="24"/>
          <w:highlight w:val="none"/>
        </w:rPr>
        <w:t>委托人有权变更使用功能、建设内容、建设规模、建设标准和建设进度，有权对参建单位提出的工程变更进行审定，有权对因技术、水文和地质等客观原因造成的设计变更进行核准。</w:t>
      </w:r>
    </w:p>
    <w:p w14:paraId="244CCDD0">
      <w:pPr>
        <w:numPr>
          <w:ilvl w:val="1"/>
          <w:numId w:val="0"/>
        </w:numPr>
        <w:tabs>
          <w:tab w:val="left" w:pos="1620"/>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 xml:space="preserve">第六条 </w:t>
      </w:r>
      <w:r>
        <w:rPr>
          <w:rFonts w:hint="eastAsia" w:ascii="宋体" w:hAnsi="宋体" w:cs="宋体"/>
          <w:color w:val="auto"/>
          <w:sz w:val="24"/>
          <w:highlight w:val="none"/>
        </w:rPr>
        <w:t>委托人有权要求受托人赔偿因擅自变更建设内容，扩大建设规模、提高建设标准，致使工期延长、投资增加或工程质量不合格所造成的损失。</w:t>
      </w:r>
    </w:p>
    <w:p w14:paraId="3180672D">
      <w:pPr>
        <w:numPr>
          <w:ilvl w:val="1"/>
          <w:numId w:val="0"/>
        </w:numPr>
        <w:tabs>
          <w:tab w:val="left" w:pos="1620"/>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 xml:space="preserve">第七条 </w:t>
      </w:r>
      <w:r>
        <w:rPr>
          <w:rFonts w:hint="eastAsia" w:ascii="宋体" w:hAnsi="宋体" w:cs="宋体"/>
          <w:color w:val="auto"/>
          <w:sz w:val="24"/>
          <w:highlight w:val="none"/>
        </w:rPr>
        <w:t>委托人有权要求受托人更换不称职的项目管理部工作人员，有权提出更换本项目各类合同履约方所派出的履约人员。</w:t>
      </w:r>
    </w:p>
    <w:p w14:paraId="2602EF2F">
      <w:pPr>
        <w:numPr>
          <w:ilvl w:val="1"/>
          <w:numId w:val="0"/>
        </w:numPr>
        <w:tabs>
          <w:tab w:val="left" w:pos="1620"/>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 xml:space="preserve">第八条 </w:t>
      </w:r>
      <w:r>
        <w:rPr>
          <w:rFonts w:hint="eastAsia" w:ascii="宋体" w:hAnsi="宋体" w:cs="宋体"/>
          <w:color w:val="auto"/>
          <w:sz w:val="24"/>
          <w:highlight w:val="none"/>
        </w:rPr>
        <w:t>委托人有权决定各项采购合同条款与事项，有权对招标采购结果进行确认，有权变更采购供应商。</w:t>
      </w:r>
    </w:p>
    <w:p w14:paraId="599E9CA3">
      <w:pPr>
        <w:numPr>
          <w:ilvl w:val="1"/>
          <w:numId w:val="0"/>
        </w:numPr>
        <w:tabs>
          <w:tab w:val="left" w:pos="1620"/>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 xml:space="preserve">第九条 </w:t>
      </w:r>
      <w:r>
        <w:rPr>
          <w:rFonts w:hint="eastAsia" w:ascii="宋体" w:hAnsi="宋体" w:cs="宋体"/>
          <w:color w:val="auto"/>
          <w:sz w:val="24"/>
          <w:highlight w:val="none"/>
        </w:rPr>
        <w:t>委托人有权对受托人管理范围内</w:t>
      </w:r>
      <w:r>
        <w:rPr>
          <w:rFonts w:hint="eastAsia" w:ascii="宋体" w:hAnsi="宋体" w:cs="宋体"/>
          <w:color w:val="auto"/>
          <w:sz w:val="24"/>
          <w:highlight w:val="none"/>
          <w:lang w:eastAsia="zh-CN"/>
        </w:rPr>
        <w:t>合同金额</w:t>
      </w:r>
      <w:r>
        <w:rPr>
          <w:rFonts w:hint="eastAsia" w:ascii="宋体" w:hAnsi="宋体" w:cs="宋体"/>
          <w:color w:val="auto"/>
          <w:sz w:val="24"/>
          <w:highlight w:val="none"/>
        </w:rPr>
        <w:t>的支付做出决定。</w:t>
      </w:r>
    </w:p>
    <w:p w14:paraId="34EC0CC1">
      <w:pPr>
        <w:numPr>
          <w:ilvl w:val="1"/>
          <w:numId w:val="0"/>
        </w:numPr>
        <w:tabs>
          <w:tab w:val="left" w:pos="1620"/>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 xml:space="preserve">第十条 </w:t>
      </w:r>
      <w:r>
        <w:rPr>
          <w:rFonts w:hint="eastAsia" w:ascii="宋体" w:hAnsi="宋体" w:cs="宋体"/>
          <w:color w:val="auto"/>
          <w:sz w:val="24"/>
          <w:highlight w:val="none"/>
        </w:rPr>
        <w:t>委托人对受托人开展的委托咨询工作有知情权和监督权。</w:t>
      </w:r>
    </w:p>
    <w:p w14:paraId="5EB22566">
      <w:pPr>
        <w:numPr>
          <w:ilvl w:val="1"/>
          <w:numId w:val="0"/>
        </w:numPr>
        <w:tabs>
          <w:tab w:val="left" w:pos="1620"/>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 xml:space="preserve">第十一条 </w:t>
      </w:r>
      <w:r>
        <w:rPr>
          <w:rFonts w:hint="eastAsia" w:ascii="宋体" w:hAnsi="宋体" w:cs="宋体"/>
          <w:color w:val="auto"/>
          <w:sz w:val="24"/>
          <w:highlight w:val="none"/>
        </w:rPr>
        <w:t>委托人有权对受托人主张并申请管理授权的事项做出不予授权的决定。已经做出管理授权的事项，委托人有权撤销管理授权。委托人有权因项目需要安排受托人承担项目相关的临时性工作，相关费用包含在项目价款中，委托人无需另行支付任何费用。</w:t>
      </w:r>
    </w:p>
    <w:p w14:paraId="7351995C">
      <w:pPr>
        <w:numPr>
          <w:ilvl w:val="1"/>
          <w:numId w:val="0"/>
        </w:numPr>
        <w:tabs>
          <w:tab w:val="left" w:pos="1980"/>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 xml:space="preserve">第十二条 </w:t>
      </w:r>
      <w:r>
        <w:rPr>
          <w:rFonts w:hint="eastAsia" w:ascii="宋体" w:hAnsi="宋体" w:cs="宋体"/>
          <w:color w:val="auto"/>
          <w:sz w:val="24"/>
          <w:highlight w:val="none"/>
        </w:rPr>
        <w:t>委托人有权在委托咨询服务完成后，组织对受托人的委托咨询工作进行客观、全面、公正的评价。</w:t>
      </w:r>
    </w:p>
    <w:p w14:paraId="1C75606D">
      <w:pPr>
        <w:spacing w:after="0"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受托人权利</w:t>
      </w:r>
    </w:p>
    <w:p w14:paraId="5E00EEC4">
      <w:pPr>
        <w:numPr>
          <w:ilvl w:val="1"/>
          <w:numId w:val="0"/>
        </w:numPr>
        <w:tabs>
          <w:tab w:val="left" w:pos="1620"/>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 xml:space="preserve">第十三条 </w:t>
      </w:r>
      <w:r>
        <w:rPr>
          <w:rFonts w:hint="eastAsia" w:ascii="宋体" w:hAnsi="宋体" w:cs="宋体"/>
          <w:color w:val="auto"/>
          <w:sz w:val="24"/>
          <w:highlight w:val="none"/>
        </w:rPr>
        <w:t>受托人根据委托人的授权和需求以及有关法律、法规的规定，享有以下项目建设的组织、管理和协调权利：</w:t>
      </w:r>
    </w:p>
    <w:p w14:paraId="64D4C5BE">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（1）对参与项目的各方实施综合协调管理；</w:t>
      </w:r>
    </w:p>
    <w:p w14:paraId="51B3037B">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（2）协助委托人对与相关单位签订的合同进行审核；</w:t>
      </w:r>
    </w:p>
    <w:p w14:paraId="5B997061">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（3）对</w:t>
      </w:r>
      <w:r>
        <w:rPr>
          <w:rFonts w:hint="eastAsia" w:ascii="宋体" w:hAnsi="宋体" w:cs="宋体"/>
          <w:color w:val="auto"/>
          <w:sz w:val="24"/>
          <w:highlight w:val="none"/>
        </w:rPr>
        <w:t>合同金额（包含各项工程费和建设其他费用合同）</w:t>
      </w:r>
      <w:r>
        <w:rPr>
          <w:rFonts w:hint="eastAsia" w:ascii="宋体" w:hAnsi="宋体" w:cs="宋体"/>
          <w:color w:val="auto"/>
          <w:sz w:val="24"/>
          <w:highlight w:val="none"/>
        </w:rPr>
        <w:t>支付进行审核。</w:t>
      </w:r>
    </w:p>
    <w:p w14:paraId="28792C41">
      <w:pPr>
        <w:numPr>
          <w:ilvl w:val="1"/>
          <w:numId w:val="0"/>
        </w:numPr>
        <w:tabs>
          <w:tab w:val="left" w:pos="1620"/>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 xml:space="preserve">第十四条 </w:t>
      </w:r>
      <w:r>
        <w:rPr>
          <w:rFonts w:hint="eastAsia" w:ascii="宋体" w:hAnsi="宋体" w:cs="宋体"/>
          <w:color w:val="auto"/>
          <w:sz w:val="24"/>
          <w:highlight w:val="none"/>
        </w:rPr>
        <w:t>受托人有与委托人保持优先沟通的权利。</w:t>
      </w:r>
    </w:p>
    <w:p w14:paraId="4BA38C7C">
      <w:pPr>
        <w:numPr>
          <w:ilvl w:val="1"/>
          <w:numId w:val="0"/>
        </w:numPr>
        <w:tabs>
          <w:tab w:val="left" w:pos="1620"/>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 xml:space="preserve">第十五条 </w:t>
      </w:r>
      <w:r>
        <w:rPr>
          <w:rFonts w:hint="eastAsia" w:ascii="宋体" w:hAnsi="宋体" w:cs="宋体"/>
          <w:color w:val="auto"/>
          <w:sz w:val="24"/>
          <w:highlight w:val="none"/>
        </w:rPr>
        <w:t>受托人有权向委托人提交书面管理文件（含报告、建议、纪要和备忘录等）。</w:t>
      </w:r>
    </w:p>
    <w:p w14:paraId="5C5146D7">
      <w:pPr>
        <w:numPr>
          <w:ilvl w:val="1"/>
          <w:numId w:val="0"/>
        </w:numPr>
        <w:tabs>
          <w:tab w:val="left" w:pos="1620"/>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 xml:space="preserve">第十六条 </w:t>
      </w:r>
      <w:r>
        <w:rPr>
          <w:rFonts w:hint="eastAsia" w:ascii="宋体" w:hAnsi="宋体" w:cs="宋体"/>
          <w:color w:val="auto"/>
          <w:sz w:val="24"/>
          <w:highlight w:val="none"/>
        </w:rPr>
        <w:t>受托人有权拒绝委托人提出的违反现行法律法规的要求，有权拒绝本合同约定之外的工作，但因项目需要且双方协商一致的工作除外。</w:t>
      </w:r>
    </w:p>
    <w:p w14:paraId="35177F1F">
      <w:pPr>
        <w:numPr>
          <w:ilvl w:val="1"/>
          <w:numId w:val="0"/>
        </w:numPr>
        <w:tabs>
          <w:tab w:val="left" w:pos="1620"/>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 xml:space="preserve">第十七条 </w:t>
      </w:r>
      <w:r>
        <w:rPr>
          <w:rFonts w:hint="eastAsia" w:ascii="宋体" w:hAnsi="宋体" w:cs="宋体"/>
          <w:color w:val="auto"/>
          <w:sz w:val="24"/>
          <w:highlight w:val="none"/>
        </w:rPr>
        <w:t>受托人有权根据本合同相关约定取得项目管理服务报酬。</w:t>
      </w:r>
    </w:p>
    <w:p w14:paraId="61749A02">
      <w:pPr>
        <w:spacing w:after="0" w:line="360" w:lineRule="auto"/>
        <w:rPr>
          <w:rFonts w:hint="eastAsia" w:ascii="宋体" w:hAnsi="宋体" w:cs="宋体"/>
          <w:b/>
          <w:bCs/>
          <w:color w:val="auto"/>
          <w:sz w:val="28"/>
          <w:szCs w:val="28"/>
          <w:highlight w:val="none"/>
        </w:rPr>
      </w:pPr>
      <w:bookmarkStart w:id="994" w:name="_Toc13111"/>
      <w:bookmarkStart w:id="995" w:name="_Toc372877746"/>
      <w:bookmarkStart w:id="996" w:name="_Toc372878308"/>
      <w:r>
        <w:rPr>
          <w:rFonts w:hint="eastAsia" w:ascii="宋体" w:hAnsi="宋体" w:cs="宋体"/>
          <w:b/>
          <w:bCs/>
          <w:color w:val="auto"/>
          <w:sz w:val="28"/>
          <w:szCs w:val="28"/>
          <w:highlight w:val="none"/>
        </w:rPr>
        <w:t>第三章 义务</w:t>
      </w:r>
      <w:bookmarkEnd w:id="994"/>
      <w:bookmarkEnd w:id="995"/>
      <w:bookmarkEnd w:id="996"/>
    </w:p>
    <w:p w14:paraId="51451F15">
      <w:pPr>
        <w:spacing w:after="0"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委托人义务</w:t>
      </w:r>
    </w:p>
    <w:p w14:paraId="63C65918">
      <w:pPr>
        <w:numPr>
          <w:ilvl w:val="1"/>
          <w:numId w:val="0"/>
        </w:numPr>
        <w:tabs>
          <w:tab w:val="left" w:pos="1701"/>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第十</w:t>
      </w:r>
      <w:r>
        <w:rPr>
          <w:rFonts w:hint="eastAsia" w:ascii="宋体" w:hAnsi="宋体"/>
          <w:b/>
          <w:bCs/>
          <w:color w:val="auto"/>
          <w:sz w:val="24"/>
          <w:highlight w:val="none"/>
          <w:lang w:val="en-US" w:eastAsia="zh-CN"/>
        </w:rPr>
        <w:t>八</w:t>
      </w:r>
      <w:r>
        <w:rPr>
          <w:rFonts w:hint="eastAsia" w:ascii="宋体" w:hAnsi="宋体"/>
          <w:b/>
          <w:bCs/>
          <w:color w:val="auto"/>
          <w:sz w:val="24"/>
          <w:highlight w:val="none"/>
        </w:rPr>
        <w:t xml:space="preserve">条 </w:t>
      </w:r>
      <w:r>
        <w:rPr>
          <w:rFonts w:hint="eastAsia" w:ascii="宋体" w:hAnsi="宋体" w:cs="宋体"/>
          <w:color w:val="auto"/>
          <w:sz w:val="24"/>
          <w:highlight w:val="none"/>
        </w:rPr>
        <w:t>委托人应负责协调受托人与其它专业服务单位及政府行政管理部门的业务关系。</w:t>
      </w:r>
    </w:p>
    <w:p w14:paraId="4B54E035">
      <w:pPr>
        <w:numPr>
          <w:ilvl w:val="1"/>
          <w:numId w:val="0"/>
        </w:numPr>
        <w:tabs>
          <w:tab w:val="left" w:pos="1701"/>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 xml:space="preserve">第十九条 </w:t>
      </w:r>
      <w:r>
        <w:rPr>
          <w:rFonts w:hint="eastAsia" w:ascii="宋体" w:hAnsi="宋体" w:cs="宋体"/>
          <w:color w:val="auto"/>
          <w:sz w:val="24"/>
          <w:highlight w:val="none"/>
        </w:rPr>
        <w:t>委托人应为受托人办理各种审批/许可手续提供必要的条件和帮助。</w:t>
      </w:r>
    </w:p>
    <w:p w14:paraId="122A4013">
      <w:pPr>
        <w:numPr>
          <w:ilvl w:val="1"/>
          <w:numId w:val="0"/>
        </w:numPr>
        <w:tabs>
          <w:tab w:val="left" w:pos="1701"/>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第</w:t>
      </w:r>
      <w:r>
        <w:rPr>
          <w:rFonts w:hint="eastAsia" w:ascii="宋体" w:hAnsi="宋体"/>
          <w:b/>
          <w:bCs/>
          <w:color w:val="auto"/>
          <w:sz w:val="24"/>
          <w:highlight w:val="none"/>
          <w:lang w:val="en-US" w:eastAsia="zh-CN"/>
        </w:rPr>
        <w:t>二</w:t>
      </w:r>
      <w:r>
        <w:rPr>
          <w:rFonts w:hint="eastAsia" w:ascii="宋体" w:hAnsi="宋体"/>
          <w:b/>
          <w:bCs/>
          <w:color w:val="auto"/>
          <w:sz w:val="24"/>
          <w:highlight w:val="none"/>
        </w:rPr>
        <w:t xml:space="preserve">十条 </w:t>
      </w:r>
      <w:r>
        <w:rPr>
          <w:rFonts w:hint="eastAsia" w:ascii="宋体" w:hAnsi="宋体" w:cs="宋体"/>
          <w:color w:val="auto"/>
          <w:sz w:val="24"/>
          <w:highlight w:val="none"/>
        </w:rPr>
        <w:t>委托人有义务保证建设资金根据项目进展实际需要及时足额到位。</w:t>
      </w:r>
    </w:p>
    <w:p w14:paraId="79E8E52D">
      <w:pPr>
        <w:numPr>
          <w:ilvl w:val="1"/>
          <w:numId w:val="0"/>
        </w:numPr>
        <w:tabs>
          <w:tab w:val="left" w:pos="1985"/>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第二十</w:t>
      </w:r>
      <w:r>
        <w:rPr>
          <w:rFonts w:hint="eastAsia" w:ascii="宋体" w:hAnsi="宋体"/>
          <w:b/>
          <w:bCs/>
          <w:color w:val="auto"/>
          <w:sz w:val="24"/>
          <w:highlight w:val="none"/>
          <w:lang w:val="en-US" w:eastAsia="zh-CN"/>
        </w:rPr>
        <w:t>一</w:t>
      </w:r>
      <w:r>
        <w:rPr>
          <w:rFonts w:hint="eastAsia" w:ascii="宋体" w:hAnsi="宋体"/>
          <w:b/>
          <w:bCs/>
          <w:color w:val="auto"/>
          <w:sz w:val="24"/>
          <w:highlight w:val="none"/>
        </w:rPr>
        <w:t xml:space="preserve">条 </w:t>
      </w:r>
      <w:r>
        <w:rPr>
          <w:rFonts w:hint="eastAsia" w:ascii="宋体" w:hAnsi="宋体" w:cs="宋体"/>
          <w:color w:val="auto"/>
          <w:sz w:val="24"/>
          <w:highlight w:val="none"/>
        </w:rPr>
        <w:t>委托人应为受托人进入和使用项目建设场地提供便利，为受托人提供必要的现场办公及生活条件，具体按专用合同条款约定。</w:t>
      </w:r>
    </w:p>
    <w:p w14:paraId="76ACEC1A">
      <w:pPr>
        <w:numPr>
          <w:ilvl w:val="1"/>
          <w:numId w:val="0"/>
        </w:numPr>
        <w:tabs>
          <w:tab w:val="left" w:pos="1980"/>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第二十</w:t>
      </w:r>
      <w:r>
        <w:rPr>
          <w:rFonts w:hint="eastAsia" w:ascii="宋体" w:hAnsi="宋体"/>
          <w:b/>
          <w:bCs/>
          <w:color w:val="auto"/>
          <w:sz w:val="24"/>
          <w:highlight w:val="none"/>
          <w:lang w:val="en-US" w:eastAsia="zh-CN"/>
        </w:rPr>
        <w:t>二</w:t>
      </w:r>
      <w:r>
        <w:rPr>
          <w:rFonts w:hint="eastAsia" w:ascii="宋体" w:hAnsi="宋体"/>
          <w:b/>
          <w:bCs/>
          <w:color w:val="auto"/>
          <w:sz w:val="24"/>
          <w:highlight w:val="none"/>
        </w:rPr>
        <w:t xml:space="preserve">条 </w:t>
      </w:r>
      <w:r>
        <w:rPr>
          <w:rFonts w:hint="eastAsia" w:ascii="宋体" w:hAnsi="宋体" w:cs="宋体"/>
          <w:color w:val="auto"/>
          <w:sz w:val="24"/>
          <w:highlight w:val="none"/>
        </w:rPr>
        <w:t>委托人有义务在规定的期限内对项目使用功能需求、设计方案、初步设计和施工图设计内容进行确认。</w:t>
      </w:r>
    </w:p>
    <w:p w14:paraId="62EA8BEB">
      <w:pPr>
        <w:numPr>
          <w:ilvl w:val="1"/>
          <w:numId w:val="0"/>
        </w:numPr>
        <w:tabs>
          <w:tab w:val="left" w:pos="1980"/>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第二十</w:t>
      </w:r>
      <w:r>
        <w:rPr>
          <w:rFonts w:hint="eastAsia" w:ascii="宋体" w:hAnsi="宋体"/>
          <w:b/>
          <w:bCs/>
          <w:color w:val="auto"/>
          <w:sz w:val="24"/>
          <w:highlight w:val="none"/>
          <w:lang w:val="en-US" w:eastAsia="zh-CN"/>
        </w:rPr>
        <w:t>三</w:t>
      </w:r>
      <w:r>
        <w:rPr>
          <w:rFonts w:hint="eastAsia" w:ascii="宋体" w:hAnsi="宋体"/>
          <w:b/>
          <w:bCs/>
          <w:color w:val="auto"/>
          <w:sz w:val="24"/>
          <w:highlight w:val="none"/>
        </w:rPr>
        <w:t xml:space="preserve">条 </w:t>
      </w:r>
      <w:r>
        <w:rPr>
          <w:rFonts w:hint="eastAsia" w:ascii="宋体" w:hAnsi="宋体" w:cs="宋体"/>
          <w:color w:val="auto"/>
          <w:sz w:val="24"/>
          <w:highlight w:val="none"/>
        </w:rPr>
        <w:t>委托人有义务根据相关规定组织开展项目竣工验收工作。</w:t>
      </w:r>
    </w:p>
    <w:p w14:paraId="5B06948E">
      <w:pPr>
        <w:numPr>
          <w:ilvl w:val="1"/>
          <w:numId w:val="0"/>
        </w:numPr>
        <w:tabs>
          <w:tab w:val="left" w:pos="1980"/>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第二十</w:t>
      </w:r>
      <w:r>
        <w:rPr>
          <w:rFonts w:hint="eastAsia" w:ascii="宋体" w:hAnsi="宋体"/>
          <w:b/>
          <w:bCs/>
          <w:color w:val="auto"/>
          <w:sz w:val="24"/>
          <w:highlight w:val="none"/>
          <w:lang w:val="en-US" w:eastAsia="zh-CN"/>
        </w:rPr>
        <w:t>四</w:t>
      </w:r>
      <w:r>
        <w:rPr>
          <w:rFonts w:hint="eastAsia" w:ascii="宋体" w:hAnsi="宋体"/>
          <w:b/>
          <w:bCs/>
          <w:color w:val="auto"/>
          <w:sz w:val="24"/>
          <w:highlight w:val="none"/>
        </w:rPr>
        <w:t xml:space="preserve">条 </w:t>
      </w:r>
      <w:r>
        <w:rPr>
          <w:rFonts w:hint="eastAsia" w:ascii="宋体" w:hAnsi="宋体" w:cs="宋体"/>
          <w:color w:val="auto"/>
          <w:sz w:val="24"/>
          <w:highlight w:val="none"/>
        </w:rPr>
        <w:t>委托人有义务按照专用条款约定支付项目管理报酬。</w:t>
      </w:r>
    </w:p>
    <w:p w14:paraId="267DF1CA">
      <w:pPr>
        <w:numPr>
          <w:ilvl w:val="1"/>
          <w:numId w:val="0"/>
        </w:numPr>
        <w:tabs>
          <w:tab w:val="left" w:pos="1980"/>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第二十</w:t>
      </w:r>
      <w:r>
        <w:rPr>
          <w:rFonts w:hint="eastAsia" w:ascii="宋体" w:hAnsi="宋体"/>
          <w:b/>
          <w:bCs/>
          <w:color w:val="auto"/>
          <w:sz w:val="24"/>
          <w:highlight w:val="none"/>
          <w:lang w:val="en-US" w:eastAsia="zh-CN"/>
        </w:rPr>
        <w:t>五</w:t>
      </w:r>
      <w:r>
        <w:rPr>
          <w:rFonts w:hint="eastAsia" w:ascii="宋体" w:hAnsi="宋体"/>
          <w:b/>
          <w:bCs/>
          <w:color w:val="auto"/>
          <w:sz w:val="24"/>
          <w:highlight w:val="none"/>
        </w:rPr>
        <w:t xml:space="preserve">条 </w:t>
      </w:r>
      <w:r>
        <w:rPr>
          <w:rFonts w:hint="eastAsia" w:ascii="宋体" w:hAnsi="宋体" w:cs="宋体"/>
          <w:color w:val="auto"/>
          <w:sz w:val="24"/>
          <w:highlight w:val="none"/>
        </w:rPr>
        <w:t>委托人有义务接收受托人发出的管理文件，并有义务就受托人书面提交的需回复事项在专用条款约定的时间内以书面形式做出回复。</w:t>
      </w:r>
    </w:p>
    <w:p w14:paraId="48B1A2EE">
      <w:pPr>
        <w:numPr>
          <w:ilvl w:val="1"/>
          <w:numId w:val="0"/>
        </w:numPr>
        <w:tabs>
          <w:tab w:val="left" w:pos="1980"/>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第二十</w:t>
      </w:r>
      <w:r>
        <w:rPr>
          <w:rFonts w:hint="eastAsia" w:ascii="宋体" w:hAnsi="宋体"/>
          <w:b/>
          <w:bCs/>
          <w:color w:val="auto"/>
          <w:sz w:val="24"/>
          <w:highlight w:val="none"/>
          <w:lang w:val="en-US" w:eastAsia="zh-CN"/>
        </w:rPr>
        <w:t>六</w:t>
      </w:r>
      <w:r>
        <w:rPr>
          <w:rFonts w:hint="eastAsia" w:ascii="宋体" w:hAnsi="宋体"/>
          <w:b/>
          <w:bCs/>
          <w:color w:val="auto"/>
          <w:sz w:val="24"/>
          <w:highlight w:val="none"/>
        </w:rPr>
        <w:t xml:space="preserve">条 </w:t>
      </w:r>
      <w:r>
        <w:rPr>
          <w:rFonts w:hint="eastAsia" w:ascii="宋体" w:hAnsi="宋体" w:cs="宋体"/>
          <w:color w:val="auto"/>
          <w:sz w:val="24"/>
          <w:highlight w:val="none"/>
        </w:rPr>
        <w:t>委托人有义务授权一名联系人负责本项目的联络工作，联系人的有关信息，在合同专用条款中约定。</w:t>
      </w:r>
    </w:p>
    <w:p w14:paraId="61C4686A">
      <w:pPr>
        <w:numPr>
          <w:ilvl w:val="1"/>
          <w:numId w:val="0"/>
        </w:numPr>
        <w:tabs>
          <w:tab w:val="left" w:pos="1980"/>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第二十</w:t>
      </w:r>
      <w:r>
        <w:rPr>
          <w:rFonts w:hint="eastAsia" w:ascii="宋体" w:hAnsi="宋体"/>
          <w:b/>
          <w:bCs/>
          <w:color w:val="auto"/>
          <w:sz w:val="24"/>
          <w:highlight w:val="none"/>
          <w:lang w:val="en-US" w:eastAsia="zh-CN"/>
        </w:rPr>
        <w:t>七</w:t>
      </w:r>
      <w:r>
        <w:rPr>
          <w:rFonts w:hint="eastAsia" w:ascii="宋体" w:hAnsi="宋体"/>
          <w:b/>
          <w:bCs/>
          <w:color w:val="auto"/>
          <w:sz w:val="24"/>
          <w:highlight w:val="none"/>
        </w:rPr>
        <w:t xml:space="preserve">条 </w:t>
      </w:r>
      <w:r>
        <w:rPr>
          <w:rFonts w:hint="eastAsia" w:ascii="宋体" w:hAnsi="宋体" w:cs="宋体"/>
          <w:color w:val="auto"/>
          <w:sz w:val="24"/>
          <w:highlight w:val="none"/>
        </w:rPr>
        <w:t>委托人有义务根据委托咨询的需要书面告知各参建单位服从受托人管理，对受托人所开展的委托咨询工作提供积极主动的支持与配合。</w:t>
      </w:r>
    </w:p>
    <w:p w14:paraId="46E6902F">
      <w:pPr>
        <w:numPr>
          <w:ilvl w:val="1"/>
          <w:numId w:val="0"/>
        </w:numPr>
        <w:tabs>
          <w:tab w:val="left" w:pos="1980"/>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第二十</w:t>
      </w:r>
      <w:r>
        <w:rPr>
          <w:rFonts w:hint="eastAsia" w:ascii="宋体" w:hAnsi="宋体"/>
          <w:b/>
          <w:bCs/>
          <w:color w:val="auto"/>
          <w:sz w:val="24"/>
          <w:highlight w:val="none"/>
          <w:lang w:val="en-US" w:eastAsia="zh-CN"/>
        </w:rPr>
        <w:t>八</w:t>
      </w:r>
      <w:r>
        <w:rPr>
          <w:rFonts w:hint="eastAsia" w:ascii="宋体" w:hAnsi="宋体"/>
          <w:b/>
          <w:bCs/>
          <w:color w:val="auto"/>
          <w:sz w:val="24"/>
          <w:highlight w:val="none"/>
        </w:rPr>
        <w:t xml:space="preserve">条 </w:t>
      </w:r>
      <w:r>
        <w:rPr>
          <w:rFonts w:hint="eastAsia" w:ascii="宋体" w:hAnsi="宋体" w:cs="宋体"/>
          <w:color w:val="auto"/>
          <w:sz w:val="24"/>
          <w:highlight w:val="none"/>
        </w:rPr>
        <w:t>委托人有义务就受托人所承担的超出本合同委托咨询范围的工作追加支付管理报酬。</w:t>
      </w:r>
    </w:p>
    <w:p w14:paraId="16364793">
      <w:pPr>
        <w:spacing w:after="0"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受托人义务</w:t>
      </w:r>
    </w:p>
    <w:p w14:paraId="3B64867A">
      <w:pPr>
        <w:numPr>
          <w:ilvl w:val="1"/>
          <w:numId w:val="0"/>
        </w:numPr>
        <w:tabs>
          <w:tab w:val="left" w:pos="1985"/>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第二十</w:t>
      </w:r>
      <w:r>
        <w:rPr>
          <w:rFonts w:hint="eastAsia" w:ascii="宋体" w:hAnsi="宋体"/>
          <w:b/>
          <w:bCs/>
          <w:color w:val="auto"/>
          <w:sz w:val="24"/>
          <w:highlight w:val="none"/>
          <w:lang w:val="en-US" w:eastAsia="zh-CN"/>
        </w:rPr>
        <w:t>九</w:t>
      </w:r>
      <w:r>
        <w:rPr>
          <w:rFonts w:hint="eastAsia" w:ascii="宋体" w:hAnsi="宋体"/>
          <w:b/>
          <w:bCs/>
          <w:color w:val="auto"/>
          <w:sz w:val="24"/>
          <w:highlight w:val="none"/>
        </w:rPr>
        <w:t xml:space="preserve">条 </w:t>
      </w:r>
      <w:r>
        <w:rPr>
          <w:rFonts w:hint="eastAsia" w:ascii="宋体" w:hAnsi="宋体" w:cs="宋体"/>
          <w:color w:val="auto"/>
          <w:sz w:val="24"/>
          <w:highlight w:val="none"/>
        </w:rPr>
        <w:t>受托人有义务在履行合同义务期间遵守国家有关法律、法规的相关规定，维护委托人的合法权益。</w:t>
      </w:r>
    </w:p>
    <w:p w14:paraId="1A87D961">
      <w:pPr>
        <w:numPr>
          <w:ilvl w:val="1"/>
          <w:numId w:val="0"/>
        </w:numPr>
        <w:tabs>
          <w:tab w:val="left" w:pos="1843"/>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第</w:t>
      </w:r>
      <w:r>
        <w:rPr>
          <w:rFonts w:hint="eastAsia" w:ascii="宋体" w:hAnsi="宋体"/>
          <w:b/>
          <w:bCs/>
          <w:color w:val="auto"/>
          <w:sz w:val="24"/>
          <w:highlight w:val="none"/>
          <w:lang w:val="en-US" w:eastAsia="zh-CN"/>
        </w:rPr>
        <w:t>三十</w:t>
      </w:r>
      <w:r>
        <w:rPr>
          <w:rFonts w:hint="eastAsia" w:ascii="宋体" w:hAnsi="宋体"/>
          <w:b/>
          <w:bCs/>
          <w:color w:val="auto"/>
          <w:sz w:val="24"/>
          <w:highlight w:val="none"/>
        </w:rPr>
        <w:t xml:space="preserve">条 </w:t>
      </w:r>
      <w:r>
        <w:rPr>
          <w:rFonts w:hint="eastAsia" w:ascii="宋体" w:hAnsi="宋体" w:cs="宋体"/>
          <w:color w:val="auto"/>
          <w:sz w:val="24"/>
          <w:highlight w:val="none"/>
        </w:rPr>
        <w:t>受托人有义务组建能够满足委托咨询服务需要的咨询组织，按照合同约定的范围和内容开展委托咨询工作，并按专用合同条款约定向委托人报告项目工作进展。如受托人因自身原因不按时完成咨询工作等，每延期一天按照合同总价款的1%向委托人承担违约责任，延期达10天的，委托人有权解除合同，受托人还应按照</w:t>
      </w:r>
      <w:r>
        <w:rPr>
          <w:rFonts w:hint="eastAsia" w:ascii="宋体" w:hAnsi="宋体" w:cs="宋体"/>
          <w:color w:val="auto"/>
          <w:sz w:val="24"/>
          <w:highlight w:val="none"/>
          <w:lang w:eastAsia="zh-CN"/>
        </w:rPr>
        <w:t>合同金额</w:t>
      </w:r>
      <w:r>
        <w:rPr>
          <w:rFonts w:hint="eastAsia" w:ascii="宋体" w:hAnsi="宋体" w:cs="宋体"/>
          <w:color w:val="auto"/>
          <w:sz w:val="24"/>
          <w:highlight w:val="none"/>
        </w:rPr>
        <w:t>的30%承担违约责任。</w:t>
      </w:r>
    </w:p>
    <w:p w14:paraId="68AB16A8">
      <w:pPr>
        <w:numPr>
          <w:ilvl w:val="1"/>
          <w:numId w:val="0"/>
        </w:numPr>
        <w:tabs>
          <w:tab w:val="left" w:pos="1985"/>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第三十</w:t>
      </w:r>
      <w:r>
        <w:rPr>
          <w:rFonts w:hint="eastAsia" w:ascii="宋体" w:hAnsi="宋体"/>
          <w:b/>
          <w:bCs/>
          <w:color w:val="auto"/>
          <w:sz w:val="24"/>
          <w:highlight w:val="none"/>
          <w:lang w:val="en-US" w:eastAsia="zh-CN"/>
        </w:rPr>
        <w:t>一</w:t>
      </w:r>
      <w:r>
        <w:rPr>
          <w:rFonts w:hint="eastAsia" w:ascii="宋体" w:hAnsi="宋体"/>
          <w:b/>
          <w:bCs/>
          <w:color w:val="auto"/>
          <w:sz w:val="24"/>
          <w:highlight w:val="none"/>
        </w:rPr>
        <w:t xml:space="preserve">条 </w:t>
      </w:r>
      <w:r>
        <w:rPr>
          <w:rFonts w:hint="eastAsia" w:ascii="宋体" w:hAnsi="宋体" w:cs="宋体"/>
          <w:color w:val="auto"/>
          <w:sz w:val="24"/>
          <w:highlight w:val="none"/>
        </w:rPr>
        <w:t>受托人应按批准的建设内容、建设规模和建设标准实施组织管理，不得随意变更建设内容、建设规模、建设标准和投资金额。</w:t>
      </w:r>
    </w:p>
    <w:p w14:paraId="0691229F">
      <w:pPr>
        <w:numPr>
          <w:ilvl w:val="1"/>
          <w:numId w:val="0"/>
        </w:numPr>
        <w:tabs>
          <w:tab w:val="left" w:pos="1985"/>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第三十</w:t>
      </w:r>
      <w:r>
        <w:rPr>
          <w:rFonts w:hint="eastAsia" w:ascii="宋体" w:hAnsi="宋体"/>
          <w:b/>
          <w:bCs/>
          <w:color w:val="auto"/>
          <w:sz w:val="24"/>
          <w:highlight w:val="none"/>
          <w:lang w:val="en-US" w:eastAsia="zh-CN"/>
        </w:rPr>
        <w:t>二</w:t>
      </w:r>
      <w:r>
        <w:rPr>
          <w:rFonts w:hint="eastAsia" w:ascii="宋体" w:hAnsi="宋体"/>
          <w:b/>
          <w:bCs/>
          <w:color w:val="auto"/>
          <w:sz w:val="24"/>
          <w:highlight w:val="none"/>
        </w:rPr>
        <w:t xml:space="preserve">条 </w:t>
      </w:r>
      <w:r>
        <w:rPr>
          <w:rFonts w:hint="eastAsia" w:ascii="宋体" w:hAnsi="宋体" w:cs="宋体"/>
          <w:color w:val="auto"/>
          <w:sz w:val="24"/>
          <w:highlight w:val="none"/>
        </w:rPr>
        <w:t>受托人不得未经委托人批准办理应以委托人名义办理的事项。</w:t>
      </w:r>
    </w:p>
    <w:p w14:paraId="08E9DD58">
      <w:pPr>
        <w:numPr>
          <w:ilvl w:val="1"/>
          <w:numId w:val="0"/>
        </w:numPr>
        <w:tabs>
          <w:tab w:val="left" w:pos="1985"/>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第三十</w:t>
      </w:r>
      <w:r>
        <w:rPr>
          <w:rFonts w:hint="eastAsia" w:ascii="宋体" w:hAnsi="宋体"/>
          <w:b/>
          <w:bCs/>
          <w:color w:val="auto"/>
          <w:sz w:val="24"/>
          <w:highlight w:val="none"/>
          <w:lang w:val="en-US" w:eastAsia="zh-CN"/>
        </w:rPr>
        <w:t>三</w:t>
      </w:r>
      <w:r>
        <w:rPr>
          <w:rFonts w:hint="eastAsia" w:ascii="宋体" w:hAnsi="宋体"/>
          <w:b/>
          <w:bCs/>
          <w:color w:val="auto"/>
          <w:sz w:val="24"/>
          <w:highlight w:val="none"/>
        </w:rPr>
        <w:t xml:space="preserve">条 </w:t>
      </w:r>
      <w:r>
        <w:rPr>
          <w:rFonts w:hint="eastAsia" w:ascii="宋体" w:hAnsi="宋体" w:cs="宋体"/>
          <w:color w:val="auto"/>
          <w:sz w:val="24"/>
          <w:highlight w:val="none"/>
        </w:rPr>
        <w:t>受托人应对涉及委托咨询方面的重大事项及时向委托人报告并提出管理建议。</w:t>
      </w:r>
    </w:p>
    <w:p w14:paraId="0EDD398F">
      <w:pPr>
        <w:numPr>
          <w:ilvl w:val="1"/>
          <w:numId w:val="0"/>
        </w:numPr>
        <w:tabs>
          <w:tab w:val="left" w:pos="1985"/>
        </w:tabs>
        <w:spacing w:after="0" w:line="360" w:lineRule="auto"/>
        <w:ind w:firstLine="482" w:firstLineChars="200"/>
        <w:rPr>
          <w:rFonts w:hint="eastAsia" w:ascii="宋体" w:hAnsi="宋体" w:eastAsia="宋体" w:cs="宋体"/>
          <w:color w:val="auto"/>
          <w:sz w:val="24"/>
          <w:highlight w:val="none"/>
          <w:lang w:eastAsia="zh-CN"/>
        </w:rPr>
      </w:pPr>
      <w:r>
        <w:rPr>
          <w:rFonts w:hint="eastAsia" w:ascii="宋体" w:hAnsi="宋体"/>
          <w:b/>
          <w:bCs/>
          <w:color w:val="auto"/>
          <w:sz w:val="24"/>
          <w:highlight w:val="none"/>
        </w:rPr>
        <w:t>第三十</w:t>
      </w:r>
      <w:r>
        <w:rPr>
          <w:rFonts w:hint="eastAsia" w:ascii="宋体" w:hAnsi="宋体"/>
          <w:b/>
          <w:bCs/>
          <w:color w:val="auto"/>
          <w:sz w:val="24"/>
          <w:highlight w:val="none"/>
          <w:lang w:val="en-US" w:eastAsia="zh-CN"/>
        </w:rPr>
        <w:t>四</w:t>
      </w:r>
      <w:r>
        <w:rPr>
          <w:rFonts w:hint="eastAsia" w:ascii="宋体" w:hAnsi="宋体"/>
          <w:b/>
          <w:bCs/>
          <w:color w:val="auto"/>
          <w:sz w:val="24"/>
          <w:highlight w:val="none"/>
        </w:rPr>
        <w:t xml:space="preserve">条 </w:t>
      </w:r>
      <w:r>
        <w:rPr>
          <w:rFonts w:hint="eastAsia" w:ascii="宋体" w:hAnsi="宋体" w:eastAsia="宋体" w:cs="宋体"/>
          <w:color w:val="auto"/>
          <w:sz w:val="24"/>
          <w:highlight w:val="none"/>
        </w:rPr>
        <w:t>除本协议另有约定外，受托人因承接本项目所知悉的该项目信息或委托人信息，以及在项目实施过程中所产生的与该项目有关的全部信息、成果文件等均为委托人的保密信息，</w:t>
      </w:r>
      <w:r>
        <w:rPr>
          <w:rFonts w:hint="eastAsia" w:ascii="宋体" w:hAnsi="宋体" w:eastAsia="宋体" w:cs="宋体"/>
          <w:color w:val="auto"/>
          <w:sz w:val="24"/>
          <w:highlight w:val="none"/>
        </w:rPr>
        <w:t>受托人应按照《中华人民共和国保守国家秘密法》及</w:t>
      </w:r>
      <w:r>
        <w:rPr>
          <w:rFonts w:hint="eastAsia" w:ascii="宋体" w:hAnsi="宋体" w:eastAsia="宋体" w:cs="宋体"/>
          <w:color w:val="auto"/>
          <w:sz w:val="24"/>
          <w:highlight w:val="none"/>
        </w:rPr>
        <w:t>委托人关于保密工作的相关要求，对上述保密信息承担保密义务。未经委托人事先书面同意，受托人不得向任何第三方披露或供其使用</w:t>
      </w:r>
      <w:r>
        <w:rPr>
          <w:rFonts w:hint="eastAsia" w:ascii="宋体" w:hAnsi="宋体" w:cs="宋体"/>
          <w:color w:val="auto"/>
          <w:sz w:val="24"/>
          <w:highlight w:val="none"/>
          <w:lang w:eastAsia="zh-CN"/>
        </w:rPr>
        <w:t>，</w:t>
      </w:r>
      <w:r>
        <w:rPr>
          <w:rFonts w:hint="eastAsia" w:ascii="宋体" w:hAnsi="宋体" w:cs="宋体"/>
          <w:color w:val="auto"/>
          <w:sz w:val="24"/>
          <w:highlight w:val="none"/>
          <w:lang w:eastAsia="zh-CN"/>
        </w:rPr>
        <w:t>也不得在本协议约定事项范围之外自行使用</w:t>
      </w:r>
      <w:r>
        <w:rPr>
          <w:rFonts w:hint="eastAsia" w:ascii="宋体" w:hAnsi="宋体" w:eastAsia="宋体" w:cs="宋体"/>
          <w:color w:val="auto"/>
          <w:sz w:val="24"/>
          <w:highlight w:val="none"/>
        </w:rPr>
        <w:t>。如发生以上泄密情况可能给委托人造成经济损失的，委托人有权向受托人索赔并要求受托人支付合同金额30%的违约金</w:t>
      </w:r>
      <w:r>
        <w:rPr>
          <w:rFonts w:hint="eastAsia" w:ascii="宋体" w:hAnsi="宋体" w:cs="宋体"/>
          <w:color w:val="auto"/>
          <w:sz w:val="24"/>
          <w:highlight w:val="none"/>
          <w:lang w:eastAsia="zh-CN"/>
        </w:rPr>
        <w:t>。</w:t>
      </w:r>
    </w:p>
    <w:p w14:paraId="57F5EC74">
      <w:pPr>
        <w:numPr>
          <w:ilvl w:val="1"/>
          <w:numId w:val="0"/>
        </w:numPr>
        <w:tabs>
          <w:tab w:val="left" w:pos="1985"/>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第三十</w:t>
      </w:r>
      <w:r>
        <w:rPr>
          <w:rFonts w:hint="eastAsia" w:ascii="宋体" w:hAnsi="宋体"/>
          <w:b/>
          <w:bCs/>
          <w:color w:val="auto"/>
          <w:sz w:val="24"/>
          <w:highlight w:val="none"/>
          <w:lang w:val="en-US" w:eastAsia="zh-CN"/>
        </w:rPr>
        <w:t>五</w:t>
      </w:r>
      <w:r>
        <w:rPr>
          <w:rFonts w:hint="eastAsia" w:ascii="宋体" w:hAnsi="宋体"/>
          <w:b/>
          <w:bCs/>
          <w:color w:val="auto"/>
          <w:sz w:val="24"/>
          <w:highlight w:val="none"/>
        </w:rPr>
        <w:t xml:space="preserve">条 </w:t>
      </w:r>
      <w:r>
        <w:rPr>
          <w:rFonts w:hint="eastAsia" w:ascii="宋体" w:hAnsi="宋体" w:cs="宋体"/>
          <w:color w:val="auto"/>
          <w:sz w:val="24"/>
          <w:highlight w:val="none"/>
        </w:rPr>
        <w:t>受托人服务期内若发生可归因于勘察、设计、监理和其他咨询、服务以及施工、材料和设备供应等参建单位责任导致的损失，并需由相关单位承担相应赔偿责任的情形，受托人应配合委托人开展索赔管理工作。</w:t>
      </w:r>
    </w:p>
    <w:p w14:paraId="107CFF40">
      <w:pPr>
        <w:spacing w:after="0" w:line="360" w:lineRule="auto"/>
        <w:rPr>
          <w:rFonts w:hint="eastAsia" w:ascii="宋体" w:hAnsi="宋体" w:cs="宋体"/>
          <w:b/>
          <w:bCs/>
          <w:color w:val="auto"/>
          <w:sz w:val="28"/>
          <w:szCs w:val="28"/>
          <w:highlight w:val="none"/>
        </w:rPr>
      </w:pPr>
      <w:bookmarkStart w:id="997" w:name="_Toc15153"/>
      <w:bookmarkStart w:id="998" w:name="_Toc372878309"/>
      <w:bookmarkStart w:id="999" w:name="_Toc372877747"/>
      <w:r>
        <w:rPr>
          <w:rFonts w:hint="eastAsia" w:ascii="宋体" w:hAnsi="宋体" w:cs="宋体"/>
          <w:b/>
          <w:bCs/>
          <w:color w:val="auto"/>
          <w:sz w:val="28"/>
          <w:szCs w:val="28"/>
          <w:highlight w:val="none"/>
        </w:rPr>
        <w:t>第四章 责任</w:t>
      </w:r>
      <w:bookmarkEnd w:id="997"/>
      <w:bookmarkEnd w:id="998"/>
      <w:bookmarkEnd w:id="999"/>
    </w:p>
    <w:p w14:paraId="2658FD50">
      <w:pPr>
        <w:spacing w:after="0"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委托人责任</w:t>
      </w:r>
    </w:p>
    <w:p w14:paraId="3EFAAF58">
      <w:pPr>
        <w:numPr>
          <w:ilvl w:val="1"/>
          <w:numId w:val="0"/>
        </w:numPr>
        <w:tabs>
          <w:tab w:val="left" w:pos="1985"/>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第三十</w:t>
      </w:r>
      <w:r>
        <w:rPr>
          <w:rFonts w:hint="eastAsia" w:ascii="宋体" w:hAnsi="宋体"/>
          <w:b/>
          <w:bCs/>
          <w:color w:val="auto"/>
          <w:sz w:val="24"/>
          <w:highlight w:val="none"/>
          <w:lang w:val="en-US" w:eastAsia="zh-CN"/>
        </w:rPr>
        <w:t>六</w:t>
      </w:r>
      <w:r>
        <w:rPr>
          <w:rFonts w:hint="eastAsia" w:ascii="宋体" w:hAnsi="宋体"/>
          <w:b/>
          <w:bCs/>
          <w:color w:val="auto"/>
          <w:sz w:val="24"/>
          <w:highlight w:val="none"/>
        </w:rPr>
        <w:t xml:space="preserve">条 </w:t>
      </w:r>
      <w:r>
        <w:rPr>
          <w:rFonts w:hint="eastAsia" w:ascii="宋体" w:hAnsi="宋体" w:cs="宋体"/>
          <w:color w:val="auto"/>
          <w:sz w:val="24"/>
          <w:highlight w:val="none"/>
        </w:rPr>
        <w:t>委托人应全面履行合同约定的委托人各项义务。任何不履行或不适当履行的行为，均应视为违约，并应承担相应的违约责任。</w:t>
      </w:r>
    </w:p>
    <w:p w14:paraId="32258F2C">
      <w:pPr>
        <w:numPr>
          <w:ilvl w:val="1"/>
          <w:numId w:val="0"/>
        </w:numPr>
        <w:tabs>
          <w:tab w:val="left" w:pos="1985"/>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第三十</w:t>
      </w:r>
      <w:r>
        <w:rPr>
          <w:rFonts w:hint="eastAsia" w:ascii="宋体" w:hAnsi="宋体"/>
          <w:b/>
          <w:bCs/>
          <w:color w:val="auto"/>
          <w:sz w:val="24"/>
          <w:highlight w:val="none"/>
          <w:lang w:val="en-US" w:eastAsia="zh-CN"/>
        </w:rPr>
        <w:t>七</w:t>
      </w:r>
      <w:r>
        <w:rPr>
          <w:rFonts w:hint="eastAsia" w:ascii="宋体" w:hAnsi="宋体"/>
          <w:b/>
          <w:bCs/>
          <w:color w:val="auto"/>
          <w:sz w:val="24"/>
          <w:highlight w:val="none"/>
        </w:rPr>
        <w:t xml:space="preserve">条 </w:t>
      </w:r>
      <w:r>
        <w:rPr>
          <w:rFonts w:hint="eastAsia" w:ascii="宋体" w:hAnsi="宋体" w:cs="宋体"/>
          <w:color w:val="auto"/>
          <w:sz w:val="24"/>
          <w:highlight w:val="none"/>
        </w:rPr>
        <w:t>委托人若向受托人提出的赔偿要求不能成立，则应赔偿由该索赔所引起的受托人支出的各种费用。</w:t>
      </w:r>
    </w:p>
    <w:p w14:paraId="65F25A68">
      <w:pPr>
        <w:numPr>
          <w:ilvl w:val="1"/>
          <w:numId w:val="0"/>
        </w:numPr>
        <w:tabs>
          <w:tab w:val="left" w:pos="1985"/>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第三十</w:t>
      </w:r>
      <w:r>
        <w:rPr>
          <w:rFonts w:hint="eastAsia" w:ascii="宋体" w:hAnsi="宋体"/>
          <w:b/>
          <w:bCs/>
          <w:color w:val="auto"/>
          <w:sz w:val="24"/>
          <w:highlight w:val="none"/>
          <w:lang w:val="en-US" w:eastAsia="zh-CN"/>
        </w:rPr>
        <w:t>八</w:t>
      </w:r>
      <w:r>
        <w:rPr>
          <w:rFonts w:hint="eastAsia" w:ascii="宋体" w:hAnsi="宋体"/>
          <w:b/>
          <w:bCs/>
          <w:color w:val="auto"/>
          <w:sz w:val="24"/>
          <w:highlight w:val="none"/>
        </w:rPr>
        <w:t xml:space="preserve">条 </w:t>
      </w:r>
      <w:r>
        <w:rPr>
          <w:rFonts w:hint="eastAsia" w:ascii="宋体" w:hAnsi="宋体" w:cs="宋体"/>
          <w:color w:val="auto"/>
          <w:sz w:val="24"/>
          <w:highlight w:val="none"/>
        </w:rPr>
        <w:t>委托人不承担因不可抗力导致合同不能全部或部分履行的责任。</w:t>
      </w:r>
    </w:p>
    <w:p w14:paraId="1D83364E">
      <w:pPr>
        <w:spacing w:after="0"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受托人责任</w:t>
      </w:r>
    </w:p>
    <w:p w14:paraId="4DC6FEBD">
      <w:pPr>
        <w:numPr>
          <w:ilvl w:val="1"/>
          <w:numId w:val="0"/>
        </w:numPr>
        <w:tabs>
          <w:tab w:val="left" w:pos="1985"/>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第三十</w:t>
      </w:r>
      <w:r>
        <w:rPr>
          <w:rFonts w:hint="eastAsia" w:ascii="宋体" w:hAnsi="宋体"/>
          <w:b/>
          <w:bCs/>
          <w:color w:val="auto"/>
          <w:sz w:val="24"/>
          <w:highlight w:val="none"/>
          <w:lang w:val="en-US" w:eastAsia="zh-CN"/>
        </w:rPr>
        <w:t>九</w:t>
      </w:r>
      <w:r>
        <w:rPr>
          <w:rFonts w:hint="eastAsia" w:ascii="宋体" w:hAnsi="宋体"/>
          <w:b/>
          <w:bCs/>
          <w:color w:val="auto"/>
          <w:sz w:val="24"/>
          <w:highlight w:val="none"/>
        </w:rPr>
        <w:t xml:space="preserve">条 </w:t>
      </w:r>
      <w:r>
        <w:rPr>
          <w:rFonts w:hint="eastAsia" w:ascii="宋体" w:hAnsi="宋体" w:cs="宋体"/>
          <w:color w:val="auto"/>
          <w:sz w:val="24"/>
          <w:highlight w:val="none"/>
        </w:rPr>
        <w:t>受托人应全面履行合同约定的受托人各项义务。任何不履行或不适当履行的行为，均应视为违约，并应承担相应的违约责任。</w:t>
      </w:r>
    </w:p>
    <w:p w14:paraId="66277F89">
      <w:pPr>
        <w:numPr>
          <w:ilvl w:val="1"/>
          <w:numId w:val="0"/>
        </w:numPr>
        <w:tabs>
          <w:tab w:val="left" w:pos="1843"/>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第</w:t>
      </w:r>
      <w:r>
        <w:rPr>
          <w:rFonts w:hint="eastAsia" w:ascii="宋体" w:hAnsi="宋体"/>
          <w:b/>
          <w:bCs/>
          <w:color w:val="auto"/>
          <w:sz w:val="24"/>
          <w:highlight w:val="none"/>
          <w:lang w:val="en-US" w:eastAsia="zh-CN"/>
        </w:rPr>
        <w:t>四十</w:t>
      </w:r>
      <w:r>
        <w:rPr>
          <w:rFonts w:hint="eastAsia" w:ascii="宋体" w:hAnsi="宋体"/>
          <w:b/>
          <w:bCs/>
          <w:color w:val="auto"/>
          <w:sz w:val="24"/>
          <w:highlight w:val="none"/>
        </w:rPr>
        <w:t xml:space="preserve">条 </w:t>
      </w:r>
      <w:r>
        <w:rPr>
          <w:rFonts w:hint="eastAsia" w:ascii="宋体" w:hAnsi="宋体" w:cs="宋体"/>
          <w:color w:val="auto"/>
          <w:sz w:val="24"/>
          <w:highlight w:val="none"/>
        </w:rPr>
        <w:t>因受托人原因造成项目建设内容、建设规模、建设标准发生变化，致使工期延长、投资增加或其它经济损失的，受托人应自行承担增加费用，给委托人造成损害还应承担相应的赔偿责任同时按专用合同条款约定承担相应违约责任。</w:t>
      </w:r>
    </w:p>
    <w:p w14:paraId="145493AC">
      <w:pPr>
        <w:numPr>
          <w:ilvl w:val="1"/>
          <w:numId w:val="0"/>
        </w:numPr>
        <w:tabs>
          <w:tab w:val="left" w:pos="1985"/>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第四十</w:t>
      </w:r>
      <w:r>
        <w:rPr>
          <w:rFonts w:hint="eastAsia" w:ascii="宋体" w:hAnsi="宋体"/>
          <w:b/>
          <w:bCs/>
          <w:color w:val="auto"/>
          <w:sz w:val="24"/>
          <w:highlight w:val="none"/>
          <w:lang w:val="en-US" w:eastAsia="zh-CN"/>
        </w:rPr>
        <w:t>一</w:t>
      </w:r>
      <w:r>
        <w:rPr>
          <w:rFonts w:hint="eastAsia" w:ascii="宋体" w:hAnsi="宋体"/>
          <w:b/>
          <w:bCs/>
          <w:color w:val="auto"/>
          <w:sz w:val="24"/>
          <w:highlight w:val="none"/>
        </w:rPr>
        <w:t xml:space="preserve">条 </w:t>
      </w:r>
      <w:r>
        <w:rPr>
          <w:rFonts w:hint="eastAsia" w:ascii="宋体" w:hAnsi="宋体" w:cs="宋体"/>
          <w:color w:val="auto"/>
          <w:sz w:val="24"/>
          <w:highlight w:val="none"/>
        </w:rPr>
        <w:t>受托人若向委托人提出的赔偿要求不能成立，则应赔偿由该索赔所引起的委托人支出的各种费用。</w:t>
      </w:r>
    </w:p>
    <w:p w14:paraId="0BB1EC5A">
      <w:pPr>
        <w:numPr>
          <w:ilvl w:val="1"/>
          <w:numId w:val="0"/>
        </w:numPr>
        <w:tabs>
          <w:tab w:val="left" w:pos="1985"/>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第四十</w:t>
      </w:r>
      <w:r>
        <w:rPr>
          <w:rFonts w:hint="eastAsia" w:ascii="宋体" w:hAnsi="宋体"/>
          <w:b/>
          <w:bCs/>
          <w:color w:val="auto"/>
          <w:sz w:val="24"/>
          <w:highlight w:val="none"/>
          <w:lang w:val="en-US" w:eastAsia="zh-CN"/>
        </w:rPr>
        <w:t>二</w:t>
      </w:r>
      <w:r>
        <w:rPr>
          <w:rFonts w:hint="eastAsia" w:ascii="宋体" w:hAnsi="宋体"/>
          <w:b/>
          <w:bCs/>
          <w:color w:val="auto"/>
          <w:sz w:val="24"/>
          <w:highlight w:val="none"/>
        </w:rPr>
        <w:t xml:space="preserve">条 </w:t>
      </w:r>
      <w:r>
        <w:rPr>
          <w:rFonts w:hint="eastAsia" w:ascii="宋体" w:hAnsi="宋体" w:cs="宋体"/>
          <w:color w:val="auto"/>
          <w:sz w:val="24"/>
          <w:highlight w:val="none"/>
        </w:rPr>
        <w:t>受托人对项目管理咨询过程中出现的遗漏或错误负责修改或补充，由此产生的费用由受托人承担。经修改补充后仍不能达到质量要求的，委托人有权解除合同，受托人应按照</w:t>
      </w:r>
      <w:r>
        <w:rPr>
          <w:rFonts w:hint="eastAsia" w:ascii="宋体" w:hAnsi="宋体" w:cs="宋体"/>
          <w:color w:val="auto"/>
          <w:sz w:val="24"/>
          <w:highlight w:val="none"/>
          <w:lang w:eastAsia="zh-CN"/>
        </w:rPr>
        <w:t>合同金额</w:t>
      </w:r>
      <w:r>
        <w:rPr>
          <w:rFonts w:hint="eastAsia" w:ascii="宋体" w:hAnsi="宋体" w:cs="宋体"/>
          <w:color w:val="auto"/>
          <w:sz w:val="24"/>
          <w:highlight w:val="none"/>
        </w:rPr>
        <w:t xml:space="preserve">的30%承担违约责任，给委托人造成损失的还应予以赔偿。 </w:t>
      </w:r>
    </w:p>
    <w:p w14:paraId="43C4FB62">
      <w:pPr>
        <w:numPr>
          <w:ilvl w:val="1"/>
          <w:numId w:val="0"/>
        </w:numPr>
        <w:tabs>
          <w:tab w:val="left" w:pos="1985"/>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第四十</w:t>
      </w:r>
      <w:r>
        <w:rPr>
          <w:rFonts w:hint="eastAsia" w:ascii="宋体" w:hAnsi="宋体"/>
          <w:b/>
          <w:bCs/>
          <w:color w:val="auto"/>
          <w:sz w:val="24"/>
          <w:highlight w:val="none"/>
          <w:lang w:val="en-US" w:eastAsia="zh-CN"/>
        </w:rPr>
        <w:t>三</w:t>
      </w:r>
      <w:r>
        <w:rPr>
          <w:rFonts w:hint="eastAsia" w:ascii="宋体" w:hAnsi="宋体"/>
          <w:b/>
          <w:bCs/>
          <w:color w:val="auto"/>
          <w:sz w:val="24"/>
          <w:highlight w:val="none"/>
        </w:rPr>
        <w:t xml:space="preserve">条 </w:t>
      </w:r>
      <w:r>
        <w:rPr>
          <w:rFonts w:hint="eastAsia" w:ascii="宋体" w:hAnsi="宋体" w:cs="宋体"/>
          <w:color w:val="auto"/>
          <w:sz w:val="24"/>
          <w:highlight w:val="none"/>
        </w:rPr>
        <w:t>受托人不承担因不可抗力导致合同不能全部或部分履行的责任。</w:t>
      </w:r>
    </w:p>
    <w:p w14:paraId="76ECAB66">
      <w:pPr>
        <w:spacing w:after="0" w:line="360" w:lineRule="auto"/>
        <w:rPr>
          <w:rFonts w:hint="eastAsia" w:ascii="宋体" w:hAnsi="宋体" w:cs="宋体"/>
          <w:b/>
          <w:bCs/>
          <w:color w:val="auto"/>
          <w:sz w:val="28"/>
          <w:szCs w:val="28"/>
          <w:highlight w:val="none"/>
        </w:rPr>
      </w:pPr>
      <w:bookmarkStart w:id="1000" w:name="_Toc15394"/>
      <w:bookmarkStart w:id="1001" w:name="_Toc372877748"/>
      <w:bookmarkStart w:id="1002" w:name="_Toc372878310"/>
      <w:r>
        <w:rPr>
          <w:rFonts w:hint="eastAsia" w:ascii="宋体" w:hAnsi="宋体" w:cs="宋体"/>
          <w:b/>
          <w:bCs/>
          <w:color w:val="auto"/>
          <w:sz w:val="28"/>
          <w:szCs w:val="28"/>
          <w:highlight w:val="none"/>
        </w:rPr>
        <w:t>第五章 合同生效、变更与终止</w:t>
      </w:r>
      <w:bookmarkEnd w:id="1000"/>
      <w:bookmarkEnd w:id="1001"/>
      <w:bookmarkEnd w:id="1002"/>
    </w:p>
    <w:p w14:paraId="70786F39">
      <w:pPr>
        <w:numPr>
          <w:ilvl w:val="1"/>
          <w:numId w:val="0"/>
        </w:numPr>
        <w:tabs>
          <w:tab w:val="left" w:pos="1843"/>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第四十</w:t>
      </w:r>
      <w:r>
        <w:rPr>
          <w:rFonts w:hint="eastAsia" w:ascii="宋体" w:hAnsi="宋体"/>
          <w:b/>
          <w:bCs/>
          <w:color w:val="auto"/>
          <w:sz w:val="24"/>
          <w:highlight w:val="none"/>
          <w:lang w:val="en-US" w:eastAsia="zh-CN"/>
        </w:rPr>
        <w:t>四</w:t>
      </w:r>
      <w:r>
        <w:rPr>
          <w:rFonts w:hint="eastAsia" w:ascii="宋体" w:hAnsi="宋体"/>
          <w:b/>
          <w:bCs/>
          <w:color w:val="auto"/>
          <w:sz w:val="24"/>
          <w:highlight w:val="none"/>
        </w:rPr>
        <w:t xml:space="preserve">条 </w:t>
      </w:r>
      <w:r>
        <w:rPr>
          <w:rFonts w:hint="eastAsia" w:ascii="宋体" w:hAnsi="宋体" w:cs="宋体"/>
          <w:color w:val="auto"/>
          <w:sz w:val="24"/>
          <w:highlight w:val="none"/>
        </w:rPr>
        <w:t>本合同自双方法定代表人或授权代表签字并加盖公章之日起生效。</w:t>
      </w:r>
    </w:p>
    <w:p w14:paraId="574FD19F">
      <w:pPr>
        <w:numPr>
          <w:ilvl w:val="1"/>
          <w:numId w:val="0"/>
        </w:numPr>
        <w:tabs>
          <w:tab w:val="left" w:pos="1843"/>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第四十</w:t>
      </w:r>
      <w:r>
        <w:rPr>
          <w:rFonts w:hint="eastAsia" w:ascii="宋体" w:hAnsi="宋体"/>
          <w:b/>
          <w:bCs/>
          <w:color w:val="auto"/>
          <w:sz w:val="24"/>
          <w:highlight w:val="none"/>
          <w:lang w:val="en-US" w:eastAsia="zh-CN"/>
        </w:rPr>
        <w:t>五</w:t>
      </w:r>
      <w:r>
        <w:rPr>
          <w:rFonts w:hint="eastAsia" w:ascii="宋体" w:hAnsi="宋体"/>
          <w:b/>
          <w:bCs/>
          <w:color w:val="auto"/>
          <w:sz w:val="24"/>
          <w:highlight w:val="none"/>
        </w:rPr>
        <w:t xml:space="preserve">条 </w:t>
      </w:r>
      <w:r>
        <w:rPr>
          <w:rFonts w:hint="eastAsia" w:ascii="宋体" w:hAnsi="宋体" w:cs="宋体"/>
          <w:color w:val="auto"/>
          <w:sz w:val="24"/>
          <w:highlight w:val="none"/>
        </w:rPr>
        <w:t>因委托人原因致使委托咨询工作发生延误、暂停或终止，受托人应将此情况与可能产生的影响及时通知委托人，委托人应采取相应的措施。若委托人未采取相应措施，受托人可继续暂停执行全部或部分委托咨询业务，直至提出解除合同，委托人须承担相应违约责任。</w:t>
      </w:r>
    </w:p>
    <w:p w14:paraId="2C299A9A">
      <w:pPr>
        <w:numPr>
          <w:ilvl w:val="1"/>
          <w:numId w:val="0"/>
        </w:numPr>
        <w:tabs>
          <w:tab w:val="left" w:pos="1843"/>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第四十</w:t>
      </w:r>
      <w:r>
        <w:rPr>
          <w:rFonts w:hint="eastAsia" w:ascii="宋体" w:hAnsi="宋体"/>
          <w:b/>
          <w:bCs/>
          <w:color w:val="auto"/>
          <w:sz w:val="24"/>
          <w:highlight w:val="none"/>
          <w:lang w:val="en-US" w:eastAsia="zh-CN"/>
        </w:rPr>
        <w:t>六</w:t>
      </w:r>
      <w:r>
        <w:rPr>
          <w:rFonts w:hint="eastAsia" w:ascii="宋体" w:hAnsi="宋体"/>
          <w:b/>
          <w:bCs/>
          <w:color w:val="auto"/>
          <w:sz w:val="24"/>
          <w:highlight w:val="none"/>
        </w:rPr>
        <w:t xml:space="preserve">条 </w:t>
      </w:r>
      <w:r>
        <w:rPr>
          <w:rFonts w:hint="eastAsia" w:ascii="宋体" w:hAnsi="宋体" w:cs="宋体"/>
          <w:color w:val="auto"/>
          <w:sz w:val="24"/>
          <w:highlight w:val="none"/>
        </w:rPr>
        <w:t>若受托人发生无正当理由未履行全部或部分委托咨询义务、出现不可补救的重大错误、违反保密义务等严重违约的情况，委托人可解除合同，受托人应按</w:t>
      </w:r>
      <w:r>
        <w:rPr>
          <w:rFonts w:hint="eastAsia" w:ascii="宋体" w:hAnsi="宋体" w:cs="宋体"/>
          <w:color w:val="auto"/>
          <w:sz w:val="24"/>
          <w:highlight w:val="none"/>
          <w:lang w:eastAsia="zh-CN"/>
        </w:rPr>
        <w:t>合同金额</w:t>
      </w:r>
      <w:r>
        <w:rPr>
          <w:rFonts w:hint="eastAsia" w:ascii="宋体" w:hAnsi="宋体" w:cs="宋体"/>
          <w:color w:val="auto"/>
          <w:sz w:val="24"/>
          <w:highlight w:val="none"/>
        </w:rPr>
        <w:t>的30%承担违约责任，给委托人造成损失的，还应予以赔偿。</w:t>
      </w:r>
    </w:p>
    <w:p w14:paraId="4319C5A7">
      <w:pPr>
        <w:widowControl/>
        <w:numPr>
          <w:ilvl w:val="1"/>
          <w:numId w:val="0"/>
        </w:numPr>
        <w:tabs>
          <w:tab w:val="left" w:pos="1843"/>
        </w:tabs>
        <w:spacing w:after="0" w:line="360" w:lineRule="auto"/>
        <w:ind w:firstLine="482" w:firstLineChars="200"/>
        <w:jc w:val="left"/>
        <w:rPr>
          <w:rFonts w:hint="eastAsia" w:ascii="宋体" w:hAnsi="宋体" w:cs="宋体"/>
          <w:color w:val="auto"/>
          <w:sz w:val="24"/>
          <w:highlight w:val="none"/>
        </w:rPr>
      </w:pPr>
      <w:r>
        <w:rPr>
          <w:rFonts w:hint="eastAsia" w:ascii="宋体" w:hAnsi="宋体"/>
          <w:b/>
          <w:bCs/>
          <w:color w:val="auto"/>
          <w:sz w:val="24"/>
          <w:highlight w:val="none"/>
        </w:rPr>
        <w:t>第四十</w:t>
      </w:r>
      <w:r>
        <w:rPr>
          <w:rFonts w:hint="eastAsia" w:ascii="宋体" w:hAnsi="宋体"/>
          <w:b/>
          <w:bCs/>
          <w:color w:val="auto"/>
          <w:sz w:val="24"/>
          <w:highlight w:val="none"/>
          <w:lang w:val="en-US" w:eastAsia="zh-CN"/>
        </w:rPr>
        <w:t>七</w:t>
      </w:r>
      <w:r>
        <w:rPr>
          <w:rFonts w:hint="eastAsia" w:ascii="宋体" w:hAnsi="宋体"/>
          <w:b/>
          <w:bCs/>
          <w:color w:val="auto"/>
          <w:sz w:val="24"/>
          <w:highlight w:val="none"/>
        </w:rPr>
        <w:t xml:space="preserve">条 </w:t>
      </w:r>
      <w:r>
        <w:rPr>
          <w:rFonts w:hint="eastAsia" w:ascii="宋体" w:hAnsi="宋体" w:cs="宋体"/>
          <w:color w:val="auto"/>
          <w:sz w:val="24"/>
          <w:highlight w:val="none"/>
        </w:rPr>
        <w:t>委托人与受托人双方当事人不得擅自变更、中止或者终止合同。委托人与受托人双方因解除合同给对方造成损失的，除不可归责于该当事人的事由外，应当赔偿守约方的全部损失。如受托人无正当理由无辜要求解除该合同，必须提前【15】日以书面形式通知委托人，并退还委托人已支付的全部款项，</w:t>
      </w:r>
      <w:r>
        <w:rPr>
          <w:rFonts w:hint="eastAsia" w:ascii="宋体" w:hAnsi="宋体" w:cs="宋体"/>
          <w:color w:val="auto"/>
          <w:sz w:val="24"/>
          <w:highlight w:val="none"/>
        </w:rPr>
        <w:t>受托人应向委托人支付合同金额【</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】%的违约金</w:t>
      </w:r>
      <w:r>
        <w:rPr>
          <w:rFonts w:hint="eastAsia" w:ascii="宋体" w:hAnsi="宋体" w:cs="宋体"/>
          <w:color w:val="auto"/>
          <w:sz w:val="24"/>
          <w:highlight w:val="none"/>
        </w:rPr>
        <w:t>，</w:t>
      </w:r>
      <w:r>
        <w:rPr>
          <w:rFonts w:hint="eastAsia" w:ascii="宋体" w:hAnsi="宋体" w:cs="宋体"/>
          <w:color w:val="auto"/>
          <w:sz w:val="24"/>
          <w:highlight w:val="none"/>
        </w:rPr>
        <w:t>还应赔偿委托人因此造成的损失。</w:t>
      </w:r>
    </w:p>
    <w:p w14:paraId="531CD79E">
      <w:pPr>
        <w:numPr>
          <w:ilvl w:val="1"/>
          <w:numId w:val="0"/>
        </w:numPr>
        <w:tabs>
          <w:tab w:val="left" w:pos="1843"/>
        </w:tabs>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委托人因特殊情况或其他合法正当原因要求受托人停止本合同约定的服务的，应提前【15】日书面通知受托人，受托人在收到委托人该书面通知后应立即停止提供服务，委托人不承担违约责任。对于受托人收到委托人该书面通知前已经完成的服务成果部分，委托人应根据受托人工作量参照本合同约定的费用标准向受托人支付对应的服务费用。</w:t>
      </w:r>
    </w:p>
    <w:p w14:paraId="1488A1CA">
      <w:pPr>
        <w:numPr>
          <w:ilvl w:val="1"/>
          <w:numId w:val="0"/>
        </w:numPr>
        <w:tabs>
          <w:tab w:val="left" w:pos="1843"/>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第四十</w:t>
      </w:r>
      <w:r>
        <w:rPr>
          <w:rFonts w:hint="eastAsia" w:ascii="宋体" w:hAnsi="宋体"/>
          <w:b/>
          <w:bCs/>
          <w:color w:val="auto"/>
          <w:sz w:val="24"/>
          <w:highlight w:val="none"/>
          <w:lang w:val="en-US" w:eastAsia="zh-CN"/>
        </w:rPr>
        <w:t>八</w:t>
      </w:r>
      <w:r>
        <w:rPr>
          <w:rFonts w:hint="eastAsia" w:ascii="宋体" w:hAnsi="宋体"/>
          <w:b/>
          <w:bCs/>
          <w:color w:val="auto"/>
          <w:sz w:val="24"/>
          <w:highlight w:val="none"/>
        </w:rPr>
        <w:t xml:space="preserve">条 </w:t>
      </w:r>
      <w:r>
        <w:rPr>
          <w:rFonts w:hint="eastAsia" w:ascii="宋体" w:hAnsi="宋体" w:cs="宋体"/>
          <w:color w:val="auto"/>
          <w:sz w:val="24"/>
          <w:highlight w:val="none"/>
        </w:rPr>
        <w:t>项目办理完竣工验收备案手续，受托人向委托人移交项目全部档案资料，委托人向受托人支付剩余的咨询报酬后，本合同即终止。</w:t>
      </w:r>
    </w:p>
    <w:p w14:paraId="58B3909B">
      <w:pPr>
        <w:spacing w:after="0" w:line="360" w:lineRule="auto"/>
        <w:rPr>
          <w:rFonts w:hint="eastAsia" w:ascii="宋体" w:hAnsi="宋体" w:cs="宋体"/>
          <w:b/>
          <w:bCs/>
          <w:color w:val="auto"/>
          <w:sz w:val="28"/>
          <w:szCs w:val="28"/>
          <w:highlight w:val="none"/>
        </w:rPr>
      </w:pPr>
      <w:bookmarkStart w:id="1003" w:name="_Toc372877749"/>
      <w:bookmarkStart w:id="1004" w:name="_Toc372878311"/>
      <w:bookmarkStart w:id="1005" w:name="_Toc25636"/>
      <w:r>
        <w:rPr>
          <w:rFonts w:hint="eastAsia" w:ascii="宋体" w:hAnsi="宋体" w:cs="宋体"/>
          <w:b/>
          <w:bCs/>
          <w:color w:val="auto"/>
          <w:sz w:val="28"/>
          <w:szCs w:val="28"/>
          <w:highlight w:val="none"/>
        </w:rPr>
        <w:t>第六章 争议的解决</w:t>
      </w:r>
      <w:bookmarkEnd w:id="1003"/>
      <w:bookmarkEnd w:id="1004"/>
      <w:bookmarkEnd w:id="1005"/>
    </w:p>
    <w:p w14:paraId="7BBF7C6C">
      <w:pPr>
        <w:numPr>
          <w:ilvl w:val="1"/>
          <w:numId w:val="0"/>
        </w:numPr>
        <w:tabs>
          <w:tab w:val="left" w:pos="2160"/>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第四十</w:t>
      </w:r>
      <w:r>
        <w:rPr>
          <w:rFonts w:hint="eastAsia" w:ascii="宋体" w:hAnsi="宋体"/>
          <w:b/>
          <w:bCs/>
          <w:color w:val="auto"/>
          <w:sz w:val="24"/>
          <w:highlight w:val="none"/>
          <w:lang w:val="en-US" w:eastAsia="zh-CN"/>
        </w:rPr>
        <w:t>九</w:t>
      </w:r>
      <w:r>
        <w:rPr>
          <w:rFonts w:hint="eastAsia" w:ascii="宋体" w:hAnsi="宋体"/>
          <w:b/>
          <w:bCs/>
          <w:color w:val="auto"/>
          <w:sz w:val="24"/>
          <w:highlight w:val="none"/>
        </w:rPr>
        <w:t xml:space="preserve">条 </w:t>
      </w:r>
      <w:r>
        <w:rPr>
          <w:rFonts w:hint="eastAsia" w:ascii="宋体" w:hAnsi="宋体" w:cs="宋体"/>
          <w:color w:val="auto"/>
          <w:sz w:val="24"/>
          <w:highlight w:val="none"/>
        </w:rPr>
        <w:t>在合同执行过程中若发生争议，合同双方应当尽力协商解决。经充分协调后仍不能解决的，合同双方应按专用合同条款约定提交仲裁机构仲裁或向人民法院提起诉讼。</w:t>
      </w:r>
    </w:p>
    <w:p w14:paraId="7C152D92">
      <w:pPr>
        <w:spacing w:after="0" w:line="600" w:lineRule="auto"/>
        <w:jc w:val="center"/>
        <w:outlineLvl w:val="1"/>
        <w:rPr>
          <w:rFonts w:hint="eastAsia" w:ascii="宋体" w:hAnsi="宋体" w:cs="宋体"/>
          <w:b/>
          <w:bCs/>
          <w:color w:val="auto"/>
          <w:sz w:val="32"/>
          <w:szCs w:val="32"/>
          <w:highlight w:val="none"/>
        </w:rPr>
      </w:pPr>
      <w:r>
        <w:rPr>
          <w:rFonts w:hint="eastAsia" w:ascii="宋体" w:hAnsi="宋体" w:cs="宋体"/>
          <w:color w:val="auto"/>
          <w:sz w:val="24"/>
          <w:highlight w:val="none"/>
        </w:rPr>
        <w:br w:type="page"/>
      </w:r>
      <w:bookmarkStart w:id="1006" w:name="_Toc19279"/>
      <w:r>
        <w:rPr>
          <w:rFonts w:hint="eastAsia" w:ascii="宋体" w:hAnsi="宋体" w:cs="宋体"/>
          <w:b/>
          <w:bCs/>
          <w:color w:val="auto"/>
          <w:sz w:val="36"/>
          <w:szCs w:val="36"/>
          <w:highlight w:val="none"/>
        </w:rPr>
        <w:t>第二部分 专用合同条款</w:t>
      </w:r>
      <w:bookmarkEnd w:id="1006"/>
    </w:p>
    <w:p w14:paraId="5382416F">
      <w:pPr>
        <w:spacing w:after="0" w:line="360" w:lineRule="auto"/>
        <w:ind w:firstLine="482" w:firstLineChars="200"/>
        <w:rPr>
          <w:rFonts w:hint="eastAsia" w:ascii="宋体" w:hAnsi="宋体" w:cs="宋体"/>
          <w:b/>
          <w:bCs/>
          <w:color w:val="auto"/>
          <w:sz w:val="24"/>
          <w:highlight w:val="none"/>
        </w:rPr>
      </w:pPr>
      <w:bookmarkStart w:id="1007" w:name="_Toc6436"/>
      <w:r>
        <w:rPr>
          <w:rFonts w:hint="eastAsia" w:ascii="宋体" w:hAnsi="宋体" w:cs="宋体"/>
          <w:b/>
          <w:bCs/>
          <w:color w:val="auto"/>
          <w:sz w:val="24"/>
          <w:highlight w:val="none"/>
        </w:rPr>
        <w:t>第一条 委托项目</w:t>
      </w:r>
      <w:bookmarkEnd w:id="1007"/>
    </w:p>
    <w:p w14:paraId="471521DB">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“项目”是指委托人委托实施咨询的项目，即</w:t>
      </w:r>
      <w:r>
        <w:rPr>
          <w:rFonts w:hint="eastAsia" w:ascii="宋体" w:hAnsi="宋体" w:cs="宋体"/>
          <w:color w:val="auto"/>
          <w:sz w:val="24"/>
          <w:highlight w:val="none"/>
          <w:u w:val="single"/>
          <w:lang w:eastAsia="zh-CN"/>
        </w:rPr>
        <w:t>房山区域应急救援中心建设工程项目建设管理服务</w:t>
      </w:r>
      <w:r>
        <w:rPr>
          <w:rFonts w:hint="eastAsia" w:ascii="宋体" w:hAnsi="宋体" w:cs="宋体"/>
          <w:color w:val="auto"/>
          <w:sz w:val="24"/>
          <w:highlight w:val="none"/>
          <w:u w:val="single"/>
        </w:rPr>
        <w:t>。</w:t>
      </w:r>
    </w:p>
    <w:p w14:paraId="10C0A2EE">
      <w:pPr>
        <w:spacing w:after="0" w:line="360" w:lineRule="auto"/>
        <w:ind w:firstLine="482" w:firstLineChars="200"/>
        <w:rPr>
          <w:rFonts w:hint="eastAsia" w:ascii="宋体" w:hAnsi="宋体" w:cs="宋体"/>
          <w:b/>
          <w:bCs/>
          <w:color w:val="auto"/>
          <w:sz w:val="24"/>
          <w:highlight w:val="none"/>
        </w:rPr>
      </w:pPr>
      <w:bookmarkStart w:id="1008" w:name="_Toc725"/>
      <w:r>
        <w:rPr>
          <w:rFonts w:hint="eastAsia" w:ascii="宋体" w:hAnsi="宋体" w:cs="宋体"/>
          <w:b/>
          <w:bCs/>
          <w:color w:val="auto"/>
          <w:sz w:val="24"/>
          <w:highlight w:val="none"/>
        </w:rPr>
        <w:t>第二条 合同适用的法律及依据</w:t>
      </w:r>
      <w:bookmarkEnd w:id="1008"/>
    </w:p>
    <w:p w14:paraId="49374C2B">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《中华人民共和国民法典》、《中华人民共和国建筑法》、《中华人民共和国招标投标法》、《中华人民共和国价格法》和《建设工程项目管理试行办法》等与工程领域相关的法律、法规、规定等。</w:t>
      </w:r>
    </w:p>
    <w:p w14:paraId="6971E0F0">
      <w:pPr>
        <w:spacing w:after="0" w:line="360" w:lineRule="auto"/>
        <w:ind w:firstLine="482" w:firstLineChars="200"/>
        <w:rPr>
          <w:rFonts w:hint="eastAsia" w:ascii="宋体" w:hAnsi="宋体" w:cs="宋体"/>
          <w:b/>
          <w:bCs/>
          <w:color w:val="auto"/>
          <w:sz w:val="24"/>
          <w:highlight w:val="none"/>
        </w:rPr>
      </w:pPr>
      <w:bookmarkStart w:id="1009" w:name="_Toc29861"/>
      <w:r>
        <w:rPr>
          <w:rFonts w:hint="eastAsia" w:ascii="宋体" w:hAnsi="宋体" w:cs="宋体"/>
          <w:b/>
          <w:bCs/>
          <w:color w:val="auto"/>
          <w:sz w:val="24"/>
          <w:highlight w:val="none"/>
        </w:rPr>
        <w:t>第三条 现场办公条件</w:t>
      </w:r>
      <w:bookmarkEnd w:id="1009"/>
    </w:p>
    <w:p w14:paraId="50CF56CA">
      <w:pPr>
        <w:spacing w:after="0"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现场管理服务期间，委托人为受托人免费提供</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等开展工作所必要的办公条件。</w:t>
      </w:r>
    </w:p>
    <w:p w14:paraId="3D416A09">
      <w:pPr>
        <w:spacing w:after="0" w:line="360" w:lineRule="auto"/>
        <w:ind w:firstLine="482" w:firstLineChars="200"/>
        <w:rPr>
          <w:rFonts w:hint="eastAsia" w:ascii="宋体" w:hAnsi="宋体" w:cs="宋体"/>
          <w:b/>
          <w:bCs/>
          <w:color w:val="auto"/>
          <w:sz w:val="24"/>
          <w:highlight w:val="none"/>
        </w:rPr>
      </w:pPr>
      <w:bookmarkStart w:id="1010" w:name="_Toc22847"/>
      <w:r>
        <w:rPr>
          <w:rFonts w:hint="eastAsia" w:ascii="宋体" w:hAnsi="宋体" w:cs="宋体"/>
          <w:b/>
          <w:bCs/>
          <w:color w:val="auto"/>
          <w:sz w:val="24"/>
          <w:highlight w:val="none"/>
        </w:rPr>
        <w:t xml:space="preserve">第四条 </w:t>
      </w:r>
      <w:r>
        <w:rPr>
          <w:rFonts w:hint="eastAsia" w:ascii="宋体" w:hAnsi="宋体" w:cs="宋体"/>
          <w:b/>
          <w:bCs/>
          <w:color w:val="auto"/>
          <w:sz w:val="24"/>
          <w:highlight w:val="none"/>
          <w:lang w:eastAsia="zh-CN"/>
        </w:rPr>
        <w:t>合同金额</w:t>
      </w:r>
      <w:r>
        <w:rPr>
          <w:rFonts w:hint="eastAsia" w:ascii="宋体" w:hAnsi="宋体" w:cs="宋体"/>
          <w:b/>
          <w:bCs/>
          <w:color w:val="auto"/>
          <w:sz w:val="24"/>
          <w:highlight w:val="none"/>
        </w:rPr>
        <w:t>及支付方式</w:t>
      </w:r>
      <w:bookmarkEnd w:id="1010"/>
    </w:p>
    <w:p w14:paraId="118DAF44">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1.项目管理费暂定合同金额</w:t>
      </w:r>
      <w:r>
        <w:rPr>
          <w:rFonts w:hint="eastAsia" w:ascii="宋体" w:hAnsi="宋体" w:cs="宋体"/>
          <w:color w:val="auto"/>
          <w:sz w:val="24"/>
          <w:highlight w:val="none"/>
        </w:rPr>
        <w:t xml:space="preserve">为人民币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圆整</w:t>
      </w:r>
      <w:r>
        <w:rPr>
          <w:rFonts w:hint="eastAsia" w:ascii="宋体" w:hAnsi="宋体" w:cs="宋体"/>
          <w:color w:val="auto"/>
          <w:sz w:val="24"/>
          <w:highlight w:val="none"/>
        </w:rPr>
        <w:t>。最终结算金额以工程竣工决算审批金额为准。鉴于本项目的资金来源于政府投资，受托人接受项目管理费合同金额根据最终概算批复金额调整，调整公式为：项目管理费合同额=投标项目管理费金额×（最终概算批复建设单位管理费金额/可研批复建设单位管理费金额）。如委托人已支付金额超出最终审计批复金额对应款项，受托人应将多余款项退还委托人。</w:t>
      </w:r>
    </w:p>
    <w:p w14:paraId="03898EEF">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2.支付方式：</w:t>
      </w:r>
    </w:p>
    <w:p w14:paraId="0F69AC18">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2.1合同签订且政府资金到位后的30个工作日内，委托人按合同金额的30%支付受托人预付款。（具体支付时间以市发改委资金到账时间为准）</w:t>
      </w:r>
    </w:p>
    <w:p w14:paraId="63FBDFB8">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2.2第二次付款：委托人在项目结构主体施工达到正负零标高后且政府资金到位后的30个工作日内，支付至合同总价的50%；</w:t>
      </w:r>
    </w:p>
    <w:p w14:paraId="50C28F3A">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2.3第三次付款：委托人在项目结构主体施工封顶后且政府资金到位后的30个工作日内，支付至合同总价的70%；</w:t>
      </w:r>
    </w:p>
    <w:p w14:paraId="1EF36698">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2.4第四次付款：委托人在竣工验收后且政府资金到位后的30个工作日内，支付至合同总价95%；</w:t>
      </w:r>
      <w:r>
        <w:rPr>
          <w:rFonts w:hint="eastAsia" w:ascii="宋体" w:hAnsi="宋体" w:cs="宋体"/>
          <w:color w:val="auto"/>
          <w:sz w:val="24"/>
          <w:highlight w:val="none"/>
        </w:rPr>
        <w:t xml:space="preserve"> </w:t>
      </w:r>
    </w:p>
    <w:p w14:paraId="7AB39714">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2.5第五次付款：待项目取得决算批复后，支付剩余</w:t>
      </w:r>
      <w:r>
        <w:rPr>
          <w:rFonts w:hint="eastAsia" w:ascii="宋体" w:hAnsi="宋体" w:cs="宋体"/>
          <w:color w:val="auto"/>
          <w:sz w:val="24"/>
          <w:highlight w:val="none"/>
          <w:lang w:eastAsia="zh-CN"/>
        </w:rPr>
        <w:t>合同金额</w:t>
      </w:r>
      <w:r>
        <w:rPr>
          <w:rFonts w:hint="eastAsia" w:ascii="宋体" w:hAnsi="宋体" w:cs="宋体"/>
          <w:color w:val="auto"/>
          <w:sz w:val="24"/>
          <w:highlight w:val="none"/>
        </w:rPr>
        <w:t>。</w:t>
      </w:r>
    </w:p>
    <w:p w14:paraId="56B7CD81">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但因政府资金拨付延迟而导致委托人不能按照合同的约定及时向受托人支付</w:t>
      </w:r>
      <w:r>
        <w:rPr>
          <w:rFonts w:hint="eastAsia" w:ascii="宋体" w:hAnsi="宋体" w:cs="宋体"/>
          <w:color w:val="auto"/>
          <w:sz w:val="24"/>
          <w:highlight w:val="none"/>
          <w:lang w:eastAsia="zh-CN"/>
        </w:rPr>
        <w:t>合同金额</w:t>
      </w:r>
      <w:r>
        <w:rPr>
          <w:rFonts w:hint="eastAsia" w:ascii="宋体" w:hAnsi="宋体" w:cs="宋体"/>
          <w:color w:val="auto"/>
          <w:sz w:val="24"/>
          <w:highlight w:val="none"/>
        </w:rPr>
        <w:t>时，不构成委托人的违约行为，受托人不得因此追究委托人违约责任。</w:t>
      </w:r>
    </w:p>
    <w:p w14:paraId="7D54E0A5">
      <w:pPr>
        <w:spacing w:after="0" w:line="360" w:lineRule="auto"/>
        <w:ind w:firstLine="482" w:firstLineChars="200"/>
        <w:rPr>
          <w:rFonts w:hint="eastAsia" w:ascii="宋体" w:hAnsi="宋体" w:cs="宋体"/>
          <w:b/>
          <w:bCs/>
          <w:color w:val="auto"/>
          <w:sz w:val="24"/>
          <w:highlight w:val="none"/>
        </w:rPr>
      </w:pPr>
      <w:bookmarkStart w:id="1011" w:name="_Toc26947"/>
      <w:r>
        <w:rPr>
          <w:rFonts w:hint="eastAsia" w:ascii="宋体" w:hAnsi="宋体" w:cs="宋体"/>
          <w:b/>
          <w:bCs/>
          <w:color w:val="auto"/>
          <w:sz w:val="24"/>
          <w:highlight w:val="none"/>
        </w:rPr>
        <w:t>第五条 委托人的书面回复期限</w:t>
      </w:r>
      <w:bookmarkEnd w:id="1011"/>
    </w:p>
    <w:p w14:paraId="3C3B0850">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委托人应在</w:t>
      </w:r>
      <w:r>
        <w:rPr>
          <w:rFonts w:hint="eastAsia" w:ascii="宋体" w:hAnsi="宋体" w:cs="宋体"/>
          <w:color w:val="auto"/>
          <w:sz w:val="24"/>
          <w:highlight w:val="none"/>
          <w:u w:val="single"/>
        </w:rPr>
        <w:t xml:space="preserve">  7  </w:t>
      </w:r>
      <w:r>
        <w:rPr>
          <w:rFonts w:hint="eastAsia" w:ascii="宋体" w:hAnsi="宋体" w:cs="宋体"/>
          <w:color w:val="auto"/>
          <w:sz w:val="24"/>
          <w:highlight w:val="none"/>
        </w:rPr>
        <w:t>天内就受托人书面提交并要求作出回复的事宜给予书面回复。</w:t>
      </w:r>
    </w:p>
    <w:p w14:paraId="3FBAADF8">
      <w:pPr>
        <w:spacing w:after="0" w:line="360" w:lineRule="auto"/>
        <w:ind w:firstLine="482" w:firstLineChars="200"/>
        <w:rPr>
          <w:rFonts w:hint="eastAsia" w:ascii="宋体" w:hAnsi="宋体" w:cs="宋体"/>
          <w:b/>
          <w:bCs/>
          <w:color w:val="auto"/>
          <w:sz w:val="24"/>
          <w:highlight w:val="none"/>
        </w:rPr>
      </w:pPr>
      <w:bookmarkStart w:id="1012" w:name="_Toc31731"/>
      <w:r>
        <w:rPr>
          <w:rFonts w:hint="eastAsia" w:ascii="宋体" w:hAnsi="宋体" w:cs="宋体"/>
          <w:b/>
          <w:bCs/>
          <w:color w:val="auto"/>
          <w:sz w:val="24"/>
          <w:highlight w:val="none"/>
        </w:rPr>
        <w:t>第六条 委托人的联系人</w:t>
      </w:r>
      <w:bookmarkEnd w:id="1012"/>
    </w:p>
    <w:p w14:paraId="77B0D2D0">
      <w:pPr>
        <w:spacing w:after="0"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委托人的联系人为：</w:t>
      </w:r>
      <w:r>
        <w:rPr>
          <w:rFonts w:hint="eastAsia" w:ascii="宋体" w:hAnsi="宋体" w:cs="宋体"/>
          <w:bCs/>
          <w:color w:val="auto"/>
          <w:sz w:val="24"/>
          <w:highlight w:val="none"/>
          <w:u w:val="single"/>
        </w:rPr>
        <w:t xml:space="preserve">      </w:t>
      </w:r>
    </w:p>
    <w:p w14:paraId="55947FF4">
      <w:pPr>
        <w:spacing w:after="0" w:line="360" w:lineRule="auto"/>
        <w:ind w:firstLine="480" w:firstLineChars="200"/>
        <w:rPr>
          <w:rFonts w:hint="eastAsia" w:ascii="宋体" w:hAnsi="宋体" w:cs="宋体"/>
          <w:bCs/>
          <w:color w:val="auto"/>
          <w:sz w:val="24"/>
          <w:highlight w:val="none"/>
          <w:u w:val="single"/>
        </w:rPr>
      </w:pPr>
      <w:r>
        <w:rPr>
          <w:rFonts w:hint="eastAsia" w:ascii="宋体" w:hAnsi="宋体" w:cs="宋体"/>
          <w:bCs/>
          <w:color w:val="auto"/>
          <w:sz w:val="24"/>
          <w:highlight w:val="none"/>
        </w:rPr>
        <w:t>委托人的联系人身份证号码：</w:t>
      </w:r>
      <w:r>
        <w:rPr>
          <w:rFonts w:hint="eastAsia" w:ascii="宋体" w:hAnsi="宋体" w:cs="宋体"/>
          <w:color w:val="auto"/>
          <w:sz w:val="24"/>
          <w:highlight w:val="none"/>
          <w:u w:val="single"/>
        </w:rPr>
        <w:t xml:space="preserve">         </w:t>
      </w:r>
    </w:p>
    <w:p w14:paraId="3CFDA05D">
      <w:pPr>
        <w:tabs>
          <w:tab w:val="left" w:pos="6840"/>
        </w:tabs>
        <w:spacing w:after="0" w:line="360" w:lineRule="auto"/>
        <w:ind w:firstLine="480" w:firstLineChars="200"/>
        <w:rPr>
          <w:rFonts w:hint="eastAsia" w:ascii="宋体" w:hAnsi="宋体" w:cs="宋体"/>
          <w:bCs/>
          <w:color w:val="auto"/>
          <w:sz w:val="24"/>
          <w:highlight w:val="none"/>
          <w:u w:val="single"/>
        </w:rPr>
      </w:pPr>
      <w:r>
        <w:rPr>
          <w:rFonts w:hint="eastAsia" w:ascii="宋体" w:hAnsi="宋体" w:cs="宋体"/>
          <w:bCs/>
          <w:color w:val="auto"/>
          <w:sz w:val="24"/>
          <w:highlight w:val="none"/>
        </w:rPr>
        <w:t>委托人的联系人联系方式：</w:t>
      </w:r>
      <w:r>
        <w:rPr>
          <w:rFonts w:hint="eastAsia" w:ascii="宋体" w:hAnsi="宋体" w:cs="宋体"/>
          <w:color w:val="auto"/>
          <w:sz w:val="24"/>
          <w:highlight w:val="none"/>
          <w:u w:val="single"/>
        </w:rPr>
        <w:t xml:space="preserve">           </w:t>
      </w:r>
    </w:p>
    <w:p w14:paraId="68FDD8C3">
      <w:pPr>
        <w:spacing w:after="0" w:line="360" w:lineRule="auto"/>
        <w:ind w:firstLine="482" w:firstLineChars="200"/>
        <w:rPr>
          <w:rFonts w:hint="eastAsia" w:ascii="宋体" w:hAnsi="宋体" w:cs="宋体"/>
          <w:b/>
          <w:bCs/>
          <w:color w:val="auto"/>
          <w:sz w:val="24"/>
          <w:highlight w:val="none"/>
        </w:rPr>
      </w:pPr>
      <w:bookmarkStart w:id="1013" w:name="_Toc18206"/>
      <w:r>
        <w:rPr>
          <w:rFonts w:hint="eastAsia" w:ascii="宋体" w:hAnsi="宋体" w:cs="宋体"/>
          <w:b/>
          <w:bCs/>
          <w:color w:val="auto"/>
          <w:sz w:val="24"/>
          <w:highlight w:val="none"/>
        </w:rPr>
        <w:t>第七条 受托人项目经理</w:t>
      </w:r>
      <w:bookmarkEnd w:id="1013"/>
    </w:p>
    <w:p w14:paraId="6D71ADE5">
      <w:pPr>
        <w:spacing w:after="0" w:line="360" w:lineRule="auto"/>
        <w:ind w:firstLine="480" w:firstLineChars="200"/>
        <w:rPr>
          <w:rFonts w:hint="eastAsia" w:ascii="宋体" w:hAnsi="宋体" w:cs="宋体"/>
          <w:bCs/>
          <w:color w:val="auto"/>
          <w:sz w:val="24"/>
          <w:highlight w:val="none"/>
          <w:u w:val="single"/>
        </w:rPr>
      </w:pPr>
      <w:r>
        <w:rPr>
          <w:rFonts w:hint="eastAsia" w:ascii="宋体" w:hAnsi="宋体" w:cs="宋体"/>
          <w:color w:val="auto"/>
          <w:sz w:val="24"/>
          <w:highlight w:val="none"/>
        </w:rPr>
        <w:t>受托</w:t>
      </w:r>
      <w:r>
        <w:rPr>
          <w:rFonts w:hint="eastAsia" w:ascii="宋体" w:hAnsi="宋体" w:cs="宋体"/>
          <w:bCs/>
          <w:color w:val="auto"/>
          <w:sz w:val="24"/>
          <w:highlight w:val="none"/>
        </w:rPr>
        <w:t>人项目经理为：</w:t>
      </w:r>
      <w:r>
        <w:rPr>
          <w:rFonts w:hint="eastAsia" w:ascii="宋体" w:hAnsi="宋体" w:cs="宋体"/>
          <w:bCs/>
          <w:color w:val="auto"/>
          <w:sz w:val="24"/>
          <w:highlight w:val="none"/>
          <w:u w:val="single"/>
        </w:rPr>
        <w:t xml:space="preserve">          </w:t>
      </w:r>
    </w:p>
    <w:p w14:paraId="3D290A1A">
      <w:pPr>
        <w:spacing w:after="0" w:line="360" w:lineRule="auto"/>
        <w:ind w:firstLine="480" w:firstLineChars="200"/>
        <w:rPr>
          <w:rFonts w:hint="eastAsia" w:ascii="宋体" w:hAnsi="宋体" w:cs="宋体"/>
          <w:bCs/>
          <w:color w:val="auto"/>
          <w:sz w:val="24"/>
          <w:highlight w:val="none"/>
          <w:u w:val="single"/>
        </w:rPr>
      </w:pPr>
      <w:r>
        <w:rPr>
          <w:rFonts w:hint="eastAsia" w:ascii="宋体" w:hAnsi="宋体" w:cs="宋体"/>
          <w:color w:val="auto"/>
          <w:sz w:val="24"/>
          <w:highlight w:val="none"/>
        </w:rPr>
        <w:t>受托</w:t>
      </w:r>
      <w:r>
        <w:rPr>
          <w:rFonts w:hint="eastAsia" w:ascii="宋体" w:hAnsi="宋体" w:cs="宋体"/>
          <w:bCs/>
          <w:color w:val="auto"/>
          <w:sz w:val="24"/>
          <w:highlight w:val="none"/>
        </w:rPr>
        <w:t>人项目经理身份证号码：</w:t>
      </w:r>
      <w:r>
        <w:rPr>
          <w:rFonts w:hint="eastAsia" w:ascii="宋体" w:hAnsi="宋体" w:cs="宋体"/>
          <w:bCs/>
          <w:color w:val="auto"/>
          <w:sz w:val="24"/>
          <w:highlight w:val="none"/>
          <w:u w:val="single"/>
        </w:rPr>
        <w:t xml:space="preserve">              </w:t>
      </w:r>
    </w:p>
    <w:p w14:paraId="6A754E1A">
      <w:pPr>
        <w:tabs>
          <w:tab w:val="left" w:pos="6840"/>
        </w:tabs>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受托</w:t>
      </w:r>
      <w:r>
        <w:rPr>
          <w:rFonts w:hint="eastAsia" w:ascii="宋体" w:hAnsi="宋体" w:cs="宋体"/>
          <w:bCs/>
          <w:color w:val="auto"/>
          <w:sz w:val="24"/>
          <w:highlight w:val="none"/>
        </w:rPr>
        <w:t>人项目经理联系方式：</w:t>
      </w:r>
      <w:r>
        <w:rPr>
          <w:rFonts w:hint="eastAsia" w:ascii="宋体" w:hAnsi="宋体" w:cs="宋体"/>
          <w:color w:val="auto"/>
          <w:sz w:val="24"/>
          <w:highlight w:val="none"/>
          <w:u w:val="single"/>
        </w:rPr>
        <w:t xml:space="preserve">                </w:t>
      </w:r>
    </w:p>
    <w:p w14:paraId="3142204D">
      <w:pPr>
        <w:tabs>
          <w:tab w:val="left" w:pos="1560"/>
        </w:tabs>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受托人向委托人书面报告委托项目管理工作进展的方式和时间：每周一前，就上一周内委托项目管理工作情况以书面形式提交《项目管理工作周报》；每月10日前，就上一月内委托项目管理工作情况以书面形式提交《项目管理工作月报》。另根据委托人临时需要，在接到委托人通知之日起7日内提交专项工作报告。</w:t>
      </w:r>
    </w:p>
    <w:p w14:paraId="50DDF02E">
      <w:pPr>
        <w:spacing w:after="0" w:line="360" w:lineRule="auto"/>
        <w:ind w:firstLine="482" w:firstLineChars="200"/>
        <w:rPr>
          <w:rFonts w:hint="eastAsia" w:ascii="宋体" w:hAnsi="宋体" w:cs="宋体"/>
          <w:b/>
          <w:bCs/>
          <w:color w:val="auto"/>
          <w:sz w:val="24"/>
          <w:highlight w:val="none"/>
        </w:rPr>
      </w:pPr>
      <w:bookmarkStart w:id="1014" w:name="_Toc14747"/>
      <w:r>
        <w:rPr>
          <w:rFonts w:hint="eastAsia" w:ascii="宋体" w:hAnsi="宋体" w:cs="宋体"/>
          <w:b/>
          <w:bCs/>
          <w:color w:val="auto"/>
          <w:sz w:val="24"/>
          <w:highlight w:val="none"/>
        </w:rPr>
        <w:t>第八条 争议的解决方式</w:t>
      </w:r>
      <w:bookmarkEnd w:id="1014"/>
    </w:p>
    <w:p w14:paraId="6D53F61E">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因本合同引起的或与本合同有关的任何争议，各方应尽力协商解决。协商不成的，最终解决方式为下列第</w:t>
      </w:r>
      <w:r>
        <w:rPr>
          <w:rFonts w:hint="eastAsia" w:ascii="宋体" w:hAnsi="宋体" w:cs="宋体"/>
          <w:color w:val="auto"/>
          <w:sz w:val="24"/>
          <w:highlight w:val="none"/>
          <w:u w:val="single"/>
        </w:rPr>
        <w:t xml:space="preserve">  2  </w:t>
      </w:r>
      <w:r>
        <w:rPr>
          <w:rFonts w:hint="eastAsia" w:ascii="宋体" w:hAnsi="宋体" w:cs="宋体"/>
          <w:color w:val="auto"/>
          <w:sz w:val="24"/>
          <w:highlight w:val="none"/>
        </w:rPr>
        <w:t>种方式。</w:t>
      </w:r>
    </w:p>
    <w:p w14:paraId="4915BBD5">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1.提请</w:t>
      </w:r>
      <w:r>
        <w:rPr>
          <w:rFonts w:hint="eastAsia" w:ascii="宋体" w:hAnsi="宋体" w:cs="宋体"/>
          <w:color w:val="auto"/>
          <w:sz w:val="24"/>
          <w:highlight w:val="none"/>
          <w:u w:val="single"/>
        </w:rPr>
        <w:t xml:space="preserve">  北京市  </w:t>
      </w:r>
      <w:r>
        <w:rPr>
          <w:rFonts w:hint="eastAsia" w:ascii="宋体" w:hAnsi="宋体" w:cs="宋体"/>
          <w:color w:val="auto"/>
          <w:sz w:val="24"/>
          <w:highlight w:val="none"/>
        </w:rPr>
        <w:t>仲裁委员会进行仲裁。</w:t>
      </w:r>
    </w:p>
    <w:p w14:paraId="61D3B99C">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2.向</w:t>
      </w:r>
      <w:r>
        <w:rPr>
          <w:rFonts w:hint="eastAsia" w:ascii="宋体" w:hAnsi="宋体" w:cs="宋体"/>
          <w:color w:val="auto"/>
          <w:sz w:val="24"/>
          <w:highlight w:val="none"/>
          <w:u w:val="single"/>
        </w:rPr>
        <w:t xml:space="preserve">  委托人所在地  </w:t>
      </w:r>
      <w:r>
        <w:rPr>
          <w:rFonts w:hint="eastAsia" w:ascii="宋体" w:hAnsi="宋体" w:cs="宋体"/>
          <w:color w:val="auto"/>
          <w:sz w:val="24"/>
          <w:highlight w:val="none"/>
        </w:rPr>
        <w:t>人民法院提起诉讼。</w:t>
      </w:r>
    </w:p>
    <w:p w14:paraId="128490B5">
      <w:pPr>
        <w:spacing w:after="0" w:line="360" w:lineRule="auto"/>
        <w:ind w:firstLine="482" w:firstLineChars="200"/>
        <w:rPr>
          <w:rFonts w:hint="eastAsia" w:ascii="宋体" w:hAnsi="宋体" w:cs="宋体"/>
          <w:b/>
          <w:bCs/>
          <w:color w:val="auto"/>
          <w:sz w:val="24"/>
          <w:highlight w:val="none"/>
        </w:rPr>
      </w:pPr>
      <w:bookmarkStart w:id="1015" w:name="_Toc3356"/>
      <w:r>
        <w:rPr>
          <w:rFonts w:hint="eastAsia" w:ascii="宋体" w:hAnsi="宋体" w:cs="宋体"/>
          <w:b/>
          <w:bCs/>
          <w:color w:val="auto"/>
          <w:sz w:val="24"/>
          <w:highlight w:val="none"/>
        </w:rPr>
        <w:t>第九条 补充条款</w:t>
      </w:r>
      <w:bookmarkEnd w:id="1015"/>
    </w:p>
    <w:p w14:paraId="02B02CF9">
      <w:pPr>
        <w:spacing w:after="0" w:line="360" w:lineRule="auto"/>
        <w:ind w:firstLine="480" w:firstLineChars="200"/>
        <w:rPr>
          <w:rFonts w:hint="eastAsia" w:ascii="宋体" w:hAnsi="宋体" w:cs="宋体"/>
          <w:color w:val="auto"/>
          <w:kern w:val="1"/>
          <w:sz w:val="24"/>
          <w:highlight w:val="none"/>
          <w:u w:val="single"/>
        </w:rPr>
      </w:pPr>
      <w:r>
        <w:rPr>
          <w:rFonts w:hint="eastAsia" w:ascii="宋体" w:hAnsi="宋体" w:cs="宋体"/>
          <w:color w:val="auto"/>
          <w:kern w:val="1"/>
          <w:sz w:val="24"/>
          <w:highlight w:val="none"/>
          <w:u w:val="single"/>
        </w:rPr>
        <w:t>本项目的资金来源于政府投资，委托人、受托人双方对本合同的付款条件达成共识并做出如下约定：</w:t>
      </w:r>
    </w:p>
    <w:p w14:paraId="3BBA0F4B">
      <w:pPr>
        <w:numPr>
          <w:ilvl w:val="0"/>
          <w:numId w:val="19"/>
        </w:numPr>
        <w:spacing w:after="0" w:line="360" w:lineRule="auto"/>
        <w:ind w:firstLine="480" w:firstLineChars="200"/>
        <w:rPr>
          <w:rFonts w:hint="eastAsia" w:ascii="宋体" w:hAnsi="宋体" w:cs="宋体"/>
          <w:color w:val="auto"/>
          <w:kern w:val="1"/>
          <w:sz w:val="24"/>
          <w:highlight w:val="none"/>
          <w:u w:val="single"/>
        </w:rPr>
      </w:pPr>
      <w:r>
        <w:rPr>
          <w:rFonts w:hint="eastAsia" w:ascii="宋体" w:hAnsi="宋体" w:cs="宋体"/>
          <w:color w:val="auto"/>
          <w:kern w:val="1"/>
          <w:sz w:val="24"/>
          <w:highlight w:val="none"/>
          <w:u w:val="single"/>
        </w:rPr>
        <w:t>委托人在收到政府专项拨款后应及时按照合同的约定向受托人支付</w:t>
      </w:r>
      <w:r>
        <w:rPr>
          <w:rFonts w:hint="eastAsia" w:ascii="宋体" w:hAnsi="宋体" w:cs="宋体"/>
          <w:color w:val="auto"/>
          <w:kern w:val="1"/>
          <w:sz w:val="24"/>
          <w:highlight w:val="none"/>
          <w:u w:val="single"/>
          <w:lang w:eastAsia="zh-CN"/>
        </w:rPr>
        <w:t>合同金额</w:t>
      </w:r>
      <w:r>
        <w:rPr>
          <w:rFonts w:hint="eastAsia" w:ascii="宋体" w:hAnsi="宋体" w:cs="宋体"/>
          <w:color w:val="auto"/>
          <w:kern w:val="1"/>
          <w:sz w:val="24"/>
          <w:highlight w:val="none"/>
          <w:u w:val="single"/>
        </w:rPr>
        <w:t>，但因政府资金拨付延迟而导致委托人不能按照合同的约定及时向受托人支付</w:t>
      </w:r>
      <w:r>
        <w:rPr>
          <w:rFonts w:hint="eastAsia" w:ascii="宋体" w:hAnsi="宋体" w:cs="宋体"/>
          <w:color w:val="auto"/>
          <w:kern w:val="1"/>
          <w:sz w:val="24"/>
          <w:highlight w:val="none"/>
          <w:u w:val="single"/>
          <w:lang w:eastAsia="zh-CN"/>
        </w:rPr>
        <w:t>合同金额</w:t>
      </w:r>
      <w:r>
        <w:rPr>
          <w:rFonts w:hint="eastAsia" w:ascii="宋体" w:hAnsi="宋体" w:cs="宋体"/>
          <w:color w:val="auto"/>
          <w:kern w:val="1"/>
          <w:sz w:val="24"/>
          <w:highlight w:val="none"/>
          <w:u w:val="single"/>
        </w:rPr>
        <w:t>时，不构成委托人的违约行为，受托人不得因此追究委托人违约责任。</w:t>
      </w:r>
    </w:p>
    <w:p w14:paraId="6BE98AFC">
      <w:pPr>
        <w:numPr>
          <w:ilvl w:val="0"/>
          <w:numId w:val="19"/>
        </w:numPr>
        <w:spacing w:after="0" w:line="360" w:lineRule="auto"/>
        <w:ind w:firstLine="480" w:firstLineChars="200"/>
        <w:rPr>
          <w:rFonts w:hint="eastAsia" w:ascii="宋体" w:hAnsi="宋体" w:cs="宋体"/>
          <w:color w:val="auto"/>
          <w:kern w:val="1"/>
          <w:sz w:val="24"/>
          <w:highlight w:val="none"/>
          <w:u w:val="single"/>
        </w:rPr>
      </w:pPr>
      <w:r>
        <w:rPr>
          <w:rFonts w:hint="eastAsia" w:ascii="宋体" w:hAnsi="宋体" w:cs="宋体"/>
          <w:color w:val="auto"/>
          <w:kern w:val="1"/>
          <w:sz w:val="24"/>
          <w:highlight w:val="none"/>
          <w:u w:val="single"/>
        </w:rPr>
        <w:t>如若受托人在项目管理过程中出现严重错误、或对建设单位造成严重影响的、或委托人多次要求受托人完成相关工作，受托人拒绝或延缓完成时，委托人有权立即更换项目团队且停止对受托人的款项的支付。</w:t>
      </w:r>
    </w:p>
    <w:p w14:paraId="7985D51D">
      <w:pPr>
        <w:numPr>
          <w:ilvl w:val="0"/>
          <w:numId w:val="19"/>
        </w:num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kern w:val="1"/>
          <w:sz w:val="24"/>
          <w:highlight w:val="none"/>
          <w:u w:val="single"/>
        </w:rPr>
        <w:t>本合同支付最终结算金额以工程竣工决算审批为准。</w:t>
      </w:r>
    </w:p>
    <w:p w14:paraId="3F247E05">
      <w:pPr>
        <w:numPr>
          <w:ilvl w:val="0"/>
          <w:numId w:val="19"/>
        </w:numPr>
        <w:spacing w:after="0" w:line="360" w:lineRule="auto"/>
        <w:ind w:firstLine="480" w:firstLineChars="200"/>
        <w:rPr>
          <w:rFonts w:hint="eastAsia" w:ascii="宋体" w:hAnsi="宋体" w:cs="宋体"/>
          <w:color w:val="auto"/>
          <w:kern w:val="1"/>
          <w:sz w:val="24"/>
          <w:highlight w:val="none"/>
          <w:u w:val="single"/>
        </w:rPr>
      </w:pPr>
      <w:r>
        <w:rPr>
          <w:rFonts w:hint="eastAsia" w:ascii="宋体" w:hAnsi="宋体" w:cs="宋体"/>
          <w:color w:val="auto"/>
          <w:sz w:val="24"/>
          <w:highlight w:val="none"/>
          <w:u w:val="single"/>
        </w:rPr>
        <w:t>因项目实际情况或最终批复金额造成本合同发生实质性变动，经双方最终确认签订补充协议</w:t>
      </w:r>
      <w:r>
        <w:rPr>
          <w:rFonts w:hint="eastAsia" w:ascii="宋体" w:hAnsi="宋体" w:cs="宋体"/>
          <w:color w:val="auto"/>
          <w:sz w:val="24"/>
          <w:highlight w:val="none"/>
          <w:u w:val="single"/>
        </w:rPr>
        <w:t>，但所有补充协议的金额不得超过本合同金额的百分之二十。</w:t>
      </w:r>
    </w:p>
    <w:p w14:paraId="760367F8">
      <w:pPr>
        <w:numPr>
          <w:ilvl w:val="1"/>
          <w:numId w:val="0"/>
        </w:numPr>
        <w:tabs>
          <w:tab w:val="left" w:pos="1843"/>
        </w:tabs>
        <w:spacing w:after="0" w:line="360" w:lineRule="auto"/>
        <w:ind w:firstLine="482" w:firstLineChars="200"/>
        <w:rPr>
          <w:rFonts w:hint="eastAsia" w:ascii="宋体" w:hAnsi="宋体" w:cs="宋体"/>
          <w:color w:val="auto"/>
          <w:sz w:val="24"/>
          <w:highlight w:val="none"/>
        </w:rPr>
      </w:pPr>
      <w:r>
        <w:rPr>
          <w:rFonts w:hint="eastAsia" w:ascii="宋体" w:hAnsi="宋体"/>
          <w:b/>
          <w:bCs/>
          <w:color w:val="auto"/>
          <w:sz w:val="24"/>
          <w:highlight w:val="none"/>
        </w:rPr>
        <w:t>5）</w:t>
      </w:r>
      <w:r>
        <w:rPr>
          <w:rFonts w:hint="eastAsia" w:ascii="宋体" w:hAnsi="宋体" w:cs="宋体"/>
          <w:color w:val="auto"/>
          <w:sz w:val="24"/>
          <w:highlight w:val="none"/>
        </w:rPr>
        <w:t>因受托人原因造成项目建设内容、建设规模、建设标准发生变化，致使工期延长、投资增加或其它经济损失的，受托人应自行承担增加费用，给委托人造成损害还应承担相应的赔偿责任同时按专用合同条款约定承担相应违约责任。</w:t>
      </w:r>
    </w:p>
    <w:p w14:paraId="7BB89358">
      <w:pPr>
        <w:spacing w:after="0" w:line="360" w:lineRule="auto"/>
        <w:rPr>
          <w:rFonts w:hint="eastAsia" w:ascii="宋体" w:hAnsi="宋体" w:cs="宋体"/>
          <w:color w:val="auto"/>
          <w:kern w:val="1"/>
          <w:sz w:val="24"/>
          <w:highlight w:val="none"/>
          <w:u w:val="single"/>
        </w:rPr>
      </w:pPr>
      <w:r>
        <w:rPr>
          <w:rFonts w:hint="eastAsia" w:ascii="宋体" w:hAnsi="宋体" w:cs="宋体"/>
          <w:color w:val="auto"/>
          <w:kern w:val="1"/>
          <w:sz w:val="24"/>
          <w:highlight w:val="none"/>
          <w:u w:val="single"/>
        </w:rPr>
        <w:t>6）受托人和</w:t>
      </w:r>
      <w:r>
        <w:rPr>
          <w:rFonts w:hint="eastAsia" w:ascii="宋体" w:hAnsi="宋体" w:cs="宋体"/>
          <w:color w:val="auto"/>
          <w:sz w:val="24"/>
          <w:highlight w:val="none"/>
        </w:rPr>
        <w:t>委托人不承担因不可抗力导致合同不能全部或部分履行的责任。</w:t>
      </w:r>
    </w:p>
    <w:p w14:paraId="72F999B7">
      <w:pPr>
        <w:tabs>
          <w:tab w:val="left" w:pos="1080"/>
          <w:tab w:val="left" w:pos="2014"/>
        </w:tabs>
        <w:snapToGrid w:val="0"/>
        <w:spacing w:line="360" w:lineRule="auto"/>
        <w:rPr>
          <w:rFonts w:hint="eastAsia" w:ascii="宋体" w:hAnsi="宋体" w:cs="宋体"/>
          <w:color w:val="auto"/>
          <w:sz w:val="24"/>
          <w:highlight w:val="none"/>
        </w:rPr>
      </w:pPr>
      <w:r>
        <w:rPr>
          <w:rFonts w:hint="eastAsia" w:ascii="宋体" w:hAnsi="宋体" w:cs="宋体"/>
          <w:color w:val="auto"/>
          <w:kern w:val="1"/>
          <w:sz w:val="24"/>
          <w:highlight w:val="none"/>
          <w:u w:val="single"/>
        </w:rPr>
        <w:t>7）</w:t>
      </w:r>
      <w:r>
        <w:rPr>
          <w:rFonts w:hint="eastAsia" w:ascii="宋体" w:hAnsi="宋体" w:cs="宋体"/>
          <w:color w:val="auto"/>
          <w:sz w:val="24"/>
          <w:highlight w:val="none"/>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hint="eastAsia" w:ascii="宋体" w:hAnsi="宋体" w:cs="宋体"/>
          <w:b/>
          <w:color w:val="auto"/>
          <w:sz w:val="24"/>
          <w:highlight w:val="none"/>
        </w:rPr>
        <w:t>，</w:t>
      </w:r>
      <w:r>
        <w:rPr>
          <w:rFonts w:hint="eastAsia" w:ascii="宋体" w:hAnsi="宋体" w:cs="宋体"/>
          <w:color w:val="auto"/>
          <w:sz w:val="24"/>
          <w:highlight w:val="none"/>
        </w:rPr>
        <w:t>否则</w:t>
      </w:r>
      <w:r>
        <w:rPr>
          <w:rFonts w:hint="eastAsia" w:ascii="宋体" w:hAnsi="宋体" w:cs="宋体"/>
          <w:b/>
          <w:color w:val="auto"/>
          <w:sz w:val="24"/>
          <w:highlight w:val="none"/>
        </w:rPr>
        <w:t>投标无效</w:t>
      </w:r>
      <w:r>
        <w:rPr>
          <w:rFonts w:hint="eastAsia" w:ascii="宋体" w:hAnsi="宋体" w:cs="宋体"/>
          <w:color w:val="auto"/>
          <w:sz w:val="24"/>
          <w:highlight w:val="none"/>
        </w:rPr>
        <w:t>。中标人就采购项目和分包项目向采购人负责，分包供应商就分包项目承担责任。</w:t>
      </w:r>
    </w:p>
    <w:p w14:paraId="6C8B0055">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8</w:t>
      </w:r>
      <w:r>
        <w:rPr>
          <w:rFonts w:hint="eastAsia" w:ascii="宋体" w:hAnsi="宋体" w:cs="宋体"/>
          <w:b/>
          <w:color w:val="auto"/>
          <w:sz w:val="24"/>
          <w:highlight w:val="none"/>
          <w:lang w:eastAsia="zh-CN"/>
        </w:rPr>
        <w:t>）</w:t>
      </w:r>
      <w:r>
        <w:rPr>
          <w:rFonts w:hint="eastAsia" w:ascii="宋体" w:hAnsi="宋体" w:cs="宋体"/>
          <w:b/>
          <w:color w:val="auto"/>
          <w:sz w:val="24"/>
          <w:highlight w:val="none"/>
        </w:rPr>
        <w:t>项目管理服务团队人员、资格及驻场要求</w:t>
      </w:r>
    </w:p>
    <w:p w14:paraId="2B98AAA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以下项目管理咨询服务团队人员配备表中执业资格或职称及人员数量为</w:t>
      </w:r>
      <w:r>
        <w:rPr>
          <w:rFonts w:hint="eastAsia" w:ascii="宋体" w:hAnsi="宋体" w:cs="宋体"/>
          <w:b/>
          <w:bCs/>
          <w:color w:val="auto"/>
          <w:sz w:val="24"/>
          <w:highlight w:val="none"/>
        </w:rPr>
        <w:t>最低要求</w:t>
      </w:r>
      <w:r>
        <w:rPr>
          <w:rFonts w:hint="eastAsia" w:ascii="宋体" w:hAnsi="宋体" w:cs="宋体"/>
          <w:color w:val="auto"/>
          <w:sz w:val="24"/>
          <w:highlight w:val="none"/>
        </w:rPr>
        <w:t>，人员均需具备</w:t>
      </w:r>
      <w:r>
        <w:rPr>
          <w:rFonts w:hint="eastAsia" w:ascii="宋体" w:hAnsi="宋体" w:cs="宋体"/>
          <w:b/>
          <w:bCs/>
          <w:color w:val="auto"/>
          <w:sz w:val="24"/>
          <w:highlight w:val="none"/>
        </w:rPr>
        <w:t>相应职业资格和相关经验</w:t>
      </w:r>
      <w:r>
        <w:rPr>
          <w:rFonts w:hint="eastAsia" w:ascii="宋体" w:hAnsi="宋体" w:cs="宋体"/>
          <w:color w:val="auto"/>
          <w:sz w:val="24"/>
          <w:highlight w:val="none"/>
        </w:rPr>
        <w:t xml:space="preserve">，成员要保持相对稳定。项目管理人员如不称职，采购人有权提出更换。 </w:t>
      </w:r>
    </w:p>
    <w:p w14:paraId="1AD7803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项目管理咨询服务团队人员配备表</w:t>
      </w:r>
    </w:p>
    <w:tbl>
      <w:tblPr>
        <w:tblStyle w:val="48"/>
        <w:tblW w:w="8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3106"/>
        <w:gridCol w:w="1274"/>
        <w:gridCol w:w="3183"/>
      </w:tblGrid>
      <w:tr w14:paraId="01BD2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69" w:type="dxa"/>
            <w:vAlign w:val="center"/>
          </w:tcPr>
          <w:p w14:paraId="585DA22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3106" w:type="dxa"/>
            <w:vAlign w:val="center"/>
          </w:tcPr>
          <w:p w14:paraId="1B21AD0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岗位名称</w:t>
            </w:r>
          </w:p>
        </w:tc>
        <w:tc>
          <w:tcPr>
            <w:tcW w:w="1274" w:type="dxa"/>
            <w:vAlign w:val="center"/>
          </w:tcPr>
          <w:p w14:paraId="75F77B45">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人数</w:t>
            </w:r>
          </w:p>
        </w:tc>
        <w:tc>
          <w:tcPr>
            <w:tcW w:w="3183" w:type="dxa"/>
            <w:vAlign w:val="center"/>
          </w:tcPr>
          <w:p w14:paraId="3240F9D5">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执业资格或职称</w:t>
            </w:r>
          </w:p>
        </w:tc>
      </w:tr>
      <w:tr w14:paraId="5E805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69" w:type="dxa"/>
            <w:vAlign w:val="center"/>
          </w:tcPr>
          <w:p w14:paraId="5158A012">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3106" w:type="dxa"/>
            <w:vAlign w:val="center"/>
          </w:tcPr>
          <w:p w14:paraId="5001AB2E">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项目负责人</w:t>
            </w:r>
          </w:p>
        </w:tc>
        <w:tc>
          <w:tcPr>
            <w:tcW w:w="1274" w:type="dxa"/>
            <w:vAlign w:val="center"/>
          </w:tcPr>
          <w:p w14:paraId="6B10EFFB">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3183" w:type="dxa"/>
            <w:vAlign w:val="center"/>
          </w:tcPr>
          <w:p w14:paraId="03D35C1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一级建造师或高级工程师</w:t>
            </w:r>
          </w:p>
        </w:tc>
      </w:tr>
      <w:tr w14:paraId="41877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69" w:type="dxa"/>
            <w:vAlign w:val="center"/>
          </w:tcPr>
          <w:p w14:paraId="7D23C93B">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3106" w:type="dxa"/>
            <w:vAlign w:val="center"/>
          </w:tcPr>
          <w:p w14:paraId="60EBDE95">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前期工程师</w:t>
            </w:r>
          </w:p>
        </w:tc>
        <w:tc>
          <w:tcPr>
            <w:tcW w:w="1274" w:type="dxa"/>
            <w:vAlign w:val="center"/>
          </w:tcPr>
          <w:p w14:paraId="53C6E799">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3183" w:type="dxa"/>
            <w:vAlign w:val="center"/>
          </w:tcPr>
          <w:p w14:paraId="10AFC0E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中级职称</w:t>
            </w:r>
          </w:p>
        </w:tc>
      </w:tr>
      <w:tr w14:paraId="1AB41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69" w:type="dxa"/>
            <w:vAlign w:val="center"/>
          </w:tcPr>
          <w:p w14:paraId="042B349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3106" w:type="dxa"/>
            <w:vAlign w:val="center"/>
          </w:tcPr>
          <w:p w14:paraId="088C8ED9">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造价工程师</w:t>
            </w:r>
          </w:p>
        </w:tc>
        <w:tc>
          <w:tcPr>
            <w:tcW w:w="1274" w:type="dxa"/>
            <w:vAlign w:val="center"/>
          </w:tcPr>
          <w:p w14:paraId="1350CB17">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3183" w:type="dxa"/>
            <w:vAlign w:val="center"/>
          </w:tcPr>
          <w:p w14:paraId="1D8BE3E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一级注册造价工程师</w:t>
            </w:r>
          </w:p>
        </w:tc>
      </w:tr>
      <w:tr w14:paraId="12196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69" w:type="dxa"/>
            <w:vAlign w:val="center"/>
          </w:tcPr>
          <w:p w14:paraId="093A826E">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3106" w:type="dxa"/>
            <w:vAlign w:val="center"/>
          </w:tcPr>
          <w:p w14:paraId="24AA595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现场工程师（安全）</w:t>
            </w:r>
          </w:p>
        </w:tc>
        <w:tc>
          <w:tcPr>
            <w:tcW w:w="1274" w:type="dxa"/>
            <w:vAlign w:val="center"/>
          </w:tcPr>
          <w:p w14:paraId="3631BB2A">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3183" w:type="dxa"/>
            <w:vAlign w:val="center"/>
          </w:tcPr>
          <w:p w14:paraId="2CE61752">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注册安全工程师</w:t>
            </w:r>
          </w:p>
        </w:tc>
      </w:tr>
      <w:tr w14:paraId="765EF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69" w:type="dxa"/>
            <w:vAlign w:val="center"/>
          </w:tcPr>
          <w:p w14:paraId="74CB92CC">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3106" w:type="dxa"/>
            <w:vAlign w:val="center"/>
          </w:tcPr>
          <w:p w14:paraId="40CBA0C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现场工程师（质量进度）</w:t>
            </w:r>
          </w:p>
        </w:tc>
        <w:tc>
          <w:tcPr>
            <w:tcW w:w="1274" w:type="dxa"/>
            <w:vAlign w:val="center"/>
          </w:tcPr>
          <w:p w14:paraId="5EE4F30C">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3183" w:type="dxa"/>
            <w:vAlign w:val="center"/>
          </w:tcPr>
          <w:p w14:paraId="104D0900">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中级职称</w:t>
            </w:r>
          </w:p>
        </w:tc>
      </w:tr>
    </w:tbl>
    <w:p w14:paraId="1E4DA536">
      <w:pPr>
        <w:numPr>
          <w:ilvl w:val="-1"/>
          <w:numId w:val="0"/>
        </w:numPr>
        <w:spacing w:after="0" w:line="360" w:lineRule="auto"/>
        <w:ind w:firstLine="0" w:firstLineChars="0"/>
        <w:rPr>
          <w:rFonts w:hint="eastAsia" w:ascii="宋体" w:hAnsi="宋体" w:cs="宋体"/>
          <w:color w:val="auto"/>
          <w:sz w:val="24"/>
          <w:highlight w:val="none"/>
          <w:u w:val="single"/>
        </w:rPr>
      </w:pPr>
    </w:p>
    <w:p w14:paraId="57AF04C0">
      <w:pPr>
        <w:rPr>
          <w:rFonts w:hint="eastAsia" w:ascii="宋体" w:hAnsi="宋体" w:cs="宋体"/>
          <w:b/>
          <w:bCs/>
          <w:color w:val="auto"/>
          <w:sz w:val="24"/>
          <w:highlight w:val="none"/>
        </w:rPr>
      </w:pPr>
      <w:bookmarkStart w:id="1016" w:name="_Toc23774"/>
      <w:r>
        <w:rPr>
          <w:rFonts w:hint="eastAsia" w:ascii="宋体" w:hAnsi="宋体" w:cs="宋体"/>
          <w:b/>
          <w:bCs/>
          <w:color w:val="auto"/>
          <w:sz w:val="24"/>
          <w:highlight w:val="none"/>
        </w:rPr>
        <w:br w:type="page"/>
      </w:r>
    </w:p>
    <w:p w14:paraId="70562292">
      <w:pPr>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附件1：中标通知书</w:t>
      </w:r>
      <w:bookmarkEnd w:id="1016"/>
    </w:p>
    <w:p w14:paraId="33793FAA">
      <w:pPr>
        <w:spacing w:after="0" w:line="360" w:lineRule="auto"/>
        <w:rPr>
          <w:rFonts w:hint="eastAsia" w:ascii="宋体" w:hAnsi="宋体" w:cs="宋体"/>
          <w:color w:val="auto"/>
          <w:kern w:val="1"/>
          <w:sz w:val="24"/>
          <w:highlight w:val="none"/>
        </w:rPr>
      </w:pPr>
    </w:p>
    <w:p w14:paraId="4D8C23B7">
      <w:pPr>
        <w:spacing w:after="0" w:line="360" w:lineRule="auto"/>
        <w:outlineLvl w:val="0"/>
        <w:rPr>
          <w:rFonts w:hint="eastAsia" w:ascii="宋体" w:hAnsi="宋体" w:cs="宋体"/>
          <w:color w:val="auto"/>
          <w:kern w:val="1"/>
          <w:sz w:val="24"/>
          <w:highlight w:val="none"/>
        </w:rPr>
        <w:sectPr>
          <w:footerReference r:id="rId21" w:type="default"/>
          <w:pgSz w:w="11905" w:h="16838"/>
          <w:pgMar w:top="1417" w:right="1701" w:bottom="1417" w:left="1701" w:header="1020" w:footer="850" w:gutter="0"/>
          <w:cols w:space="0" w:num="1"/>
          <w:rtlGutter w:val="0"/>
          <w:docGrid w:linePitch="312" w:charSpace="0"/>
        </w:sectPr>
      </w:pPr>
    </w:p>
    <w:p w14:paraId="1442FDD9">
      <w:pPr>
        <w:spacing w:after="0" w:line="360" w:lineRule="auto"/>
        <w:ind w:firstLine="480" w:firstLineChars="200"/>
        <w:rPr>
          <w:rFonts w:hint="eastAsia" w:ascii="宋体" w:hAnsi="宋体" w:cs="宋体"/>
          <w:color w:val="auto"/>
          <w:sz w:val="24"/>
          <w:highlight w:val="none"/>
        </w:rPr>
      </w:pPr>
      <w:bookmarkStart w:id="1017" w:name="_Toc27960"/>
      <w:r>
        <w:rPr>
          <w:rFonts w:hint="eastAsia" w:ascii="宋体" w:hAnsi="宋体" w:cs="宋体"/>
          <w:color w:val="auto"/>
          <w:sz w:val="24"/>
          <w:highlight w:val="none"/>
        </w:rPr>
        <w:t>附件2：拟投入本项目主要人员汇总表</w:t>
      </w:r>
      <w:bookmarkEnd w:id="1017"/>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960"/>
        <w:gridCol w:w="735"/>
        <w:gridCol w:w="615"/>
        <w:gridCol w:w="1063"/>
        <w:gridCol w:w="1391"/>
        <w:gridCol w:w="1095"/>
        <w:gridCol w:w="1440"/>
        <w:gridCol w:w="801"/>
      </w:tblGrid>
      <w:tr w14:paraId="5BA97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606" w:type="dxa"/>
            <w:vAlign w:val="center"/>
          </w:tcPr>
          <w:p w14:paraId="6911238E">
            <w:pPr>
              <w:spacing w:after="0" w:line="240" w:lineRule="auto"/>
              <w:ind w:left="-67" w:right="-147"/>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960" w:type="dxa"/>
            <w:vAlign w:val="center"/>
          </w:tcPr>
          <w:p w14:paraId="518DE17E">
            <w:pPr>
              <w:spacing w:after="0" w:line="240" w:lineRule="auto"/>
              <w:ind w:left="-67" w:right="-147"/>
              <w:jc w:val="center"/>
              <w:rPr>
                <w:rFonts w:hint="eastAsia" w:ascii="宋体" w:hAnsi="宋体" w:cs="宋体"/>
                <w:color w:val="auto"/>
                <w:sz w:val="24"/>
                <w:highlight w:val="none"/>
              </w:rPr>
            </w:pPr>
            <w:r>
              <w:rPr>
                <w:rFonts w:hint="eastAsia" w:ascii="宋体" w:hAnsi="宋体" w:cs="宋体"/>
                <w:color w:val="auto"/>
                <w:sz w:val="24"/>
                <w:highlight w:val="none"/>
              </w:rPr>
              <w:t>姓名</w:t>
            </w:r>
          </w:p>
        </w:tc>
        <w:tc>
          <w:tcPr>
            <w:tcW w:w="735" w:type="dxa"/>
            <w:vAlign w:val="center"/>
          </w:tcPr>
          <w:p w14:paraId="4B106F9F">
            <w:pPr>
              <w:spacing w:after="0" w:line="240" w:lineRule="auto"/>
              <w:ind w:left="-107" w:right="-147"/>
              <w:jc w:val="center"/>
              <w:rPr>
                <w:rFonts w:hint="eastAsia" w:ascii="宋体" w:hAnsi="宋体" w:cs="宋体"/>
                <w:color w:val="auto"/>
                <w:sz w:val="24"/>
                <w:highlight w:val="none"/>
              </w:rPr>
            </w:pPr>
            <w:r>
              <w:rPr>
                <w:rFonts w:hint="eastAsia" w:ascii="宋体" w:hAnsi="宋体" w:cs="宋体"/>
                <w:color w:val="auto"/>
                <w:sz w:val="24"/>
                <w:highlight w:val="none"/>
              </w:rPr>
              <w:t>性别</w:t>
            </w:r>
          </w:p>
        </w:tc>
        <w:tc>
          <w:tcPr>
            <w:tcW w:w="615" w:type="dxa"/>
            <w:vAlign w:val="center"/>
          </w:tcPr>
          <w:p w14:paraId="5097003A">
            <w:pPr>
              <w:spacing w:after="0" w:line="240" w:lineRule="auto"/>
              <w:ind w:left="-67" w:right="-147"/>
              <w:jc w:val="center"/>
              <w:rPr>
                <w:rFonts w:hint="eastAsia" w:ascii="宋体" w:hAnsi="宋体" w:cs="宋体"/>
                <w:color w:val="auto"/>
                <w:sz w:val="24"/>
                <w:highlight w:val="none"/>
              </w:rPr>
            </w:pPr>
            <w:r>
              <w:rPr>
                <w:rFonts w:hint="eastAsia" w:ascii="宋体" w:hAnsi="宋体" w:cs="宋体"/>
                <w:color w:val="auto"/>
                <w:sz w:val="24"/>
                <w:highlight w:val="none"/>
              </w:rPr>
              <w:t>年龄</w:t>
            </w:r>
          </w:p>
        </w:tc>
        <w:tc>
          <w:tcPr>
            <w:tcW w:w="1063" w:type="dxa"/>
            <w:vAlign w:val="center"/>
          </w:tcPr>
          <w:p w14:paraId="4BF08643">
            <w:pPr>
              <w:spacing w:after="0" w:line="240" w:lineRule="auto"/>
              <w:ind w:left="-67" w:right="-147"/>
              <w:jc w:val="center"/>
              <w:rPr>
                <w:rFonts w:hint="eastAsia" w:ascii="宋体" w:hAnsi="宋体" w:cs="宋体"/>
                <w:color w:val="auto"/>
                <w:sz w:val="24"/>
                <w:highlight w:val="none"/>
              </w:rPr>
            </w:pPr>
            <w:r>
              <w:rPr>
                <w:rFonts w:hint="eastAsia" w:ascii="宋体" w:hAnsi="宋体" w:cs="宋体"/>
                <w:color w:val="auto"/>
                <w:sz w:val="24"/>
                <w:highlight w:val="none"/>
              </w:rPr>
              <w:t>学历和专业</w:t>
            </w:r>
          </w:p>
        </w:tc>
        <w:tc>
          <w:tcPr>
            <w:tcW w:w="1391" w:type="dxa"/>
            <w:vAlign w:val="center"/>
          </w:tcPr>
          <w:p w14:paraId="655BA655">
            <w:pPr>
              <w:spacing w:after="0" w:line="240" w:lineRule="auto"/>
              <w:ind w:left="-67" w:right="-147"/>
              <w:jc w:val="center"/>
              <w:rPr>
                <w:rFonts w:hint="eastAsia" w:ascii="宋体" w:hAnsi="宋体" w:cs="宋体"/>
                <w:color w:val="auto"/>
                <w:sz w:val="24"/>
                <w:highlight w:val="none"/>
              </w:rPr>
            </w:pPr>
            <w:r>
              <w:rPr>
                <w:rFonts w:hint="eastAsia" w:ascii="宋体" w:hAnsi="宋体" w:cs="宋体"/>
                <w:color w:val="auto"/>
                <w:sz w:val="24"/>
                <w:highlight w:val="none"/>
              </w:rPr>
              <w:t>专业技术职称和执业资格</w:t>
            </w:r>
          </w:p>
        </w:tc>
        <w:tc>
          <w:tcPr>
            <w:tcW w:w="1095" w:type="dxa"/>
            <w:vAlign w:val="center"/>
          </w:tcPr>
          <w:p w14:paraId="0808FD99">
            <w:pPr>
              <w:tabs>
                <w:tab w:val="left" w:pos="272"/>
              </w:tabs>
              <w:spacing w:after="0" w:line="240" w:lineRule="auto"/>
              <w:ind w:left="-67" w:right="-6"/>
              <w:jc w:val="center"/>
              <w:rPr>
                <w:rFonts w:hint="eastAsia" w:ascii="宋体" w:hAnsi="宋体" w:cs="宋体"/>
                <w:color w:val="auto"/>
                <w:sz w:val="24"/>
                <w:highlight w:val="none"/>
              </w:rPr>
            </w:pPr>
            <w:r>
              <w:rPr>
                <w:rFonts w:hint="eastAsia" w:ascii="宋体" w:hAnsi="宋体" w:cs="宋体"/>
                <w:color w:val="auto"/>
                <w:sz w:val="24"/>
                <w:highlight w:val="none"/>
              </w:rPr>
              <w:t>从事项目管理的时间</w:t>
            </w:r>
          </w:p>
        </w:tc>
        <w:tc>
          <w:tcPr>
            <w:tcW w:w="1440" w:type="dxa"/>
            <w:vAlign w:val="center"/>
          </w:tcPr>
          <w:p w14:paraId="5BF58D94">
            <w:pPr>
              <w:spacing w:after="0" w:line="240" w:lineRule="auto"/>
              <w:ind w:left="-67" w:right="-147"/>
              <w:jc w:val="center"/>
              <w:rPr>
                <w:rFonts w:hint="eastAsia" w:ascii="宋体" w:hAnsi="宋体" w:cs="宋体"/>
                <w:color w:val="auto"/>
                <w:sz w:val="24"/>
                <w:highlight w:val="none"/>
              </w:rPr>
            </w:pPr>
            <w:r>
              <w:rPr>
                <w:rFonts w:hint="eastAsia" w:ascii="宋体" w:hAnsi="宋体" w:cs="宋体"/>
                <w:color w:val="auto"/>
                <w:sz w:val="24"/>
                <w:highlight w:val="none"/>
              </w:rPr>
              <w:t>拟在本项目中担任的职务</w:t>
            </w:r>
          </w:p>
        </w:tc>
        <w:tc>
          <w:tcPr>
            <w:tcW w:w="801" w:type="dxa"/>
            <w:vAlign w:val="center"/>
          </w:tcPr>
          <w:p w14:paraId="76454D0A">
            <w:pPr>
              <w:spacing w:after="0" w:line="240" w:lineRule="auto"/>
              <w:ind w:left="-67" w:right="-147"/>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14:paraId="53520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606" w:type="dxa"/>
            <w:vAlign w:val="center"/>
          </w:tcPr>
          <w:p w14:paraId="0F345F6D">
            <w:pPr>
              <w:spacing w:after="0" w:line="240" w:lineRule="auto"/>
              <w:ind w:left="-67" w:right="-147"/>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960" w:type="dxa"/>
            <w:vAlign w:val="center"/>
          </w:tcPr>
          <w:p w14:paraId="673D9849">
            <w:pPr>
              <w:spacing w:before="156" w:after="84"/>
              <w:ind w:left="-32" w:right="-70"/>
              <w:jc w:val="center"/>
              <w:rPr>
                <w:rFonts w:hint="eastAsia" w:ascii="宋体" w:hAnsi="宋体" w:cs="宋体"/>
                <w:color w:val="auto"/>
                <w:sz w:val="24"/>
                <w:highlight w:val="none"/>
              </w:rPr>
            </w:pPr>
          </w:p>
        </w:tc>
        <w:tc>
          <w:tcPr>
            <w:tcW w:w="735" w:type="dxa"/>
            <w:vAlign w:val="center"/>
          </w:tcPr>
          <w:p w14:paraId="4108117F">
            <w:pPr>
              <w:spacing w:before="156" w:after="84"/>
              <w:ind w:left="-32" w:right="-70"/>
              <w:jc w:val="center"/>
              <w:rPr>
                <w:rFonts w:hint="eastAsia" w:ascii="宋体" w:hAnsi="宋体" w:cs="宋体"/>
                <w:color w:val="auto"/>
                <w:sz w:val="24"/>
                <w:highlight w:val="none"/>
              </w:rPr>
            </w:pPr>
          </w:p>
        </w:tc>
        <w:tc>
          <w:tcPr>
            <w:tcW w:w="615" w:type="dxa"/>
            <w:vAlign w:val="center"/>
          </w:tcPr>
          <w:p w14:paraId="6D93FAF8">
            <w:pPr>
              <w:spacing w:before="156" w:after="84"/>
              <w:ind w:left="-32" w:right="-70"/>
              <w:jc w:val="center"/>
              <w:rPr>
                <w:rFonts w:hint="eastAsia" w:ascii="宋体" w:hAnsi="宋体" w:cs="宋体"/>
                <w:color w:val="auto"/>
                <w:sz w:val="24"/>
                <w:highlight w:val="none"/>
              </w:rPr>
            </w:pPr>
          </w:p>
        </w:tc>
        <w:tc>
          <w:tcPr>
            <w:tcW w:w="1063" w:type="dxa"/>
            <w:vAlign w:val="center"/>
          </w:tcPr>
          <w:p w14:paraId="610FE105">
            <w:pPr>
              <w:spacing w:before="156" w:after="84"/>
              <w:ind w:left="-32" w:right="-70"/>
              <w:jc w:val="center"/>
              <w:rPr>
                <w:rFonts w:hint="eastAsia" w:ascii="宋体" w:hAnsi="宋体" w:cs="宋体"/>
                <w:color w:val="auto"/>
                <w:sz w:val="24"/>
                <w:highlight w:val="none"/>
              </w:rPr>
            </w:pPr>
          </w:p>
        </w:tc>
        <w:tc>
          <w:tcPr>
            <w:tcW w:w="1391" w:type="dxa"/>
            <w:vAlign w:val="center"/>
          </w:tcPr>
          <w:p w14:paraId="3938706E">
            <w:pPr>
              <w:spacing w:before="156" w:after="84"/>
              <w:ind w:left="-32" w:right="-70"/>
              <w:jc w:val="center"/>
              <w:rPr>
                <w:rFonts w:hint="eastAsia" w:ascii="宋体" w:hAnsi="宋体" w:cs="宋体"/>
                <w:color w:val="auto"/>
                <w:sz w:val="24"/>
                <w:highlight w:val="none"/>
              </w:rPr>
            </w:pPr>
          </w:p>
        </w:tc>
        <w:tc>
          <w:tcPr>
            <w:tcW w:w="1095" w:type="dxa"/>
            <w:vAlign w:val="center"/>
          </w:tcPr>
          <w:p w14:paraId="453E1037">
            <w:pPr>
              <w:spacing w:before="156" w:after="84"/>
              <w:ind w:left="-32" w:right="-70"/>
              <w:jc w:val="center"/>
              <w:rPr>
                <w:rFonts w:hint="eastAsia" w:ascii="宋体" w:hAnsi="宋体" w:cs="宋体"/>
                <w:color w:val="auto"/>
                <w:sz w:val="24"/>
                <w:highlight w:val="none"/>
              </w:rPr>
            </w:pPr>
          </w:p>
        </w:tc>
        <w:tc>
          <w:tcPr>
            <w:tcW w:w="1440" w:type="dxa"/>
            <w:vAlign w:val="center"/>
          </w:tcPr>
          <w:p w14:paraId="7900E92A">
            <w:pPr>
              <w:spacing w:before="156" w:after="84"/>
              <w:ind w:left="-32" w:right="-70"/>
              <w:jc w:val="center"/>
              <w:rPr>
                <w:rFonts w:hint="eastAsia" w:ascii="宋体" w:hAnsi="宋体" w:cs="宋体"/>
                <w:color w:val="auto"/>
                <w:sz w:val="24"/>
                <w:highlight w:val="none"/>
              </w:rPr>
            </w:pPr>
          </w:p>
        </w:tc>
        <w:tc>
          <w:tcPr>
            <w:tcW w:w="801" w:type="dxa"/>
            <w:vAlign w:val="center"/>
          </w:tcPr>
          <w:p w14:paraId="32FDF2A2">
            <w:pPr>
              <w:spacing w:after="0" w:line="240" w:lineRule="auto"/>
              <w:ind w:left="-67" w:right="-147"/>
              <w:jc w:val="center"/>
              <w:rPr>
                <w:rFonts w:hint="eastAsia" w:ascii="宋体" w:hAnsi="宋体" w:cs="宋体"/>
                <w:color w:val="auto"/>
                <w:sz w:val="24"/>
                <w:highlight w:val="none"/>
              </w:rPr>
            </w:pPr>
          </w:p>
        </w:tc>
      </w:tr>
      <w:tr w14:paraId="13256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606" w:type="dxa"/>
            <w:vAlign w:val="center"/>
          </w:tcPr>
          <w:p w14:paraId="0DC1765B">
            <w:pPr>
              <w:spacing w:before="156" w:after="84"/>
              <w:ind w:left="-32" w:right="-70"/>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960" w:type="dxa"/>
            <w:vAlign w:val="center"/>
          </w:tcPr>
          <w:p w14:paraId="51E633C9">
            <w:pPr>
              <w:spacing w:before="156" w:after="84"/>
              <w:ind w:left="-32" w:right="-70"/>
              <w:jc w:val="center"/>
              <w:rPr>
                <w:rFonts w:hint="eastAsia" w:ascii="宋体" w:hAnsi="宋体" w:cs="宋体"/>
                <w:color w:val="auto"/>
                <w:sz w:val="24"/>
                <w:highlight w:val="none"/>
              </w:rPr>
            </w:pPr>
          </w:p>
        </w:tc>
        <w:tc>
          <w:tcPr>
            <w:tcW w:w="735" w:type="dxa"/>
            <w:vAlign w:val="center"/>
          </w:tcPr>
          <w:p w14:paraId="075D7EBD">
            <w:pPr>
              <w:spacing w:before="156" w:after="84"/>
              <w:ind w:left="-32" w:right="-70"/>
              <w:jc w:val="center"/>
              <w:rPr>
                <w:rFonts w:hint="eastAsia" w:ascii="宋体" w:hAnsi="宋体" w:cs="宋体"/>
                <w:color w:val="auto"/>
                <w:sz w:val="24"/>
                <w:highlight w:val="none"/>
              </w:rPr>
            </w:pPr>
          </w:p>
        </w:tc>
        <w:tc>
          <w:tcPr>
            <w:tcW w:w="615" w:type="dxa"/>
            <w:vAlign w:val="center"/>
          </w:tcPr>
          <w:p w14:paraId="28D3CE89">
            <w:pPr>
              <w:spacing w:before="156" w:after="84"/>
              <w:ind w:left="-32" w:right="-70"/>
              <w:jc w:val="center"/>
              <w:rPr>
                <w:rFonts w:hint="eastAsia" w:ascii="宋体" w:hAnsi="宋体" w:cs="宋体"/>
                <w:color w:val="auto"/>
                <w:sz w:val="24"/>
                <w:highlight w:val="none"/>
              </w:rPr>
            </w:pPr>
          </w:p>
        </w:tc>
        <w:tc>
          <w:tcPr>
            <w:tcW w:w="1063" w:type="dxa"/>
            <w:vAlign w:val="center"/>
          </w:tcPr>
          <w:p w14:paraId="60A7283F">
            <w:pPr>
              <w:spacing w:before="156" w:after="84"/>
              <w:ind w:left="-32" w:right="-70"/>
              <w:jc w:val="center"/>
              <w:rPr>
                <w:rFonts w:hint="eastAsia" w:ascii="宋体" w:hAnsi="宋体" w:cs="宋体"/>
                <w:color w:val="auto"/>
                <w:sz w:val="24"/>
                <w:highlight w:val="none"/>
              </w:rPr>
            </w:pPr>
          </w:p>
        </w:tc>
        <w:tc>
          <w:tcPr>
            <w:tcW w:w="1391" w:type="dxa"/>
            <w:vAlign w:val="center"/>
          </w:tcPr>
          <w:p w14:paraId="07BFE7DC">
            <w:pPr>
              <w:spacing w:before="156" w:after="84"/>
              <w:ind w:left="-32" w:right="-70"/>
              <w:jc w:val="center"/>
              <w:rPr>
                <w:rFonts w:hint="eastAsia" w:ascii="宋体" w:hAnsi="宋体" w:cs="宋体"/>
                <w:color w:val="auto"/>
                <w:sz w:val="24"/>
                <w:highlight w:val="none"/>
              </w:rPr>
            </w:pPr>
          </w:p>
        </w:tc>
        <w:tc>
          <w:tcPr>
            <w:tcW w:w="1095" w:type="dxa"/>
            <w:vAlign w:val="center"/>
          </w:tcPr>
          <w:p w14:paraId="682E96C5">
            <w:pPr>
              <w:spacing w:before="156" w:after="84"/>
              <w:ind w:left="-32" w:right="-70"/>
              <w:jc w:val="center"/>
              <w:rPr>
                <w:rFonts w:hint="eastAsia" w:ascii="宋体" w:hAnsi="宋体" w:cs="宋体"/>
                <w:color w:val="auto"/>
                <w:sz w:val="24"/>
                <w:highlight w:val="none"/>
              </w:rPr>
            </w:pPr>
          </w:p>
        </w:tc>
        <w:tc>
          <w:tcPr>
            <w:tcW w:w="1440" w:type="dxa"/>
            <w:vAlign w:val="center"/>
          </w:tcPr>
          <w:p w14:paraId="5E5AF814">
            <w:pPr>
              <w:spacing w:before="156" w:after="84"/>
              <w:ind w:left="-32" w:right="-70"/>
              <w:jc w:val="center"/>
              <w:rPr>
                <w:rFonts w:hint="eastAsia" w:ascii="宋体" w:hAnsi="宋体" w:cs="宋体"/>
                <w:color w:val="auto"/>
                <w:sz w:val="24"/>
                <w:highlight w:val="none"/>
              </w:rPr>
            </w:pPr>
          </w:p>
        </w:tc>
        <w:tc>
          <w:tcPr>
            <w:tcW w:w="801" w:type="dxa"/>
            <w:vAlign w:val="center"/>
          </w:tcPr>
          <w:p w14:paraId="62EC0269">
            <w:pPr>
              <w:spacing w:before="156" w:after="84"/>
              <w:ind w:left="-32" w:right="-70"/>
              <w:jc w:val="center"/>
              <w:rPr>
                <w:rFonts w:hint="eastAsia" w:ascii="宋体" w:hAnsi="宋体" w:cs="宋体"/>
                <w:color w:val="auto"/>
                <w:sz w:val="24"/>
                <w:highlight w:val="none"/>
              </w:rPr>
            </w:pPr>
          </w:p>
        </w:tc>
      </w:tr>
      <w:tr w14:paraId="421C1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vAlign w:val="center"/>
          </w:tcPr>
          <w:p w14:paraId="1DC456D2">
            <w:pPr>
              <w:spacing w:before="156" w:after="84"/>
              <w:ind w:left="-32" w:right="-70"/>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960" w:type="dxa"/>
            <w:vAlign w:val="center"/>
          </w:tcPr>
          <w:p w14:paraId="104367F8">
            <w:pPr>
              <w:spacing w:before="156" w:after="84"/>
              <w:ind w:right="-70"/>
              <w:jc w:val="center"/>
              <w:rPr>
                <w:rFonts w:hint="eastAsia" w:ascii="宋体" w:hAnsi="宋体" w:cs="宋体"/>
                <w:color w:val="auto"/>
                <w:sz w:val="24"/>
                <w:highlight w:val="none"/>
              </w:rPr>
            </w:pPr>
          </w:p>
        </w:tc>
        <w:tc>
          <w:tcPr>
            <w:tcW w:w="735" w:type="dxa"/>
            <w:vAlign w:val="center"/>
          </w:tcPr>
          <w:p w14:paraId="04F858FC">
            <w:pPr>
              <w:spacing w:before="156" w:after="84"/>
              <w:ind w:left="-32" w:right="-70"/>
              <w:jc w:val="center"/>
              <w:rPr>
                <w:rFonts w:hint="eastAsia" w:ascii="宋体" w:hAnsi="宋体" w:cs="宋体"/>
                <w:color w:val="auto"/>
                <w:sz w:val="24"/>
                <w:highlight w:val="none"/>
              </w:rPr>
            </w:pPr>
          </w:p>
        </w:tc>
        <w:tc>
          <w:tcPr>
            <w:tcW w:w="615" w:type="dxa"/>
            <w:vAlign w:val="center"/>
          </w:tcPr>
          <w:p w14:paraId="467A5E63">
            <w:pPr>
              <w:spacing w:before="156" w:after="84"/>
              <w:ind w:left="-32" w:right="-70"/>
              <w:jc w:val="center"/>
              <w:rPr>
                <w:rFonts w:hint="eastAsia" w:ascii="宋体" w:hAnsi="宋体" w:cs="宋体"/>
                <w:color w:val="auto"/>
                <w:sz w:val="24"/>
                <w:highlight w:val="none"/>
              </w:rPr>
            </w:pPr>
          </w:p>
        </w:tc>
        <w:tc>
          <w:tcPr>
            <w:tcW w:w="1063" w:type="dxa"/>
            <w:vAlign w:val="center"/>
          </w:tcPr>
          <w:p w14:paraId="5F83E78F">
            <w:pPr>
              <w:spacing w:before="156" w:after="84"/>
              <w:ind w:left="-32" w:right="-70"/>
              <w:jc w:val="center"/>
              <w:rPr>
                <w:rFonts w:hint="eastAsia" w:ascii="宋体" w:hAnsi="宋体" w:cs="宋体"/>
                <w:color w:val="auto"/>
                <w:sz w:val="24"/>
                <w:highlight w:val="none"/>
              </w:rPr>
            </w:pPr>
          </w:p>
        </w:tc>
        <w:tc>
          <w:tcPr>
            <w:tcW w:w="1391" w:type="dxa"/>
            <w:vAlign w:val="center"/>
          </w:tcPr>
          <w:p w14:paraId="625752DB">
            <w:pPr>
              <w:spacing w:before="156" w:after="84"/>
              <w:ind w:left="-32" w:right="-70"/>
              <w:jc w:val="center"/>
              <w:rPr>
                <w:rFonts w:hint="eastAsia" w:ascii="宋体" w:hAnsi="宋体" w:cs="宋体"/>
                <w:color w:val="auto"/>
                <w:sz w:val="24"/>
                <w:highlight w:val="none"/>
              </w:rPr>
            </w:pPr>
          </w:p>
        </w:tc>
        <w:tc>
          <w:tcPr>
            <w:tcW w:w="1095" w:type="dxa"/>
            <w:vAlign w:val="center"/>
          </w:tcPr>
          <w:p w14:paraId="4B1289B4">
            <w:pPr>
              <w:spacing w:before="156" w:after="84"/>
              <w:ind w:left="-32" w:right="-70"/>
              <w:jc w:val="center"/>
              <w:rPr>
                <w:rFonts w:hint="eastAsia" w:ascii="宋体" w:hAnsi="宋体" w:cs="宋体"/>
                <w:color w:val="auto"/>
                <w:sz w:val="24"/>
                <w:highlight w:val="none"/>
              </w:rPr>
            </w:pPr>
          </w:p>
        </w:tc>
        <w:tc>
          <w:tcPr>
            <w:tcW w:w="1440" w:type="dxa"/>
            <w:vAlign w:val="center"/>
          </w:tcPr>
          <w:p w14:paraId="213998AE">
            <w:pPr>
              <w:spacing w:before="156" w:after="84"/>
              <w:ind w:left="-32" w:right="-70"/>
              <w:jc w:val="center"/>
              <w:rPr>
                <w:rFonts w:hint="eastAsia" w:ascii="宋体" w:hAnsi="宋体" w:cs="宋体"/>
                <w:color w:val="auto"/>
                <w:sz w:val="24"/>
                <w:highlight w:val="none"/>
              </w:rPr>
            </w:pPr>
          </w:p>
        </w:tc>
        <w:tc>
          <w:tcPr>
            <w:tcW w:w="801" w:type="dxa"/>
            <w:vAlign w:val="center"/>
          </w:tcPr>
          <w:p w14:paraId="39A32055">
            <w:pPr>
              <w:spacing w:before="156" w:after="84"/>
              <w:ind w:left="-32" w:right="-70"/>
              <w:jc w:val="center"/>
              <w:rPr>
                <w:rFonts w:hint="eastAsia" w:ascii="宋体" w:hAnsi="宋体" w:cs="宋体"/>
                <w:color w:val="auto"/>
                <w:sz w:val="24"/>
                <w:highlight w:val="none"/>
              </w:rPr>
            </w:pPr>
          </w:p>
        </w:tc>
      </w:tr>
      <w:tr w14:paraId="54019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vAlign w:val="center"/>
          </w:tcPr>
          <w:p w14:paraId="4BA62DF8">
            <w:pPr>
              <w:spacing w:before="156" w:after="84"/>
              <w:ind w:left="-32" w:right="-70"/>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960" w:type="dxa"/>
            <w:vAlign w:val="center"/>
          </w:tcPr>
          <w:p w14:paraId="413E6014">
            <w:pPr>
              <w:spacing w:before="156" w:after="84"/>
              <w:ind w:left="-32" w:right="-70"/>
              <w:jc w:val="center"/>
              <w:rPr>
                <w:rFonts w:hint="eastAsia" w:ascii="宋体" w:hAnsi="宋体" w:cs="宋体"/>
                <w:color w:val="auto"/>
                <w:sz w:val="24"/>
                <w:highlight w:val="none"/>
              </w:rPr>
            </w:pPr>
          </w:p>
        </w:tc>
        <w:tc>
          <w:tcPr>
            <w:tcW w:w="735" w:type="dxa"/>
            <w:vAlign w:val="center"/>
          </w:tcPr>
          <w:p w14:paraId="10F8C911">
            <w:pPr>
              <w:spacing w:before="156" w:after="84"/>
              <w:ind w:left="-32" w:right="-70"/>
              <w:jc w:val="center"/>
              <w:rPr>
                <w:rFonts w:hint="eastAsia" w:ascii="宋体" w:hAnsi="宋体" w:cs="宋体"/>
                <w:color w:val="auto"/>
                <w:sz w:val="24"/>
                <w:highlight w:val="none"/>
              </w:rPr>
            </w:pPr>
          </w:p>
        </w:tc>
        <w:tc>
          <w:tcPr>
            <w:tcW w:w="615" w:type="dxa"/>
            <w:vAlign w:val="center"/>
          </w:tcPr>
          <w:p w14:paraId="334656EF">
            <w:pPr>
              <w:spacing w:before="156" w:after="84"/>
              <w:ind w:left="-32" w:right="-70"/>
              <w:jc w:val="center"/>
              <w:rPr>
                <w:rFonts w:hint="eastAsia" w:ascii="宋体" w:hAnsi="宋体" w:cs="宋体"/>
                <w:color w:val="auto"/>
                <w:sz w:val="24"/>
                <w:highlight w:val="none"/>
              </w:rPr>
            </w:pPr>
          </w:p>
        </w:tc>
        <w:tc>
          <w:tcPr>
            <w:tcW w:w="1063" w:type="dxa"/>
            <w:vAlign w:val="center"/>
          </w:tcPr>
          <w:p w14:paraId="2C81ECC9">
            <w:pPr>
              <w:spacing w:before="156" w:after="84"/>
              <w:ind w:left="-32" w:right="-70"/>
              <w:jc w:val="center"/>
              <w:rPr>
                <w:rFonts w:hint="eastAsia" w:ascii="宋体" w:hAnsi="宋体" w:cs="宋体"/>
                <w:color w:val="auto"/>
                <w:sz w:val="24"/>
                <w:highlight w:val="none"/>
              </w:rPr>
            </w:pPr>
          </w:p>
        </w:tc>
        <w:tc>
          <w:tcPr>
            <w:tcW w:w="1391" w:type="dxa"/>
            <w:vAlign w:val="center"/>
          </w:tcPr>
          <w:p w14:paraId="0F65AC52">
            <w:pPr>
              <w:spacing w:before="156" w:after="84"/>
              <w:ind w:left="-32" w:right="-70"/>
              <w:jc w:val="center"/>
              <w:rPr>
                <w:rFonts w:hint="eastAsia" w:ascii="宋体" w:hAnsi="宋体" w:cs="宋体"/>
                <w:color w:val="auto"/>
                <w:sz w:val="24"/>
                <w:highlight w:val="none"/>
              </w:rPr>
            </w:pPr>
          </w:p>
        </w:tc>
        <w:tc>
          <w:tcPr>
            <w:tcW w:w="1095" w:type="dxa"/>
            <w:vAlign w:val="center"/>
          </w:tcPr>
          <w:p w14:paraId="4A907C56">
            <w:pPr>
              <w:spacing w:before="156" w:after="84"/>
              <w:ind w:left="-32" w:right="-70"/>
              <w:jc w:val="center"/>
              <w:rPr>
                <w:rFonts w:hint="eastAsia" w:ascii="宋体" w:hAnsi="宋体" w:cs="宋体"/>
                <w:color w:val="auto"/>
                <w:sz w:val="24"/>
                <w:highlight w:val="none"/>
              </w:rPr>
            </w:pPr>
          </w:p>
        </w:tc>
        <w:tc>
          <w:tcPr>
            <w:tcW w:w="1440" w:type="dxa"/>
            <w:vAlign w:val="center"/>
          </w:tcPr>
          <w:p w14:paraId="23FED213">
            <w:pPr>
              <w:spacing w:before="156" w:after="84"/>
              <w:ind w:left="-32" w:right="-70"/>
              <w:jc w:val="center"/>
              <w:rPr>
                <w:rFonts w:hint="eastAsia" w:ascii="宋体" w:hAnsi="宋体" w:cs="宋体"/>
                <w:color w:val="auto"/>
                <w:sz w:val="24"/>
                <w:highlight w:val="none"/>
              </w:rPr>
            </w:pPr>
          </w:p>
        </w:tc>
        <w:tc>
          <w:tcPr>
            <w:tcW w:w="801" w:type="dxa"/>
            <w:vAlign w:val="center"/>
          </w:tcPr>
          <w:p w14:paraId="01CDECC9">
            <w:pPr>
              <w:spacing w:before="156" w:after="84"/>
              <w:ind w:left="-32" w:right="-70"/>
              <w:jc w:val="center"/>
              <w:rPr>
                <w:rFonts w:hint="eastAsia" w:ascii="宋体" w:hAnsi="宋体" w:cs="宋体"/>
                <w:color w:val="auto"/>
                <w:sz w:val="24"/>
                <w:highlight w:val="none"/>
              </w:rPr>
            </w:pPr>
          </w:p>
        </w:tc>
      </w:tr>
      <w:tr w14:paraId="15F8E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606" w:type="dxa"/>
            <w:vAlign w:val="center"/>
          </w:tcPr>
          <w:p w14:paraId="5B542958">
            <w:pPr>
              <w:spacing w:before="156" w:after="84"/>
              <w:ind w:left="-32" w:right="-70"/>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960" w:type="dxa"/>
            <w:vAlign w:val="center"/>
          </w:tcPr>
          <w:p w14:paraId="46C2F720">
            <w:pPr>
              <w:spacing w:before="156" w:after="84"/>
              <w:ind w:left="-32" w:right="-70"/>
              <w:jc w:val="center"/>
              <w:rPr>
                <w:rFonts w:hint="eastAsia" w:ascii="宋体" w:hAnsi="宋体" w:cs="宋体"/>
                <w:color w:val="auto"/>
                <w:sz w:val="24"/>
                <w:highlight w:val="none"/>
              </w:rPr>
            </w:pPr>
          </w:p>
        </w:tc>
        <w:tc>
          <w:tcPr>
            <w:tcW w:w="735" w:type="dxa"/>
            <w:vAlign w:val="center"/>
          </w:tcPr>
          <w:p w14:paraId="408F5E84">
            <w:pPr>
              <w:spacing w:before="156" w:after="84"/>
              <w:ind w:left="-32" w:right="-70"/>
              <w:jc w:val="center"/>
              <w:rPr>
                <w:rFonts w:hint="eastAsia" w:ascii="宋体" w:hAnsi="宋体" w:cs="宋体"/>
                <w:color w:val="auto"/>
                <w:sz w:val="24"/>
                <w:highlight w:val="none"/>
              </w:rPr>
            </w:pPr>
          </w:p>
        </w:tc>
        <w:tc>
          <w:tcPr>
            <w:tcW w:w="615" w:type="dxa"/>
            <w:vAlign w:val="center"/>
          </w:tcPr>
          <w:p w14:paraId="5729CA44">
            <w:pPr>
              <w:spacing w:before="156" w:after="84"/>
              <w:ind w:right="-70"/>
              <w:jc w:val="center"/>
              <w:rPr>
                <w:rFonts w:hint="eastAsia" w:ascii="宋体" w:hAnsi="宋体" w:cs="宋体"/>
                <w:color w:val="auto"/>
                <w:sz w:val="24"/>
                <w:highlight w:val="none"/>
              </w:rPr>
            </w:pPr>
          </w:p>
        </w:tc>
        <w:tc>
          <w:tcPr>
            <w:tcW w:w="1063" w:type="dxa"/>
            <w:vAlign w:val="center"/>
          </w:tcPr>
          <w:p w14:paraId="79416426">
            <w:pPr>
              <w:spacing w:before="156" w:after="84"/>
              <w:ind w:left="-32" w:right="-70"/>
              <w:jc w:val="center"/>
              <w:rPr>
                <w:rFonts w:hint="eastAsia" w:ascii="宋体" w:hAnsi="宋体" w:cs="宋体"/>
                <w:color w:val="auto"/>
                <w:sz w:val="24"/>
                <w:highlight w:val="none"/>
              </w:rPr>
            </w:pPr>
          </w:p>
        </w:tc>
        <w:tc>
          <w:tcPr>
            <w:tcW w:w="1391" w:type="dxa"/>
            <w:vAlign w:val="center"/>
          </w:tcPr>
          <w:p w14:paraId="5CABF0A7">
            <w:pPr>
              <w:spacing w:before="156" w:after="84"/>
              <w:ind w:left="-32" w:right="-70"/>
              <w:jc w:val="center"/>
              <w:rPr>
                <w:rFonts w:hint="eastAsia" w:ascii="宋体" w:hAnsi="宋体" w:cs="宋体"/>
                <w:color w:val="auto"/>
                <w:sz w:val="24"/>
                <w:highlight w:val="none"/>
              </w:rPr>
            </w:pPr>
          </w:p>
        </w:tc>
        <w:tc>
          <w:tcPr>
            <w:tcW w:w="1095" w:type="dxa"/>
            <w:vAlign w:val="center"/>
          </w:tcPr>
          <w:p w14:paraId="4B3C1168">
            <w:pPr>
              <w:spacing w:before="156" w:after="84"/>
              <w:ind w:left="-32" w:right="-70"/>
              <w:jc w:val="center"/>
              <w:rPr>
                <w:rFonts w:hint="eastAsia" w:ascii="宋体" w:hAnsi="宋体" w:cs="宋体"/>
                <w:color w:val="auto"/>
                <w:sz w:val="24"/>
                <w:highlight w:val="none"/>
              </w:rPr>
            </w:pPr>
          </w:p>
        </w:tc>
        <w:tc>
          <w:tcPr>
            <w:tcW w:w="1440" w:type="dxa"/>
            <w:vAlign w:val="center"/>
          </w:tcPr>
          <w:p w14:paraId="5A749B58">
            <w:pPr>
              <w:spacing w:before="156" w:after="84"/>
              <w:ind w:left="-32" w:right="-70"/>
              <w:jc w:val="center"/>
              <w:rPr>
                <w:rFonts w:hint="eastAsia" w:ascii="宋体" w:hAnsi="宋体" w:cs="宋体"/>
                <w:color w:val="auto"/>
                <w:sz w:val="24"/>
                <w:highlight w:val="none"/>
              </w:rPr>
            </w:pPr>
          </w:p>
        </w:tc>
        <w:tc>
          <w:tcPr>
            <w:tcW w:w="801" w:type="dxa"/>
            <w:vAlign w:val="center"/>
          </w:tcPr>
          <w:p w14:paraId="467873A2">
            <w:pPr>
              <w:spacing w:before="156" w:after="84"/>
              <w:ind w:left="-32" w:right="-70"/>
              <w:jc w:val="center"/>
              <w:rPr>
                <w:rFonts w:hint="eastAsia" w:ascii="宋体" w:hAnsi="宋体" w:cs="宋体"/>
                <w:color w:val="auto"/>
                <w:sz w:val="24"/>
                <w:highlight w:val="none"/>
              </w:rPr>
            </w:pPr>
          </w:p>
        </w:tc>
      </w:tr>
      <w:tr w14:paraId="2FB14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606" w:type="dxa"/>
            <w:vAlign w:val="center"/>
          </w:tcPr>
          <w:p w14:paraId="07CC2F43">
            <w:pPr>
              <w:spacing w:before="156" w:after="84"/>
              <w:ind w:left="-32" w:right="-70"/>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960" w:type="dxa"/>
            <w:vAlign w:val="center"/>
          </w:tcPr>
          <w:p w14:paraId="3F3DD83C">
            <w:pPr>
              <w:spacing w:before="156" w:after="84"/>
              <w:ind w:left="-32" w:right="-70"/>
              <w:jc w:val="center"/>
              <w:rPr>
                <w:rFonts w:hint="eastAsia" w:ascii="宋体" w:hAnsi="宋体" w:cs="宋体"/>
                <w:color w:val="auto"/>
                <w:sz w:val="24"/>
                <w:highlight w:val="none"/>
              </w:rPr>
            </w:pPr>
          </w:p>
        </w:tc>
        <w:tc>
          <w:tcPr>
            <w:tcW w:w="735" w:type="dxa"/>
            <w:vAlign w:val="center"/>
          </w:tcPr>
          <w:p w14:paraId="429D46CB">
            <w:pPr>
              <w:spacing w:before="156" w:after="84"/>
              <w:ind w:left="-32" w:right="-70"/>
              <w:jc w:val="center"/>
              <w:rPr>
                <w:rFonts w:hint="eastAsia" w:ascii="宋体" w:hAnsi="宋体" w:cs="宋体"/>
                <w:color w:val="auto"/>
                <w:sz w:val="24"/>
                <w:highlight w:val="none"/>
              </w:rPr>
            </w:pPr>
          </w:p>
        </w:tc>
        <w:tc>
          <w:tcPr>
            <w:tcW w:w="615" w:type="dxa"/>
            <w:vAlign w:val="center"/>
          </w:tcPr>
          <w:p w14:paraId="26B1C126">
            <w:pPr>
              <w:spacing w:before="156" w:after="84"/>
              <w:ind w:left="-32" w:right="-70"/>
              <w:jc w:val="center"/>
              <w:rPr>
                <w:rFonts w:hint="eastAsia" w:ascii="宋体" w:hAnsi="宋体" w:cs="宋体"/>
                <w:color w:val="auto"/>
                <w:sz w:val="24"/>
                <w:highlight w:val="none"/>
              </w:rPr>
            </w:pPr>
          </w:p>
        </w:tc>
        <w:tc>
          <w:tcPr>
            <w:tcW w:w="1063" w:type="dxa"/>
            <w:vAlign w:val="center"/>
          </w:tcPr>
          <w:p w14:paraId="0C4B9BC2">
            <w:pPr>
              <w:spacing w:before="156" w:after="84"/>
              <w:ind w:left="-32" w:right="-70"/>
              <w:jc w:val="center"/>
              <w:rPr>
                <w:rFonts w:hint="eastAsia" w:ascii="宋体" w:hAnsi="宋体" w:cs="宋体"/>
                <w:color w:val="auto"/>
                <w:sz w:val="24"/>
                <w:highlight w:val="none"/>
              </w:rPr>
            </w:pPr>
          </w:p>
        </w:tc>
        <w:tc>
          <w:tcPr>
            <w:tcW w:w="1391" w:type="dxa"/>
            <w:vAlign w:val="center"/>
          </w:tcPr>
          <w:p w14:paraId="4BA329DB">
            <w:pPr>
              <w:spacing w:before="156" w:after="84"/>
              <w:ind w:left="-32" w:right="-70"/>
              <w:jc w:val="center"/>
              <w:rPr>
                <w:rFonts w:hint="eastAsia" w:ascii="宋体" w:hAnsi="宋体" w:cs="宋体"/>
                <w:color w:val="auto"/>
                <w:sz w:val="24"/>
                <w:highlight w:val="none"/>
              </w:rPr>
            </w:pPr>
          </w:p>
        </w:tc>
        <w:tc>
          <w:tcPr>
            <w:tcW w:w="1095" w:type="dxa"/>
            <w:vAlign w:val="center"/>
          </w:tcPr>
          <w:p w14:paraId="4D89A23B">
            <w:pPr>
              <w:spacing w:before="156" w:after="84"/>
              <w:ind w:left="-32" w:right="-70"/>
              <w:jc w:val="center"/>
              <w:rPr>
                <w:rFonts w:hint="eastAsia" w:ascii="宋体" w:hAnsi="宋体" w:cs="宋体"/>
                <w:color w:val="auto"/>
                <w:sz w:val="24"/>
                <w:highlight w:val="none"/>
              </w:rPr>
            </w:pPr>
          </w:p>
        </w:tc>
        <w:tc>
          <w:tcPr>
            <w:tcW w:w="1440" w:type="dxa"/>
            <w:vAlign w:val="center"/>
          </w:tcPr>
          <w:p w14:paraId="34218BF3">
            <w:pPr>
              <w:spacing w:before="156" w:after="84"/>
              <w:ind w:left="-32" w:right="-70"/>
              <w:jc w:val="center"/>
              <w:rPr>
                <w:rFonts w:hint="eastAsia" w:ascii="宋体" w:hAnsi="宋体" w:cs="宋体"/>
                <w:color w:val="auto"/>
                <w:sz w:val="24"/>
                <w:highlight w:val="none"/>
              </w:rPr>
            </w:pPr>
          </w:p>
        </w:tc>
        <w:tc>
          <w:tcPr>
            <w:tcW w:w="801" w:type="dxa"/>
            <w:vAlign w:val="center"/>
          </w:tcPr>
          <w:p w14:paraId="0602ACF1">
            <w:pPr>
              <w:spacing w:before="156" w:after="84"/>
              <w:ind w:left="-32" w:right="-70"/>
              <w:jc w:val="center"/>
              <w:rPr>
                <w:rFonts w:hint="eastAsia" w:ascii="宋体" w:hAnsi="宋体" w:cs="宋体"/>
                <w:color w:val="auto"/>
                <w:sz w:val="24"/>
                <w:highlight w:val="none"/>
              </w:rPr>
            </w:pPr>
          </w:p>
        </w:tc>
      </w:tr>
    </w:tbl>
    <w:p w14:paraId="400475CB">
      <w:pPr>
        <w:spacing w:after="0" w:line="360" w:lineRule="auto"/>
        <w:rPr>
          <w:rFonts w:hint="eastAsia" w:ascii="宋体" w:hAnsi="宋体" w:cs="宋体"/>
          <w:color w:val="auto"/>
          <w:sz w:val="24"/>
          <w:highlight w:val="none"/>
        </w:rPr>
      </w:pPr>
    </w:p>
    <w:p w14:paraId="0627BF2C">
      <w:pPr>
        <w:spacing w:after="0" w:line="360" w:lineRule="auto"/>
        <w:rPr>
          <w:rFonts w:hint="eastAsia" w:ascii="宋体" w:hAnsi="宋体" w:cs="宋体"/>
          <w:color w:val="auto"/>
          <w:sz w:val="24"/>
          <w:highlight w:val="none"/>
        </w:rPr>
      </w:pPr>
    </w:p>
    <w:p w14:paraId="3DDDA6F8">
      <w:pPr>
        <w:rPr>
          <w:rFonts w:hint="eastAsia" w:ascii="宋体" w:hAnsi="宋体" w:cs="宋体"/>
          <w:color w:val="auto"/>
          <w:highlight w:val="none"/>
        </w:rPr>
      </w:pPr>
      <w:r>
        <w:rPr>
          <w:rFonts w:hint="eastAsia" w:ascii="宋体" w:hAnsi="宋体" w:cs="宋体"/>
          <w:color w:val="auto"/>
          <w:highlight w:val="none"/>
        </w:rPr>
        <w:br w:type="page"/>
      </w:r>
    </w:p>
    <w:p w14:paraId="7B5B4378">
      <w:pPr>
        <w:spacing w:line="360" w:lineRule="auto"/>
        <w:jc w:val="center"/>
        <w:outlineLvl w:val="0"/>
        <w:rPr>
          <w:rFonts w:hint="eastAsia" w:ascii="宋体" w:hAnsi="宋体" w:cs="宋体"/>
          <w:b/>
          <w:color w:val="auto"/>
          <w:sz w:val="36"/>
          <w:szCs w:val="36"/>
          <w:highlight w:val="none"/>
        </w:rPr>
      </w:pPr>
      <w:bookmarkStart w:id="1018" w:name="_Toc26477"/>
      <w:bookmarkStart w:id="1019" w:name="_Toc7463"/>
      <w:r>
        <w:rPr>
          <w:rFonts w:hint="eastAsia" w:ascii="宋体" w:hAnsi="宋体" w:cs="宋体"/>
          <w:b/>
          <w:color w:val="auto"/>
          <w:sz w:val="36"/>
          <w:szCs w:val="36"/>
          <w:highlight w:val="none"/>
        </w:rPr>
        <w:t>第七章   投标文件格式</w:t>
      </w:r>
      <w:bookmarkEnd w:id="923"/>
      <w:bookmarkEnd w:id="1018"/>
      <w:bookmarkEnd w:id="1019"/>
    </w:p>
    <w:p w14:paraId="77384874">
      <w:pPr>
        <w:tabs>
          <w:tab w:val="left" w:pos="900"/>
          <w:tab w:val="left" w:pos="1980"/>
        </w:tabs>
        <w:snapToGrid w:val="0"/>
        <w:spacing w:line="360" w:lineRule="auto"/>
        <w:ind w:left="142"/>
        <w:rPr>
          <w:rFonts w:hint="eastAsia" w:ascii="宋体" w:hAnsi="宋体" w:cs="宋体"/>
          <w:b/>
          <w:color w:val="auto"/>
          <w:sz w:val="24"/>
          <w:highlight w:val="none"/>
        </w:rPr>
      </w:pPr>
    </w:p>
    <w:p w14:paraId="45407FB4">
      <w:pPr>
        <w:tabs>
          <w:tab w:val="left" w:pos="900"/>
          <w:tab w:val="left" w:pos="1980"/>
        </w:tabs>
        <w:snapToGrid w:val="0"/>
        <w:spacing w:line="360" w:lineRule="auto"/>
        <w:ind w:left="142"/>
        <w:rPr>
          <w:rFonts w:hint="eastAsia" w:ascii="宋体" w:hAnsi="宋体" w:cs="宋体"/>
          <w:b/>
          <w:color w:val="auto"/>
          <w:sz w:val="24"/>
          <w:highlight w:val="none"/>
        </w:rPr>
      </w:pPr>
    </w:p>
    <w:p w14:paraId="566FF614">
      <w:pPr>
        <w:tabs>
          <w:tab w:val="left" w:pos="900"/>
          <w:tab w:val="left" w:pos="1980"/>
        </w:tabs>
        <w:snapToGrid w:val="0"/>
        <w:spacing w:line="360" w:lineRule="auto"/>
        <w:ind w:left="142"/>
        <w:rPr>
          <w:rFonts w:hint="eastAsia" w:ascii="宋体" w:hAnsi="宋体" w:cs="宋体"/>
          <w:color w:val="auto"/>
          <w:sz w:val="24"/>
          <w:highlight w:val="none"/>
        </w:rPr>
      </w:pPr>
      <w:r>
        <w:rPr>
          <w:rFonts w:hint="eastAsia" w:ascii="宋体" w:hAnsi="宋体" w:cs="宋体"/>
          <w:b/>
          <w:color w:val="auto"/>
          <w:sz w:val="24"/>
          <w:highlight w:val="none"/>
        </w:rPr>
        <w:t>投标人编制文件须知</w:t>
      </w:r>
    </w:p>
    <w:p w14:paraId="2040475E">
      <w:pPr>
        <w:tabs>
          <w:tab w:val="left" w:pos="900"/>
          <w:tab w:val="left" w:pos="1980"/>
        </w:tabs>
        <w:snapToGrid w:val="0"/>
        <w:spacing w:line="360" w:lineRule="auto"/>
        <w:ind w:left="142"/>
        <w:rPr>
          <w:rFonts w:hint="eastAsia" w:ascii="宋体" w:hAnsi="宋体" w:cs="宋体"/>
          <w:color w:val="auto"/>
          <w:sz w:val="24"/>
          <w:highlight w:val="none"/>
        </w:rPr>
      </w:pPr>
      <w:r>
        <w:rPr>
          <w:rFonts w:hint="eastAsia" w:ascii="宋体" w:hAnsi="宋体" w:cs="宋体"/>
          <w:color w:val="auto"/>
          <w:sz w:val="24"/>
          <w:highlight w:val="none"/>
        </w:rPr>
        <w:t>1、投标人按照本部分的顺序编制投标文件（资格证明文件）、投标文件（商务技术文件），编制中涉及格式资料的，应按照本部分提供的内容和格式（所有表格的格式可扩展）填写提交。</w:t>
      </w:r>
    </w:p>
    <w:p w14:paraId="5CFE9C6A">
      <w:pPr>
        <w:tabs>
          <w:tab w:val="left" w:pos="900"/>
          <w:tab w:val="left" w:pos="1980"/>
        </w:tabs>
        <w:snapToGrid w:val="0"/>
        <w:spacing w:line="360" w:lineRule="auto"/>
        <w:ind w:left="142"/>
        <w:rPr>
          <w:rFonts w:hint="eastAsia" w:ascii="宋体" w:hAnsi="宋体" w:cs="宋体"/>
          <w:color w:val="auto"/>
          <w:kern w:val="0"/>
          <w:sz w:val="24"/>
          <w:highlight w:val="none"/>
        </w:rPr>
      </w:pPr>
      <w:r>
        <w:rPr>
          <w:rFonts w:hint="eastAsia" w:ascii="宋体" w:hAnsi="宋体" w:cs="宋体"/>
          <w:color w:val="auto"/>
          <w:sz w:val="24"/>
          <w:highlight w:val="none"/>
        </w:rPr>
        <w:t>2、</w:t>
      </w:r>
      <w:r>
        <w:rPr>
          <w:rFonts w:hint="eastAsia" w:ascii="宋体" w:hAnsi="宋体" w:cs="宋体"/>
          <w:color w:val="auto"/>
          <w:kern w:val="0"/>
          <w:sz w:val="24"/>
          <w:highlight w:val="none"/>
        </w:rPr>
        <w:t>对于招标文件中标记了“实质性格式”文件的，</w:t>
      </w:r>
      <w:r>
        <w:rPr>
          <w:rFonts w:hint="eastAsia" w:ascii="宋体" w:hAnsi="宋体" w:cs="宋体"/>
          <w:color w:val="auto"/>
          <w:sz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color w:val="auto"/>
          <w:kern w:val="0"/>
          <w:sz w:val="24"/>
          <w:highlight w:val="none"/>
        </w:rPr>
        <w:t>否则</w:t>
      </w:r>
      <w:r>
        <w:rPr>
          <w:rFonts w:hint="eastAsia" w:ascii="宋体" w:hAnsi="宋体" w:cs="宋体"/>
          <w:b/>
          <w:color w:val="auto"/>
          <w:kern w:val="0"/>
          <w:sz w:val="24"/>
          <w:highlight w:val="none"/>
        </w:rPr>
        <w:t>投标无效</w:t>
      </w:r>
      <w:r>
        <w:rPr>
          <w:rFonts w:hint="eastAsia" w:ascii="宋体" w:hAnsi="宋体" w:cs="宋体"/>
          <w:color w:val="auto"/>
          <w:kern w:val="0"/>
          <w:sz w:val="24"/>
          <w:highlight w:val="none"/>
        </w:rPr>
        <w:t>。未标记“实质性格式”的文件和招标文件未提供格式的内容，可由投标人自行编写。</w:t>
      </w:r>
    </w:p>
    <w:p w14:paraId="2EC38259">
      <w:pPr>
        <w:tabs>
          <w:tab w:val="left" w:pos="900"/>
          <w:tab w:val="left" w:pos="1980"/>
        </w:tabs>
        <w:snapToGrid w:val="0"/>
        <w:spacing w:line="360" w:lineRule="auto"/>
        <w:ind w:left="142"/>
        <w:rPr>
          <w:rFonts w:hint="eastAsia" w:ascii="宋体" w:hAnsi="宋体" w:cs="宋体"/>
          <w:color w:val="auto"/>
          <w:sz w:val="24"/>
          <w:highlight w:val="none"/>
        </w:rPr>
      </w:pPr>
      <w:r>
        <w:rPr>
          <w:rFonts w:hint="eastAsia" w:ascii="宋体" w:hAnsi="宋体" w:cs="宋体"/>
          <w:color w:val="auto"/>
          <w:sz w:val="24"/>
          <w:highlight w:val="none"/>
        </w:rPr>
        <w:t>3、全部声明和问题的回答及所附材料必须是真实的、准确的和完整的。</w:t>
      </w:r>
    </w:p>
    <w:p w14:paraId="1D6C6321">
      <w:pPr>
        <w:widowControl/>
        <w:jc w:val="left"/>
        <w:rPr>
          <w:rFonts w:hint="eastAsia" w:ascii="宋体" w:hAnsi="宋体" w:cs="宋体"/>
          <w:color w:val="auto"/>
          <w:sz w:val="24"/>
          <w:highlight w:val="none"/>
        </w:rPr>
      </w:pPr>
      <w:r>
        <w:rPr>
          <w:rFonts w:hint="eastAsia" w:ascii="宋体" w:hAnsi="宋体" w:cs="宋体"/>
          <w:color w:val="auto"/>
          <w:sz w:val="24"/>
          <w:highlight w:val="none"/>
        </w:rPr>
        <w:br w:type="page"/>
      </w:r>
    </w:p>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p w14:paraId="6223B7D0">
      <w:pPr>
        <w:keepNext/>
        <w:keepLines/>
        <w:autoSpaceDE w:val="0"/>
        <w:autoSpaceDN w:val="0"/>
        <w:adjustRightInd w:val="0"/>
        <w:spacing w:before="120" w:line="300" w:lineRule="auto"/>
        <w:jc w:val="left"/>
        <w:outlineLvl w:val="1"/>
        <w:rPr>
          <w:rFonts w:hint="eastAsia" w:ascii="宋体" w:hAnsi="宋体" w:cs="宋体"/>
          <w:b/>
          <w:color w:val="auto"/>
          <w:kern w:val="0"/>
          <w:sz w:val="30"/>
          <w:szCs w:val="20"/>
          <w:highlight w:val="none"/>
        </w:rPr>
      </w:pPr>
      <w:r>
        <w:rPr>
          <w:rFonts w:hint="eastAsia" w:ascii="宋体" w:hAnsi="宋体" w:cs="宋体"/>
          <w:b/>
          <w:color w:val="auto"/>
          <w:spacing w:val="20"/>
          <w:sz w:val="24"/>
          <w:highlight w:val="none"/>
        </w:rPr>
        <w:t>一、资格证明文件格式</w:t>
      </w:r>
    </w:p>
    <w:p w14:paraId="0F4F83B4">
      <w:pPr>
        <w:rPr>
          <w:rFonts w:hint="eastAsia" w:ascii="宋体" w:hAnsi="宋体" w:cs="宋体"/>
          <w:b/>
          <w:color w:val="auto"/>
          <w:spacing w:val="20"/>
          <w:szCs w:val="21"/>
          <w:highlight w:val="none"/>
        </w:rPr>
      </w:pPr>
    </w:p>
    <w:p w14:paraId="787C3B65">
      <w:pPr>
        <w:rPr>
          <w:rFonts w:hint="eastAsia" w:ascii="宋体" w:hAnsi="宋体" w:cs="宋体"/>
          <w:b/>
          <w:color w:val="auto"/>
          <w:sz w:val="24"/>
          <w:highlight w:val="none"/>
        </w:rPr>
      </w:pPr>
      <w:r>
        <w:rPr>
          <w:rFonts w:hint="eastAsia" w:ascii="宋体" w:hAnsi="宋体" w:cs="宋体"/>
          <w:b/>
          <w:color w:val="auto"/>
          <w:spacing w:val="20"/>
          <w:sz w:val="24"/>
          <w:highlight w:val="none"/>
        </w:rPr>
        <w:t>投标文件（资格证明文件）</w:t>
      </w:r>
      <w:r>
        <w:rPr>
          <w:rFonts w:hint="eastAsia" w:ascii="宋体" w:hAnsi="宋体" w:cs="宋体"/>
          <w:b/>
          <w:color w:val="auto"/>
          <w:sz w:val="24"/>
          <w:highlight w:val="none"/>
        </w:rPr>
        <w:t>封面（非实质性格式）</w:t>
      </w:r>
    </w:p>
    <w:p w14:paraId="50FF9BEF">
      <w:pPr>
        <w:jc w:val="center"/>
        <w:rPr>
          <w:rFonts w:hint="eastAsia" w:ascii="宋体" w:hAnsi="宋体" w:cs="宋体"/>
          <w:color w:val="auto"/>
          <w:szCs w:val="21"/>
          <w:highlight w:val="none"/>
        </w:rPr>
      </w:pPr>
    </w:p>
    <w:p w14:paraId="790DFE9B">
      <w:pPr>
        <w:jc w:val="center"/>
        <w:rPr>
          <w:rFonts w:hint="eastAsia" w:ascii="宋体" w:hAnsi="宋体" w:cs="宋体"/>
          <w:b/>
          <w:color w:val="auto"/>
          <w:spacing w:val="60"/>
          <w:sz w:val="28"/>
          <w:szCs w:val="28"/>
          <w:highlight w:val="none"/>
        </w:rPr>
      </w:pPr>
    </w:p>
    <w:p w14:paraId="28ED77E5">
      <w:pPr>
        <w:jc w:val="center"/>
        <w:rPr>
          <w:rFonts w:hint="eastAsia" w:ascii="宋体" w:hAnsi="宋体" w:cs="宋体"/>
          <w:b/>
          <w:color w:val="auto"/>
          <w:spacing w:val="60"/>
          <w:sz w:val="84"/>
          <w:szCs w:val="84"/>
          <w:highlight w:val="none"/>
        </w:rPr>
      </w:pPr>
    </w:p>
    <w:p w14:paraId="391D6223">
      <w:pPr>
        <w:jc w:val="center"/>
        <w:rPr>
          <w:rFonts w:hint="eastAsia" w:ascii="宋体" w:hAnsi="宋体" w:cs="宋体"/>
          <w:b/>
          <w:color w:val="auto"/>
          <w:spacing w:val="60"/>
          <w:sz w:val="84"/>
          <w:szCs w:val="84"/>
          <w:highlight w:val="none"/>
        </w:rPr>
      </w:pPr>
      <w:r>
        <w:rPr>
          <w:rFonts w:hint="eastAsia" w:ascii="宋体" w:hAnsi="宋体" w:cs="宋体"/>
          <w:b/>
          <w:color w:val="auto"/>
          <w:spacing w:val="60"/>
          <w:sz w:val="84"/>
          <w:szCs w:val="84"/>
          <w:highlight w:val="none"/>
        </w:rPr>
        <w:t>投 标 文 件</w:t>
      </w:r>
    </w:p>
    <w:p w14:paraId="374A994E">
      <w:pPr>
        <w:jc w:val="center"/>
        <w:rPr>
          <w:rFonts w:hint="eastAsia" w:ascii="宋体" w:hAnsi="宋体" w:cs="宋体"/>
          <w:b/>
          <w:color w:val="auto"/>
          <w:spacing w:val="60"/>
          <w:sz w:val="52"/>
          <w:szCs w:val="52"/>
          <w:highlight w:val="none"/>
        </w:rPr>
      </w:pPr>
      <w:r>
        <w:rPr>
          <w:rFonts w:hint="eastAsia" w:ascii="宋体" w:hAnsi="宋体" w:cs="宋体"/>
          <w:b/>
          <w:color w:val="auto"/>
          <w:spacing w:val="60"/>
          <w:sz w:val="52"/>
          <w:szCs w:val="52"/>
          <w:highlight w:val="none"/>
        </w:rPr>
        <w:t>（资格证明文件）</w:t>
      </w:r>
    </w:p>
    <w:p w14:paraId="43E80ED7">
      <w:pPr>
        <w:ind w:firstLine="542" w:firstLineChars="150"/>
        <w:rPr>
          <w:rFonts w:hint="eastAsia" w:ascii="宋体" w:hAnsi="宋体" w:cs="宋体"/>
          <w:b/>
          <w:color w:val="auto"/>
          <w:spacing w:val="20"/>
          <w:sz w:val="32"/>
          <w:szCs w:val="32"/>
          <w:highlight w:val="none"/>
        </w:rPr>
      </w:pPr>
    </w:p>
    <w:p w14:paraId="388E2F37">
      <w:pPr>
        <w:ind w:firstLine="542" w:firstLineChars="150"/>
        <w:rPr>
          <w:rFonts w:hint="eastAsia" w:ascii="宋体" w:hAnsi="宋体" w:cs="宋体"/>
          <w:b/>
          <w:color w:val="auto"/>
          <w:spacing w:val="20"/>
          <w:sz w:val="32"/>
          <w:szCs w:val="32"/>
          <w:highlight w:val="none"/>
        </w:rPr>
      </w:pPr>
    </w:p>
    <w:p w14:paraId="41B6140B">
      <w:pPr>
        <w:ind w:firstLine="542" w:firstLineChars="150"/>
        <w:rPr>
          <w:rFonts w:hint="eastAsia" w:ascii="宋体" w:hAnsi="宋体" w:cs="宋体"/>
          <w:b/>
          <w:color w:val="auto"/>
          <w:spacing w:val="20"/>
          <w:sz w:val="32"/>
          <w:szCs w:val="32"/>
          <w:highlight w:val="none"/>
        </w:rPr>
      </w:pPr>
      <w:r>
        <w:rPr>
          <w:rFonts w:hint="eastAsia" w:ascii="宋体" w:hAnsi="宋体" w:cs="宋体"/>
          <w:b/>
          <w:color w:val="auto"/>
          <w:spacing w:val="20"/>
          <w:sz w:val="32"/>
          <w:szCs w:val="32"/>
          <w:highlight w:val="none"/>
        </w:rPr>
        <w:t>项目名称:</w:t>
      </w:r>
    </w:p>
    <w:p w14:paraId="012BB348">
      <w:pPr>
        <w:ind w:firstLine="542" w:firstLineChars="150"/>
        <w:rPr>
          <w:rFonts w:hint="eastAsia" w:ascii="宋体" w:hAnsi="宋体" w:cs="宋体"/>
          <w:b/>
          <w:color w:val="auto"/>
          <w:spacing w:val="20"/>
          <w:sz w:val="32"/>
          <w:szCs w:val="32"/>
          <w:highlight w:val="none"/>
        </w:rPr>
      </w:pPr>
      <w:r>
        <w:rPr>
          <w:rFonts w:hint="eastAsia" w:ascii="宋体" w:hAnsi="宋体" w:cs="宋体"/>
          <w:b/>
          <w:color w:val="auto"/>
          <w:spacing w:val="20"/>
          <w:sz w:val="32"/>
          <w:szCs w:val="32"/>
          <w:highlight w:val="none"/>
        </w:rPr>
        <w:t>项目编号/包号：</w:t>
      </w:r>
    </w:p>
    <w:p w14:paraId="04897700">
      <w:pPr>
        <w:ind w:firstLine="542" w:firstLineChars="150"/>
        <w:rPr>
          <w:rFonts w:hint="eastAsia" w:ascii="宋体" w:hAnsi="宋体" w:cs="宋体"/>
          <w:b/>
          <w:color w:val="auto"/>
          <w:spacing w:val="20"/>
          <w:sz w:val="32"/>
          <w:szCs w:val="32"/>
          <w:highlight w:val="none"/>
        </w:rPr>
      </w:pPr>
    </w:p>
    <w:p w14:paraId="28A6E410">
      <w:pPr>
        <w:ind w:firstLine="542" w:firstLineChars="150"/>
        <w:rPr>
          <w:rFonts w:hint="eastAsia" w:ascii="宋体" w:hAnsi="宋体" w:cs="宋体"/>
          <w:b/>
          <w:color w:val="auto"/>
          <w:spacing w:val="20"/>
          <w:sz w:val="32"/>
          <w:szCs w:val="32"/>
          <w:highlight w:val="none"/>
        </w:rPr>
      </w:pPr>
    </w:p>
    <w:p w14:paraId="25880D78">
      <w:pPr>
        <w:jc w:val="center"/>
        <w:rPr>
          <w:rFonts w:hint="eastAsia" w:ascii="宋体" w:hAnsi="宋体" w:cs="宋体"/>
          <w:b/>
          <w:color w:val="auto"/>
          <w:sz w:val="32"/>
          <w:szCs w:val="32"/>
          <w:highlight w:val="none"/>
        </w:rPr>
      </w:pPr>
    </w:p>
    <w:p w14:paraId="6F796C00">
      <w:pPr>
        <w:jc w:val="center"/>
        <w:rPr>
          <w:rFonts w:hint="eastAsia" w:ascii="宋体" w:hAnsi="宋体" w:cs="宋体"/>
          <w:b/>
          <w:color w:val="auto"/>
          <w:sz w:val="32"/>
          <w:szCs w:val="32"/>
          <w:highlight w:val="none"/>
        </w:rPr>
      </w:pPr>
    </w:p>
    <w:p w14:paraId="37F74D1A">
      <w:pPr>
        <w:jc w:val="center"/>
        <w:rPr>
          <w:rFonts w:hint="eastAsia" w:ascii="宋体" w:hAnsi="宋体" w:cs="宋体"/>
          <w:b/>
          <w:color w:val="auto"/>
          <w:spacing w:val="20"/>
          <w:sz w:val="32"/>
          <w:szCs w:val="32"/>
          <w:highlight w:val="none"/>
        </w:rPr>
      </w:pPr>
    </w:p>
    <w:p w14:paraId="2555B690">
      <w:pPr>
        <w:spacing w:line="360" w:lineRule="auto"/>
        <w:ind w:firstLine="1445" w:firstLineChars="400"/>
        <w:jc w:val="left"/>
        <w:rPr>
          <w:rFonts w:hint="eastAsia" w:ascii="宋体" w:hAnsi="宋体" w:cs="宋体"/>
          <w:b/>
          <w:color w:val="auto"/>
          <w:spacing w:val="20"/>
          <w:sz w:val="32"/>
          <w:szCs w:val="32"/>
          <w:highlight w:val="none"/>
        </w:rPr>
      </w:pPr>
      <w:r>
        <w:rPr>
          <w:rFonts w:hint="eastAsia" w:ascii="宋体" w:hAnsi="宋体" w:cs="宋体"/>
          <w:b/>
          <w:color w:val="auto"/>
          <w:spacing w:val="20"/>
          <w:sz w:val="32"/>
          <w:szCs w:val="32"/>
          <w:highlight w:val="none"/>
        </w:rPr>
        <w:t>投标人名称：</w:t>
      </w:r>
    </w:p>
    <w:p w14:paraId="64497D2A">
      <w:pPr>
        <w:jc w:val="center"/>
        <w:rPr>
          <w:rFonts w:hint="eastAsia" w:ascii="宋体" w:hAnsi="宋体" w:cs="宋体"/>
          <w:b/>
          <w:color w:val="auto"/>
          <w:sz w:val="32"/>
          <w:szCs w:val="32"/>
          <w:highlight w:val="none"/>
        </w:rPr>
      </w:pPr>
    </w:p>
    <w:p w14:paraId="72539FB4">
      <w:pPr>
        <w:rPr>
          <w:rFonts w:hint="eastAsia" w:ascii="宋体" w:hAnsi="宋体" w:cs="宋体"/>
          <w:b/>
          <w:color w:val="auto"/>
          <w:highlight w:val="none"/>
        </w:rPr>
      </w:pPr>
      <w:r>
        <w:rPr>
          <w:rFonts w:hint="eastAsia" w:ascii="宋体" w:hAnsi="宋体" w:cs="宋体"/>
          <w:b/>
          <w:color w:val="auto"/>
          <w:spacing w:val="20"/>
          <w:sz w:val="32"/>
          <w:szCs w:val="32"/>
          <w:highlight w:val="none"/>
        </w:rPr>
        <w:br w:type="page"/>
      </w:r>
    </w:p>
    <w:p w14:paraId="0D22A85E">
      <w:pPr>
        <w:spacing w:line="360" w:lineRule="auto"/>
        <w:outlineLvl w:val="2"/>
        <w:rPr>
          <w:rFonts w:hint="eastAsia" w:ascii="宋体" w:hAnsi="宋体" w:cs="宋体"/>
          <w:color w:val="auto"/>
          <w:sz w:val="24"/>
          <w:szCs w:val="20"/>
          <w:highlight w:val="none"/>
        </w:rPr>
      </w:pPr>
      <w:r>
        <w:rPr>
          <w:rFonts w:hint="eastAsia" w:ascii="宋体" w:hAnsi="宋体" w:cs="宋体"/>
          <w:color w:val="auto"/>
          <w:sz w:val="24"/>
          <w:szCs w:val="20"/>
          <w:highlight w:val="none"/>
        </w:rPr>
        <w:t xml:space="preserve">1 </w:t>
      </w:r>
      <w:r>
        <w:rPr>
          <w:rFonts w:hint="eastAsia" w:ascii="宋体" w:hAnsi="宋体" w:cs="宋体"/>
          <w:color w:val="auto"/>
          <w:sz w:val="24"/>
          <w:highlight w:val="none"/>
        </w:rPr>
        <w:t>满足《中华人民共和国政府采购法》第二十二条规定</w:t>
      </w:r>
    </w:p>
    <w:p w14:paraId="05A1C7E3">
      <w:pPr>
        <w:spacing w:line="360" w:lineRule="auto"/>
        <w:outlineLvl w:val="2"/>
        <w:rPr>
          <w:rFonts w:hint="eastAsia" w:ascii="宋体" w:hAnsi="宋体" w:cs="宋体"/>
          <w:color w:val="auto"/>
          <w:sz w:val="24"/>
          <w:szCs w:val="20"/>
          <w:highlight w:val="none"/>
        </w:rPr>
      </w:pPr>
      <w:r>
        <w:rPr>
          <w:rFonts w:hint="eastAsia" w:ascii="宋体" w:hAnsi="宋体" w:cs="宋体"/>
          <w:color w:val="auto"/>
          <w:sz w:val="24"/>
          <w:szCs w:val="20"/>
          <w:highlight w:val="none"/>
        </w:rPr>
        <w:t>1-1营业执照等证明文件</w:t>
      </w:r>
    </w:p>
    <w:p w14:paraId="2A7E099C">
      <w:pPr>
        <w:tabs>
          <w:tab w:val="left" w:pos="1080"/>
        </w:tabs>
        <w:snapToGrid w:val="0"/>
        <w:rPr>
          <w:rFonts w:hint="eastAsia" w:ascii="宋体" w:hAnsi="宋体" w:cs="宋体"/>
          <w:color w:val="auto"/>
          <w:sz w:val="24"/>
          <w:highlight w:val="none"/>
        </w:rPr>
      </w:pPr>
    </w:p>
    <w:p w14:paraId="40437DB7">
      <w:pPr>
        <w:widowControl/>
        <w:jc w:val="left"/>
        <w:rPr>
          <w:rFonts w:hint="eastAsia" w:ascii="宋体" w:hAnsi="宋体" w:cs="宋体"/>
          <w:bCs/>
          <w:color w:val="auto"/>
          <w:highlight w:val="none"/>
        </w:rPr>
      </w:pPr>
      <w:r>
        <w:rPr>
          <w:rFonts w:hint="eastAsia" w:ascii="宋体" w:hAnsi="宋体" w:cs="宋体"/>
          <w:color w:val="auto"/>
          <w:sz w:val="24"/>
          <w:highlight w:val="none"/>
        </w:rPr>
        <w:br w:type="page"/>
      </w:r>
      <w:r>
        <w:rPr>
          <w:rFonts w:hint="eastAsia" w:ascii="宋体" w:hAnsi="宋体" w:cs="宋体"/>
          <w:color w:val="auto"/>
          <w:sz w:val="24"/>
          <w:szCs w:val="32"/>
          <w:highlight w:val="none"/>
        </w:rPr>
        <w:t>1-2 投标人资格声明书（实质性格式）</w:t>
      </w:r>
    </w:p>
    <w:p w14:paraId="783A995D">
      <w:pPr>
        <w:jc w:val="center"/>
        <w:rPr>
          <w:rFonts w:hint="eastAsia" w:ascii="宋体" w:hAnsi="宋体" w:cs="宋体"/>
          <w:b/>
          <w:color w:val="auto"/>
          <w:sz w:val="36"/>
          <w:szCs w:val="36"/>
          <w:highlight w:val="none"/>
        </w:rPr>
      </w:pPr>
    </w:p>
    <w:p w14:paraId="7B1A745A">
      <w:pPr>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投标人资格声明书</w:t>
      </w:r>
    </w:p>
    <w:p w14:paraId="40EE8C5E">
      <w:pPr>
        <w:tabs>
          <w:tab w:val="left" w:pos="5580"/>
        </w:tabs>
        <w:spacing w:line="360" w:lineRule="auto"/>
        <w:rPr>
          <w:rFonts w:hint="eastAsia" w:ascii="宋体" w:hAnsi="宋体" w:cs="宋体"/>
          <w:color w:val="auto"/>
          <w:sz w:val="24"/>
          <w:highlight w:val="none"/>
        </w:rPr>
      </w:pPr>
    </w:p>
    <w:p w14:paraId="1A8BCCBD">
      <w:pPr>
        <w:keepNext w:val="0"/>
        <w:keepLines w:val="0"/>
        <w:pageBreakBefore w:val="0"/>
        <w:widowControl w:val="0"/>
        <w:tabs>
          <w:tab w:val="left" w:pos="5580"/>
        </w:tabs>
        <w:kinsoku/>
        <w:overflowPunct/>
        <w:topLinePunct w:val="0"/>
        <w:bidi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采购人或采购代理机构</w:t>
      </w:r>
    </w:p>
    <w:p w14:paraId="003A394B">
      <w:pPr>
        <w:keepNext w:val="0"/>
        <w:keepLines w:val="0"/>
        <w:pageBreakBefore w:val="0"/>
        <w:widowControl w:val="0"/>
        <w:kinsoku/>
        <w:overflowPunct/>
        <w:topLinePunct w:val="0"/>
        <w:bidi w:val="0"/>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在参与本次项目投标中，我单位承诺：</w:t>
      </w:r>
    </w:p>
    <w:p w14:paraId="54B4A26D">
      <w:pPr>
        <w:keepNext w:val="0"/>
        <w:keepLines w:val="0"/>
        <w:pageBreakBefore w:val="0"/>
        <w:widowControl w:val="0"/>
        <w:numPr>
          <w:ilvl w:val="0"/>
          <w:numId w:val="20"/>
        </w:numPr>
        <w:kinsoku/>
        <w:overflowPunct/>
        <w:topLinePunct w:val="0"/>
        <w:bidi w:val="0"/>
        <w:spacing w:after="0" w:line="360" w:lineRule="auto"/>
        <w:ind w:left="1134"/>
        <w:textAlignment w:val="auto"/>
        <w:rPr>
          <w:rFonts w:hint="eastAsia" w:ascii="宋体" w:hAnsi="宋体" w:cs="宋体"/>
          <w:color w:val="auto"/>
          <w:sz w:val="24"/>
          <w:szCs w:val="22"/>
          <w:highlight w:val="none"/>
        </w:rPr>
      </w:pPr>
      <w:r>
        <w:rPr>
          <w:rFonts w:hint="eastAsia" w:ascii="宋体" w:hAnsi="宋体" w:cs="宋体"/>
          <w:color w:val="auto"/>
          <w:sz w:val="24"/>
          <w:szCs w:val="22"/>
          <w:highlight w:val="none"/>
        </w:rPr>
        <w:t>具有良好的商业信誉和健全的财务会计制度；</w:t>
      </w:r>
    </w:p>
    <w:p w14:paraId="30C80192">
      <w:pPr>
        <w:keepNext w:val="0"/>
        <w:keepLines w:val="0"/>
        <w:pageBreakBefore w:val="0"/>
        <w:widowControl w:val="0"/>
        <w:numPr>
          <w:ilvl w:val="0"/>
          <w:numId w:val="20"/>
        </w:numPr>
        <w:kinsoku/>
        <w:overflowPunct/>
        <w:topLinePunct w:val="0"/>
        <w:bidi w:val="0"/>
        <w:spacing w:after="0" w:line="360" w:lineRule="auto"/>
        <w:ind w:left="1134"/>
        <w:textAlignment w:val="auto"/>
        <w:rPr>
          <w:rFonts w:hint="eastAsia" w:ascii="宋体" w:hAnsi="宋体" w:cs="宋体"/>
          <w:color w:val="auto"/>
          <w:sz w:val="24"/>
          <w:szCs w:val="22"/>
          <w:highlight w:val="none"/>
        </w:rPr>
      </w:pPr>
      <w:r>
        <w:rPr>
          <w:rFonts w:hint="eastAsia" w:ascii="宋体" w:hAnsi="宋体" w:cs="宋体"/>
          <w:color w:val="auto"/>
          <w:sz w:val="24"/>
          <w:szCs w:val="22"/>
          <w:highlight w:val="none"/>
        </w:rPr>
        <w:t>具有履行合同所必需的设备和专业技术能力；</w:t>
      </w:r>
    </w:p>
    <w:p w14:paraId="03F11B54">
      <w:pPr>
        <w:keepNext w:val="0"/>
        <w:keepLines w:val="0"/>
        <w:pageBreakBefore w:val="0"/>
        <w:widowControl w:val="0"/>
        <w:numPr>
          <w:ilvl w:val="0"/>
          <w:numId w:val="20"/>
        </w:numPr>
        <w:kinsoku/>
        <w:overflowPunct/>
        <w:topLinePunct w:val="0"/>
        <w:bidi w:val="0"/>
        <w:spacing w:after="0" w:line="360" w:lineRule="auto"/>
        <w:ind w:left="1134"/>
        <w:textAlignment w:val="auto"/>
        <w:rPr>
          <w:rFonts w:hint="eastAsia" w:ascii="宋体" w:hAnsi="宋体" w:cs="宋体"/>
          <w:color w:val="auto"/>
          <w:sz w:val="24"/>
          <w:szCs w:val="22"/>
          <w:highlight w:val="none"/>
        </w:rPr>
      </w:pPr>
      <w:r>
        <w:rPr>
          <w:rFonts w:hint="eastAsia" w:ascii="宋体" w:hAnsi="宋体" w:cs="宋体"/>
          <w:color w:val="auto"/>
          <w:sz w:val="24"/>
          <w:szCs w:val="22"/>
          <w:highlight w:val="none"/>
        </w:rPr>
        <w:t>有依法缴纳税收和社会保障资金的良好记录；</w:t>
      </w:r>
    </w:p>
    <w:p w14:paraId="53B21E76">
      <w:pPr>
        <w:keepNext w:val="0"/>
        <w:keepLines w:val="0"/>
        <w:pageBreakBefore w:val="0"/>
        <w:widowControl w:val="0"/>
        <w:numPr>
          <w:ilvl w:val="0"/>
          <w:numId w:val="20"/>
        </w:numPr>
        <w:kinsoku/>
        <w:overflowPunct/>
        <w:topLinePunct w:val="0"/>
        <w:bidi w:val="0"/>
        <w:spacing w:after="0" w:line="360" w:lineRule="auto"/>
        <w:ind w:left="1134"/>
        <w:textAlignment w:val="auto"/>
        <w:rPr>
          <w:rFonts w:hint="eastAsia" w:ascii="宋体" w:hAnsi="宋体" w:cs="宋体"/>
          <w:color w:val="auto"/>
          <w:sz w:val="24"/>
          <w:szCs w:val="22"/>
          <w:highlight w:val="none"/>
        </w:rPr>
      </w:pPr>
      <w:r>
        <w:rPr>
          <w:rFonts w:hint="eastAsia" w:ascii="宋体" w:hAnsi="宋体" w:cs="宋体"/>
          <w:color w:val="auto"/>
          <w:sz w:val="24"/>
          <w:szCs w:val="22"/>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73477080">
      <w:pPr>
        <w:keepNext w:val="0"/>
        <w:keepLines w:val="0"/>
        <w:pageBreakBefore w:val="0"/>
        <w:widowControl w:val="0"/>
        <w:numPr>
          <w:ilvl w:val="0"/>
          <w:numId w:val="20"/>
        </w:numPr>
        <w:kinsoku/>
        <w:overflowPunct/>
        <w:topLinePunct w:val="0"/>
        <w:bidi w:val="0"/>
        <w:spacing w:after="0" w:line="360" w:lineRule="auto"/>
        <w:ind w:left="1134"/>
        <w:textAlignment w:val="auto"/>
        <w:rPr>
          <w:rFonts w:hint="eastAsia" w:ascii="宋体" w:hAnsi="宋体" w:cs="宋体"/>
          <w:color w:val="auto"/>
          <w:sz w:val="24"/>
          <w:szCs w:val="22"/>
          <w:highlight w:val="none"/>
        </w:rPr>
      </w:pPr>
      <w:r>
        <w:rPr>
          <w:rFonts w:hint="eastAsia" w:ascii="宋体" w:hAnsi="宋体" w:cs="宋体"/>
          <w:color w:val="auto"/>
          <w:sz w:val="24"/>
          <w:szCs w:val="22"/>
          <w:highlight w:val="none"/>
        </w:rPr>
        <w:t>我单位不属于政府采购法律、行政法规规定的公益一类事业单位、或使用事业编制且由财政拨款保障的群团组织（仅适用于政府购买服务项目）；</w:t>
      </w:r>
    </w:p>
    <w:p w14:paraId="16B3E453">
      <w:pPr>
        <w:keepNext w:val="0"/>
        <w:keepLines w:val="0"/>
        <w:pageBreakBefore w:val="0"/>
        <w:widowControl w:val="0"/>
        <w:numPr>
          <w:ilvl w:val="0"/>
          <w:numId w:val="20"/>
        </w:numPr>
        <w:kinsoku/>
        <w:overflowPunct/>
        <w:topLinePunct w:val="0"/>
        <w:bidi w:val="0"/>
        <w:spacing w:after="0" w:line="360" w:lineRule="auto"/>
        <w:ind w:left="1134"/>
        <w:textAlignment w:val="auto"/>
        <w:rPr>
          <w:rFonts w:hint="eastAsia" w:ascii="宋体" w:hAnsi="宋体" w:cs="宋体"/>
          <w:color w:val="auto"/>
          <w:sz w:val="24"/>
          <w:szCs w:val="22"/>
          <w:highlight w:val="none"/>
        </w:rPr>
      </w:pPr>
      <w:r>
        <w:rPr>
          <w:rFonts w:hint="eastAsia" w:ascii="宋体" w:hAnsi="宋体" w:cs="宋体"/>
          <w:color w:val="auto"/>
          <w:sz w:val="24"/>
          <w:szCs w:val="22"/>
          <w:highlight w:val="none"/>
        </w:rPr>
        <w:t>我单位不存在为采购项目提供整体设计、规范编制或者项目管理、监理、检测等服务后，再参加该采购项目的其他采购活动的情形（单一来源采购项目除外）；</w:t>
      </w:r>
    </w:p>
    <w:p w14:paraId="0E4B0784">
      <w:pPr>
        <w:keepNext w:val="0"/>
        <w:keepLines w:val="0"/>
        <w:pageBreakBefore w:val="0"/>
        <w:widowControl w:val="0"/>
        <w:numPr>
          <w:ilvl w:val="0"/>
          <w:numId w:val="20"/>
        </w:numPr>
        <w:kinsoku/>
        <w:overflowPunct/>
        <w:topLinePunct w:val="0"/>
        <w:bidi w:val="0"/>
        <w:spacing w:after="0" w:line="360" w:lineRule="auto"/>
        <w:ind w:left="1134"/>
        <w:textAlignment w:val="auto"/>
        <w:rPr>
          <w:rFonts w:hint="eastAsia" w:ascii="宋体" w:hAnsi="宋体" w:cs="宋体"/>
          <w:color w:val="auto"/>
          <w:sz w:val="24"/>
          <w:szCs w:val="22"/>
          <w:highlight w:val="none"/>
        </w:rPr>
      </w:pPr>
      <w:r>
        <w:rPr>
          <w:rFonts w:hint="eastAsia" w:ascii="宋体" w:hAnsi="宋体" w:cs="宋体"/>
          <w:color w:val="auto"/>
          <w:sz w:val="24"/>
          <w:szCs w:val="22"/>
          <w:highlight w:val="none"/>
        </w:rPr>
        <w:t>与我单位存在“单位负责人为同一人或者存在直接控股、管理关系”的其他法人单位信息如下（如有，不论其是否参加同一合同项下的政府采购活动均须填写）：</w:t>
      </w:r>
    </w:p>
    <w:tbl>
      <w:tblPr>
        <w:tblStyle w:val="4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4EFF7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F6C11BE">
            <w:pPr>
              <w:keepNext w:val="0"/>
              <w:keepLines w:val="0"/>
              <w:pageBreakBefore w:val="0"/>
              <w:widowControl w:val="0"/>
              <w:kinsoku/>
              <w:overflowPunct/>
              <w:topLinePunct w:val="0"/>
              <w:bidi w:val="0"/>
              <w:spacing w:after="0" w:line="36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序号</w:t>
            </w:r>
          </w:p>
        </w:tc>
        <w:tc>
          <w:tcPr>
            <w:tcW w:w="4574" w:type="dxa"/>
            <w:vAlign w:val="center"/>
          </w:tcPr>
          <w:p w14:paraId="1FF1881B">
            <w:pPr>
              <w:keepNext w:val="0"/>
              <w:keepLines w:val="0"/>
              <w:pageBreakBefore w:val="0"/>
              <w:widowControl w:val="0"/>
              <w:kinsoku/>
              <w:overflowPunct/>
              <w:topLinePunct w:val="0"/>
              <w:bidi w:val="0"/>
              <w:spacing w:after="0" w:line="36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单位名称</w:t>
            </w:r>
          </w:p>
        </w:tc>
        <w:tc>
          <w:tcPr>
            <w:tcW w:w="2976" w:type="dxa"/>
            <w:vAlign w:val="center"/>
          </w:tcPr>
          <w:p w14:paraId="0FFF44CF">
            <w:pPr>
              <w:keepNext w:val="0"/>
              <w:keepLines w:val="0"/>
              <w:pageBreakBefore w:val="0"/>
              <w:widowControl w:val="0"/>
              <w:kinsoku/>
              <w:overflowPunct/>
              <w:topLinePunct w:val="0"/>
              <w:bidi w:val="0"/>
              <w:spacing w:after="0" w:line="36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相互关系</w:t>
            </w:r>
          </w:p>
        </w:tc>
      </w:tr>
      <w:tr w14:paraId="376DE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3A01431D">
            <w:pPr>
              <w:keepNext w:val="0"/>
              <w:keepLines w:val="0"/>
              <w:pageBreakBefore w:val="0"/>
              <w:widowControl w:val="0"/>
              <w:kinsoku/>
              <w:overflowPunct/>
              <w:topLinePunct w:val="0"/>
              <w:bidi w:val="0"/>
              <w:spacing w:after="0" w:line="36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1</w:t>
            </w:r>
          </w:p>
        </w:tc>
        <w:tc>
          <w:tcPr>
            <w:tcW w:w="4574" w:type="dxa"/>
            <w:vAlign w:val="center"/>
          </w:tcPr>
          <w:p w14:paraId="5D7877EA">
            <w:pPr>
              <w:keepNext w:val="0"/>
              <w:keepLines w:val="0"/>
              <w:pageBreakBefore w:val="0"/>
              <w:widowControl w:val="0"/>
              <w:kinsoku/>
              <w:overflowPunct/>
              <w:topLinePunct w:val="0"/>
              <w:bidi w:val="0"/>
              <w:spacing w:after="0" w:line="360" w:lineRule="auto"/>
              <w:jc w:val="center"/>
              <w:textAlignment w:val="auto"/>
              <w:rPr>
                <w:rFonts w:hint="eastAsia" w:ascii="宋体" w:hAnsi="宋体" w:cs="宋体"/>
                <w:color w:val="auto"/>
                <w:sz w:val="24"/>
                <w:highlight w:val="none"/>
              </w:rPr>
            </w:pPr>
          </w:p>
        </w:tc>
        <w:tc>
          <w:tcPr>
            <w:tcW w:w="2976" w:type="dxa"/>
            <w:vAlign w:val="center"/>
          </w:tcPr>
          <w:p w14:paraId="719D37AD">
            <w:pPr>
              <w:keepNext w:val="0"/>
              <w:keepLines w:val="0"/>
              <w:pageBreakBefore w:val="0"/>
              <w:widowControl w:val="0"/>
              <w:kinsoku/>
              <w:overflowPunct/>
              <w:topLinePunct w:val="0"/>
              <w:bidi w:val="0"/>
              <w:spacing w:after="0" w:line="360" w:lineRule="auto"/>
              <w:jc w:val="center"/>
              <w:textAlignment w:val="auto"/>
              <w:rPr>
                <w:rFonts w:hint="eastAsia" w:ascii="宋体" w:hAnsi="宋体" w:cs="宋体"/>
                <w:color w:val="auto"/>
                <w:sz w:val="24"/>
                <w:highlight w:val="none"/>
              </w:rPr>
            </w:pPr>
          </w:p>
        </w:tc>
      </w:tr>
      <w:tr w14:paraId="15338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0E85EB3C">
            <w:pPr>
              <w:keepNext w:val="0"/>
              <w:keepLines w:val="0"/>
              <w:pageBreakBefore w:val="0"/>
              <w:widowControl w:val="0"/>
              <w:kinsoku/>
              <w:overflowPunct/>
              <w:topLinePunct w:val="0"/>
              <w:bidi w:val="0"/>
              <w:spacing w:after="0" w:line="36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2</w:t>
            </w:r>
          </w:p>
        </w:tc>
        <w:tc>
          <w:tcPr>
            <w:tcW w:w="4574" w:type="dxa"/>
            <w:vAlign w:val="center"/>
          </w:tcPr>
          <w:p w14:paraId="429E1119">
            <w:pPr>
              <w:keepNext w:val="0"/>
              <w:keepLines w:val="0"/>
              <w:pageBreakBefore w:val="0"/>
              <w:widowControl w:val="0"/>
              <w:kinsoku/>
              <w:overflowPunct/>
              <w:topLinePunct w:val="0"/>
              <w:bidi w:val="0"/>
              <w:spacing w:after="0" w:line="360" w:lineRule="auto"/>
              <w:jc w:val="center"/>
              <w:textAlignment w:val="auto"/>
              <w:rPr>
                <w:rFonts w:hint="eastAsia" w:ascii="宋体" w:hAnsi="宋体" w:cs="宋体"/>
                <w:color w:val="auto"/>
                <w:sz w:val="24"/>
                <w:highlight w:val="none"/>
              </w:rPr>
            </w:pPr>
          </w:p>
        </w:tc>
        <w:tc>
          <w:tcPr>
            <w:tcW w:w="2976" w:type="dxa"/>
            <w:vAlign w:val="center"/>
          </w:tcPr>
          <w:p w14:paraId="4502BDAE">
            <w:pPr>
              <w:keepNext w:val="0"/>
              <w:keepLines w:val="0"/>
              <w:pageBreakBefore w:val="0"/>
              <w:widowControl w:val="0"/>
              <w:kinsoku/>
              <w:overflowPunct/>
              <w:topLinePunct w:val="0"/>
              <w:bidi w:val="0"/>
              <w:spacing w:after="0" w:line="360" w:lineRule="auto"/>
              <w:jc w:val="center"/>
              <w:textAlignment w:val="auto"/>
              <w:rPr>
                <w:rFonts w:hint="eastAsia" w:ascii="宋体" w:hAnsi="宋体" w:cs="宋体"/>
                <w:color w:val="auto"/>
                <w:sz w:val="24"/>
                <w:highlight w:val="none"/>
              </w:rPr>
            </w:pPr>
          </w:p>
        </w:tc>
      </w:tr>
      <w:tr w14:paraId="20C38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75F3AF32">
            <w:pPr>
              <w:keepNext w:val="0"/>
              <w:keepLines w:val="0"/>
              <w:pageBreakBefore w:val="0"/>
              <w:widowControl w:val="0"/>
              <w:kinsoku/>
              <w:overflowPunct/>
              <w:topLinePunct w:val="0"/>
              <w:bidi w:val="0"/>
              <w:spacing w:after="0" w:line="36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w:t>
            </w:r>
          </w:p>
        </w:tc>
        <w:tc>
          <w:tcPr>
            <w:tcW w:w="4574" w:type="dxa"/>
            <w:vAlign w:val="center"/>
          </w:tcPr>
          <w:p w14:paraId="209502E8">
            <w:pPr>
              <w:keepNext w:val="0"/>
              <w:keepLines w:val="0"/>
              <w:pageBreakBefore w:val="0"/>
              <w:widowControl w:val="0"/>
              <w:kinsoku/>
              <w:overflowPunct/>
              <w:topLinePunct w:val="0"/>
              <w:bidi w:val="0"/>
              <w:spacing w:after="0" w:line="360" w:lineRule="auto"/>
              <w:jc w:val="center"/>
              <w:textAlignment w:val="auto"/>
              <w:rPr>
                <w:rFonts w:hint="eastAsia" w:ascii="宋体" w:hAnsi="宋体" w:cs="宋体"/>
                <w:color w:val="auto"/>
                <w:sz w:val="24"/>
                <w:highlight w:val="none"/>
              </w:rPr>
            </w:pPr>
          </w:p>
        </w:tc>
        <w:tc>
          <w:tcPr>
            <w:tcW w:w="2976" w:type="dxa"/>
            <w:vAlign w:val="center"/>
          </w:tcPr>
          <w:p w14:paraId="0F9D4DEF">
            <w:pPr>
              <w:keepNext w:val="0"/>
              <w:keepLines w:val="0"/>
              <w:pageBreakBefore w:val="0"/>
              <w:widowControl w:val="0"/>
              <w:kinsoku/>
              <w:overflowPunct/>
              <w:topLinePunct w:val="0"/>
              <w:bidi w:val="0"/>
              <w:spacing w:after="0" w:line="360" w:lineRule="auto"/>
              <w:jc w:val="center"/>
              <w:textAlignment w:val="auto"/>
              <w:rPr>
                <w:rFonts w:hint="eastAsia" w:ascii="宋体" w:hAnsi="宋体" w:cs="宋体"/>
                <w:color w:val="auto"/>
                <w:sz w:val="24"/>
                <w:highlight w:val="none"/>
              </w:rPr>
            </w:pPr>
          </w:p>
        </w:tc>
      </w:tr>
    </w:tbl>
    <w:p w14:paraId="07265F16">
      <w:pPr>
        <w:keepNext w:val="0"/>
        <w:keepLines w:val="0"/>
        <w:pageBreakBefore w:val="0"/>
        <w:widowControl w:val="0"/>
        <w:kinsoku/>
        <w:overflowPunct/>
        <w:topLinePunct w:val="0"/>
        <w:bidi w:val="0"/>
        <w:spacing w:after="0" w:line="360" w:lineRule="auto"/>
        <w:textAlignment w:val="auto"/>
        <w:rPr>
          <w:rFonts w:hint="eastAsia" w:ascii="宋体" w:hAnsi="宋体" w:cs="宋体"/>
          <w:color w:val="auto"/>
          <w:highlight w:val="none"/>
        </w:rPr>
      </w:pPr>
    </w:p>
    <w:p w14:paraId="661A90A1">
      <w:pPr>
        <w:keepNext w:val="0"/>
        <w:keepLines w:val="0"/>
        <w:pageBreakBefore w:val="0"/>
        <w:widowControl w:val="0"/>
        <w:kinsoku/>
        <w:overflowPunct/>
        <w:topLinePunct w:val="0"/>
        <w:bidi w:val="0"/>
        <w:spacing w:after="0" w:line="360" w:lineRule="auto"/>
        <w:ind w:firstLine="480" w:firstLineChars="200"/>
        <w:textAlignment w:val="auto"/>
        <w:rPr>
          <w:rFonts w:hint="eastAsia" w:ascii="宋体" w:hAnsi="宋体" w:cs="宋体"/>
          <w:color w:val="auto"/>
          <w:sz w:val="24"/>
          <w:szCs w:val="22"/>
          <w:highlight w:val="none"/>
        </w:rPr>
      </w:pPr>
      <w:r>
        <w:rPr>
          <w:rFonts w:hint="eastAsia" w:ascii="宋体" w:hAnsi="宋体" w:cs="宋体"/>
          <w:color w:val="auto"/>
          <w:sz w:val="24"/>
          <w:highlight w:val="none"/>
        </w:rPr>
        <w:t>上述声明真实有效，否则我方负全部责任。</w:t>
      </w:r>
    </w:p>
    <w:p w14:paraId="242B4ED3">
      <w:pPr>
        <w:keepNext w:val="0"/>
        <w:keepLines w:val="0"/>
        <w:pageBreakBefore w:val="0"/>
        <w:widowControl w:val="0"/>
        <w:kinsoku/>
        <w:overflowPunct/>
        <w:topLinePunct w:val="0"/>
        <w:bidi w:val="0"/>
        <w:spacing w:after="0" w:line="360" w:lineRule="auto"/>
        <w:textAlignment w:val="auto"/>
        <w:rPr>
          <w:rFonts w:hint="eastAsia" w:ascii="宋体" w:hAnsi="宋体" w:cs="宋体"/>
          <w:color w:val="auto"/>
          <w:sz w:val="24"/>
          <w:highlight w:val="none"/>
        </w:rPr>
      </w:pPr>
    </w:p>
    <w:p w14:paraId="2C7BC26E">
      <w:pPr>
        <w:keepNext w:val="0"/>
        <w:keepLines w:val="0"/>
        <w:pageBreakBefore w:val="0"/>
        <w:widowControl w:val="0"/>
        <w:kinsoku/>
        <w:wordWrap w:val="0"/>
        <w:overflowPunct/>
        <w:topLinePunct w:val="0"/>
        <w:autoSpaceDE w:val="0"/>
        <w:autoSpaceDN w:val="0"/>
        <w:bidi w:val="0"/>
        <w:adjustRightInd w:val="0"/>
        <w:snapToGrid w:val="0"/>
        <w:spacing w:after="0" w:line="360" w:lineRule="auto"/>
        <w:jc w:val="right"/>
        <w:textAlignment w:val="auto"/>
        <w:rPr>
          <w:rFonts w:hint="eastAsia" w:ascii="宋体" w:hAnsi="宋体" w:cs="宋体"/>
          <w:color w:val="auto"/>
          <w:sz w:val="24"/>
          <w:highlight w:val="none"/>
        </w:rPr>
      </w:pPr>
      <w:r>
        <w:rPr>
          <w:rFonts w:hint="eastAsia" w:ascii="宋体" w:hAnsi="宋体" w:cs="宋体"/>
          <w:color w:val="auto"/>
          <w:sz w:val="24"/>
          <w:highlight w:val="none"/>
        </w:rPr>
        <w:t>投标人名称（加盖公章）</w:t>
      </w:r>
      <w:r>
        <w:rPr>
          <w:rFonts w:hint="eastAsia" w:ascii="宋体" w:hAnsi="宋体" w:cs="宋体"/>
          <w:color w:val="auto"/>
          <w:sz w:val="24"/>
          <w:highlight w:val="none"/>
          <w:lang w:val="zh-CN"/>
        </w:rPr>
        <w:t>：____________</w:t>
      </w:r>
      <w:r>
        <w:rPr>
          <w:rFonts w:hint="eastAsia" w:ascii="宋体" w:hAnsi="宋体" w:cs="宋体"/>
          <w:color w:val="auto"/>
          <w:sz w:val="24"/>
          <w:highlight w:val="none"/>
        </w:rPr>
        <w:t xml:space="preserve">    </w:t>
      </w:r>
    </w:p>
    <w:p w14:paraId="22DEBE45">
      <w:pPr>
        <w:keepNext w:val="0"/>
        <w:keepLines w:val="0"/>
        <w:pageBreakBefore w:val="0"/>
        <w:widowControl w:val="0"/>
        <w:kinsoku/>
        <w:overflowPunct/>
        <w:topLinePunct w:val="0"/>
        <w:bidi w:val="0"/>
        <w:spacing w:after="0" w:line="360" w:lineRule="auto"/>
        <w:ind w:right="360" w:firstLine="480"/>
        <w:jc w:val="right"/>
        <w:textAlignment w:val="auto"/>
        <w:rPr>
          <w:rFonts w:hint="eastAsia" w:ascii="宋体" w:hAnsi="宋体" w:cs="宋体"/>
          <w:color w:val="auto"/>
          <w:sz w:val="24"/>
          <w:highlight w:val="none"/>
        </w:rPr>
      </w:pPr>
      <w:r>
        <w:rPr>
          <w:rFonts w:hint="eastAsia" w:ascii="宋体" w:hAnsi="宋体" w:cs="宋体"/>
          <w:color w:val="auto"/>
          <w:sz w:val="24"/>
          <w:szCs w:val="20"/>
          <w:highlight w:val="none"/>
        </w:rPr>
        <w:t xml:space="preserve">日期：_____年______月______日   </w:t>
      </w:r>
    </w:p>
    <w:p w14:paraId="56361B68">
      <w:pPr>
        <w:keepNext w:val="0"/>
        <w:keepLines w:val="0"/>
        <w:pageBreakBefore w:val="0"/>
        <w:widowControl w:val="0"/>
        <w:kinsoku/>
        <w:overflowPunct/>
        <w:topLinePunct w:val="0"/>
        <w:bidi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说明：供应商承诺不实的，依据《政府采购法》第七十七条“提供虚假材料谋取中标、成交的”有关规定予以处理。</w:t>
      </w:r>
    </w:p>
    <w:p w14:paraId="74C6436A">
      <w:pPr>
        <w:keepNext w:val="0"/>
        <w:keepLines w:val="0"/>
        <w:pageBreakBefore w:val="0"/>
        <w:widowControl w:val="0"/>
        <w:tabs>
          <w:tab w:val="left" w:pos="5580"/>
        </w:tabs>
        <w:kinsoku/>
        <w:overflowPunct/>
        <w:topLinePunct w:val="0"/>
        <w:bidi w:val="0"/>
        <w:spacing w:after="0" w:line="360" w:lineRule="auto"/>
        <w:textAlignment w:val="auto"/>
        <w:rPr>
          <w:rFonts w:hint="eastAsia" w:ascii="宋体" w:hAnsi="宋体" w:cs="宋体"/>
          <w:color w:val="auto"/>
          <w:sz w:val="24"/>
          <w:highlight w:val="none"/>
        </w:rPr>
        <w:sectPr>
          <w:footerReference r:id="rId22" w:type="default"/>
          <w:pgSz w:w="11905" w:h="16838"/>
          <w:pgMar w:top="1417" w:right="1701" w:bottom="1417" w:left="1701" w:header="1020" w:footer="850" w:gutter="0"/>
          <w:cols w:space="0" w:num="1"/>
          <w:rtlGutter w:val="0"/>
          <w:docGrid w:linePitch="462" w:charSpace="0"/>
        </w:sectPr>
      </w:pPr>
    </w:p>
    <w:p w14:paraId="75152327">
      <w:pPr>
        <w:spacing w:line="360" w:lineRule="auto"/>
        <w:outlineLvl w:val="2"/>
        <w:rPr>
          <w:rFonts w:hint="eastAsia" w:ascii="宋体" w:hAnsi="宋体" w:cs="宋体"/>
          <w:color w:val="auto"/>
          <w:sz w:val="24"/>
          <w:szCs w:val="20"/>
          <w:highlight w:val="none"/>
        </w:rPr>
      </w:pPr>
      <w:r>
        <w:rPr>
          <w:rFonts w:hint="eastAsia" w:ascii="宋体" w:hAnsi="宋体" w:cs="宋体"/>
          <w:color w:val="auto"/>
          <w:sz w:val="24"/>
          <w:szCs w:val="20"/>
          <w:highlight w:val="none"/>
        </w:rPr>
        <w:t>2 落实政府采购政策需满足的资格要求（如有）</w:t>
      </w:r>
    </w:p>
    <w:p w14:paraId="46F293DE">
      <w:pPr>
        <w:spacing w:line="360" w:lineRule="auto"/>
        <w:outlineLvl w:val="2"/>
        <w:rPr>
          <w:rFonts w:hint="eastAsia" w:ascii="宋体" w:hAnsi="宋体" w:cs="宋体"/>
          <w:color w:val="auto"/>
          <w:sz w:val="24"/>
          <w:szCs w:val="20"/>
          <w:highlight w:val="none"/>
        </w:rPr>
      </w:pPr>
      <w:r>
        <w:rPr>
          <w:rFonts w:hint="eastAsia" w:ascii="宋体" w:hAnsi="宋体" w:cs="宋体"/>
          <w:color w:val="auto"/>
          <w:sz w:val="24"/>
          <w:szCs w:val="20"/>
          <w:highlight w:val="none"/>
        </w:rPr>
        <w:t>2-1中小企业声明函</w:t>
      </w:r>
    </w:p>
    <w:p w14:paraId="631F797F">
      <w:pPr>
        <w:tabs>
          <w:tab w:val="left" w:pos="5580"/>
        </w:tabs>
        <w:spacing w:line="360" w:lineRule="auto"/>
        <w:rPr>
          <w:rFonts w:hint="eastAsia" w:ascii="宋体" w:hAnsi="宋体" w:cs="宋体"/>
          <w:color w:val="auto"/>
          <w:sz w:val="24"/>
          <w:highlight w:val="none"/>
        </w:rPr>
      </w:pPr>
    </w:p>
    <w:p w14:paraId="4984F2C6">
      <w:pPr>
        <w:tabs>
          <w:tab w:val="left" w:pos="5580"/>
        </w:tabs>
        <w:spacing w:line="360" w:lineRule="auto"/>
        <w:rPr>
          <w:rFonts w:hint="eastAsia" w:ascii="宋体" w:hAnsi="宋体" w:cs="宋体"/>
          <w:color w:val="auto"/>
          <w:sz w:val="24"/>
          <w:highlight w:val="none"/>
        </w:rPr>
      </w:pPr>
      <w:r>
        <w:rPr>
          <w:rFonts w:hint="eastAsia" w:ascii="宋体" w:hAnsi="宋体" w:cs="宋体"/>
          <w:color w:val="auto"/>
          <w:sz w:val="24"/>
          <w:highlight w:val="none"/>
        </w:rPr>
        <w:t>说明：</w:t>
      </w:r>
    </w:p>
    <w:p w14:paraId="0C627684">
      <w:pPr>
        <w:tabs>
          <w:tab w:val="left" w:pos="5580"/>
        </w:tabs>
        <w:spacing w:line="360" w:lineRule="auto"/>
        <w:rPr>
          <w:rFonts w:hint="eastAsia" w:ascii="宋体" w:hAnsi="宋体" w:cs="宋体"/>
          <w:color w:val="auto"/>
          <w:sz w:val="24"/>
          <w:highlight w:val="none"/>
        </w:rPr>
      </w:pPr>
      <w:r>
        <w:rPr>
          <w:rFonts w:hint="eastAsia" w:ascii="宋体" w:hAnsi="宋体" w:cs="宋体"/>
          <w:color w:val="auto"/>
          <w:sz w:val="24"/>
          <w:highlight w:val="none"/>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38695E9A">
      <w:pPr>
        <w:tabs>
          <w:tab w:val="left" w:pos="5580"/>
        </w:tabs>
        <w:spacing w:line="360" w:lineRule="auto"/>
        <w:rPr>
          <w:rFonts w:hint="eastAsia" w:ascii="宋体" w:hAnsi="宋体" w:cs="宋体"/>
          <w:color w:val="auto"/>
          <w:sz w:val="24"/>
          <w:highlight w:val="none"/>
        </w:rPr>
      </w:pPr>
      <w:r>
        <w:rPr>
          <w:rFonts w:hint="eastAsia" w:ascii="宋体" w:hAnsi="宋体" w:cs="宋体"/>
          <w:color w:val="auto"/>
          <w:sz w:val="24"/>
          <w:highlight w:val="none"/>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3D5EF9B6">
      <w:pPr>
        <w:tabs>
          <w:tab w:val="left" w:pos="5580"/>
        </w:tabs>
        <w:spacing w:line="360" w:lineRule="auto"/>
        <w:rPr>
          <w:rFonts w:hint="eastAsia" w:ascii="宋体" w:hAnsi="宋体" w:cs="宋体"/>
          <w:color w:val="auto"/>
          <w:sz w:val="24"/>
          <w:highlight w:val="none"/>
        </w:rPr>
      </w:pPr>
      <w:r>
        <w:rPr>
          <w:rFonts w:hint="eastAsia" w:ascii="宋体" w:hAnsi="宋体" w:cs="宋体"/>
          <w:color w:val="auto"/>
          <w:sz w:val="24"/>
          <w:highlight w:val="none"/>
        </w:rPr>
        <w:t>（3）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7F9E84B1">
      <w:pPr>
        <w:tabs>
          <w:tab w:val="left" w:pos="5580"/>
        </w:tabs>
        <w:spacing w:line="360" w:lineRule="auto"/>
        <w:rPr>
          <w:rFonts w:hint="eastAsia" w:ascii="宋体" w:hAnsi="宋体" w:cs="宋体"/>
          <w:color w:val="auto"/>
          <w:sz w:val="24"/>
          <w:highlight w:val="none"/>
        </w:rPr>
      </w:pPr>
      <w:r>
        <w:rPr>
          <w:rFonts w:hint="eastAsia" w:ascii="宋体" w:hAnsi="宋体" w:cs="宋体"/>
          <w:color w:val="auto"/>
          <w:sz w:val="24"/>
          <w:highlight w:val="none"/>
        </w:rPr>
        <w:t>（4）如本项目（包）预留部分采购项目预算专门面向中小企业采购，且要求供应商以联合体形式参加采购活动，如供应商为联合体的，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7F5588BC">
      <w:pPr>
        <w:tabs>
          <w:tab w:val="left" w:pos="5580"/>
        </w:tabs>
        <w:spacing w:line="360" w:lineRule="auto"/>
        <w:rPr>
          <w:rFonts w:hint="eastAsia" w:ascii="宋体" w:hAnsi="宋体" w:cs="宋体"/>
          <w:color w:val="auto"/>
          <w:sz w:val="24"/>
          <w:highlight w:val="none"/>
        </w:rPr>
      </w:pPr>
      <w:r>
        <w:rPr>
          <w:rFonts w:hint="eastAsia" w:ascii="宋体" w:hAnsi="宋体" w:cs="宋体"/>
          <w:color w:val="auto"/>
          <w:sz w:val="24"/>
          <w:highlight w:val="none"/>
        </w:rPr>
        <w:t>（5）中小企业声明函填写注意事项</w:t>
      </w:r>
    </w:p>
    <w:p w14:paraId="0F6BA00B">
      <w:pPr>
        <w:tabs>
          <w:tab w:val="left" w:pos="5580"/>
        </w:tabs>
        <w:spacing w:line="360" w:lineRule="auto"/>
        <w:rPr>
          <w:rFonts w:hint="eastAsia" w:ascii="宋体" w:hAnsi="宋体" w:cs="宋体"/>
          <w:color w:val="auto"/>
          <w:sz w:val="24"/>
          <w:highlight w:val="none"/>
        </w:rPr>
      </w:pPr>
      <w:r>
        <w:rPr>
          <w:rFonts w:hint="eastAsia" w:ascii="宋体" w:hAnsi="宋体" w:cs="宋体"/>
          <w:color w:val="auto"/>
          <w:sz w:val="24"/>
          <w:highlight w:val="none"/>
        </w:rPr>
        <w:t>1）《中小企业声明函》由参加政府采购活动的投标人出具。联合体投标的，《中小企业声明函》可由牵头人出具。</w:t>
      </w:r>
    </w:p>
    <w:p w14:paraId="2EE77055">
      <w:pPr>
        <w:tabs>
          <w:tab w:val="left" w:pos="5580"/>
        </w:tabs>
        <w:spacing w:line="360" w:lineRule="auto"/>
        <w:rPr>
          <w:rFonts w:hint="eastAsia" w:ascii="宋体" w:hAnsi="宋体" w:cs="宋体"/>
          <w:color w:val="auto"/>
          <w:sz w:val="24"/>
          <w:highlight w:val="none"/>
        </w:rPr>
      </w:pPr>
      <w:r>
        <w:rPr>
          <w:rFonts w:hint="eastAsia" w:ascii="宋体" w:hAnsi="宋体" w:cs="宋体"/>
          <w:color w:val="auto"/>
          <w:sz w:val="24"/>
          <w:highlight w:val="none"/>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7FCD3867">
      <w:pPr>
        <w:tabs>
          <w:tab w:val="left" w:pos="5580"/>
        </w:tabs>
        <w:spacing w:line="360" w:lineRule="auto"/>
        <w:rPr>
          <w:rFonts w:hint="eastAsia" w:ascii="宋体" w:hAnsi="宋体" w:cs="宋体"/>
          <w:color w:val="auto"/>
          <w:sz w:val="24"/>
          <w:highlight w:val="none"/>
        </w:rPr>
      </w:pPr>
      <w:r>
        <w:rPr>
          <w:rFonts w:hint="eastAsia" w:ascii="宋体" w:hAnsi="宋体" w:cs="宋体"/>
          <w:color w:val="auto"/>
          <w:sz w:val="24"/>
          <w:highlight w:val="none"/>
        </w:rPr>
        <w:t>3）对于多标的采购项目，投标人应充分、准确地了解所提供货物的制造企业、提供服务的承接企业信息。对相关情况了解不清楚的，不建议填报本声明函。</w:t>
      </w:r>
    </w:p>
    <w:p w14:paraId="7EF9CB37">
      <w:pPr>
        <w:tabs>
          <w:tab w:val="left" w:pos="5580"/>
        </w:tabs>
        <w:spacing w:line="360" w:lineRule="auto"/>
        <w:rPr>
          <w:rFonts w:hint="eastAsia" w:ascii="宋体" w:hAnsi="宋体" w:cs="宋体"/>
          <w:color w:val="auto"/>
          <w:sz w:val="24"/>
          <w:highlight w:val="none"/>
        </w:rPr>
      </w:pPr>
      <w:r>
        <w:rPr>
          <w:rFonts w:hint="eastAsia" w:ascii="宋体" w:hAnsi="宋体" w:cs="宋体"/>
          <w:color w:val="auto"/>
          <w:sz w:val="24"/>
          <w:highlight w:val="none"/>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号）》及《金融业企业划型标准规定》（〔2015〕309 号）等国务院批准的中小企业划分标准执行。</w:t>
      </w:r>
    </w:p>
    <w:p w14:paraId="4FF5EA4D">
      <w:pPr>
        <w:tabs>
          <w:tab w:val="left" w:pos="5580"/>
        </w:tabs>
        <w:spacing w:line="360" w:lineRule="auto"/>
        <w:rPr>
          <w:rFonts w:hint="eastAsia" w:ascii="宋体" w:hAnsi="宋体" w:cs="宋体"/>
          <w:b/>
          <w:bCs/>
          <w:color w:val="auto"/>
          <w:sz w:val="36"/>
          <w:szCs w:val="36"/>
          <w:highlight w:val="none"/>
        </w:rPr>
      </w:pPr>
      <w:r>
        <w:rPr>
          <w:rFonts w:hint="eastAsia" w:ascii="宋体" w:hAnsi="宋体" w:cs="宋体"/>
          <w:color w:val="auto"/>
          <w:sz w:val="24"/>
          <w:highlight w:val="none"/>
        </w:rPr>
        <w:br w:type="page"/>
      </w:r>
    </w:p>
    <w:p w14:paraId="282A666A">
      <w:pPr>
        <w:spacing w:before="327" w:line="360" w:lineRule="auto"/>
        <w:ind w:left="1798"/>
        <w:rPr>
          <w:rFonts w:hint="eastAsia" w:ascii="宋体" w:hAnsi="宋体" w:cs="宋体"/>
          <w:b/>
          <w:bCs/>
          <w:color w:val="auto"/>
          <w:spacing w:val="8"/>
          <w:sz w:val="18"/>
          <w:szCs w:val="18"/>
          <w:highlight w:val="none"/>
        </w:rPr>
      </w:pPr>
    </w:p>
    <w:p w14:paraId="7DA7AD32">
      <w:pPr>
        <w:spacing w:before="327" w:line="360" w:lineRule="auto"/>
        <w:ind w:left="1798"/>
        <w:rPr>
          <w:rFonts w:hint="eastAsia" w:ascii="宋体" w:hAnsi="宋体" w:cs="宋体"/>
          <w:color w:val="auto"/>
          <w:sz w:val="35"/>
          <w:szCs w:val="35"/>
          <w:highlight w:val="none"/>
        </w:rPr>
      </w:pPr>
      <w:r>
        <w:rPr>
          <w:rFonts w:hint="eastAsia" w:ascii="宋体" w:hAnsi="宋体" w:cs="宋体"/>
          <w:b/>
          <w:bCs/>
          <w:color w:val="auto"/>
          <w:spacing w:val="8"/>
          <w:sz w:val="35"/>
          <w:szCs w:val="35"/>
          <w:highlight w:val="none"/>
        </w:rPr>
        <w:t>中小企业声明函（工程、服务）格式</w:t>
      </w:r>
    </w:p>
    <w:p w14:paraId="24AC5C50">
      <w:pPr>
        <w:widowControl/>
        <w:kinsoku w:val="0"/>
        <w:wordWrap w:val="0"/>
        <w:autoSpaceDE w:val="0"/>
        <w:autoSpaceDN w:val="0"/>
        <w:adjustRightInd w:val="0"/>
        <w:snapToGrid w:val="0"/>
        <w:spacing w:line="360" w:lineRule="auto"/>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本公司（联合体）郑重声明，根据《政府采购促进中小企业发展管理办法》（财库﹝2020﹞46号）的规定，本公司（联合体）参加</w:t>
      </w:r>
      <w:r>
        <w:rPr>
          <w:rFonts w:hint="eastAsia" w:ascii="宋体" w:hAnsi="宋体" w:cs="宋体"/>
          <w:color w:val="auto"/>
          <w:sz w:val="24"/>
          <w:highlight w:val="none"/>
          <w:u w:val="single"/>
        </w:rPr>
        <w:t xml:space="preserve">（单位名称） </w:t>
      </w:r>
      <w:r>
        <w:rPr>
          <w:rFonts w:hint="eastAsia" w:ascii="宋体" w:hAnsi="宋体" w:cs="宋体"/>
          <w:color w:val="auto"/>
          <w:sz w:val="24"/>
          <w:highlight w:val="none"/>
        </w:rPr>
        <w:t>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35E3A5D">
      <w:pPr>
        <w:widowControl/>
        <w:kinsoku w:val="0"/>
        <w:autoSpaceDE w:val="0"/>
        <w:autoSpaceDN w:val="0"/>
        <w:adjustRightInd w:val="0"/>
        <w:snapToGrid w:val="0"/>
        <w:spacing w:line="360" w:lineRule="auto"/>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行业；承建（承接）企业为</w:t>
      </w:r>
      <w:r>
        <w:rPr>
          <w:rFonts w:hint="eastAsia" w:ascii="宋体" w:hAnsi="宋体" w:cs="宋体"/>
          <w:color w:val="auto"/>
          <w:sz w:val="24"/>
          <w:highlight w:val="none"/>
          <w:u w:val="single"/>
        </w:rPr>
        <w:t>（企业名称 ）</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t xml:space="preserve"> 1</w:t>
      </w:r>
      <w:r>
        <w:rPr>
          <w:rFonts w:hint="eastAsia" w:ascii="宋体" w:hAnsi="宋体" w:cs="宋体"/>
          <w:color w:val="auto"/>
          <w:sz w:val="24"/>
          <w:highlight w:val="none"/>
        </w:rPr>
        <w:t>，属于</w:t>
      </w:r>
      <w:r>
        <w:rPr>
          <w:rFonts w:hint="eastAsia" w:ascii="宋体" w:hAnsi="宋体" w:cs="宋体"/>
          <w:color w:val="auto"/>
          <w:sz w:val="24"/>
          <w:highlight w:val="none"/>
          <w:u w:val="single"/>
        </w:rPr>
        <w:t>（ 中型企业 、小型企业 、微型企业）</w:t>
      </w:r>
      <w:r>
        <w:rPr>
          <w:rFonts w:hint="eastAsia" w:ascii="宋体" w:hAnsi="宋体" w:cs="宋体"/>
          <w:color w:val="auto"/>
          <w:sz w:val="24"/>
          <w:highlight w:val="none"/>
        </w:rPr>
        <w:t>；</w:t>
      </w:r>
    </w:p>
    <w:p w14:paraId="50F1B855">
      <w:pPr>
        <w:widowControl/>
        <w:kinsoku w:val="0"/>
        <w:autoSpaceDE w:val="0"/>
        <w:autoSpaceDN w:val="0"/>
        <w:adjustRightInd w:val="0"/>
        <w:snapToGrid w:val="0"/>
        <w:spacing w:line="360" w:lineRule="auto"/>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行业；承建（承接）企业为</w:t>
      </w:r>
      <w:r>
        <w:rPr>
          <w:rFonts w:hint="eastAsia" w:ascii="宋体" w:hAnsi="宋体" w:cs="宋体"/>
          <w:color w:val="auto"/>
          <w:sz w:val="24"/>
          <w:highlight w:val="none"/>
          <w:u w:val="single"/>
        </w:rPr>
        <w:t>（企业名称 ）</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t xml:space="preserve"> 1</w:t>
      </w:r>
      <w:r>
        <w:rPr>
          <w:rFonts w:hint="eastAsia" w:ascii="宋体" w:hAnsi="宋体" w:cs="宋体"/>
          <w:color w:val="auto"/>
          <w:sz w:val="24"/>
          <w:highlight w:val="none"/>
        </w:rPr>
        <w:t>，属于</w:t>
      </w:r>
      <w:r>
        <w:rPr>
          <w:rFonts w:hint="eastAsia" w:ascii="宋体" w:hAnsi="宋体" w:cs="宋体"/>
          <w:color w:val="auto"/>
          <w:sz w:val="24"/>
          <w:highlight w:val="none"/>
          <w:u w:val="single"/>
        </w:rPr>
        <w:t>（ 中型企业 、小型企业 、微型企业）</w:t>
      </w:r>
      <w:r>
        <w:rPr>
          <w:rFonts w:hint="eastAsia" w:ascii="宋体" w:hAnsi="宋体" w:cs="宋体"/>
          <w:color w:val="auto"/>
          <w:sz w:val="24"/>
          <w:highlight w:val="none"/>
        </w:rPr>
        <w:t>；</w:t>
      </w:r>
    </w:p>
    <w:p w14:paraId="643977B5">
      <w:pPr>
        <w:widowControl/>
        <w:kinsoku w:val="0"/>
        <w:autoSpaceDE w:val="0"/>
        <w:autoSpaceDN w:val="0"/>
        <w:adjustRightInd w:val="0"/>
        <w:snapToGrid w:val="0"/>
        <w:spacing w:line="360" w:lineRule="auto"/>
        <w:ind w:firstLine="480" w:firstLineChars="200"/>
        <w:textAlignment w:val="baseline"/>
        <w:rPr>
          <w:rFonts w:hint="eastAsia" w:ascii="宋体" w:hAnsi="宋体" w:cs="宋体"/>
          <w:color w:val="auto"/>
          <w:sz w:val="24"/>
          <w:highlight w:val="none"/>
        </w:rPr>
      </w:pPr>
    </w:p>
    <w:p w14:paraId="0BB24B00">
      <w:pPr>
        <w:pStyle w:val="18"/>
        <w:spacing w:before="70" w:line="81" w:lineRule="exact"/>
        <w:ind w:left="640"/>
        <w:rPr>
          <w:rFonts w:hint="eastAsia" w:cs="宋体"/>
          <w:color w:val="auto"/>
          <w:highlight w:val="none"/>
        </w:rPr>
      </w:pPr>
      <w:r>
        <w:rPr>
          <w:rFonts w:hint="eastAsia" w:cs="宋体"/>
          <w:color w:val="auto"/>
          <w:spacing w:val="2"/>
          <w:position w:val="1"/>
          <w:highlight w:val="none"/>
        </w:rPr>
        <w:t>……</w:t>
      </w:r>
    </w:p>
    <w:p w14:paraId="51F3F639">
      <w:pPr>
        <w:spacing w:before="185" w:line="360" w:lineRule="auto"/>
        <w:ind w:left="110" w:right="84" w:firstLine="526"/>
        <w:rPr>
          <w:rFonts w:hint="eastAsia" w:ascii="宋体" w:hAnsi="宋体" w:cs="宋体"/>
          <w:color w:val="auto"/>
          <w:sz w:val="24"/>
          <w:highlight w:val="none"/>
        </w:rPr>
      </w:pPr>
      <w:r>
        <w:rPr>
          <w:rFonts w:hint="eastAsia" w:ascii="宋体" w:hAnsi="宋体" w:cs="宋体"/>
          <w:color w:val="auto"/>
          <w:spacing w:val="6"/>
          <w:sz w:val="24"/>
          <w:highlight w:val="none"/>
        </w:rPr>
        <w:t>以上企业</w:t>
      </w:r>
      <w:r>
        <w:rPr>
          <w:rFonts w:hint="eastAsia" w:ascii="宋体" w:hAnsi="宋体" w:cs="宋体"/>
          <w:color w:val="auto"/>
          <w:spacing w:val="-13"/>
          <w:sz w:val="24"/>
          <w:highlight w:val="none"/>
        </w:rPr>
        <w:t>，</w:t>
      </w:r>
      <w:r>
        <w:rPr>
          <w:rFonts w:hint="eastAsia" w:ascii="宋体" w:hAnsi="宋体" w:cs="宋体"/>
          <w:color w:val="auto"/>
          <w:spacing w:val="6"/>
          <w:sz w:val="24"/>
          <w:highlight w:val="none"/>
        </w:rPr>
        <w:t>不属于大企业的分支机构</w:t>
      </w:r>
      <w:r>
        <w:rPr>
          <w:rFonts w:hint="eastAsia" w:ascii="宋体" w:hAnsi="宋体" w:cs="宋体"/>
          <w:color w:val="auto"/>
          <w:spacing w:val="-17"/>
          <w:sz w:val="24"/>
          <w:highlight w:val="none"/>
        </w:rPr>
        <w:t>，</w:t>
      </w:r>
      <w:r>
        <w:rPr>
          <w:rFonts w:hint="eastAsia" w:ascii="宋体" w:hAnsi="宋体" w:cs="宋体"/>
          <w:color w:val="auto"/>
          <w:spacing w:val="6"/>
          <w:sz w:val="24"/>
          <w:highlight w:val="none"/>
        </w:rPr>
        <w:t>不存在控股股东为大企业的情形</w:t>
      </w:r>
      <w:r>
        <w:rPr>
          <w:rFonts w:hint="eastAsia" w:ascii="宋体" w:hAnsi="宋体" w:cs="宋体"/>
          <w:color w:val="auto"/>
          <w:spacing w:val="-17"/>
          <w:sz w:val="24"/>
          <w:highlight w:val="none"/>
        </w:rPr>
        <w:t>，</w:t>
      </w:r>
      <w:r>
        <w:rPr>
          <w:rFonts w:hint="eastAsia" w:ascii="宋体" w:hAnsi="宋体" w:cs="宋体"/>
          <w:color w:val="auto"/>
          <w:spacing w:val="6"/>
          <w:sz w:val="24"/>
          <w:highlight w:val="none"/>
        </w:rPr>
        <w:t>也不</w:t>
      </w:r>
      <w:r>
        <w:rPr>
          <w:rFonts w:hint="eastAsia" w:ascii="宋体" w:hAnsi="宋体" w:cs="宋体"/>
          <w:color w:val="auto"/>
          <w:spacing w:val="11"/>
          <w:sz w:val="24"/>
          <w:highlight w:val="none"/>
        </w:rPr>
        <w:t>存在与大企业的负责人为同一人的情形。</w:t>
      </w:r>
    </w:p>
    <w:p w14:paraId="1739BD87">
      <w:pPr>
        <w:spacing w:before="11" w:line="360" w:lineRule="auto"/>
        <w:ind w:left="616"/>
        <w:rPr>
          <w:rFonts w:hint="eastAsia" w:ascii="宋体" w:hAnsi="宋体" w:cs="宋体"/>
          <w:color w:val="auto"/>
          <w:sz w:val="24"/>
          <w:highlight w:val="none"/>
        </w:rPr>
      </w:pPr>
      <w:r>
        <w:rPr>
          <w:rFonts w:hint="eastAsia" w:ascii="宋体" w:hAnsi="宋体" w:cs="宋体"/>
          <w:color w:val="auto"/>
          <w:spacing w:val="9"/>
          <w:sz w:val="24"/>
          <w:highlight w:val="none"/>
        </w:rPr>
        <w:t>本企业对上述声明内容的真实性负责</w:t>
      </w:r>
      <w:r>
        <w:rPr>
          <w:rFonts w:hint="eastAsia" w:ascii="宋体" w:hAnsi="宋体" w:cs="宋体"/>
          <w:color w:val="auto"/>
          <w:spacing w:val="-31"/>
          <w:sz w:val="24"/>
          <w:highlight w:val="none"/>
        </w:rPr>
        <w:t>。</w:t>
      </w:r>
      <w:r>
        <w:rPr>
          <w:rFonts w:hint="eastAsia" w:ascii="宋体" w:hAnsi="宋体" w:cs="宋体"/>
          <w:color w:val="auto"/>
          <w:spacing w:val="9"/>
          <w:sz w:val="24"/>
          <w:highlight w:val="none"/>
        </w:rPr>
        <w:t>如有虚假</w:t>
      </w:r>
      <w:r>
        <w:rPr>
          <w:rFonts w:hint="eastAsia" w:ascii="宋体" w:hAnsi="宋体" w:cs="宋体"/>
          <w:color w:val="auto"/>
          <w:spacing w:val="-17"/>
          <w:sz w:val="24"/>
          <w:highlight w:val="none"/>
        </w:rPr>
        <w:t>，</w:t>
      </w:r>
      <w:r>
        <w:rPr>
          <w:rFonts w:hint="eastAsia" w:ascii="宋体" w:hAnsi="宋体" w:cs="宋体"/>
          <w:color w:val="auto"/>
          <w:spacing w:val="9"/>
          <w:sz w:val="24"/>
          <w:highlight w:val="none"/>
        </w:rPr>
        <w:t>将依法承担相应</w:t>
      </w:r>
      <w:r>
        <w:rPr>
          <w:rFonts w:hint="eastAsia" w:ascii="宋体" w:hAnsi="宋体" w:cs="宋体"/>
          <w:color w:val="auto"/>
          <w:spacing w:val="8"/>
          <w:sz w:val="24"/>
          <w:highlight w:val="none"/>
        </w:rPr>
        <w:t>责任。</w:t>
      </w:r>
    </w:p>
    <w:p w14:paraId="1D28AF33">
      <w:pPr>
        <w:pStyle w:val="18"/>
        <w:spacing w:line="245" w:lineRule="auto"/>
        <w:rPr>
          <w:rFonts w:hint="eastAsia" w:cs="宋体"/>
          <w:color w:val="auto"/>
          <w:highlight w:val="none"/>
        </w:rPr>
      </w:pPr>
    </w:p>
    <w:p w14:paraId="3CD5F21F">
      <w:pPr>
        <w:pStyle w:val="18"/>
        <w:spacing w:line="245" w:lineRule="auto"/>
        <w:rPr>
          <w:rFonts w:hint="eastAsia" w:cs="宋体"/>
          <w:color w:val="auto"/>
          <w:highlight w:val="none"/>
        </w:rPr>
      </w:pPr>
    </w:p>
    <w:p w14:paraId="76B66ABF">
      <w:pPr>
        <w:spacing w:before="103" w:line="196" w:lineRule="auto"/>
        <w:ind w:left="5825"/>
        <w:rPr>
          <w:rFonts w:hint="eastAsia" w:ascii="宋体" w:hAnsi="宋体" w:cs="宋体"/>
          <w:color w:val="auto"/>
          <w:sz w:val="24"/>
          <w:highlight w:val="none"/>
        </w:rPr>
      </w:pPr>
      <w:r>
        <w:rPr>
          <w:rFonts w:hint="eastAsia" w:ascii="宋体" w:hAnsi="宋体" w:cs="宋体"/>
          <w:color w:val="auto"/>
          <w:spacing w:val="-1"/>
          <w:sz w:val="24"/>
          <w:highlight w:val="none"/>
        </w:rPr>
        <w:t>企业名称（盖章</w:t>
      </w:r>
      <w:r>
        <w:rPr>
          <w:rFonts w:hint="eastAsia" w:ascii="宋体" w:hAnsi="宋体" w:cs="宋体"/>
          <w:color w:val="auto"/>
          <w:spacing w:val="-61"/>
          <w:sz w:val="24"/>
          <w:highlight w:val="none"/>
        </w:rPr>
        <w:t>）：</w:t>
      </w:r>
      <w:r>
        <w:rPr>
          <w:rFonts w:hint="eastAsia" w:ascii="宋体" w:hAnsi="宋体" w:cs="宋体"/>
          <w:color w:val="auto"/>
          <w:sz w:val="24"/>
          <w:highlight w:val="none"/>
          <w:u w:val="single"/>
        </w:rPr>
        <w:t xml:space="preserve">              </w:t>
      </w:r>
    </w:p>
    <w:p w14:paraId="4F2A1945">
      <w:pPr>
        <w:pStyle w:val="18"/>
        <w:spacing w:before="185" w:line="200" w:lineRule="auto"/>
        <w:ind w:left="7076"/>
        <w:rPr>
          <w:rFonts w:hint="eastAsia" w:cs="宋体"/>
          <w:color w:val="auto"/>
          <w:highlight w:val="none"/>
        </w:rPr>
      </w:pPr>
      <w:r>
        <w:rPr>
          <w:rFonts w:hint="eastAsia" w:cs="宋体"/>
          <w:color w:val="auto"/>
          <w:spacing w:val="20"/>
          <w:highlight w:val="none"/>
        </w:rPr>
        <w:t>日期：</w:t>
      </w:r>
      <w:r>
        <w:rPr>
          <w:rFonts w:hint="eastAsia" w:cs="宋体"/>
          <w:color w:val="auto"/>
          <w:highlight w:val="none"/>
          <w:u w:val="single"/>
        </w:rPr>
        <w:t xml:space="preserve">               </w:t>
      </w:r>
    </w:p>
    <w:p w14:paraId="1D185DE3">
      <w:pPr>
        <w:spacing w:line="360" w:lineRule="auto"/>
        <w:ind w:right="360" w:firstLine="480"/>
        <w:jc w:val="right"/>
        <w:rPr>
          <w:rFonts w:hint="eastAsia" w:ascii="宋体" w:hAnsi="宋体" w:cs="宋体"/>
          <w:color w:val="auto"/>
          <w:sz w:val="24"/>
          <w:highlight w:val="none"/>
        </w:rPr>
      </w:pPr>
    </w:p>
    <w:p w14:paraId="4AD67D92">
      <w:pPr>
        <w:adjustRightInd w:val="0"/>
        <w:snapToGrid w:val="0"/>
        <w:jc w:val="left"/>
        <w:rPr>
          <w:rFonts w:hint="eastAsia" w:ascii="宋体" w:hAnsi="宋体" w:cs="宋体"/>
          <w:color w:val="auto"/>
          <w:sz w:val="24"/>
          <w:szCs w:val="21"/>
          <w:highlight w:val="none"/>
        </w:rPr>
      </w:pPr>
    </w:p>
    <w:p w14:paraId="219C150B">
      <w:pPr>
        <w:adjustRightInd w:val="0"/>
        <w:snapToGrid w:val="0"/>
        <w:jc w:val="left"/>
        <w:rPr>
          <w:rFonts w:hint="eastAsia" w:ascii="宋体" w:hAnsi="宋体" w:cs="宋体"/>
          <w:color w:val="auto"/>
          <w:sz w:val="24"/>
          <w:szCs w:val="21"/>
          <w:highlight w:val="none"/>
        </w:rPr>
      </w:pPr>
    </w:p>
    <w:tbl>
      <w:tblPr>
        <w:tblStyle w:val="47"/>
        <w:tblW w:w="0" w:type="auto"/>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827"/>
      </w:tblGrid>
      <w:tr w14:paraId="5F52EF2E">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7BE01A03">
            <w:pPr>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vertAlign w:val="superscript"/>
              </w:rPr>
              <w:t>1</w:t>
            </w:r>
            <w:r>
              <w:rPr>
                <w:rFonts w:hint="eastAsia" w:ascii="宋体" w:hAnsi="宋体" w:cs="宋体"/>
                <w:color w:val="auto"/>
                <w:szCs w:val="21"/>
                <w:highlight w:val="none"/>
              </w:rPr>
              <w:t>从业人员、营业收入、资产总额填报上一年度数据，无上一年度数据的新成立企业可不填报。</w:t>
            </w:r>
          </w:p>
        </w:tc>
      </w:tr>
    </w:tbl>
    <w:p w14:paraId="0BAEAEED">
      <w:pP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br w:type="page"/>
      </w:r>
    </w:p>
    <w:p w14:paraId="47796D33">
      <w:pPr>
        <w:spacing w:before="240" w:beforeLines="100" w:after="240" w:afterLines="100" w:line="360" w:lineRule="auto"/>
        <w:jc w:val="center"/>
        <w:rPr>
          <w:rFonts w:hint="eastAsia" w:ascii="宋体" w:hAnsi="宋体" w:cs="宋体"/>
          <w:b/>
          <w:color w:val="auto"/>
          <w:sz w:val="36"/>
          <w:szCs w:val="36"/>
          <w:highlight w:val="none"/>
        </w:rPr>
      </w:pPr>
      <w:r>
        <w:rPr>
          <w:rFonts w:hint="eastAsia" w:ascii="宋体" w:hAnsi="宋体" w:cs="宋体"/>
          <w:b/>
          <w:bCs/>
          <w:color w:val="auto"/>
          <w:sz w:val="36"/>
          <w:szCs w:val="36"/>
          <w:highlight w:val="none"/>
        </w:rPr>
        <w:t>残疾人福利性单位声明函格式</w:t>
      </w:r>
      <w:r>
        <w:rPr>
          <w:rFonts w:hint="eastAsia" w:ascii="宋体" w:hAnsi="宋体" w:cs="宋体"/>
          <w:b/>
          <w:color w:val="auto"/>
          <w:sz w:val="36"/>
          <w:szCs w:val="36"/>
          <w:highlight w:val="none"/>
        </w:rPr>
        <w:t xml:space="preserve">       </w:t>
      </w:r>
    </w:p>
    <w:p w14:paraId="185F12B9">
      <w:pPr>
        <w:spacing w:line="588" w:lineRule="exact"/>
        <w:ind w:firstLine="504"/>
        <w:rPr>
          <w:rFonts w:hint="eastAsia"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 141</w:t>
      </w:r>
      <w:r>
        <w:rPr>
          <w:rFonts w:hint="eastAsia" w:ascii="宋体" w:hAnsi="宋体" w:cs="宋体"/>
          <w:color w:val="auto"/>
          <w:spacing w:val="6"/>
          <w:sz w:val="24"/>
          <w:highlight w:val="none"/>
        </w:rPr>
        <w:t>号）的规定，本单位</w:t>
      </w:r>
      <w:r>
        <w:rPr>
          <w:rFonts w:hint="eastAsia" w:ascii="宋体" w:hAnsi="宋体" w:cs="宋体"/>
          <w:b/>
          <w:color w:val="auto"/>
          <w:sz w:val="24"/>
          <w:highlight w:val="none"/>
        </w:rPr>
        <w:t>（请进行勾选）</w:t>
      </w:r>
      <w:r>
        <w:rPr>
          <w:rFonts w:hint="eastAsia" w:ascii="宋体" w:hAnsi="宋体" w:cs="宋体"/>
          <w:color w:val="auto"/>
          <w:spacing w:val="6"/>
          <w:sz w:val="24"/>
          <w:highlight w:val="none"/>
        </w:rPr>
        <w:t>：</w:t>
      </w:r>
    </w:p>
    <w:p w14:paraId="125E0AD7">
      <w:pPr>
        <w:spacing w:line="588" w:lineRule="exact"/>
        <w:ind w:firstLine="482"/>
        <w:rPr>
          <w:rFonts w:hint="eastAsia" w:ascii="宋体" w:hAnsi="宋体" w:cs="宋体"/>
          <w:b/>
          <w:color w:val="auto"/>
          <w:spacing w:val="6"/>
          <w:sz w:val="24"/>
          <w:highlight w:val="none"/>
        </w:rPr>
      </w:pPr>
      <w:r>
        <w:rPr>
          <w:rFonts w:hint="eastAsia" w:ascii="宋体" w:hAnsi="宋体" w:cs="宋体"/>
          <w:b/>
          <w:color w:val="auto"/>
          <w:sz w:val="24"/>
          <w:highlight w:val="none"/>
        </w:rPr>
        <w:t>□</w:t>
      </w:r>
      <w:r>
        <w:rPr>
          <w:rFonts w:hint="eastAsia" w:ascii="宋体" w:hAnsi="宋体" w:cs="宋体"/>
          <w:b/>
          <w:color w:val="auto"/>
          <w:spacing w:val="6"/>
          <w:sz w:val="24"/>
          <w:highlight w:val="none"/>
        </w:rPr>
        <w:t>不属于符合条件的残疾人福利性单位。</w:t>
      </w:r>
    </w:p>
    <w:p w14:paraId="3CD2A675">
      <w:pPr>
        <w:spacing w:line="588" w:lineRule="exact"/>
        <w:ind w:firstLine="482"/>
        <w:rPr>
          <w:rFonts w:hint="eastAsia" w:ascii="宋体" w:hAnsi="宋体" w:cs="宋体"/>
          <w:color w:val="auto"/>
          <w:spacing w:val="6"/>
          <w:sz w:val="24"/>
          <w:highlight w:val="none"/>
        </w:rPr>
      </w:pPr>
      <w:r>
        <w:rPr>
          <w:rFonts w:hint="eastAsia" w:ascii="宋体" w:hAnsi="宋体" w:cs="宋体"/>
          <w:b/>
          <w:color w:val="auto"/>
          <w:sz w:val="24"/>
          <w:highlight w:val="none"/>
        </w:rPr>
        <w:t>□</w:t>
      </w:r>
      <w:r>
        <w:rPr>
          <w:rFonts w:hint="eastAsia" w:ascii="宋体" w:hAnsi="宋体" w:cs="宋体"/>
          <w:b/>
          <w:color w:val="auto"/>
          <w:spacing w:val="6"/>
          <w:sz w:val="24"/>
          <w:highlight w:val="none"/>
        </w:rPr>
        <w:t>属于符合条件的残疾人福利性单位，</w:t>
      </w:r>
      <w:r>
        <w:rPr>
          <w:rFonts w:hint="eastAsia" w:ascii="宋体" w:hAnsi="宋体" w:cs="宋体"/>
          <w:color w:val="auto"/>
          <w:spacing w:val="6"/>
          <w:sz w:val="24"/>
          <w:highlight w:val="none"/>
        </w:rPr>
        <w:t>且本单位参加______单位的______项目采购活动提供本单位制造的货物（由本单位承担工程/提供服务），或者提供其他残疾人福利性单位制造的货物（不包括使用非残疾人福利性单位注册商标的货物）。</w:t>
      </w:r>
    </w:p>
    <w:p w14:paraId="7848B3DD">
      <w:pPr>
        <w:spacing w:line="588" w:lineRule="exact"/>
        <w:ind w:firstLine="506" w:firstLineChars="200"/>
        <w:rPr>
          <w:rFonts w:hint="eastAsia" w:ascii="宋体" w:hAnsi="宋体" w:cs="宋体"/>
          <w:color w:val="auto"/>
          <w:spacing w:val="6"/>
          <w:sz w:val="24"/>
          <w:highlight w:val="none"/>
        </w:rPr>
      </w:pPr>
      <w:r>
        <w:rPr>
          <w:rFonts w:hint="eastAsia" w:ascii="宋体" w:hAnsi="宋体" w:cs="宋体"/>
          <w:b/>
          <w:color w:val="auto"/>
          <w:spacing w:val="6"/>
          <w:sz w:val="24"/>
          <w:highlight w:val="none"/>
        </w:rPr>
        <w:t>本单位对上述声明的真实性负责。如有虚假，将依法承担相应责任。</w:t>
      </w:r>
    </w:p>
    <w:p w14:paraId="18290B91">
      <w:pPr>
        <w:spacing w:line="588" w:lineRule="exact"/>
        <w:ind w:firstLine="504" w:firstLineChars="200"/>
        <w:rPr>
          <w:rFonts w:hint="eastAsia" w:ascii="宋体" w:hAnsi="宋体" w:cs="宋体"/>
          <w:color w:val="auto"/>
          <w:spacing w:val="6"/>
          <w:sz w:val="24"/>
          <w:highlight w:val="none"/>
        </w:rPr>
      </w:pPr>
    </w:p>
    <w:p w14:paraId="79AD6AE7">
      <w:pPr>
        <w:spacing w:line="588" w:lineRule="exact"/>
        <w:ind w:firstLine="504" w:firstLineChars="200"/>
        <w:rPr>
          <w:rFonts w:hint="eastAsia" w:ascii="宋体" w:hAnsi="宋体" w:cs="宋体"/>
          <w:color w:val="auto"/>
          <w:spacing w:val="6"/>
          <w:sz w:val="24"/>
          <w:highlight w:val="none"/>
        </w:rPr>
      </w:pPr>
    </w:p>
    <w:p w14:paraId="0CEB06B9">
      <w:pPr>
        <w:tabs>
          <w:tab w:val="left" w:pos="4860"/>
        </w:tabs>
        <w:spacing w:line="588" w:lineRule="exact"/>
        <w:ind w:right="1560" w:firstLine="504" w:firstLineChars="200"/>
        <w:jc w:val="center"/>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               单位名称（盖章）：</w:t>
      </w:r>
    </w:p>
    <w:p w14:paraId="2F6DA2C7">
      <w:pPr>
        <w:tabs>
          <w:tab w:val="left" w:pos="4860"/>
        </w:tabs>
        <w:spacing w:line="588" w:lineRule="exact"/>
        <w:ind w:right="1560" w:firstLine="504" w:firstLineChars="200"/>
        <w:jc w:val="center"/>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       日  期：</w:t>
      </w:r>
    </w:p>
    <w:p w14:paraId="1C0A6F48">
      <w:pPr>
        <w:widowControl/>
        <w:jc w:val="left"/>
        <w:rPr>
          <w:rFonts w:hint="eastAsia" w:ascii="宋体" w:hAnsi="宋体" w:cs="宋体"/>
          <w:color w:val="auto"/>
          <w:sz w:val="24"/>
          <w:szCs w:val="20"/>
          <w:highlight w:val="none"/>
        </w:rPr>
        <w:sectPr>
          <w:headerReference r:id="rId24" w:type="first"/>
          <w:footerReference r:id="rId26" w:type="first"/>
          <w:headerReference r:id="rId23" w:type="even"/>
          <w:footerReference r:id="rId25" w:type="even"/>
          <w:pgSz w:w="11905" w:h="16838"/>
          <w:pgMar w:top="1417" w:right="1701" w:bottom="1417" w:left="1701" w:header="1020" w:footer="850" w:gutter="0"/>
          <w:cols w:space="0" w:num="1"/>
          <w:rtlGutter w:val="0"/>
          <w:docGrid w:linePitch="462" w:charSpace="0"/>
        </w:sectPr>
      </w:pPr>
    </w:p>
    <w:p w14:paraId="575BDF77">
      <w:pPr>
        <w:spacing w:line="360" w:lineRule="auto"/>
        <w:outlineLvl w:val="2"/>
        <w:rPr>
          <w:rFonts w:hint="eastAsia" w:ascii="宋体" w:hAnsi="宋体" w:cs="宋体"/>
          <w:color w:val="auto"/>
          <w:sz w:val="24"/>
          <w:szCs w:val="20"/>
          <w:highlight w:val="none"/>
        </w:rPr>
      </w:pPr>
      <w:r>
        <w:rPr>
          <w:rFonts w:hint="eastAsia" w:ascii="宋体" w:hAnsi="宋体" w:cs="宋体"/>
          <w:color w:val="auto"/>
          <w:sz w:val="24"/>
          <w:szCs w:val="20"/>
          <w:highlight w:val="none"/>
        </w:rPr>
        <w:t>2-2</w:t>
      </w:r>
      <w:r>
        <w:rPr>
          <w:rFonts w:hint="eastAsia" w:ascii="宋体" w:hAnsi="宋体" w:cs="宋体"/>
          <w:color w:val="auto"/>
          <w:sz w:val="24"/>
          <w:highlight w:val="none"/>
        </w:rPr>
        <w:t>其它落实政府采购政策的资格要求</w:t>
      </w:r>
      <w:r>
        <w:rPr>
          <w:rFonts w:hint="eastAsia" w:ascii="宋体" w:hAnsi="宋体" w:cs="宋体"/>
          <w:color w:val="auto"/>
          <w:sz w:val="24"/>
          <w:szCs w:val="20"/>
          <w:highlight w:val="none"/>
        </w:rPr>
        <w:t>（如有）</w:t>
      </w:r>
    </w:p>
    <w:p w14:paraId="7A98CEEA">
      <w:pPr>
        <w:widowControl/>
        <w:jc w:val="left"/>
        <w:rPr>
          <w:rFonts w:hint="eastAsia" w:ascii="宋体" w:hAnsi="宋体" w:cs="宋体"/>
          <w:color w:val="auto"/>
          <w:sz w:val="24"/>
          <w:highlight w:val="none"/>
        </w:rPr>
      </w:pPr>
    </w:p>
    <w:p w14:paraId="5346DC6B">
      <w:pPr>
        <w:widowControl/>
        <w:jc w:val="left"/>
        <w:rPr>
          <w:rFonts w:hint="eastAsia" w:ascii="宋体" w:hAnsi="宋体" w:cs="宋体"/>
          <w:color w:val="auto"/>
          <w:sz w:val="24"/>
          <w:highlight w:val="none"/>
        </w:rPr>
      </w:pPr>
      <w:r>
        <w:rPr>
          <w:rFonts w:hint="eastAsia" w:ascii="宋体" w:hAnsi="宋体" w:cs="宋体"/>
          <w:color w:val="auto"/>
          <w:sz w:val="24"/>
          <w:highlight w:val="none"/>
        </w:rPr>
        <w:br w:type="page"/>
      </w:r>
    </w:p>
    <w:p w14:paraId="6082E6FC">
      <w:pPr>
        <w:spacing w:line="360" w:lineRule="auto"/>
        <w:outlineLvl w:val="2"/>
        <w:rPr>
          <w:rFonts w:hint="eastAsia" w:ascii="宋体" w:hAnsi="宋体" w:cs="宋体"/>
          <w:color w:val="auto"/>
          <w:sz w:val="24"/>
          <w:szCs w:val="20"/>
          <w:highlight w:val="none"/>
        </w:rPr>
      </w:pPr>
      <w:r>
        <w:rPr>
          <w:rFonts w:hint="eastAsia" w:ascii="宋体" w:hAnsi="宋体" w:cs="宋体"/>
          <w:color w:val="auto"/>
          <w:sz w:val="24"/>
          <w:szCs w:val="20"/>
          <w:highlight w:val="none"/>
        </w:rPr>
        <w:t xml:space="preserve">3 </w:t>
      </w:r>
      <w:r>
        <w:rPr>
          <w:rFonts w:hint="eastAsia" w:ascii="宋体" w:hAnsi="宋体" w:cs="宋体"/>
          <w:color w:val="auto"/>
          <w:sz w:val="24"/>
          <w:highlight w:val="none"/>
        </w:rPr>
        <w:t>本项目的特定资格要求</w:t>
      </w:r>
      <w:r>
        <w:rPr>
          <w:rFonts w:hint="eastAsia" w:ascii="宋体" w:hAnsi="宋体" w:cs="宋体"/>
          <w:color w:val="auto"/>
          <w:sz w:val="24"/>
          <w:szCs w:val="20"/>
          <w:highlight w:val="none"/>
        </w:rPr>
        <w:t>（如有）</w:t>
      </w:r>
      <w:r>
        <w:rPr>
          <w:rFonts w:hint="eastAsia" w:ascii="宋体" w:hAnsi="宋体" w:cs="宋体"/>
          <w:color w:val="auto"/>
          <w:sz w:val="24"/>
          <w:szCs w:val="20"/>
          <w:highlight w:val="none"/>
        </w:rPr>
        <w:br w:type="page"/>
      </w:r>
    </w:p>
    <w:p w14:paraId="18E443E4">
      <w:pPr>
        <w:spacing w:line="360" w:lineRule="auto"/>
        <w:outlineLvl w:val="2"/>
        <w:rPr>
          <w:rFonts w:hint="eastAsia" w:ascii="宋体" w:hAnsi="宋体" w:cs="宋体"/>
          <w:color w:val="auto"/>
          <w:sz w:val="24"/>
          <w:szCs w:val="20"/>
          <w:highlight w:val="none"/>
        </w:rPr>
      </w:pPr>
      <w:r>
        <w:rPr>
          <w:rFonts w:hint="eastAsia" w:ascii="宋体" w:hAnsi="宋体" w:cs="宋体"/>
          <w:color w:val="auto"/>
          <w:sz w:val="24"/>
          <w:szCs w:val="20"/>
          <w:highlight w:val="none"/>
        </w:rPr>
        <w:t>4 投标保证金凭证/交款单据的</w:t>
      </w:r>
      <w:r>
        <w:rPr>
          <w:rFonts w:hint="eastAsia" w:ascii="宋体" w:hAnsi="宋体" w:cs="宋体"/>
          <w:color w:val="auto"/>
          <w:sz w:val="24"/>
          <w:highlight w:val="none"/>
        </w:rPr>
        <w:t>证明文件</w:t>
      </w:r>
    </w:p>
    <w:p w14:paraId="080D3C5A">
      <w:pPr>
        <w:spacing w:line="360" w:lineRule="auto"/>
        <w:rPr>
          <w:rFonts w:hint="eastAsia" w:ascii="宋体" w:hAnsi="宋体" w:cs="宋体"/>
          <w:color w:val="auto"/>
          <w:sz w:val="24"/>
          <w:szCs w:val="20"/>
          <w:highlight w:val="none"/>
        </w:rPr>
      </w:pPr>
    </w:p>
    <w:p w14:paraId="7ED0F6D9">
      <w:pPr>
        <w:spacing w:line="360" w:lineRule="auto"/>
        <w:rPr>
          <w:rFonts w:hint="eastAsia" w:ascii="宋体" w:hAnsi="宋体" w:cs="宋体"/>
          <w:color w:val="auto"/>
          <w:sz w:val="24"/>
          <w:szCs w:val="20"/>
          <w:highlight w:val="none"/>
        </w:rPr>
      </w:pPr>
    </w:p>
    <w:p w14:paraId="319ADED7">
      <w:pPr>
        <w:widowControl/>
        <w:jc w:val="left"/>
        <w:rPr>
          <w:rFonts w:hint="eastAsia" w:ascii="宋体" w:hAnsi="宋体" w:cs="宋体"/>
          <w:color w:val="auto"/>
          <w:kern w:val="0"/>
          <w:sz w:val="24"/>
          <w:szCs w:val="20"/>
          <w:highlight w:val="none"/>
        </w:rPr>
      </w:pPr>
      <w:r>
        <w:rPr>
          <w:rFonts w:hint="eastAsia" w:ascii="宋体" w:hAnsi="宋体" w:cs="宋体"/>
          <w:color w:val="auto"/>
          <w:sz w:val="24"/>
          <w:szCs w:val="20"/>
          <w:highlight w:val="none"/>
        </w:rPr>
        <w:br w:type="page"/>
      </w:r>
    </w:p>
    <w:p w14:paraId="1D63A943">
      <w:pPr>
        <w:keepNext/>
        <w:keepLines/>
        <w:autoSpaceDE w:val="0"/>
        <w:autoSpaceDN w:val="0"/>
        <w:adjustRightInd w:val="0"/>
        <w:spacing w:before="120" w:line="300" w:lineRule="auto"/>
        <w:jc w:val="left"/>
        <w:outlineLvl w:val="1"/>
        <w:rPr>
          <w:rFonts w:hint="eastAsia" w:ascii="宋体" w:hAnsi="宋体" w:cs="宋体"/>
          <w:b/>
          <w:color w:val="auto"/>
          <w:spacing w:val="20"/>
          <w:sz w:val="24"/>
          <w:highlight w:val="none"/>
        </w:rPr>
      </w:pPr>
      <w:r>
        <w:rPr>
          <w:rFonts w:hint="eastAsia" w:ascii="宋体" w:hAnsi="宋体" w:cs="宋体"/>
          <w:b/>
          <w:color w:val="auto"/>
          <w:spacing w:val="20"/>
          <w:sz w:val="24"/>
          <w:highlight w:val="none"/>
        </w:rPr>
        <w:t>二、商务技术文件格式</w:t>
      </w:r>
    </w:p>
    <w:p w14:paraId="136129F0">
      <w:pPr>
        <w:rPr>
          <w:rFonts w:hint="eastAsia" w:ascii="宋体" w:hAnsi="宋体" w:cs="宋体"/>
          <w:b/>
          <w:color w:val="auto"/>
          <w:spacing w:val="20"/>
          <w:szCs w:val="21"/>
          <w:highlight w:val="none"/>
        </w:rPr>
      </w:pPr>
    </w:p>
    <w:p w14:paraId="11929151">
      <w:pPr>
        <w:rPr>
          <w:rFonts w:hint="eastAsia" w:ascii="宋体" w:hAnsi="宋体" w:cs="宋体"/>
          <w:b/>
          <w:color w:val="auto"/>
          <w:sz w:val="24"/>
          <w:highlight w:val="none"/>
        </w:rPr>
      </w:pPr>
      <w:r>
        <w:rPr>
          <w:rFonts w:hint="eastAsia" w:ascii="宋体" w:hAnsi="宋体" w:cs="宋体"/>
          <w:b/>
          <w:color w:val="auto"/>
          <w:spacing w:val="20"/>
          <w:sz w:val="24"/>
          <w:highlight w:val="none"/>
        </w:rPr>
        <w:t>投标文件（商务技术文件）</w:t>
      </w:r>
      <w:r>
        <w:rPr>
          <w:rFonts w:hint="eastAsia" w:ascii="宋体" w:hAnsi="宋体" w:cs="宋体"/>
          <w:b/>
          <w:color w:val="auto"/>
          <w:sz w:val="24"/>
          <w:highlight w:val="none"/>
        </w:rPr>
        <w:t>封面（非实质性格式）</w:t>
      </w:r>
    </w:p>
    <w:p w14:paraId="3EDD7B96">
      <w:pPr>
        <w:jc w:val="center"/>
        <w:rPr>
          <w:rFonts w:hint="eastAsia" w:ascii="宋体" w:hAnsi="宋体" w:cs="宋体"/>
          <w:color w:val="auto"/>
          <w:szCs w:val="21"/>
          <w:highlight w:val="none"/>
        </w:rPr>
      </w:pPr>
    </w:p>
    <w:p w14:paraId="51DAF4F2">
      <w:pPr>
        <w:jc w:val="center"/>
        <w:rPr>
          <w:rFonts w:hint="eastAsia" w:ascii="宋体" w:hAnsi="宋体" w:cs="宋体"/>
          <w:b/>
          <w:color w:val="auto"/>
          <w:spacing w:val="60"/>
          <w:sz w:val="52"/>
          <w:szCs w:val="52"/>
          <w:highlight w:val="none"/>
        </w:rPr>
      </w:pPr>
    </w:p>
    <w:p w14:paraId="57F3BE61">
      <w:pPr>
        <w:jc w:val="center"/>
        <w:rPr>
          <w:rFonts w:hint="eastAsia" w:ascii="宋体" w:hAnsi="宋体" w:cs="宋体"/>
          <w:b/>
          <w:color w:val="auto"/>
          <w:spacing w:val="60"/>
          <w:sz w:val="36"/>
          <w:szCs w:val="36"/>
          <w:highlight w:val="none"/>
        </w:rPr>
      </w:pPr>
    </w:p>
    <w:p w14:paraId="3CDB809B">
      <w:pPr>
        <w:jc w:val="center"/>
        <w:rPr>
          <w:rFonts w:hint="eastAsia" w:ascii="宋体" w:hAnsi="宋体" w:cs="宋体"/>
          <w:b/>
          <w:color w:val="auto"/>
          <w:spacing w:val="60"/>
          <w:sz w:val="84"/>
          <w:szCs w:val="84"/>
          <w:highlight w:val="none"/>
        </w:rPr>
      </w:pPr>
      <w:r>
        <w:rPr>
          <w:rFonts w:hint="eastAsia" w:ascii="宋体" w:hAnsi="宋体" w:cs="宋体"/>
          <w:b/>
          <w:color w:val="auto"/>
          <w:spacing w:val="60"/>
          <w:sz w:val="84"/>
          <w:szCs w:val="84"/>
          <w:highlight w:val="none"/>
        </w:rPr>
        <w:t>投 标 文 件</w:t>
      </w:r>
    </w:p>
    <w:p w14:paraId="4BE18D54">
      <w:pPr>
        <w:jc w:val="center"/>
        <w:rPr>
          <w:rFonts w:hint="eastAsia" w:ascii="宋体" w:hAnsi="宋体" w:cs="宋体"/>
          <w:b/>
          <w:color w:val="auto"/>
          <w:spacing w:val="60"/>
          <w:sz w:val="52"/>
          <w:szCs w:val="52"/>
          <w:highlight w:val="none"/>
        </w:rPr>
      </w:pPr>
      <w:r>
        <w:rPr>
          <w:rFonts w:hint="eastAsia" w:ascii="宋体" w:hAnsi="宋体" w:cs="宋体"/>
          <w:b/>
          <w:color w:val="auto"/>
          <w:spacing w:val="60"/>
          <w:sz w:val="52"/>
          <w:szCs w:val="52"/>
          <w:highlight w:val="none"/>
        </w:rPr>
        <w:t>（商务技术文件）</w:t>
      </w:r>
    </w:p>
    <w:p w14:paraId="26F7B33F">
      <w:pPr>
        <w:ind w:firstLine="542" w:firstLineChars="150"/>
        <w:rPr>
          <w:rFonts w:hint="eastAsia" w:ascii="宋体" w:hAnsi="宋体" w:cs="宋体"/>
          <w:b/>
          <w:color w:val="auto"/>
          <w:spacing w:val="20"/>
          <w:sz w:val="32"/>
          <w:szCs w:val="32"/>
          <w:highlight w:val="none"/>
        </w:rPr>
      </w:pPr>
    </w:p>
    <w:p w14:paraId="07A448AA">
      <w:pPr>
        <w:ind w:firstLine="542" w:firstLineChars="150"/>
        <w:rPr>
          <w:rFonts w:hint="eastAsia" w:ascii="宋体" w:hAnsi="宋体" w:cs="宋体"/>
          <w:b/>
          <w:color w:val="auto"/>
          <w:spacing w:val="20"/>
          <w:sz w:val="32"/>
          <w:szCs w:val="32"/>
          <w:highlight w:val="none"/>
        </w:rPr>
      </w:pPr>
    </w:p>
    <w:p w14:paraId="44844DE4">
      <w:pPr>
        <w:ind w:firstLine="542" w:firstLineChars="150"/>
        <w:rPr>
          <w:rFonts w:hint="eastAsia" w:ascii="宋体" w:hAnsi="宋体" w:cs="宋体"/>
          <w:b/>
          <w:color w:val="auto"/>
          <w:spacing w:val="20"/>
          <w:sz w:val="32"/>
          <w:szCs w:val="32"/>
          <w:highlight w:val="none"/>
        </w:rPr>
      </w:pPr>
      <w:r>
        <w:rPr>
          <w:rFonts w:hint="eastAsia" w:ascii="宋体" w:hAnsi="宋体" w:cs="宋体"/>
          <w:b/>
          <w:color w:val="auto"/>
          <w:spacing w:val="20"/>
          <w:sz w:val="32"/>
          <w:szCs w:val="32"/>
          <w:highlight w:val="none"/>
        </w:rPr>
        <w:t>项目名称:</w:t>
      </w:r>
    </w:p>
    <w:p w14:paraId="22ACFD25">
      <w:pPr>
        <w:ind w:firstLine="542" w:firstLineChars="150"/>
        <w:rPr>
          <w:rFonts w:hint="eastAsia" w:ascii="宋体" w:hAnsi="宋体" w:cs="宋体"/>
          <w:b/>
          <w:color w:val="auto"/>
          <w:spacing w:val="20"/>
          <w:sz w:val="32"/>
          <w:szCs w:val="32"/>
          <w:highlight w:val="none"/>
        </w:rPr>
      </w:pPr>
      <w:r>
        <w:rPr>
          <w:rFonts w:hint="eastAsia" w:ascii="宋体" w:hAnsi="宋体" w:cs="宋体"/>
          <w:b/>
          <w:color w:val="auto"/>
          <w:spacing w:val="20"/>
          <w:sz w:val="32"/>
          <w:szCs w:val="32"/>
          <w:highlight w:val="none"/>
        </w:rPr>
        <w:t>项目编号/包号：</w:t>
      </w:r>
    </w:p>
    <w:p w14:paraId="61783BB2">
      <w:pPr>
        <w:ind w:firstLine="542" w:firstLineChars="150"/>
        <w:rPr>
          <w:rFonts w:hint="eastAsia" w:ascii="宋体" w:hAnsi="宋体" w:cs="宋体"/>
          <w:b/>
          <w:color w:val="auto"/>
          <w:spacing w:val="20"/>
          <w:sz w:val="32"/>
          <w:szCs w:val="32"/>
          <w:highlight w:val="none"/>
        </w:rPr>
      </w:pPr>
    </w:p>
    <w:p w14:paraId="5C9711E6">
      <w:pPr>
        <w:ind w:firstLine="542" w:firstLineChars="150"/>
        <w:rPr>
          <w:rFonts w:hint="eastAsia" w:ascii="宋体" w:hAnsi="宋体" w:cs="宋体"/>
          <w:b/>
          <w:color w:val="auto"/>
          <w:spacing w:val="20"/>
          <w:sz w:val="32"/>
          <w:szCs w:val="32"/>
          <w:highlight w:val="none"/>
        </w:rPr>
      </w:pPr>
    </w:p>
    <w:p w14:paraId="2A969686">
      <w:pPr>
        <w:jc w:val="center"/>
        <w:rPr>
          <w:rFonts w:hint="eastAsia" w:ascii="宋体" w:hAnsi="宋体" w:cs="宋体"/>
          <w:b/>
          <w:color w:val="auto"/>
          <w:sz w:val="32"/>
          <w:szCs w:val="32"/>
          <w:highlight w:val="none"/>
        </w:rPr>
      </w:pPr>
    </w:p>
    <w:p w14:paraId="6E1950B8">
      <w:pPr>
        <w:jc w:val="center"/>
        <w:rPr>
          <w:rFonts w:hint="eastAsia" w:ascii="宋体" w:hAnsi="宋体" w:cs="宋体"/>
          <w:b/>
          <w:color w:val="auto"/>
          <w:sz w:val="32"/>
          <w:szCs w:val="32"/>
          <w:highlight w:val="none"/>
        </w:rPr>
      </w:pPr>
    </w:p>
    <w:p w14:paraId="5C0DB646">
      <w:pPr>
        <w:jc w:val="center"/>
        <w:rPr>
          <w:rFonts w:hint="eastAsia" w:ascii="宋体" w:hAnsi="宋体" w:cs="宋体"/>
          <w:b/>
          <w:color w:val="auto"/>
          <w:spacing w:val="20"/>
          <w:sz w:val="32"/>
          <w:szCs w:val="32"/>
          <w:highlight w:val="none"/>
        </w:rPr>
      </w:pPr>
    </w:p>
    <w:p w14:paraId="1516720D">
      <w:pPr>
        <w:spacing w:line="360" w:lineRule="auto"/>
        <w:ind w:firstLine="1445" w:firstLineChars="400"/>
        <w:jc w:val="left"/>
        <w:rPr>
          <w:rFonts w:hint="eastAsia" w:ascii="宋体" w:hAnsi="宋体" w:cs="宋体"/>
          <w:b/>
          <w:color w:val="auto"/>
          <w:spacing w:val="20"/>
          <w:sz w:val="32"/>
          <w:szCs w:val="32"/>
          <w:highlight w:val="none"/>
        </w:rPr>
      </w:pPr>
      <w:r>
        <w:rPr>
          <w:rFonts w:hint="eastAsia" w:ascii="宋体" w:hAnsi="宋体" w:cs="宋体"/>
          <w:b/>
          <w:color w:val="auto"/>
          <w:spacing w:val="20"/>
          <w:sz w:val="32"/>
          <w:szCs w:val="32"/>
          <w:highlight w:val="none"/>
        </w:rPr>
        <w:t>投标人名称：</w:t>
      </w:r>
    </w:p>
    <w:p w14:paraId="19220F4D">
      <w:pPr>
        <w:jc w:val="center"/>
        <w:rPr>
          <w:rFonts w:hint="eastAsia" w:ascii="宋体" w:hAnsi="宋体" w:cs="宋体"/>
          <w:b/>
          <w:color w:val="auto"/>
          <w:sz w:val="32"/>
          <w:szCs w:val="32"/>
          <w:highlight w:val="none"/>
        </w:rPr>
      </w:pPr>
    </w:p>
    <w:p w14:paraId="4AB1C7C0">
      <w:pPr>
        <w:widowControl/>
        <w:jc w:val="left"/>
        <w:rPr>
          <w:rFonts w:hint="eastAsia" w:ascii="宋体" w:hAnsi="宋体" w:cs="宋体"/>
          <w:b/>
          <w:color w:val="auto"/>
          <w:sz w:val="24"/>
          <w:highlight w:val="none"/>
        </w:rPr>
      </w:pPr>
      <w:r>
        <w:rPr>
          <w:rFonts w:hint="eastAsia" w:ascii="宋体" w:hAnsi="宋体" w:cs="宋体"/>
          <w:b/>
          <w:color w:val="auto"/>
          <w:sz w:val="24"/>
          <w:highlight w:val="none"/>
        </w:rPr>
        <w:br w:type="page"/>
      </w:r>
    </w:p>
    <w:p w14:paraId="2148F53B">
      <w:pPr>
        <w:spacing w:line="360" w:lineRule="auto"/>
        <w:outlineLvl w:val="2"/>
        <w:rPr>
          <w:rFonts w:hint="eastAsia" w:ascii="宋体" w:hAnsi="宋体" w:cs="宋体"/>
          <w:color w:val="auto"/>
          <w:sz w:val="24"/>
          <w:szCs w:val="20"/>
          <w:highlight w:val="none"/>
        </w:rPr>
      </w:pPr>
      <w:bookmarkStart w:id="1020" w:name="_Hlt520274407"/>
      <w:bookmarkEnd w:id="1020"/>
      <w:bookmarkStart w:id="1021" w:name="_Hlt520271212"/>
      <w:bookmarkEnd w:id="1021"/>
      <w:bookmarkStart w:id="1022" w:name="_Hlt520343392"/>
      <w:bookmarkEnd w:id="1022"/>
      <w:bookmarkStart w:id="1023" w:name="_Hlt520274393"/>
      <w:bookmarkEnd w:id="1023"/>
      <w:bookmarkStart w:id="1024" w:name="_Hlt520274121"/>
      <w:bookmarkEnd w:id="1024"/>
      <w:bookmarkStart w:id="1025" w:name="_Hlt520274065"/>
      <w:bookmarkEnd w:id="1025"/>
      <w:bookmarkStart w:id="1026" w:name="_Hlt520355504"/>
      <w:bookmarkEnd w:id="1026"/>
      <w:bookmarkStart w:id="1027" w:name="_Hlt520350918"/>
      <w:bookmarkEnd w:id="1027"/>
      <w:bookmarkStart w:id="1028" w:name="_Hlt520273711"/>
      <w:bookmarkEnd w:id="1028"/>
      <w:bookmarkStart w:id="1029" w:name="_Hlt520343000"/>
      <w:bookmarkEnd w:id="1029"/>
      <w:bookmarkStart w:id="1030" w:name="_Toc480942349"/>
      <w:bookmarkStart w:id="1031" w:name="_Ref467988698"/>
      <w:bookmarkStart w:id="1032" w:name="_Toc520356217"/>
      <w:bookmarkStart w:id="1033" w:name="_Toc150774761"/>
      <w:bookmarkStart w:id="1034" w:name="_Toc226965746"/>
      <w:bookmarkStart w:id="1035" w:name="_Toc127151556"/>
      <w:bookmarkStart w:id="1036" w:name="_Toc226309800"/>
      <w:bookmarkStart w:id="1037" w:name="_Toc195842921"/>
      <w:bookmarkStart w:id="1038" w:name="_Toc142311058"/>
      <w:bookmarkStart w:id="1039" w:name="_Toc226965829"/>
      <w:bookmarkStart w:id="1040" w:name="_Toc226337252"/>
      <w:bookmarkStart w:id="1041" w:name="_Toc150480794"/>
      <w:r>
        <w:rPr>
          <w:rFonts w:hint="eastAsia" w:ascii="宋体" w:hAnsi="宋体" w:cs="宋体"/>
          <w:color w:val="auto"/>
          <w:sz w:val="24"/>
          <w:highlight w:val="none"/>
        </w:rPr>
        <w:t>1</w:t>
      </w:r>
      <w:r>
        <w:rPr>
          <w:rFonts w:hint="eastAsia" w:ascii="宋体" w:hAnsi="宋体" w:cs="宋体"/>
          <w:color w:val="auto"/>
          <w:sz w:val="24"/>
          <w:szCs w:val="20"/>
          <w:highlight w:val="none"/>
        </w:rPr>
        <w:t xml:space="preserve">  </w:t>
      </w:r>
      <w:r>
        <w:rPr>
          <w:rFonts w:hint="eastAsia" w:ascii="宋体" w:hAnsi="宋体" w:cs="宋体"/>
          <w:color w:val="auto"/>
          <w:sz w:val="24"/>
          <w:highlight w:val="none"/>
        </w:rPr>
        <w:t>投标</w:t>
      </w:r>
      <w:bookmarkEnd w:id="1030"/>
      <w:bookmarkEnd w:id="1031"/>
      <w:r>
        <w:rPr>
          <w:rFonts w:hint="eastAsia" w:ascii="宋体" w:hAnsi="宋体" w:cs="宋体"/>
          <w:color w:val="auto"/>
          <w:sz w:val="24"/>
          <w:highlight w:val="none"/>
        </w:rPr>
        <w:t>书</w:t>
      </w:r>
      <w:bookmarkEnd w:id="1032"/>
      <w:bookmarkEnd w:id="1033"/>
      <w:bookmarkEnd w:id="1034"/>
      <w:bookmarkEnd w:id="1035"/>
      <w:bookmarkEnd w:id="1036"/>
      <w:bookmarkEnd w:id="1037"/>
      <w:bookmarkEnd w:id="1038"/>
      <w:bookmarkEnd w:id="1039"/>
      <w:bookmarkEnd w:id="1040"/>
      <w:bookmarkEnd w:id="1041"/>
      <w:r>
        <w:rPr>
          <w:rFonts w:hint="eastAsia" w:ascii="宋体" w:hAnsi="宋体" w:cs="宋体"/>
          <w:color w:val="auto"/>
          <w:sz w:val="24"/>
          <w:szCs w:val="20"/>
          <w:highlight w:val="none"/>
        </w:rPr>
        <w:t>（实质性格式）</w:t>
      </w:r>
    </w:p>
    <w:p w14:paraId="06F4A22B">
      <w:pPr>
        <w:tabs>
          <w:tab w:val="left" w:pos="5580"/>
        </w:tabs>
        <w:spacing w:line="360" w:lineRule="auto"/>
        <w:rPr>
          <w:rFonts w:hint="eastAsia" w:ascii="宋体" w:hAnsi="宋体" w:cs="宋体"/>
          <w:color w:val="auto"/>
          <w:sz w:val="24"/>
          <w:highlight w:val="none"/>
        </w:rPr>
      </w:pPr>
    </w:p>
    <w:p w14:paraId="71FDF4E7">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投标书</w:t>
      </w:r>
    </w:p>
    <w:p w14:paraId="36A94558">
      <w:pPr>
        <w:keepNext w:val="0"/>
        <w:keepLines w:val="0"/>
        <w:pageBreakBefore w:val="0"/>
        <w:tabs>
          <w:tab w:val="left" w:pos="5580"/>
        </w:tabs>
        <w:kinsoku/>
        <w:wordWrap/>
        <w:overflowPunct/>
        <w:topLinePunct w:val="0"/>
        <w:bidi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（采购人或采购代理机构）</w:t>
      </w:r>
    </w:p>
    <w:p w14:paraId="16D60B86">
      <w:pPr>
        <w:keepNext w:val="0"/>
        <w:keepLines w:val="0"/>
        <w:pageBreakBefore w:val="0"/>
        <w:tabs>
          <w:tab w:val="left" w:pos="5580"/>
        </w:tabs>
        <w:kinsoku/>
        <w:wordWrap/>
        <w:overflowPunct/>
        <w:topLinePunct w:val="0"/>
        <w:bidi w:val="0"/>
        <w:spacing w:after="0" w:line="360" w:lineRule="auto"/>
        <w:textAlignment w:val="auto"/>
        <w:rPr>
          <w:rFonts w:hint="eastAsia" w:ascii="宋体" w:hAnsi="宋体" w:cs="宋体"/>
          <w:color w:val="auto"/>
          <w:sz w:val="24"/>
          <w:szCs w:val="20"/>
          <w:highlight w:val="none"/>
        </w:rPr>
      </w:pPr>
    </w:p>
    <w:p w14:paraId="2C84E341">
      <w:pPr>
        <w:keepNext w:val="0"/>
        <w:keepLines w:val="0"/>
        <w:pageBreakBefore w:val="0"/>
        <w:tabs>
          <w:tab w:val="left" w:pos="5580"/>
        </w:tabs>
        <w:kinsoku/>
        <w:wordWrap/>
        <w:overflowPunct/>
        <w:topLinePunct w:val="0"/>
        <w:bidi w:val="0"/>
        <w:spacing w:after="0" w:line="360" w:lineRule="auto"/>
        <w:ind w:firstLine="408"/>
        <w:textAlignment w:val="auto"/>
        <w:rPr>
          <w:rFonts w:hint="eastAsia" w:ascii="宋体" w:hAnsi="宋体" w:cs="宋体"/>
          <w:color w:val="auto"/>
          <w:sz w:val="24"/>
          <w:szCs w:val="20"/>
          <w:highlight w:val="none"/>
        </w:rPr>
      </w:pPr>
      <w:r>
        <w:rPr>
          <w:rFonts w:hint="eastAsia" w:ascii="宋体" w:hAnsi="宋体" w:cs="宋体"/>
          <w:color w:val="auto"/>
          <w:sz w:val="24"/>
          <w:szCs w:val="20"/>
          <w:highlight w:val="none"/>
        </w:rPr>
        <w:t>我方参加你方就___________（项目名称，项目编号/包号）组织的招标活动，并对此项目进行投标。</w:t>
      </w:r>
    </w:p>
    <w:p w14:paraId="010F0AB6">
      <w:pPr>
        <w:keepNext w:val="0"/>
        <w:keepLines w:val="0"/>
        <w:pageBreakBefore w:val="0"/>
        <w:tabs>
          <w:tab w:val="left" w:pos="5580"/>
        </w:tabs>
        <w:kinsoku/>
        <w:wordWrap/>
        <w:overflowPunct/>
        <w:topLinePunct w:val="0"/>
        <w:bidi w:val="0"/>
        <w:spacing w:after="0" w:line="360" w:lineRule="auto"/>
        <w:ind w:firstLine="408"/>
        <w:textAlignment w:val="auto"/>
        <w:rPr>
          <w:rFonts w:hint="eastAsia" w:ascii="宋体" w:hAnsi="宋体" w:cs="宋体"/>
          <w:color w:val="auto"/>
          <w:sz w:val="24"/>
          <w:szCs w:val="20"/>
          <w:highlight w:val="none"/>
        </w:rPr>
      </w:pPr>
      <w:r>
        <w:rPr>
          <w:rFonts w:hint="eastAsia" w:ascii="宋体" w:hAnsi="宋体" w:cs="宋体"/>
          <w:color w:val="auto"/>
          <w:sz w:val="24"/>
          <w:szCs w:val="20"/>
          <w:highlight w:val="none"/>
        </w:rPr>
        <w:t>1. 我方</w:t>
      </w:r>
      <w:r>
        <w:rPr>
          <w:rFonts w:hint="eastAsia" w:ascii="宋体" w:hAnsi="宋体" w:cs="宋体"/>
          <w:color w:val="auto"/>
          <w:sz w:val="24"/>
          <w:highlight w:val="none"/>
        </w:rPr>
        <w:t>已详细审查全部招标文件</w:t>
      </w:r>
      <w:r>
        <w:rPr>
          <w:rFonts w:hint="eastAsia" w:ascii="宋体" w:hAnsi="宋体" w:cs="宋体"/>
          <w:color w:val="auto"/>
          <w:sz w:val="24"/>
          <w:szCs w:val="20"/>
          <w:highlight w:val="none"/>
        </w:rPr>
        <w:t>，自愿参与投标并承诺如下：</w:t>
      </w:r>
    </w:p>
    <w:p w14:paraId="391A9048">
      <w:pPr>
        <w:keepNext w:val="0"/>
        <w:keepLines w:val="0"/>
        <w:pageBreakBefore w:val="0"/>
        <w:tabs>
          <w:tab w:val="left" w:pos="720"/>
          <w:tab w:val="left" w:pos="900"/>
        </w:tabs>
        <w:kinsoku/>
        <w:wordWrap/>
        <w:overflowPunct/>
        <w:topLinePunct w:val="0"/>
        <w:bidi w:val="0"/>
        <w:spacing w:after="0" w:line="360" w:lineRule="auto"/>
        <w:ind w:left="360" w:firstLine="72" w:firstLineChars="30"/>
        <w:textAlignment w:val="auto"/>
        <w:rPr>
          <w:rFonts w:hint="eastAsia" w:ascii="宋体" w:hAnsi="宋体" w:cs="宋体"/>
          <w:color w:val="auto"/>
          <w:sz w:val="24"/>
          <w:szCs w:val="20"/>
          <w:highlight w:val="none"/>
        </w:rPr>
      </w:pPr>
      <w:r>
        <w:rPr>
          <w:rFonts w:hint="eastAsia" w:ascii="宋体" w:hAnsi="宋体" w:cs="宋体"/>
          <w:color w:val="auto"/>
          <w:sz w:val="24"/>
          <w:szCs w:val="20"/>
          <w:highlight w:val="none"/>
        </w:rPr>
        <w:t>（1）本投标有效期为自提交投标文件的截止之日起</w:t>
      </w:r>
      <w:r>
        <w:rPr>
          <w:rFonts w:hint="eastAsia" w:ascii="宋体" w:hAnsi="宋体" w:cs="宋体"/>
          <w:color w:val="auto"/>
          <w:sz w:val="24"/>
          <w:highlight w:val="none"/>
        </w:rPr>
        <w:t>_____</w:t>
      </w:r>
      <w:r>
        <w:rPr>
          <w:rFonts w:hint="eastAsia" w:ascii="宋体" w:hAnsi="宋体" w:cs="宋体"/>
          <w:color w:val="auto"/>
          <w:sz w:val="24"/>
          <w:szCs w:val="20"/>
          <w:highlight w:val="none"/>
        </w:rPr>
        <w:t>个日历日。</w:t>
      </w:r>
    </w:p>
    <w:p w14:paraId="4B1DDB6B">
      <w:pPr>
        <w:keepNext w:val="0"/>
        <w:keepLines w:val="0"/>
        <w:pageBreakBefore w:val="0"/>
        <w:tabs>
          <w:tab w:val="left" w:pos="720"/>
          <w:tab w:val="left" w:pos="900"/>
        </w:tabs>
        <w:kinsoku/>
        <w:wordWrap/>
        <w:overflowPunct/>
        <w:topLinePunct w:val="0"/>
        <w:bidi w:val="0"/>
        <w:spacing w:after="0" w:line="360" w:lineRule="auto"/>
        <w:ind w:left="360" w:firstLine="72" w:firstLineChars="30"/>
        <w:textAlignment w:val="auto"/>
        <w:rPr>
          <w:rFonts w:hint="eastAsia" w:ascii="宋体" w:hAnsi="宋体" w:cs="宋体"/>
          <w:color w:val="auto"/>
          <w:sz w:val="24"/>
          <w:szCs w:val="20"/>
          <w:highlight w:val="none"/>
        </w:rPr>
      </w:pPr>
      <w:r>
        <w:rPr>
          <w:rFonts w:hint="eastAsia" w:ascii="宋体" w:hAnsi="宋体" w:cs="宋体"/>
          <w:color w:val="auto"/>
          <w:sz w:val="24"/>
          <w:szCs w:val="20"/>
          <w:highlight w:val="none"/>
        </w:rPr>
        <w:t>（2）除合同条款及采购需求偏离表列出的偏离外，我方响应招标文件的全部要求。</w:t>
      </w:r>
    </w:p>
    <w:p w14:paraId="53778531">
      <w:pPr>
        <w:keepNext w:val="0"/>
        <w:keepLines w:val="0"/>
        <w:pageBreakBefore w:val="0"/>
        <w:tabs>
          <w:tab w:val="left" w:pos="5580"/>
        </w:tabs>
        <w:kinsoku/>
        <w:wordWrap/>
        <w:overflowPunct/>
        <w:topLinePunct w:val="0"/>
        <w:bidi w:val="0"/>
        <w:spacing w:after="0" w:line="360" w:lineRule="auto"/>
        <w:ind w:firstLine="420" w:firstLineChars="175"/>
        <w:textAlignment w:val="auto"/>
        <w:rPr>
          <w:rFonts w:hint="eastAsia" w:ascii="宋体" w:hAnsi="宋体" w:cs="宋体"/>
          <w:color w:val="auto"/>
          <w:sz w:val="24"/>
          <w:szCs w:val="20"/>
          <w:highlight w:val="none"/>
        </w:rPr>
      </w:pPr>
      <w:r>
        <w:rPr>
          <w:rFonts w:hint="eastAsia" w:ascii="宋体" w:hAnsi="宋体" w:cs="宋体"/>
          <w:color w:val="auto"/>
          <w:sz w:val="24"/>
          <w:szCs w:val="20"/>
          <w:highlight w:val="none"/>
        </w:rPr>
        <w:t>（3）我方已提供的全部文件资料是真实、准确的，并对此承担一切法律后果。</w:t>
      </w:r>
    </w:p>
    <w:p w14:paraId="2B3D832A">
      <w:pPr>
        <w:keepNext w:val="0"/>
        <w:keepLines w:val="0"/>
        <w:pageBreakBefore w:val="0"/>
        <w:tabs>
          <w:tab w:val="left" w:pos="5580"/>
        </w:tabs>
        <w:kinsoku/>
        <w:wordWrap/>
        <w:overflowPunct/>
        <w:topLinePunct w:val="0"/>
        <w:bidi w:val="0"/>
        <w:spacing w:after="0" w:line="360" w:lineRule="auto"/>
        <w:ind w:firstLine="420" w:firstLineChars="175"/>
        <w:textAlignment w:val="auto"/>
        <w:rPr>
          <w:rFonts w:hint="eastAsia" w:ascii="宋体" w:hAnsi="宋体" w:cs="宋体"/>
          <w:color w:val="auto"/>
          <w:sz w:val="24"/>
          <w:highlight w:val="none"/>
        </w:rPr>
      </w:pPr>
      <w:r>
        <w:rPr>
          <w:rFonts w:hint="eastAsia" w:ascii="宋体" w:hAnsi="宋体" w:cs="宋体"/>
          <w:color w:val="auto"/>
          <w:sz w:val="24"/>
          <w:szCs w:val="20"/>
          <w:highlight w:val="none"/>
        </w:rPr>
        <w:t>（4）如我方中标，我方将在法律规定的期限内与你方签订合同，按照招标文件要求提交履约保证金，并在合同约定的期限内完成合同规定的全部义务。</w:t>
      </w:r>
    </w:p>
    <w:p w14:paraId="71DDBE58">
      <w:pPr>
        <w:keepNext w:val="0"/>
        <w:keepLines w:val="0"/>
        <w:pageBreakBefore w:val="0"/>
        <w:kinsoku/>
        <w:wordWrap/>
        <w:overflowPunct/>
        <w:topLinePunct w:val="0"/>
        <w:bidi w:val="0"/>
        <w:spacing w:after="0" w:line="360" w:lineRule="auto"/>
        <w:ind w:left="420"/>
        <w:textAlignment w:val="auto"/>
        <w:rPr>
          <w:rFonts w:hint="eastAsia" w:ascii="宋体" w:hAnsi="宋体" w:cs="宋体"/>
          <w:color w:val="auto"/>
          <w:sz w:val="24"/>
          <w:highlight w:val="none"/>
        </w:rPr>
      </w:pPr>
      <w:r>
        <w:rPr>
          <w:rFonts w:hint="eastAsia" w:ascii="宋体" w:hAnsi="宋体" w:cs="宋体"/>
          <w:color w:val="auto"/>
          <w:sz w:val="24"/>
          <w:highlight w:val="none"/>
        </w:rPr>
        <w:t>2. 其他补充条款（如有）：</w:t>
      </w:r>
      <w:r>
        <w:rPr>
          <w:rFonts w:hint="eastAsia" w:ascii="宋体" w:hAnsi="宋体" w:cs="宋体"/>
          <w:color w:val="auto"/>
          <w:sz w:val="24"/>
          <w:szCs w:val="20"/>
          <w:highlight w:val="none"/>
        </w:rPr>
        <w:t>___________</w:t>
      </w:r>
      <w:r>
        <w:rPr>
          <w:rFonts w:hint="eastAsia" w:ascii="宋体" w:hAnsi="宋体" w:cs="宋体"/>
          <w:color w:val="auto"/>
          <w:sz w:val="24"/>
          <w:highlight w:val="none"/>
        </w:rPr>
        <w:t>。</w:t>
      </w:r>
    </w:p>
    <w:p w14:paraId="62DC18DF">
      <w:pPr>
        <w:keepNext w:val="0"/>
        <w:keepLines w:val="0"/>
        <w:pageBreakBefore w:val="0"/>
        <w:kinsoku/>
        <w:wordWrap/>
        <w:overflowPunct/>
        <w:topLinePunct w:val="0"/>
        <w:bidi w:val="0"/>
        <w:spacing w:after="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与本投标有关的一切正式往来信函请寄：</w:t>
      </w:r>
    </w:p>
    <w:p w14:paraId="30B31A39">
      <w:pPr>
        <w:keepNext w:val="0"/>
        <w:keepLines w:val="0"/>
        <w:pageBreakBefore w:val="0"/>
        <w:tabs>
          <w:tab w:val="left" w:pos="5580"/>
        </w:tabs>
        <w:kinsoku/>
        <w:wordWrap/>
        <w:overflowPunct/>
        <w:topLinePunct w:val="0"/>
        <w:bidi w:val="0"/>
        <w:spacing w:after="0" w:line="360" w:lineRule="auto"/>
        <w:ind w:left="420"/>
        <w:textAlignment w:val="auto"/>
        <w:rPr>
          <w:rFonts w:hint="eastAsia" w:ascii="宋体" w:hAnsi="宋体" w:cs="宋体"/>
          <w:color w:val="auto"/>
          <w:sz w:val="24"/>
          <w:szCs w:val="20"/>
          <w:highlight w:val="none"/>
        </w:rPr>
      </w:pPr>
    </w:p>
    <w:p w14:paraId="6201D62B">
      <w:pPr>
        <w:keepNext w:val="0"/>
        <w:keepLines w:val="0"/>
        <w:pageBreakBefore w:val="0"/>
        <w:tabs>
          <w:tab w:val="left" w:pos="5580"/>
        </w:tabs>
        <w:kinsoku/>
        <w:wordWrap/>
        <w:overflowPunct/>
        <w:topLinePunct w:val="0"/>
        <w:bidi w:val="0"/>
        <w:spacing w:after="0" w:line="360" w:lineRule="auto"/>
        <w:ind w:left="420"/>
        <w:textAlignment w:val="auto"/>
        <w:rPr>
          <w:rFonts w:hint="eastAsia" w:ascii="宋体" w:hAnsi="宋体" w:cs="宋体"/>
          <w:color w:val="auto"/>
          <w:sz w:val="24"/>
          <w:szCs w:val="20"/>
          <w:highlight w:val="none"/>
        </w:rPr>
      </w:pPr>
      <w:r>
        <w:rPr>
          <w:rFonts w:hint="eastAsia" w:ascii="宋体" w:hAnsi="宋体" w:cs="宋体"/>
          <w:color w:val="auto"/>
          <w:sz w:val="24"/>
          <w:szCs w:val="20"/>
          <w:highlight w:val="none"/>
        </w:rPr>
        <w:t>地址_________________________     传真____________________________</w:t>
      </w:r>
    </w:p>
    <w:p w14:paraId="7B822B2D">
      <w:pPr>
        <w:keepNext w:val="0"/>
        <w:keepLines w:val="0"/>
        <w:pageBreakBefore w:val="0"/>
        <w:tabs>
          <w:tab w:val="left" w:pos="5580"/>
        </w:tabs>
        <w:kinsoku/>
        <w:wordWrap/>
        <w:overflowPunct/>
        <w:topLinePunct w:val="0"/>
        <w:bidi w:val="0"/>
        <w:spacing w:after="0" w:line="360" w:lineRule="auto"/>
        <w:ind w:left="420"/>
        <w:textAlignment w:val="auto"/>
        <w:rPr>
          <w:rFonts w:hint="eastAsia" w:ascii="宋体" w:hAnsi="宋体" w:cs="宋体"/>
          <w:color w:val="auto"/>
          <w:sz w:val="24"/>
          <w:szCs w:val="20"/>
          <w:highlight w:val="none"/>
        </w:rPr>
      </w:pPr>
      <w:r>
        <w:rPr>
          <w:rFonts w:hint="eastAsia" w:ascii="宋体" w:hAnsi="宋体" w:cs="宋体"/>
          <w:color w:val="auto"/>
          <w:sz w:val="24"/>
          <w:szCs w:val="20"/>
          <w:highlight w:val="none"/>
        </w:rPr>
        <w:t>电话_________________________     电子函件________________________</w:t>
      </w:r>
    </w:p>
    <w:p w14:paraId="4BBF4B58">
      <w:pPr>
        <w:keepNext w:val="0"/>
        <w:keepLines w:val="0"/>
        <w:pageBreakBefore w:val="0"/>
        <w:tabs>
          <w:tab w:val="left" w:pos="5580"/>
        </w:tabs>
        <w:kinsoku/>
        <w:wordWrap/>
        <w:overflowPunct/>
        <w:topLinePunct w:val="0"/>
        <w:bidi w:val="0"/>
        <w:spacing w:after="0" w:line="360" w:lineRule="auto"/>
        <w:ind w:left="420"/>
        <w:textAlignment w:val="auto"/>
        <w:rPr>
          <w:rFonts w:hint="eastAsia" w:ascii="宋体" w:hAnsi="宋体" w:cs="宋体"/>
          <w:color w:val="auto"/>
          <w:sz w:val="24"/>
          <w:szCs w:val="20"/>
          <w:highlight w:val="none"/>
        </w:rPr>
      </w:pPr>
    </w:p>
    <w:p w14:paraId="04BA3B53">
      <w:pPr>
        <w:keepNext w:val="0"/>
        <w:keepLines w:val="0"/>
        <w:pageBreakBefore w:val="0"/>
        <w:tabs>
          <w:tab w:val="left" w:pos="5580"/>
        </w:tabs>
        <w:kinsoku/>
        <w:wordWrap/>
        <w:overflowPunct/>
        <w:topLinePunct w:val="0"/>
        <w:bidi w:val="0"/>
        <w:spacing w:after="0" w:line="360" w:lineRule="auto"/>
        <w:ind w:left="420"/>
        <w:textAlignment w:val="auto"/>
        <w:rPr>
          <w:rFonts w:hint="eastAsia" w:ascii="宋体" w:hAnsi="宋体" w:cs="宋体"/>
          <w:color w:val="auto"/>
          <w:sz w:val="24"/>
          <w:szCs w:val="20"/>
          <w:highlight w:val="none"/>
        </w:rPr>
      </w:pPr>
      <w:r>
        <w:rPr>
          <w:rFonts w:hint="eastAsia" w:ascii="宋体" w:hAnsi="宋体" w:cs="宋体"/>
          <w:color w:val="auto"/>
          <w:sz w:val="24"/>
          <w:szCs w:val="20"/>
          <w:highlight w:val="none"/>
        </w:rPr>
        <w:t>投标人名称（加盖公章） ___________</w:t>
      </w:r>
    </w:p>
    <w:p w14:paraId="77829626">
      <w:pPr>
        <w:keepNext w:val="0"/>
        <w:keepLines w:val="0"/>
        <w:pageBreakBefore w:val="0"/>
        <w:tabs>
          <w:tab w:val="left" w:pos="5580"/>
        </w:tabs>
        <w:kinsoku/>
        <w:wordWrap/>
        <w:overflowPunct/>
        <w:topLinePunct w:val="0"/>
        <w:bidi w:val="0"/>
        <w:spacing w:after="0" w:line="360" w:lineRule="auto"/>
        <w:ind w:left="420"/>
        <w:textAlignment w:val="auto"/>
        <w:rPr>
          <w:rFonts w:hint="eastAsia" w:ascii="宋体" w:hAnsi="宋体" w:cs="宋体"/>
          <w:color w:val="auto"/>
          <w:sz w:val="24"/>
          <w:szCs w:val="20"/>
          <w:highlight w:val="none"/>
        </w:rPr>
      </w:pPr>
      <w:r>
        <w:rPr>
          <w:rFonts w:hint="eastAsia" w:ascii="宋体" w:hAnsi="宋体" w:cs="宋体"/>
          <w:color w:val="auto"/>
          <w:sz w:val="24"/>
          <w:szCs w:val="20"/>
          <w:highlight w:val="none"/>
        </w:rPr>
        <w:t xml:space="preserve">日期：_____年______月______日    </w:t>
      </w:r>
    </w:p>
    <w:p w14:paraId="67C71614">
      <w:pPr>
        <w:keepNext w:val="0"/>
        <w:keepLines w:val="0"/>
        <w:pageBreakBefore w:val="0"/>
        <w:tabs>
          <w:tab w:val="left" w:pos="5580"/>
        </w:tabs>
        <w:kinsoku/>
        <w:wordWrap/>
        <w:overflowPunct/>
        <w:topLinePunct w:val="0"/>
        <w:bidi w:val="0"/>
        <w:spacing w:after="0" w:line="360" w:lineRule="auto"/>
        <w:ind w:left="420"/>
        <w:textAlignment w:val="auto"/>
        <w:rPr>
          <w:rFonts w:hint="eastAsia" w:ascii="宋体" w:hAnsi="宋体" w:cs="宋体"/>
          <w:color w:val="auto"/>
          <w:sz w:val="24"/>
          <w:szCs w:val="20"/>
          <w:highlight w:val="none"/>
          <w:u w:val="single"/>
        </w:rPr>
      </w:pPr>
    </w:p>
    <w:p w14:paraId="5BA6FB38">
      <w:pPr>
        <w:keepNext w:val="0"/>
        <w:keepLines w:val="0"/>
        <w:pageBreakBefore w:val="0"/>
        <w:widowControl/>
        <w:kinsoku/>
        <w:wordWrap/>
        <w:overflowPunct/>
        <w:topLinePunct w:val="0"/>
        <w:bidi w:val="0"/>
        <w:spacing w:after="0" w:line="360" w:lineRule="auto"/>
        <w:jc w:val="left"/>
        <w:textAlignment w:val="auto"/>
        <w:rPr>
          <w:rFonts w:hint="eastAsia" w:ascii="宋体" w:hAnsi="宋体" w:cs="宋体"/>
          <w:color w:val="auto"/>
          <w:sz w:val="24"/>
          <w:highlight w:val="none"/>
        </w:rPr>
      </w:pPr>
      <w:bookmarkStart w:id="1042" w:name="_Hlt520356243"/>
      <w:bookmarkEnd w:id="1042"/>
      <w:bookmarkStart w:id="1043" w:name="_Hlt520355938"/>
      <w:bookmarkEnd w:id="1043"/>
      <w:bookmarkStart w:id="1044" w:name="_Toc226965830"/>
      <w:bookmarkStart w:id="1045" w:name="_Ref467988705"/>
      <w:bookmarkStart w:id="1046" w:name="_Toc520356218"/>
      <w:bookmarkStart w:id="1047" w:name="_Toc226337253"/>
      <w:bookmarkStart w:id="1048" w:name="_Toc150480795"/>
      <w:bookmarkStart w:id="1049" w:name="_Toc226965747"/>
      <w:bookmarkStart w:id="1050" w:name="_Toc127151557"/>
      <w:bookmarkStart w:id="1051" w:name="_Toc226309801"/>
      <w:bookmarkStart w:id="1052" w:name="_Toc305158825"/>
      <w:bookmarkStart w:id="1053" w:name="_Toc265228395"/>
      <w:bookmarkStart w:id="1054" w:name="_Toc195842922"/>
      <w:bookmarkStart w:id="1055" w:name="_Toc150774762"/>
      <w:bookmarkStart w:id="1056" w:name="_Toc142311059"/>
      <w:bookmarkStart w:id="1057" w:name="_Toc264969247"/>
      <w:bookmarkStart w:id="1058" w:name="_Toc305158899"/>
      <w:bookmarkStart w:id="1059" w:name="_Toc480942350"/>
      <w:r>
        <w:rPr>
          <w:rFonts w:hint="eastAsia" w:ascii="宋体" w:hAnsi="宋体" w:cs="宋体"/>
          <w:color w:val="auto"/>
          <w:sz w:val="24"/>
          <w:highlight w:val="none"/>
        </w:rPr>
        <w:br w:type="page"/>
      </w:r>
    </w:p>
    <w:p w14:paraId="30007A26">
      <w:pPr>
        <w:keepNext w:val="0"/>
        <w:keepLines w:val="0"/>
        <w:pageBreakBefore w:val="0"/>
        <w:kinsoku/>
        <w:wordWrap/>
        <w:overflowPunct/>
        <w:topLinePunct w:val="0"/>
        <w:bidi w:val="0"/>
        <w:spacing w:after="0" w:line="360" w:lineRule="auto"/>
        <w:textAlignment w:val="auto"/>
        <w:outlineLvl w:val="2"/>
        <w:rPr>
          <w:rFonts w:hint="eastAsia" w:ascii="宋体" w:hAnsi="宋体" w:cs="宋体"/>
          <w:color w:val="auto"/>
          <w:sz w:val="24"/>
          <w:highlight w:val="none"/>
        </w:rPr>
      </w:pPr>
      <w:r>
        <w:rPr>
          <w:rFonts w:hint="eastAsia" w:ascii="宋体" w:hAnsi="宋体" w:cs="宋体"/>
          <w:color w:val="auto"/>
          <w:sz w:val="24"/>
          <w:highlight w:val="none"/>
        </w:rPr>
        <w:t>2  授权委托书（实质性格式）</w:t>
      </w:r>
    </w:p>
    <w:p w14:paraId="1D5ABF60">
      <w:pPr>
        <w:keepNext w:val="0"/>
        <w:keepLines w:val="0"/>
        <w:pageBreakBefore w:val="0"/>
        <w:kinsoku/>
        <w:wordWrap/>
        <w:overflowPunct/>
        <w:topLinePunct w:val="0"/>
        <w:bidi w:val="0"/>
        <w:spacing w:after="0" w:line="360" w:lineRule="auto"/>
        <w:jc w:val="center"/>
        <w:textAlignment w:val="auto"/>
        <w:rPr>
          <w:rFonts w:hint="eastAsia" w:ascii="宋体" w:hAnsi="宋体" w:cs="宋体"/>
          <w:b/>
          <w:color w:val="auto"/>
          <w:sz w:val="36"/>
          <w:szCs w:val="36"/>
          <w:highlight w:val="none"/>
        </w:rPr>
      </w:pPr>
      <w:r>
        <w:rPr>
          <w:rFonts w:hint="eastAsia" w:ascii="宋体" w:hAnsi="宋体" w:cs="宋体"/>
          <w:b/>
          <w:color w:val="auto"/>
          <w:sz w:val="36"/>
          <w:szCs w:val="36"/>
          <w:highlight w:val="none"/>
        </w:rPr>
        <w:t>授权委托书</w:t>
      </w:r>
    </w:p>
    <w:p w14:paraId="3D6C88DD">
      <w:pPr>
        <w:keepNext w:val="0"/>
        <w:keepLines w:val="0"/>
        <w:pageBreakBefore w:val="0"/>
        <w:kinsoku/>
        <w:wordWrap/>
        <w:overflowPunct/>
        <w:topLinePunct w:val="0"/>
        <w:bidi w:val="0"/>
        <w:spacing w:after="0" w:line="360" w:lineRule="auto"/>
        <w:ind w:firstLine="420"/>
        <w:textAlignment w:val="auto"/>
        <w:rPr>
          <w:rFonts w:hint="eastAsia" w:ascii="宋体" w:hAnsi="宋体" w:cs="宋体"/>
          <w:color w:val="auto"/>
          <w:sz w:val="24"/>
          <w:szCs w:val="20"/>
          <w:highlight w:val="none"/>
        </w:rPr>
      </w:pPr>
    </w:p>
    <w:p w14:paraId="07CB489A">
      <w:pPr>
        <w:keepNext w:val="0"/>
        <w:keepLines w:val="0"/>
        <w:pageBreakBefore w:val="0"/>
        <w:kinsoku/>
        <w:wordWrap/>
        <w:overflowPunct/>
        <w:topLinePunct w:val="0"/>
        <w:bidi w:val="0"/>
        <w:spacing w:after="0" w:line="360" w:lineRule="auto"/>
        <w:ind w:firstLine="420"/>
        <w:textAlignment w:val="auto"/>
        <w:rPr>
          <w:rFonts w:hint="eastAsia" w:ascii="宋体" w:hAnsi="宋体" w:cs="宋体"/>
          <w:color w:val="auto"/>
          <w:sz w:val="24"/>
          <w:szCs w:val="20"/>
          <w:highlight w:val="none"/>
        </w:rPr>
      </w:pPr>
      <w:r>
        <w:rPr>
          <w:rFonts w:hint="eastAsia" w:ascii="宋体" w:hAnsi="宋体" w:cs="宋体"/>
          <w:color w:val="auto"/>
          <w:sz w:val="24"/>
          <w:szCs w:val="20"/>
          <w:highlight w:val="none"/>
        </w:rPr>
        <w:t>本人</w:t>
      </w:r>
      <w:r>
        <w:rPr>
          <w:rFonts w:hint="eastAsia" w:ascii="宋体" w:hAnsi="宋体" w:cs="宋体"/>
          <w:color w:val="auto"/>
          <w:sz w:val="24"/>
          <w:highlight w:val="none"/>
          <w:lang w:val="zh-CN"/>
        </w:rPr>
        <w:t>_______</w:t>
      </w:r>
      <w:r>
        <w:rPr>
          <w:rFonts w:hint="eastAsia" w:ascii="宋体" w:hAnsi="宋体" w:cs="宋体"/>
          <w:color w:val="auto"/>
          <w:sz w:val="24"/>
          <w:szCs w:val="20"/>
          <w:highlight w:val="none"/>
        </w:rPr>
        <w:t>（姓名）系</w:t>
      </w:r>
      <w:r>
        <w:rPr>
          <w:rFonts w:hint="eastAsia" w:ascii="宋体" w:hAnsi="宋体" w:cs="宋体"/>
          <w:color w:val="auto"/>
          <w:sz w:val="24"/>
          <w:highlight w:val="none"/>
          <w:lang w:val="zh-CN"/>
        </w:rPr>
        <w:t>________________</w:t>
      </w:r>
      <w:r>
        <w:rPr>
          <w:rFonts w:hint="eastAsia" w:ascii="宋体" w:hAnsi="宋体" w:cs="宋体"/>
          <w:color w:val="auto"/>
          <w:sz w:val="24"/>
          <w:szCs w:val="20"/>
          <w:highlight w:val="none"/>
        </w:rPr>
        <w:t>（投标人名称）的法定代表人（单位负责人），现委托</w:t>
      </w:r>
      <w:r>
        <w:rPr>
          <w:rFonts w:hint="eastAsia" w:ascii="宋体" w:hAnsi="宋体" w:cs="宋体"/>
          <w:color w:val="auto"/>
          <w:sz w:val="24"/>
          <w:highlight w:val="none"/>
          <w:lang w:val="zh-CN"/>
        </w:rPr>
        <w:t>_______</w:t>
      </w:r>
      <w:r>
        <w:rPr>
          <w:rFonts w:hint="eastAsia" w:ascii="宋体" w:hAnsi="宋体" w:cs="宋体"/>
          <w:color w:val="auto"/>
          <w:sz w:val="24"/>
          <w:szCs w:val="20"/>
          <w:highlight w:val="none"/>
        </w:rPr>
        <w:t>（姓名）为我方代理人。代理人根据授权，以我方名义签署、澄清确认、递交、撤回、修改</w:t>
      </w:r>
      <w:r>
        <w:rPr>
          <w:rFonts w:hint="eastAsia" w:ascii="宋体" w:hAnsi="宋体" w:cs="宋体"/>
          <w:color w:val="auto"/>
          <w:sz w:val="24"/>
          <w:highlight w:val="none"/>
          <w:lang w:val="zh-CN"/>
        </w:rPr>
        <w:t>________________</w:t>
      </w:r>
      <w:r>
        <w:rPr>
          <w:rFonts w:hint="eastAsia" w:ascii="宋体" w:hAnsi="宋体" w:cs="宋体"/>
          <w:color w:val="auto"/>
          <w:sz w:val="24"/>
          <w:szCs w:val="20"/>
          <w:highlight w:val="none"/>
        </w:rPr>
        <w:t>（项目名称/包号）响应文件和处理有关事宜，其法律后果由我方承担。</w:t>
      </w:r>
    </w:p>
    <w:p w14:paraId="1CACE5E8">
      <w:pPr>
        <w:keepNext w:val="0"/>
        <w:keepLines w:val="0"/>
        <w:pageBreakBefore w:val="0"/>
        <w:kinsoku/>
        <w:wordWrap/>
        <w:overflowPunct/>
        <w:topLinePunct w:val="0"/>
        <w:bidi w:val="0"/>
        <w:spacing w:after="0" w:line="360" w:lineRule="auto"/>
        <w:ind w:firstLine="420"/>
        <w:textAlignment w:val="auto"/>
        <w:rPr>
          <w:rFonts w:hint="eastAsia" w:ascii="宋体" w:hAnsi="宋体" w:cs="宋体"/>
          <w:color w:val="auto"/>
          <w:sz w:val="24"/>
          <w:szCs w:val="20"/>
          <w:highlight w:val="none"/>
        </w:rPr>
      </w:pPr>
      <w:r>
        <w:rPr>
          <w:rFonts w:hint="eastAsia" w:ascii="宋体" w:hAnsi="宋体" w:cs="宋体"/>
          <w:color w:val="auto"/>
          <w:sz w:val="24"/>
          <w:szCs w:val="20"/>
          <w:highlight w:val="none"/>
        </w:rPr>
        <w:t>委托期限：自本授权委托书签署之日起至响应有效期届满之日止。</w:t>
      </w:r>
    </w:p>
    <w:p w14:paraId="2FFCC455">
      <w:pPr>
        <w:keepNext w:val="0"/>
        <w:keepLines w:val="0"/>
        <w:pageBreakBefore w:val="0"/>
        <w:kinsoku/>
        <w:wordWrap/>
        <w:overflowPunct/>
        <w:topLinePunct w:val="0"/>
        <w:bidi w:val="0"/>
        <w:spacing w:after="0" w:line="360" w:lineRule="auto"/>
        <w:ind w:firstLine="420"/>
        <w:textAlignment w:val="auto"/>
        <w:rPr>
          <w:rFonts w:hint="eastAsia" w:ascii="宋体" w:hAnsi="宋体" w:cs="宋体"/>
          <w:color w:val="auto"/>
          <w:sz w:val="24"/>
          <w:szCs w:val="20"/>
          <w:highlight w:val="none"/>
        </w:rPr>
      </w:pPr>
      <w:r>
        <w:rPr>
          <w:rFonts w:hint="eastAsia" w:ascii="宋体" w:hAnsi="宋体" w:cs="宋体"/>
          <w:color w:val="auto"/>
          <w:sz w:val="24"/>
          <w:szCs w:val="20"/>
          <w:highlight w:val="none"/>
        </w:rPr>
        <w:t>代理人无转委托权。</w:t>
      </w:r>
      <w:r>
        <w:rPr>
          <w:rFonts w:hint="eastAsia" w:ascii="宋体" w:hAnsi="宋体" w:cs="宋体"/>
          <w:color w:val="auto"/>
          <w:sz w:val="24"/>
          <w:szCs w:val="20"/>
          <w:highlight w:val="none"/>
        </w:rPr>
        <w:cr/>
      </w:r>
    </w:p>
    <w:p w14:paraId="0F04BC8F">
      <w:pPr>
        <w:keepNext w:val="0"/>
        <w:keepLines w:val="0"/>
        <w:pageBreakBefore w:val="0"/>
        <w:kinsoku/>
        <w:wordWrap/>
        <w:overflowPunct/>
        <w:topLinePunct w:val="0"/>
        <w:bidi w:val="0"/>
        <w:spacing w:after="0" w:line="360" w:lineRule="auto"/>
        <w:textAlignment w:val="auto"/>
        <w:rPr>
          <w:rFonts w:hint="eastAsia" w:ascii="宋体" w:hAnsi="宋体" w:cs="宋体"/>
          <w:color w:val="auto"/>
          <w:sz w:val="24"/>
          <w:highlight w:val="none"/>
          <w:lang w:val="zh-CN"/>
        </w:rPr>
      </w:pPr>
      <w:r>
        <w:rPr>
          <w:rFonts w:hint="eastAsia" w:ascii="宋体" w:hAnsi="宋体" w:cs="宋体"/>
          <w:color w:val="auto"/>
          <w:sz w:val="24"/>
          <w:highlight w:val="none"/>
        </w:rPr>
        <w:t>投标人名称（加盖公章）</w:t>
      </w:r>
      <w:r>
        <w:rPr>
          <w:rFonts w:hint="eastAsia" w:ascii="宋体" w:hAnsi="宋体" w:cs="宋体"/>
          <w:color w:val="auto"/>
          <w:sz w:val="24"/>
          <w:highlight w:val="none"/>
          <w:lang w:val="zh-CN"/>
        </w:rPr>
        <w:t>：________________</w:t>
      </w:r>
    </w:p>
    <w:p w14:paraId="43C27EF5">
      <w:pPr>
        <w:keepNext w:val="0"/>
        <w:keepLines w:val="0"/>
        <w:pageBreakBefore w:val="0"/>
        <w:kinsoku/>
        <w:wordWrap/>
        <w:overflowPunct/>
        <w:topLinePunct w:val="0"/>
        <w:bidi w:val="0"/>
        <w:spacing w:after="0" w:line="360" w:lineRule="auto"/>
        <w:textAlignment w:val="auto"/>
        <w:rPr>
          <w:rFonts w:hint="eastAsia" w:ascii="宋体" w:hAnsi="宋体" w:cs="宋体"/>
          <w:color w:val="auto"/>
          <w:sz w:val="24"/>
          <w:szCs w:val="20"/>
          <w:highlight w:val="none"/>
        </w:rPr>
      </w:pPr>
      <w:r>
        <w:rPr>
          <w:rFonts w:hint="eastAsia" w:ascii="宋体" w:hAnsi="宋体" w:cs="宋体"/>
          <w:color w:val="auto"/>
          <w:sz w:val="24"/>
          <w:szCs w:val="20"/>
          <w:highlight w:val="none"/>
        </w:rPr>
        <w:t>法定代表人（单位负责人）（签字</w:t>
      </w:r>
      <w:r>
        <w:rPr>
          <w:rFonts w:hint="eastAsia" w:ascii="宋体" w:hAnsi="宋体" w:cs="宋体"/>
          <w:color w:val="auto"/>
          <w:sz w:val="24"/>
          <w:highlight w:val="none"/>
        </w:rPr>
        <w:t>或</w:t>
      </w:r>
      <w:r>
        <w:rPr>
          <w:rFonts w:hint="eastAsia" w:ascii="宋体" w:hAnsi="宋体" w:cs="宋体"/>
          <w:color w:val="auto"/>
          <w:sz w:val="24"/>
          <w:szCs w:val="20"/>
          <w:highlight w:val="none"/>
        </w:rPr>
        <w:t>签章）：</w:t>
      </w:r>
      <w:r>
        <w:rPr>
          <w:rFonts w:hint="eastAsia" w:ascii="宋体" w:hAnsi="宋体" w:cs="宋体"/>
          <w:color w:val="auto"/>
          <w:sz w:val="24"/>
          <w:highlight w:val="none"/>
          <w:lang w:val="zh-CN"/>
        </w:rPr>
        <w:t>________________</w:t>
      </w:r>
    </w:p>
    <w:p w14:paraId="178D6203">
      <w:pPr>
        <w:keepNext w:val="0"/>
        <w:keepLines w:val="0"/>
        <w:pageBreakBefore w:val="0"/>
        <w:kinsoku/>
        <w:wordWrap/>
        <w:overflowPunct/>
        <w:topLinePunct w:val="0"/>
        <w:autoSpaceDE w:val="0"/>
        <w:autoSpaceDN w:val="0"/>
        <w:bidi w:val="0"/>
        <w:adjustRightInd w:val="0"/>
        <w:snapToGrid w:val="0"/>
        <w:spacing w:after="0" w:line="360" w:lineRule="auto"/>
        <w:textAlignment w:val="auto"/>
        <w:rPr>
          <w:rFonts w:hint="eastAsia" w:ascii="宋体" w:hAnsi="宋体" w:cs="宋体"/>
          <w:color w:val="auto"/>
          <w:sz w:val="24"/>
          <w:highlight w:val="none"/>
          <w:lang w:val="zh-CN"/>
        </w:rPr>
      </w:pPr>
      <w:r>
        <w:rPr>
          <w:rFonts w:hint="eastAsia" w:ascii="宋体" w:hAnsi="宋体" w:cs="宋体"/>
          <w:color w:val="auto"/>
          <w:sz w:val="24"/>
          <w:highlight w:val="none"/>
        </w:rPr>
        <w:t>委托代理人（签字或签章）：</w:t>
      </w:r>
      <w:r>
        <w:rPr>
          <w:rFonts w:hint="eastAsia" w:ascii="宋体" w:hAnsi="宋体" w:cs="宋体"/>
          <w:color w:val="auto"/>
          <w:sz w:val="24"/>
          <w:highlight w:val="none"/>
          <w:lang w:val="zh-CN"/>
        </w:rPr>
        <w:t>________________</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 xml:space="preserve">                      </w:t>
      </w:r>
    </w:p>
    <w:p w14:paraId="25F5BADF">
      <w:pPr>
        <w:keepNext w:val="0"/>
        <w:keepLines w:val="0"/>
        <w:pageBreakBefore w:val="0"/>
        <w:kinsoku/>
        <w:wordWrap/>
        <w:overflowPunct/>
        <w:topLinePunct w:val="0"/>
        <w:autoSpaceDE w:val="0"/>
        <w:autoSpaceDN w:val="0"/>
        <w:bidi w:val="0"/>
        <w:adjustRightInd w:val="0"/>
        <w:snapToGrid w:val="0"/>
        <w:spacing w:after="0" w:line="360" w:lineRule="auto"/>
        <w:textAlignment w:val="auto"/>
        <w:rPr>
          <w:rFonts w:hint="eastAsia" w:ascii="宋体" w:hAnsi="宋体" w:cs="宋体"/>
          <w:color w:val="auto"/>
          <w:sz w:val="24"/>
          <w:highlight w:val="none"/>
          <w:lang w:val="zh-CN"/>
        </w:rPr>
      </w:pPr>
      <w:r>
        <w:rPr>
          <w:rFonts w:hint="eastAsia" w:ascii="宋体" w:hAnsi="宋体" w:cs="宋体"/>
          <w:color w:val="auto"/>
          <w:sz w:val="24"/>
          <w:highlight w:val="none"/>
        </w:rPr>
        <w:t>日期：_____年______月______日</w:t>
      </w:r>
    </w:p>
    <w:p w14:paraId="5F0ED62D">
      <w:pPr>
        <w:keepNext w:val="0"/>
        <w:keepLines w:val="0"/>
        <w:pageBreakBefore w:val="0"/>
        <w:tabs>
          <w:tab w:val="left" w:pos="5580"/>
        </w:tabs>
        <w:kinsoku/>
        <w:wordWrap/>
        <w:overflowPunct/>
        <w:topLinePunct w:val="0"/>
        <w:bidi w:val="0"/>
        <w:spacing w:after="0" w:line="360" w:lineRule="auto"/>
        <w:ind w:firstLine="480" w:firstLineChars="200"/>
        <w:textAlignment w:val="auto"/>
        <w:rPr>
          <w:rFonts w:hint="eastAsia" w:ascii="宋体" w:hAnsi="宋体" w:cs="宋体"/>
          <w:color w:val="auto"/>
          <w:sz w:val="24"/>
          <w:szCs w:val="20"/>
          <w:highlight w:val="none"/>
        </w:rPr>
      </w:pPr>
    </w:p>
    <w:p w14:paraId="573B5C08">
      <w:pPr>
        <w:keepNext w:val="0"/>
        <w:keepLines w:val="0"/>
        <w:pageBreakBefore w:val="0"/>
        <w:tabs>
          <w:tab w:val="left" w:pos="5580"/>
        </w:tabs>
        <w:kinsoku/>
        <w:wordWrap/>
        <w:overflowPunct/>
        <w:topLinePunct w:val="0"/>
        <w:bidi w:val="0"/>
        <w:spacing w:after="0" w:line="360" w:lineRule="auto"/>
        <w:jc w:val="left"/>
        <w:textAlignment w:val="auto"/>
        <w:rPr>
          <w:rFonts w:hint="eastAsia" w:ascii="宋体" w:hAnsi="宋体" w:cs="宋体"/>
          <w:color w:val="auto"/>
          <w:sz w:val="24"/>
          <w:szCs w:val="20"/>
          <w:highlight w:val="none"/>
        </w:rPr>
      </w:pPr>
      <w:r>
        <w:rPr>
          <w:rFonts w:hint="eastAsia" w:ascii="宋体" w:hAnsi="宋体" w:cs="宋体"/>
          <w:color w:val="auto"/>
          <w:sz w:val="24"/>
          <w:highlight w:val="none"/>
        </w:rPr>
        <w:t>附：法定代表人（单位负责人）及委托代理人身份证明文件电子件：</w:t>
      </w:r>
    </w:p>
    <w:p w14:paraId="1B467706">
      <w:pPr>
        <w:keepNext w:val="0"/>
        <w:keepLines w:val="0"/>
        <w:pageBreakBefore w:val="0"/>
        <w:tabs>
          <w:tab w:val="left" w:pos="5580"/>
        </w:tabs>
        <w:kinsoku/>
        <w:wordWrap/>
        <w:overflowPunct/>
        <w:topLinePunct w:val="0"/>
        <w:bidi w:val="0"/>
        <w:spacing w:after="0" w:line="360" w:lineRule="auto"/>
        <w:jc w:val="left"/>
        <w:textAlignment w:val="auto"/>
        <w:rPr>
          <w:rFonts w:hint="eastAsia" w:ascii="宋体" w:hAnsi="宋体" w:cs="宋体"/>
          <w:color w:val="auto"/>
          <w:sz w:val="24"/>
          <w:szCs w:val="20"/>
          <w:highlight w:val="none"/>
        </w:rPr>
      </w:pPr>
    </w:p>
    <w:p w14:paraId="7950EC08">
      <w:pPr>
        <w:keepNext w:val="0"/>
        <w:keepLines w:val="0"/>
        <w:pageBreakBefore w:val="0"/>
        <w:tabs>
          <w:tab w:val="left" w:pos="5580"/>
        </w:tabs>
        <w:kinsoku/>
        <w:wordWrap/>
        <w:overflowPunct/>
        <w:topLinePunct w:val="0"/>
        <w:bidi w:val="0"/>
        <w:spacing w:after="0" w:line="360" w:lineRule="auto"/>
        <w:jc w:val="left"/>
        <w:textAlignment w:val="auto"/>
        <w:rPr>
          <w:rFonts w:hint="eastAsia" w:ascii="宋体" w:hAnsi="宋体" w:cs="宋体"/>
          <w:color w:val="auto"/>
          <w:sz w:val="24"/>
          <w:szCs w:val="20"/>
          <w:highlight w:val="none"/>
        </w:rPr>
      </w:pPr>
    </w:p>
    <w:p w14:paraId="307BDA5B">
      <w:pPr>
        <w:keepNext w:val="0"/>
        <w:keepLines w:val="0"/>
        <w:pageBreakBefore w:val="0"/>
        <w:tabs>
          <w:tab w:val="left" w:pos="5580"/>
        </w:tabs>
        <w:kinsoku/>
        <w:wordWrap/>
        <w:overflowPunct/>
        <w:topLinePunct w:val="0"/>
        <w:bidi w:val="0"/>
        <w:spacing w:after="0" w:line="360" w:lineRule="auto"/>
        <w:jc w:val="left"/>
        <w:textAlignment w:val="auto"/>
        <w:rPr>
          <w:rFonts w:hint="eastAsia" w:ascii="宋体" w:hAnsi="宋体" w:cs="宋体"/>
          <w:color w:val="auto"/>
          <w:sz w:val="24"/>
          <w:szCs w:val="20"/>
          <w:highlight w:val="none"/>
        </w:rPr>
      </w:pPr>
    </w:p>
    <w:p w14:paraId="1A749AD2">
      <w:pPr>
        <w:keepNext w:val="0"/>
        <w:keepLines w:val="0"/>
        <w:pageBreakBefore w:val="0"/>
        <w:tabs>
          <w:tab w:val="left" w:pos="5580"/>
        </w:tabs>
        <w:kinsoku/>
        <w:wordWrap/>
        <w:overflowPunct/>
        <w:topLinePunct w:val="0"/>
        <w:bidi w:val="0"/>
        <w:spacing w:after="0" w:line="360" w:lineRule="auto"/>
        <w:jc w:val="left"/>
        <w:textAlignment w:val="auto"/>
        <w:rPr>
          <w:rFonts w:hint="eastAsia" w:ascii="宋体" w:hAnsi="宋体" w:cs="宋体"/>
          <w:color w:val="auto"/>
          <w:sz w:val="24"/>
          <w:szCs w:val="20"/>
          <w:highlight w:val="none"/>
        </w:rPr>
      </w:pPr>
      <w:r>
        <w:rPr>
          <w:rFonts w:hint="eastAsia" w:ascii="宋体" w:hAnsi="宋体" w:cs="宋体"/>
          <w:color w:val="auto"/>
          <w:sz w:val="24"/>
          <w:szCs w:val="20"/>
          <w:highlight w:val="none"/>
        </w:rPr>
        <w:t>说明：</w:t>
      </w:r>
    </w:p>
    <w:p w14:paraId="066421E4">
      <w:pPr>
        <w:keepNext w:val="0"/>
        <w:keepLines w:val="0"/>
        <w:pageBreakBefore w:val="0"/>
        <w:tabs>
          <w:tab w:val="left" w:pos="5580"/>
        </w:tabs>
        <w:kinsoku/>
        <w:wordWrap/>
        <w:overflowPunct/>
        <w:topLinePunct w:val="0"/>
        <w:bidi w:val="0"/>
        <w:spacing w:after="0" w:line="360" w:lineRule="auto"/>
        <w:jc w:val="left"/>
        <w:textAlignment w:val="auto"/>
        <w:rPr>
          <w:rFonts w:hint="eastAsia" w:ascii="宋体" w:hAnsi="宋体" w:cs="宋体"/>
          <w:color w:val="auto"/>
          <w:sz w:val="24"/>
          <w:szCs w:val="20"/>
          <w:highlight w:val="none"/>
        </w:rPr>
      </w:pPr>
      <w:r>
        <w:rPr>
          <w:rFonts w:hint="eastAsia" w:ascii="宋体" w:hAnsi="宋体" w:cs="宋体"/>
          <w:color w:val="auto"/>
          <w:sz w:val="24"/>
          <w:szCs w:val="20"/>
          <w:highlight w:val="none"/>
        </w:rPr>
        <w:t>1.若供应商为事业单位或其他组织或分支机构，则法定代表人（单位负责人）处的签署人可为单位负责人。</w:t>
      </w:r>
    </w:p>
    <w:p w14:paraId="4A74D2C3">
      <w:pPr>
        <w:keepNext w:val="0"/>
        <w:keepLines w:val="0"/>
        <w:pageBreakBefore w:val="0"/>
        <w:tabs>
          <w:tab w:val="left" w:pos="5580"/>
        </w:tabs>
        <w:kinsoku/>
        <w:wordWrap/>
        <w:overflowPunct/>
        <w:topLinePunct w:val="0"/>
        <w:bidi w:val="0"/>
        <w:spacing w:after="0" w:line="360" w:lineRule="auto"/>
        <w:jc w:val="left"/>
        <w:textAlignment w:val="auto"/>
        <w:rPr>
          <w:rFonts w:hint="eastAsia" w:ascii="宋体" w:hAnsi="宋体" w:cs="宋体"/>
          <w:color w:val="auto"/>
          <w:sz w:val="24"/>
          <w:szCs w:val="20"/>
          <w:highlight w:val="none"/>
        </w:rPr>
      </w:pPr>
      <w:r>
        <w:rPr>
          <w:rFonts w:hint="eastAsia" w:ascii="宋体" w:hAnsi="宋体" w:cs="宋体"/>
          <w:color w:val="auto"/>
          <w:sz w:val="24"/>
          <w:szCs w:val="20"/>
          <w:highlight w:val="none"/>
        </w:rPr>
        <w:t>2.若投标文件中签字之处均为法定代表人（单位负责人）本人签署，则可不提供本《授权委托书》，但须提供《法定代表人（单位负责人）身份证明》；否则，不需要提供《法定代表人（单位负责人）身份证明》。</w:t>
      </w:r>
    </w:p>
    <w:p w14:paraId="7EC65FBF">
      <w:pPr>
        <w:keepNext w:val="0"/>
        <w:keepLines w:val="0"/>
        <w:pageBreakBefore w:val="0"/>
        <w:tabs>
          <w:tab w:val="left" w:pos="5580"/>
        </w:tabs>
        <w:kinsoku/>
        <w:wordWrap/>
        <w:overflowPunct/>
        <w:topLinePunct w:val="0"/>
        <w:bidi w:val="0"/>
        <w:spacing w:after="0" w:line="360" w:lineRule="auto"/>
        <w:jc w:val="left"/>
        <w:textAlignment w:val="auto"/>
        <w:rPr>
          <w:rFonts w:hint="eastAsia" w:ascii="宋体" w:hAnsi="宋体" w:cs="宋体"/>
          <w:color w:val="auto"/>
          <w:sz w:val="24"/>
          <w:szCs w:val="20"/>
          <w:highlight w:val="none"/>
        </w:rPr>
      </w:pPr>
      <w:r>
        <w:rPr>
          <w:rFonts w:hint="eastAsia" w:ascii="宋体" w:hAnsi="宋体" w:cs="宋体"/>
          <w:color w:val="auto"/>
          <w:sz w:val="24"/>
          <w:szCs w:val="20"/>
          <w:highlight w:val="none"/>
        </w:rPr>
        <w:t>3.供应商为自然人的情形，可不提供本《授权委托书》。</w:t>
      </w:r>
    </w:p>
    <w:p w14:paraId="1B542B95">
      <w:pPr>
        <w:keepNext w:val="0"/>
        <w:keepLines w:val="0"/>
        <w:pageBreakBefore w:val="0"/>
        <w:tabs>
          <w:tab w:val="left" w:pos="5580"/>
        </w:tabs>
        <w:kinsoku/>
        <w:wordWrap/>
        <w:overflowPunct/>
        <w:topLinePunct w:val="0"/>
        <w:bidi w:val="0"/>
        <w:spacing w:after="0" w:line="360" w:lineRule="auto"/>
        <w:jc w:val="left"/>
        <w:textAlignment w:val="auto"/>
        <w:rPr>
          <w:rFonts w:hint="eastAsia" w:ascii="宋体" w:hAnsi="宋体" w:cs="宋体"/>
          <w:color w:val="auto"/>
          <w:sz w:val="30"/>
          <w:szCs w:val="30"/>
          <w:highlight w:val="none"/>
        </w:rPr>
      </w:pPr>
      <w:r>
        <w:rPr>
          <w:rFonts w:hint="eastAsia" w:ascii="宋体" w:hAnsi="宋体" w:cs="宋体"/>
          <w:color w:val="auto"/>
          <w:sz w:val="24"/>
          <w:szCs w:val="20"/>
          <w:highlight w:val="none"/>
        </w:rPr>
        <w:t>4.供应商应随本《授权委托书》同时提供法定代表人（单位负责人）及委托代理人的有效的身份证或护照等身份证明文件电子件。提供身份证的，应同时提供身份证双面电子件。</w:t>
      </w:r>
      <w:r>
        <w:rPr>
          <w:rFonts w:hint="eastAsia" w:ascii="宋体" w:hAnsi="宋体" w:cs="宋体"/>
          <w:color w:val="auto"/>
          <w:sz w:val="30"/>
          <w:szCs w:val="30"/>
          <w:highlight w:val="none"/>
        </w:rPr>
        <w:br w:type="page"/>
      </w:r>
    </w:p>
    <w:p w14:paraId="0718BD16">
      <w:pPr>
        <w:spacing w:line="360" w:lineRule="exact"/>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附：法定代表人（单位负责人）身份证明</w:t>
      </w:r>
    </w:p>
    <w:p w14:paraId="5B1AB32E">
      <w:pPr>
        <w:kinsoku w:val="0"/>
        <w:overflowPunct w:val="0"/>
        <w:spacing w:line="200" w:lineRule="exact"/>
        <w:rPr>
          <w:rFonts w:hint="eastAsia" w:ascii="宋体" w:hAnsi="宋体" w:cs="宋体"/>
          <w:color w:val="auto"/>
          <w:sz w:val="20"/>
          <w:szCs w:val="20"/>
          <w:highlight w:val="none"/>
        </w:rPr>
      </w:pPr>
    </w:p>
    <w:p w14:paraId="2A58E2C6">
      <w:pPr>
        <w:tabs>
          <w:tab w:val="left" w:pos="5580"/>
        </w:tabs>
        <w:spacing w:line="360" w:lineRule="auto"/>
        <w:rPr>
          <w:rFonts w:hint="eastAsia" w:ascii="宋体" w:hAnsi="宋体" w:cs="宋体"/>
          <w:color w:val="auto"/>
          <w:sz w:val="24"/>
          <w:highlight w:val="none"/>
        </w:rPr>
      </w:pPr>
    </w:p>
    <w:p w14:paraId="2F009175">
      <w:pPr>
        <w:tabs>
          <w:tab w:val="left" w:pos="5580"/>
        </w:tabs>
        <w:spacing w:line="360" w:lineRule="auto"/>
        <w:rPr>
          <w:rFonts w:hint="eastAsia" w:ascii="宋体" w:hAnsi="宋体" w:cs="宋体"/>
          <w:color w:val="auto"/>
          <w:sz w:val="24"/>
          <w:highlight w:val="none"/>
        </w:rPr>
      </w:pPr>
    </w:p>
    <w:p w14:paraId="43D912F1">
      <w:pPr>
        <w:tabs>
          <w:tab w:val="left" w:pos="5580"/>
        </w:tabs>
        <w:spacing w:line="360" w:lineRule="auto"/>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（采购人或采购代理机构）</w:t>
      </w:r>
    </w:p>
    <w:p w14:paraId="79B86E6E">
      <w:pPr>
        <w:pStyle w:val="18"/>
        <w:tabs>
          <w:tab w:val="left" w:pos="2412"/>
          <w:tab w:val="left" w:pos="3883"/>
          <w:tab w:val="left" w:pos="5352"/>
          <w:tab w:val="left" w:pos="6821"/>
        </w:tabs>
        <w:kinsoku w:val="0"/>
        <w:overflowPunct w:val="0"/>
        <w:spacing w:line="335" w:lineRule="exact"/>
        <w:ind w:firstLine="480" w:firstLineChars="200"/>
        <w:rPr>
          <w:rFonts w:hint="eastAsia" w:cs="宋体"/>
          <w:color w:val="auto"/>
          <w:highlight w:val="none"/>
        </w:rPr>
      </w:pPr>
      <w:r>
        <w:rPr>
          <w:rFonts w:hint="eastAsia" w:cs="宋体"/>
          <w:color w:val="auto"/>
          <w:highlight w:val="none"/>
        </w:rPr>
        <w:t>兹证明，</w:t>
      </w:r>
    </w:p>
    <w:p w14:paraId="33716BB8">
      <w:pPr>
        <w:pStyle w:val="18"/>
        <w:tabs>
          <w:tab w:val="left" w:pos="1690"/>
          <w:tab w:val="left" w:pos="3400"/>
          <w:tab w:val="left" w:pos="5110"/>
          <w:tab w:val="left" w:pos="6821"/>
        </w:tabs>
        <w:kinsoku w:val="0"/>
        <w:overflowPunct w:val="0"/>
        <w:spacing w:line="335" w:lineRule="exact"/>
        <w:rPr>
          <w:rFonts w:hint="eastAsia" w:cs="宋体"/>
          <w:color w:val="auto"/>
          <w:highlight w:val="none"/>
        </w:rPr>
      </w:pPr>
      <w:r>
        <w:rPr>
          <w:rFonts w:hint="eastAsia" w:cs="宋体"/>
          <w:color w:val="auto"/>
          <w:highlight w:val="none"/>
        </w:rPr>
        <w:t>姓名：____性别：____年龄：____职务：____</w:t>
      </w:r>
    </w:p>
    <w:p w14:paraId="213E5221">
      <w:pPr>
        <w:pStyle w:val="18"/>
        <w:tabs>
          <w:tab w:val="left" w:pos="2412"/>
          <w:tab w:val="left" w:pos="3883"/>
          <w:tab w:val="left" w:pos="5352"/>
          <w:tab w:val="left" w:pos="6821"/>
        </w:tabs>
        <w:kinsoku w:val="0"/>
        <w:overflowPunct w:val="0"/>
        <w:spacing w:line="335" w:lineRule="exact"/>
        <w:rPr>
          <w:rFonts w:hint="eastAsia" w:cs="宋体"/>
          <w:color w:val="auto"/>
          <w:highlight w:val="none"/>
        </w:rPr>
      </w:pPr>
    </w:p>
    <w:p w14:paraId="6EE17F1F">
      <w:pPr>
        <w:pStyle w:val="18"/>
        <w:tabs>
          <w:tab w:val="left" w:pos="2250"/>
          <w:tab w:val="left" w:pos="2412"/>
          <w:tab w:val="left" w:pos="3883"/>
          <w:tab w:val="left" w:pos="5352"/>
          <w:tab w:val="left" w:pos="6821"/>
          <w:tab w:val="clear" w:pos="567"/>
        </w:tabs>
        <w:kinsoku w:val="0"/>
        <w:overflowPunct w:val="0"/>
        <w:spacing w:line="335" w:lineRule="exact"/>
        <w:rPr>
          <w:rFonts w:hint="eastAsia" w:cs="宋体"/>
          <w:color w:val="auto"/>
          <w:highlight w:val="none"/>
        </w:rPr>
      </w:pPr>
      <w:r>
        <w:rPr>
          <w:rFonts w:hint="eastAsia" w:cs="宋体"/>
          <w:color w:val="auto"/>
          <w:highlight w:val="none"/>
        </w:rPr>
        <w:t>系</w:t>
      </w:r>
      <w:r>
        <w:rPr>
          <w:rFonts w:hint="eastAsia" w:cs="宋体"/>
          <w:color w:val="auto"/>
          <w:highlight w:val="none"/>
          <w:u w:val="single"/>
        </w:rPr>
        <w:tab/>
      </w:r>
      <w:r>
        <w:rPr>
          <w:rFonts w:hint="eastAsia" w:cs="宋体"/>
          <w:color w:val="auto"/>
          <w:highlight w:val="none"/>
        </w:rPr>
        <w:t>（投标人名称）的法定代表人（单位负责人）。</w:t>
      </w:r>
    </w:p>
    <w:p w14:paraId="5BD6BEDF">
      <w:pPr>
        <w:pStyle w:val="18"/>
        <w:tabs>
          <w:tab w:val="left" w:pos="2412"/>
          <w:tab w:val="left" w:pos="3883"/>
          <w:tab w:val="left" w:pos="5352"/>
          <w:tab w:val="left" w:pos="6821"/>
        </w:tabs>
        <w:kinsoku w:val="0"/>
        <w:overflowPunct w:val="0"/>
        <w:spacing w:line="335" w:lineRule="exact"/>
        <w:rPr>
          <w:rFonts w:hint="eastAsia" w:cs="宋体"/>
          <w:color w:val="auto"/>
          <w:highlight w:val="none"/>
        </w:rPr>
      </w:pPr>
    </w:p>
    <w:p w14:paraId="58655F88">
      <w:pPr>
        <w:pStyle w:val="18"/>
        <w:tabs>
          <w:tab w:val="left" w:pos="2412"/>
          <w:tab w:val="left" w:pos="3883"/>
          <w:tab w:val="left" w:pos="5352"/>
          <w:tab w:val="left" w:pos="6821"/>
        </w:tabs>
        <w:kinsoku w:val="0"/>
        <w:overflowPunct w:val="0"/>
        <w:spacing w:line="335" w:lineRule="exact"/>
        <w:rPr>
          <w:rFonts w:hint="eastAsia" w:cs="宋体"/>
          <w:color w:val="auto"/>
          <w:highlight w:val="none"/>
        </w:rPr>
      </w:pPr>
    </w:p>
    <w:p w14:paraId="440EBB2C">
      <w:pPr>
        <w:pStyle w:val="18"/>
        <w:tabs>
          <w:tab w:val="left" w:pos="2412"/>
          <w:tab w:val="left" w:pos="3883"/>
          <w:tab w:val="left" w:pos="5352"/>
          <w:tab w:val="left" w:pos="6821"/>
        </w:tabs>
        <w:kinsoku w:val="0"/>
        <w:overflowPunct w:val="0"/>
        <w:spacing w:line="335" w:lineRule="exact"/>
        <w:rPr>
          <w:rFonts w:hint="eastAsia" w:cs="宋体"/>
          <w:color w:val="auto"/>
          <w:highlight w:val="none"/>
        </w:rPr>
      </w:pPr>
    </w:p>
    <w:p w14:paraId="042F6DDD">
      <w:pPr>
        <w:pStyle w:val="18"/>
        <w:kinsoku w:val="0"/>
        <w:overflowPunct w:val="0"/>
        <w:spacing w:line="583" w:lineRule="auto"/>
        <w:ind w:right="-46"/>
        <w:rPr>
          <w:rFonts w:hint="eastAsia" w:cs="宋体"/>
          <w:color w:val="auto"/>
          <w:spacing w:val="-3"/>
          <w:highlight w:val="none"/>
        </w:rPr>
      </w:pPr>
      <w:r>
        <w:rPr>
          <w:rFonts w:hint="eastAsia" w:cs="宋体"/>
          <w:color w:val="auto"/>
          <w:highlight w:val="none"/>
        </w:rPr>
        <w:t>附：</w:t>
      </w:r>
      <w:r>
        <w:rPr>
          <w:rFonts w:hint="eastAsia" w:cs="宋体"/>
          <w:color w:val="auto"/>
          <w:highlight w:val="none"/>
        </w:rPr>
        <w:t>法定代表人（单位负责人）身份证或护照等身份证明文件电子件</w:t>
      </w:r>
      <w:r>
        <w:rPr>
          <w:rFonts w:hint="eastAsia" w:cs="宋体"/>
          <w:color w:val="auto"/>
          <w:spacing w:val="-3"/>
          <w:highlight w:val="none"/>
        </w:rPr>
        <w:t>。</w:t>
      </w:r>
    </w:p>
    <w:p w14:paraId="2A9679D3">
      <w:pPr>
        <w:pStyle w:val="18"/>
        <w:kinsoku w:val="0"/>
        <w:overflowPunct w:val="0"/>
        <w:spacing w:line="583" w:lineRule="auto"/>
        <w:ind w:right="4305"/>
        <w:rPr>
          <w:rFonts w:hint="eastAsia" w:cs="宋体"/>
          <w:color w:val="auto"/>
          <w:spacing w:val="-3"/>
          <w:highlight w:val="none"/>
        </w:rPr>
      </w:pPr>
    </w:p>
    <w:p w14:paraId="69CC5284">
      <w:pPr>
        <w:pStyle w:val="18"/>
        <w:kinsoku w:val="0"/>
        <w:overflowPunct w:val="0"/>
        <w:spacing w:line="583" w:lineRule="auto"/>
        <w:ind w:right="4305"/>
        <w:rPr>
          <w:rFonts w:hint="eastAsia" w:cs="宋体"/>
          <w:color w:val="auto"/>
          <w:spacing w:val="-3"/>
          <w:highlight w:val="none"/>
        </w:rPr>
      </w:pPr>
    </w:p>
    <w:p w14:paraId="5E867B00">
      <w:pPr>
        <w:autoSpaceDE w:val="0"/>
        <w:autoSpaceDN w:val="0"/>
        <w:adjustRightInd w:val="0"/>
        <w:snapToGrid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rPr>
        <w:t>投标人名称（加盖公章）</w:t>
      </w:r>
      <w:r>
        <w:rPr>
          <w:rFonts w:hint="eastAsia" w:ascii="宋体" w:hAnsi="宋体" w:cs="宋体"/>
          <w:color w:val="auto"/>
          <w:sz w:val="24"/>
          <w:highlight w:val="none"/>
          <w:lang w:val="zh-CN"/>
        </w:rPr>
        <w:t>：________________</w:t>
      </w:r>
    </w:p>
    <w:p w14:paraId="6829A22A">
      <w:pPr>
        <w:autoSpaceDE w:val="0"/>
        <w:autoSpaceDN w:val="0"/>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法定代表人（单位负责人）（签字或签章）：_______</w:t>
      </w:r>
    </w:p>
    <w:p w14:paraId="203F0611">
      <w:pPr>
        <w:autoSpaceDE w:val="0"/>
        <w:autoSpaceDN w:val="0"/>
        <w:adjustRightInd w:val="0"/>
        <w:snapToGrid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rPr>
        <w:t>日期：_____年______月______日</w:t>
      </w:r>
    </w:p>
    <w:p w14:paraId="2CD887BA">
      <w:pPr>
        <w:widowControl/>
        <w:jc w:val="left"/>
        <w:rPr>
          <w:rFonts w:hint="eastAsia" w:ascii="宋体" w:hAnsi="宋体" w:cs="宋体"/>
          <w:i/>
          <w:color w:val="auto"/>
          <w:sz w:val="24"/>
          <w:szCs w:val="20"/>
          <w:highlight w:val="none"/>
          <w:u w:val="single"/>
        </w:rPr>
      </w:pPr>
    </w:p>
    <w:p w14:paraId="09DBC457">
      <w:pPr>
        <w:widowControl/>
        <w:jc w:val="left"/>
        <w:rPr>
          <w:rFonts w:hint="eastAsia" w:ascii="宋体" w:hAnsi="宋体" w:cs="宋体"/>
          <w:color w:val="auto"/>
          <w:sz w:val="24"/>
          <w:szCs w:val="20"/>
          <w:highlight w:val="none"/>
        </w:rPr>
      </w:pPr>
      <w:r>
        <w:rPr>
          <w:rFonts w:hint="eastAsia" w:ascii="宋体" w:hAnsi="宋体" w:cs="宋体"/>
          <w:color w:val="auto"/>
          <w:sz w:val="24"/>
          <w:szCs w:val="20"/>
          <w:highlight w:val="none"/>
        </w:rPr>
        <w:br w:type="page"/>
      </w:r>
    </w:p>
    <w:p w14:paraId="4F07E1F2">
      <w:pPr>
        <w:spacing w:line="360" w:lineRule="auto"/>
        <w:outlineLvl w:val="2"/>
        <w:rPr>
          <w:rFonts w:hint="eastAsia" w:ascii="宋体" w:hAnsi="宋体" w:cs="宋体"/>
          <w:color w:val="auto"/>
          <w:sz w:val="24"/>
          <w:szCs w:val="20"/>
          <w:highlight w:val="none"/>
        </w:rPr>
      </w:pPr>
      <w:r>
        <w:rPr>
          <w:rFonts w:hint="eastAsia" w:ascii="宋体" w:hAnsi="宋体" w:cs="宋体"/>
          <w:color w:val="auto"/>
          <w:sz w:val="24"/>
          <w:szCs w:val="20"/>
          <w:highlight w:val="none"/>
        </w:rPr>
        <w:t>3  开标一览表</w:t>
      </w:r>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r>
        <w:rPr>
          <w:rFonts w:hint="eastAsia" w:ascii="宋体" w:hAnsi="宋体" w:cs="宋体"/>
          <w:color w:val="auto"/>
          <w:sz w:val="24"/>
          <w:szCs w:val="20"/>
          <w:highlight w:val="none"/>
        </w:rPr>
        <w:t>（实质性格式）</w:t>
      </w:r>
    </w:p>
    <w:p w14:paraId="7C73DE6C">
      <w:pPr>
        <w:spacing w:line="360" w:lineRule="exact"/>
        <w:jc w:val="center"/>
        <w:rPr>
          <w:rFonts w:hint="eastAsia" w:ascii="宋体" w:hAnsi="宋体" w:cs="宋体"/>
          <w:b/>
          <w:color w:val="auto"/>
          <w:sz w:val="36"/>
          <w:szCs w:val="36"/>
          <w:highlight w:val="none"/>
        </w:rPr>
      </w:pPr>
      <w:bookmarkStart w:id="1060" w:name="_Toc226965748"/>
      <w:bookmarkStart w:id="1061" w:name="_Toc195842923"/>
      <w:bookmarkStart w:id="1062" w:name="_Toc226965831"/>
      <w:bookmarkStart w:id="1063" w:name="_Toc164608827"/>
      <w:bookmarkStart w:id="1064" w:name="_Toc226309802"/>
      <w:bookmarkStart w:id="1065" w:name="_Toc264969248"/>
      <w:bookmarkStart w:id="1066" w:name="_Toc265228396"/>
      <w:bookmarkStart w:id="1067" w:name="_Toc164608672"/>
      <w:bookmarkStart w:id="1068" w:name="_Toc305158826"/>
      <w:bookmarkStart w:id="1069" w:name="_Toc305158900"/>
      <w:bookmarkStart w:id="1070" w:name="_Toc226337254"/>
      <w:r>
        <w:rPr>
          <w:rFonts w:hint="eastAsia" w:ascii="宋体" w:hAnsi="宋体" w:cs="宋体"/>
          <w:b/>
          <w:color w:val="auto"/>
          <w:sz w:val="36"/>
          <w:szCs w:val="36"/>
          <w:highlight w:val="none"/>
        </w:rPr>
        <w:t>开标一览表</w:t>
      </w:r>
      <w:bookmarkEnd w:id="1060"/>
      <w:bookmarkEnd w:id="1061"/>
      <w:bookmarkEnd w:id="1062"/>
      <w:bookmarkEnd w:id="1063"/>
      <w:bookmarkEnd w:id="1064"/>
      <w:bookmarkEnd w:id="1065"/>
      <w:bookmarkEnd w:id="1066"/>
      <w:bookmarkEnd w:id="1067"/>
      <w:bookmarkEnd w:id="1068"/>
      <w:bookmarkEnd w:id="1069"/>
      <w:bookmarkEnd w:id="1070"/>
    </w:p>
    <w:p w14:paraId="0428C974">
      <w:pPr>
        <w:tabs>
          <w:tab w:val="left" w:pos="1800"/>
          <w:tab w:val="left" w:pos="5580"/>
        </w:tabs>
        <w:spacing w:line="360" w:lineRule="auto"/>
        <w:jc w:val="left"/>
        <w:rPr>
          <w:rFonts w:hint="eastAsia" w:ascii="宋体" w:hAnsi="宋体" w:cs="宋体"/>
          <w:i/>
          <w:color w:val="auto"/>
          <w:sz w:val="24"/>
          <w:highlight w:val="none"/>
        </w:rPr>
      </w:pPr>
    </w:p>
    <w:p w14:paraId="2BC51021">
      <w:pPr>
        <w:tabs>
          <w:tab w:val="left" w:pos="1800"/>
          <w:tab w:val="left" w:pos="5580"/>
        </w:tabs>
        <w:spacing w:line="360" w:lineRule="auto"/>
        <w:jc w:val="left"/>
        <w:rPr>
          <w:rFonts w:hint="eastAsia" w:ascii="宋体" w:hAnsi="宋体" w:cs="宋体"/>
          <w:i/>
          <w:color w:val="auto"/>
          <w:sz w:val="24"/>
          <w:highlight w:val="none"/>
        </w:rPr>
      </w:pPr>
    </w:p>
    <w:p w14:paraId="4208832D">
      <w:pPr>
        <w:tabs>
          <w:tab w:val="left" w:pos="1800"/>
          <w:tab w:val="left" w:pos="5580"/>
        </w:tabs>
        <w:spacing w:line="360" w:lineRule="auto"/>
        <w:ind w:firstLine="240" w:firstLineChars="100"/>
        <w:jc w:val="left"/>
        <w:rPr>
          <w:rFonts w:hint="eastAsia" w:ascii="宋体" w:hAnsi="宋体" w:cs="宋体"/>
          <w:color w:val="auto"/>
          <w:sz w:val="24"/>
          <w:highlight w:val="none"/>
          <w:u w:val="single"/>
        </w:rPr>
      </w:pPr>
      <w:r>
        <w:rPr>
          <w:rFonts w:hint="eastAsia" w:ascii="宋体" w:hAnsi="宋体" w:cs="宋体"/>
          <w:color w:val="auto"/>
          <w:sz w:val="24"/>
          <w:highlight w:val="none"/>
        </w:rPr>
        <w:t>项目编号/包号：_____________________     项目名称：____________</w:t>
      </w:r>
    </w:p>
    <w:tbl>
      <w:tblPr>
        <w:tblStyle w:val="47"/>
        <w:tblW w:w="46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47"/>
        <w:gridCol w:w="3476"/>
        <w:gridCol w:w="1864"/>
        <w:gridCol w:w="1860"/>
      </w:tblGrid>
      <w:tr w14:paraId="3FD90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12" w:type="pct"/>
            <w:vMerge w:val="restart"/>
            <w:vAlign w:val="center"/>
          </w:tcPr>
          <w:p w14:paraId="5B9D303C">
            <w:pPr>
              <w:tabs>
                <w:tab w:val="left" w:pos="5580"/>
              </w:tabs>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2215" w:type="pct"/>
            <w:vMerge w:val="restart"/>
            <w:vAlign w:val="center"/>
          </w:tcPr>
          <w:p w14:paraId="3850544D">
            <w:pPr>
              <w:tabs>
                <w:tab w:val="left" w:pos="5580"/>
              </w:tabs>
              <w:jc w:val="center"/>
              <w:rPr>
                <w:rFonts w:hint="eastAsia" w:ascii="宋体" w:hAnsi="宋体" w:cs="宋体"/>
                <w:b/>
                <w:color w:val="auto"/>
                <w:sz w:val="24"/>
                <w:highlight w:val="none"/>
              </w:rPr>
            </w:pPr>
            <w:r>
              <w:rPr>
                <w:rFonts w:hint="eastAsia" w:ascii="宋体" w:hAnsi="宋体" w:cs="宋体"/>
                <w:b/>
                <w:color w:val="auto"/>
                <w:sz w:val="24"/>
                <w:highlight w:val="none"/>
              </w:rPr>
              <w:t>投标人名称</w:t>
            </w:r>
          </w:p>
        </w:tc>
        <w:tc>
          <w:tcPr>
            <w:tcW w:w="2373" w:type="pct"/>
            <w:gridSpan w:val="2"/>
            <w:vAlign w:val="center"/>
          </w:tcPr>
          <w:p w14:paraId="7CBED407">
            <w:pPr>
              <w:tabs>
                <w:tab w:val="left" w:pos="5580"/>
              </w:tabs>
              <w:jc w:val="center"/>
              <w:rPr>
                <w:rFonts w:hint="eastAsia" w:ascii="宋体" w:hAnsi="宋体" w:cs="宋体"/>
                <w:b/>
                <w:color w:val="auto"/>
                <w:sz w:val="24"/>
                <w:highlight w:val="none"/>
              </w:rPr>
            </w:pPr>
            <w:r>
              <w:rPr>
                <w:rFonts w:hint="eastAsia" w:ascii="宋体" w:hAnsi="宋体" w:cs="宋体"/>
                <w:b/>
                <w:color w:val="auto"/>
                <w:sz w:val="24"/>
                <w:highlight w:val="none"/>
              </w:rPr>
              <w:t>投标报价</w:t>
            </w:r>
          </w:p>
        </w:tc>
      </w:tr>
      <w:tr w14:paraId="45BC3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12" w:type="pct"/>
            <w:vMerge w:val="continue"/>
            <w:vAlign w:val="center"/>
          </w:tcPr>
          <w:p w14:paraId="046FEC34">
            <w:pPr>
              <w:tabs>
                <w:tab w:val="left" w:pos="5580"/>
              </w:tabs>
              <w:jc w:val="center"/>
              <w:rPr>
                <w:rFonts w:hint="eastAsia" w:ascii="宋体" w:hAnsi="宋体" w:cs="宋体"/>
                <w:color w:val="auto"/>
                <w:sz w:val="24"/>
                <w:highlight w:val="none"/>
              </w:rPr>
            </w:pPr>
          </w:p>
        </w:tc>
        <w:tc>
          <w:tcPr>
            <w:tcW w:w="2215" w:type="pct"/>
            <w:vMerge w:val="continue"/>
            <w:vAlign w:val="center"/>
          </w:tcPr>
          <w:p w14:paraId="54C54CDF">
            <w:pPr>
              <w:tabs>
                <w:tab w:val="left" w:pos="5580"/>
              </w:tabs>
              <w:jc w:val="center"/>
              <w:rPr>
                <w:rFonts w:hint="eastAsia" w:ascii="宋体" w:hAnsi="宋体" w:cs="宋体"/>
                <w:color w:val="auto"/>
                <w:sz w:val="24"/>
                <w:highlight w:val="none"/>
              </w:rPr>
            </w:pPr>
          </w:p>
        </w:tc>
        <w:tc>
          <w:tcPr>
            <w:tcW w:w="1188" w:type="pct"/>
            <w:vAlign w:val="center"/>
          </w:tcPr>
          <w:p w14:paraId="3022F9E1">
            <w:pPr>
              <w:tabs>
                <w:tab w:val="left" w:pos="5580"/>
              </w:tabs>
              <w:jc w:val="center"/>
              <w:rPr>
                <w:rFonts w:hint="eastAsia" w:ascii="宋体" w:hAnsi="宋体" w:cs="宋体"/>
                <w:b/>
                <w:color w:val="auto"/>
                <w:sz w:val="24"/>
                <w:highlight w:val="none"/>
              </w:rPr>
            </w:pPr>
            <w:r>
              <w:rPr>
                <w:rFonts w:hint="eastAsia" w:ascii="宋体" w:hAnsi="宋体" w:cs="宋体"/>
                <w:b/>
                <w:color w:val="auto"/>
                <w:sz w:val="24"/>
                <w:highlight w:val="none"/>
              </w:rPr>
              <w:t>大写</w:t>
            </w:r>
          </w:p>
        </w:tc>
        <w:tc>
          <w:tcPr>
            <w:tcW w:w="1182" w:type="pct"/>
            <w:vAlign w:val="center"/>
          </w:tcPr>
          <w:p w14:paraId="48D8F1AC">
            <w:pPr>
              <w:tabs>
                <w:tab w:val="left" w:pos="5580"/>
              </w:tabs>
              <w:jc w:val="center"/>
              <w:rPr>
                <w:rFonts w:hint="eastAsia" w:ascii="宋体" w:hAnsi="宋体" w:cs="宋体"/>
                <w:b/>
                <w:color w:val="auto"/>
                <w:sz w:val="24"/>
                <w:highlight w:val="none"/>
              </w:rPr>
            </w:pPr>
            <w:r>
              <w:rPr>
                <w:rFonts w:hint="eastAsia" w:ascii="宋体" w:hAnsi="宋体" w:cs="宋体"/>
                <w:b/>
                <w:color w:val="auto"/>
                <w:sz w:val="24"/>
                <w:highlight w:val="none"/>
              </w:rPr>
              <w:t>小写</w:t>
            </w:r>
          </w:p>
        </w:tc>
      </w:tr>
      <w:tr w14:paraId="55A38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12" w:type="pct"/>
            <w:vAlign w:val="center"/>
          </w:tcPr>
          <w:p w14:paraId="5FC49395">
            <w:pPr>
              <w:tabs>
                <w:tab w:val="left" w:pos="5580"/>
              </w:tabs>
              <w:jc w:val="center"/>
              <w:rPr>
                <w:rFonts w:hint="eastAsia" w:ascii="宋体" w:hAnsi="宋体" w:cs="宋体"/>
                <w:color w:val="auto"/>
                <w:sz w:val="24"/>
                <w:highlight w:val="none"/>
              </w:rPr>
            </w:pPr>
          </w:p>
        </w:tc>
        <w:tc>
          <w:tcPr>
            <w:tcW w:w="2215" w:type="pct"/>
            <w:vAlign w:val="center"/>
          </w:tcPr>
          <w:p w14:paraId="135E93EC">
            <w:pPr>
              <w:tabs>
                <w:tab w:val="left" w:pos="5580"/>
              </w:tabs>
              <w:jc w:val="center"/>
              <w:rPr>
                <w:rFonts w:hint="eastAsia" w:ascii="宋体" w:hAnsi="宋体" w:cs="宋体"/>
                <w:color w:val="auto"/>
                <w:sz w:val="24"/>
                <w:highlight w:val="none"/>
              </w:rPr>
            </w:pPr>
          </w:p>
        </w:tc>
        <w:tc>
          <w:tcPr>
            <w:tcW w:w="1188" w:type="pct"/>
            <w:vAlign w:val="center"/>
          </w:tcPr>
          <w:p w14:paraId="2E5D8194">
            <w:pPr>
              <w:tabs>
                <w:tab w:val="left" w:pos="5580"/>
              </w:tabs>
              <w:jc w:val="center"/>
              <w:rPr>
                <w:rFonts w:hint="eastAsia" w:ascii="宋体" w:hAnsi="宋体" w:cs="宋体"/>
                <w:color w:val="auto"/>
                <w:sz w:val="24"/>
                <w:highlight w:val="none"/>
              </w:rPr>
            </w:pPr>
          </w:p>
        </w:tc>
        <w:tc>
          <w:tcPr>
            <w:tcW w:w="1182" w:type="pct"/>
            <w:vAlign w:val="center"/>
          </w:tcPr>
          <w:p w14:paraId="5440D11F">
            <w:pPr>
              <w:tabs>
                <w:tab w:val="left" w:pos="5580"/>
              </w:tabs>
              <w:jc w:val="center"/>
              <w:rPr>
                <w:rFonts w:hint="eastAsia" w:ascii="宋体" w:hAnsi="宋体" w:cs="宋体"/>
                <w:color w:val="auto"/>
                <w:sz w:val="24"/>
                <w:highlight w:val="none"/>
              </w:rPr>
            </w:pPr>
          </w:p>
        </w:tc>
      </w:tr>
    </w:tbl>
    <w:p w14:paraId="7CAFEDFF">
      <w:pPr>
        <w:autoSpaceDE w:val="0"/>
        <w:autoSpaceDN w:val="0"/>
        <w:adjustRightInd w:val="0"/>
        <w:jc w:val="left"/>
        <w:rPr>
          <w:rFonts w:hint="eastAsia" w:ascii="宋体" w:hAnsi="宋体" w:cs="宋体"/>
          <w:color w:val="auto"/>
          <w:kern w:val="0"/>
          <w:sz w:val="24"/>
          <w:highlight w:val="none"/>
        </w:rPr>
      </w:pPr>
    </w:p>
    <w:p w14:paraId="044A55EA">
      <w:pPr>
        <w:autoSpaceDE w:val="0"/>
        <w:autoSpaceDN w:val="0"/>
        <w:adjustRightInd w:val="0"/>
        <w:jc w:val="left"/>
        <w:rPr>
          <w:rFonts w:hint="eastAsia" w:ascii="宋体" w:hAnsi="宋体" w:cs="宋体"/>
          <w:color w:val="auto"/>
          <w:sz w:val="24"/>
          <w:szCs w:val="20"/>
          <w:highlight w:val="none"/>
        </w:rPr>
      </w:pPr>
      <w:r>
        <w:rPr>
          <w:rFonts w:hint="eastAsia" w:ascii="宋体" w:hAnsi="宋体" w:cs="宋体"/>
          <w:color w:val="auto"/>
          <w:kern w:val="0"/>
          <w:sz w:val="24"/>
          <w:highlight w:val="none"/>
        </w:rPr>
        <w:t>注：1</w:t>
      </w:r>
      <w:r>
        <w:rPr>
          <w:rFonts w:hint="eastAsia" w:ascii="宋体" w:hAnsi="宋体" w:cs="宋体"/>
          <w:color w:val="auto"/>
          <w:sz w:val="24"/>
          <w:szCs w:val="20"/>
          <w:highlight w:val="none"/>
        </w:rPr>
        <w:t>.此表中，每包的投标报价应和《投标分项报价表》中的总价相一致。</w:t>
      </w:r>
    </w:p>
    <w:p w14:paraId="32CE924E">
      <w:pPr>
        <w:tabs>
          <w:tab w:val="left" w:pos="5580"/>
        </w:tabs>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2.本表必须按包分别填写。</w:t>
      </w:r>
    </w:p>
    <w:p w14:paraId="39CF78D4">
      <w:pPr>
        <w:autoSpaceDE w:val="0"/>
        <w:autoSpaceDN w:val="0"/>
        <w:adjustRightInd w:val="0"/>
        <w:snapToGrid w:val="0"/>
        <w:spacing w:before="25" w:after="25" w:line="360" w:lineRule="auto"/>
        <w:rPr>
          <w:rFonts w:hint="eastAsia" w:ascii="宋体" w:hAnsi="宋体" w:cs="宋体"/>
          <w:color w:val="auto"/>
          <w:sz w:val="24"/>
          <w:highlight w:val="none"/>
          <w:lang w:val="zh-CN"/>
        </w:rPr>
      </w:pPr>
    </w:p>
    <w:p w14:paraId="675B2339">
      <w:pPr>
        <w:autoSpaceDE w:val="0"/>
        <w:autoSpaceDN w:val="0"/>
        <w:adjustRightInd w:val="0"/>
        <w:snapToGrid w:val="0"/>
        <w:spacing w:before="25" w:after="25"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                         </w:t>
      </w:r>
    </w:p>
    <w:p w14:paraId="2E63231D">
      <w:pPr>
        <w:autoSpaceDE w:val="0"/>
        <w:autoSpaceDN w:val="0"/>
        <w:adjustRightInd w:val="0"/>
        <w:snapToGrid w:val="0"/>
        <w:spacing w:before="25" w:after="25" w:line="360" w:lineRule="auto"/>
        <w:rPr>
          <w:rFonts w:hint="eastAsia" w:ascii="宋体" w:hAnsi="宋体" w:cs="宋体"/>
          <w:color w:val="auto"/>
          <w:sz w:val="24"/>
          <w:highlight w:val="none"/>
          <w:lang w:val="zh-CN"/>
        </w:rPr>
      </w:pPr>
      <w:r>
        <w:rPr>
          <w:rFonts w:hint="eastAsia" w:ascii="宋体" w:hAnsi="宋体" w:cs="宋体"/>
          <w:color w:val="auto"/>
          <w:sz w:val="24"/>
          <w:highlight w:val="none"/>
        </w:rPr>
        <w:t>投标人名称（加盖公章）</w:t>
      </w:r>
      <w:r>
        <w:rPr>
          <w:rFonts w:hint="eastAsia" w:ascii="宋体" w:hAnsi="宋体" w:cs="宋体"/>
          <w:color w:val="auto"/>
          <w:sz w:val="24"/>
          <w:highlight w:val="none"/>
          <w:lang w:val="zh-CN"/>
        </w:rPr>
        <w:t>：____________</w:t>
      </w:r>
    </w:p>
    <w:p w14:paraId="2C46EE79">
      <w:pPr>
        <w:autoSpaceDE w:val="0"/>
        <w:autoSpaceDN w:val="0"/>
        <w:adjustRightInd w:val="0"/>
        <w:snapToGrid w:val="0"/>
        <w:spacing w:before="25" w:after="25" w:line="360" w:lineRule="auto"/>
        <w:rPr>
          <w:rFonts w:hint="eastAsia" w:ascii="宋体" w:hAnsi="宋体" w:cs="宋体"/>
          <w:color w:val="auto"/>
          <w:sz w:val="24"/>
          <w:highlight w:val="none"/>
          <w:lang w:val="zh-CN"/>
        </w:rPr>
      </w:pPr>
      <w:r>
        <w:rPr>
          <w:rFonts w:hint="eastAsia" w:ascii="宋体" w:hAnsi="宋体" w:cs="宋体"/>
          <w:color w:val="auto"/>
          <w:sz w:val="24"/>
          <w:szCs w:val="20"/>
          <w:highlight w:val="none"/>
        </w:rPr>
        <w:t xml:space="preserve">日期：_____年______月______日   </w:t>
      </w:r>
    </w:p>
    <w:p w14:paraId="383750C1">
      <w:pPr>
        <w:widowControl/>
        <w:jc w:val="left"/>
        <w:rPr>
          <w:rFonts w:hint="eastAsia" w:ascii="宋体" w:hAnsi="宋体" w:cs="宋体"/>
          <w:color w:val="auto"/>
          <w:sz w:val="24"/>
          <w:szCs w:val="20"/>
          <w:highlight w:val="none"/>
        </w:rPr>
      </w:pPr>
      <w:bookmarkStart w:id="1071" w:name="_Toc264969249"/>
      <w:bookmarkStart w:id="1072" w:name="_Toc127151558"/>
      <w:bookmarkStart w:id="1073" w:name="_Toc150480796"/>
      <w:bookmarkStart w:id="1074" w:name="_Toc226337255"/>
      <w:bookmarkStart w:id="1075" w:name="_Toc150774763"/>
      <w:bookmarkStart w:id="1076" w:name="_Toc226965749"/>
      <w:bookmarkStart w:id="1077" w:name="_Toc226965832"/>
      <w:bookmarkStart w:id="1078" w:name="_Toc142311060"/>
      <w:bookmarkStart w:id="1079" w:name="_Toc265228397"/>
      <w:bookmarkStart w:id="1080" w:name="_Toc226309803"/>
      <w:bookmarkStart w:id="1081" w:name="_Toc305158901"/>
      <w:bookmarkStart w:id="1082" w:name="_Toc305158827"/>
      <w:bookmarkStart w:id="1083" w:name="_Toc195842924"/>
      <w:r>
        <w:rPr>
          <w:rFonts w:hint="eastAsia" w:ascii="宋体" w:hAnsi="宋体" w:cs="宋体"/>
          <w:color w:val="auto"/>
          <w:sz w:val="24"/>
          <w:szCs w:val="20"/>
          <w:highlight w:val="none"/>
        </w:rPr>
        <w:br w:type="page"/>
      </w:r>
    </w:p>
    <w:p w14:paraId="3D21C9D0">
      <w:pPr>
        <w:spacing w:line="360" w:lineRule="auto"/>
        <w:outlineLvl w:val="2"/>
        <w:rPr>
          <w:rFonts w:hint="eastAsia" w:ascii="宋体" w:hAnsi="宋体" w:cs="宋体"/>
          <w:color w:val="auto"/>
          <w:sz w:val="24"/>
          <w:szCs w:val="20"/>
          <w:highlight w:val="none"/>
        </w:rPr>
      </w:pPr>
      <w:r>
        <w:rPr>
          <w:rFonts w:hint="eastAsia" w:ascii="宋体" w:hAnsi="宋体" w:cs="宋体"/>
          <w:color w:val="auto"/>
          <w:sz w:val="24"/>
          <w:szCs w:val="20"/>
          <w:highlight w:val="none"/>
        </w:rPr>
        <w:t>4  投标分项报价表</w:t>
      </w:r>
      <w:bookmarkEnd w:id="1071"/>
      <w:bookmarkEnd w:id="1072"/>
      <w:bookmarkEnd w:id="1073"/>
      <w:bookmarkEnd w:id="1074"/>
      <w:bookmarkEnd w:id="1075"/>
      <w:bookmarkEnd w:id="1076"/>
      <w:bookmarkEnd w:id="1077"/>
      <w:bookmarkEnd w:id="1078"/>
      <w:bookmarkEnd w:id="1079"/>
      <w:bookmarkEnd w:id="1080"/>
      <w:bookmarkEnd w:id="1081"/>
      <w:bookmarkEnd w:id="1082"/>
      <w:bookmarkEnd w:id="1083"/>
      <w:r>
        <w:rPr>
          <w:rFonts w:hint="eastAsia" w:ascii="宋体" w:hAnsi="宋体" w:cs="宋体"/>
          <w:color w:val="auto"/>
          <w:sz w:val="24"/>
          <w:szCs w:val="20"/>
          <w:highlight w:val="none"/>
        </w:rPr>
        <w:t>（实质性格式）</w:t>
      </w:r>
    </w:p>
    <w:p w14:paraId="54481843">
      <w:pPr>
        <w:spacing w:line="360" w:lineRule="exact"/>
        <w:jc w:val="center"/>
        <w:rPr>
          <w:rFonts w:hint="eastAsia" w:ascii="宋体" w:hAnsi="宋体" w:cs="宋体"/>
          <w:color w:val="auto"/>
          <w:sz w:val="36"/>
          <w:szCs w:val="36"/>
          <w:highlight w:val="none"/>
        </w:rPr>
      </w:pPr>
    </w:p>
    <w:p w14:paraId="6CD7AB2A">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投标分项报价表</w:t>
      </w:r>
    </w:p>
    <w:p w14:paraId="28CE4885">
      <w:pPr>
        <w:spacing w:line="260" w:lineRule="exact"/>
        <w:jc w:val="center"/>
        <w:rPr>
          <w:rFonts w:hint="eastAsia" w:ascii="宋体" w:hAnsi="宋体" w:cs="宋体"/>
          <w:color w:val="auto"/>
          <w:sz w:val="36"/>
          <w:szCs w:val="36"/>
          <w:highlight w:val="none"/>
        </w:rPr>
      </w:pPr>
    </w:p>
    <w:p w14:paraId="0CC0DD47">
      <w:pPr>
        <w:tabs>
          <w:tab w:val="left" w:pos="1800"/>
          <w:tab w:val="left" w:pos="5580"/>
        </w:tabs>
        <w:rPr>
          <w:rFonts w:hint="eastAsia" w:ascii="宋体" w:hAnsi="宋体" w:cs="宋体"/>
          <w:color w:val="auto"/>
          <w:sz w:val="24"/>
          <w:highlight w:val="none"/>
        </w:rPr>
      </w:pPr>
      <w:r>
        <w:rPr>
          <w:rFonts w:hint="eastAsia" w:ascii="宋体" w:hAnsi="宋体" w:cs="宋体"/>
          <w:color w:val="auto"/>
          <w:sz w:val="24"/>
          <w:highlight w:val="none"/>
        </w:rPr>
        <w:t>项目编号/包号：________ 项目名称：__________报价单位：人民币元</w:t>
      </w:r>
    </w:p>
    <w:p w14:paraId="5DF5A0CB">
      <w:pPr>
        <w:tabs>
          <w:tab w:val="left" w:pos="1800"/>
          <w:tab w:val="left" w:pos="5580"/>
        </w:tabs>
        <w:jc w:val="left"/>
        <w:rPr>
          <w:rFonts w:hint="eastAsia" w:ascii="宋体" w:hAnsi="宋体" w:cs="宋体"/>
          <w:color w:val="auto"/>
          <w:sz w:val="24"/>
          <w:highlight w:val="none"/>
        </w:rPr>
      </w:pPr>
    </w:p>
    <w:tbl>
      <w:tblPr>
        <w:tblStyle w:val="262"/>
        <w:tblW w:w="93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0"/>
        <w:gridCol w:w="2942"/>
        <w:gridCol w:w="1349"/>
        <w:gridCol w:w="1208"/>
        <w:gridCol w:w="1347"/>
        <w:gridCol w:w="1711"/>
      </w:tblGrid>
      <w:tr w14:paraId="75090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jc w:val="center"/>
        </w:trPr>
        <w:tc>
          <w:tcPr>
            <w:tcW w:w="760" w:type="dxa"/>
            <w:vAlign w:val="center"/>
          </w:tcPr>
          <w:p w14:paraId="332667D6">
            <w:pPr>
              <w:pStyle w:val="263"/>
              <w:ind w:left="108"/>
              <w:jc w:val="center"/>
              <w:rPr>
                <w:rFonts w:hint="eastAsia"/>
                <w:b/>
                <w:color w:val="auto"/>
                <w:sz w:val="24"/>
                <w:szCs w:val="24"/>
                <w:highlight w:val="none"/>
              </w:rPr>
            </w:pPr>
            <w:r>
              <w:rPr>
                <w:rFonts w:hint="eastAsia"/>
                <w:b/>
                <w:color w:val="auto"/>
                <w:sz w:val="24"/>
                <w:szCs w:val="24"/>
                <w:highlight w:val="none"/>
              </w:rPr>
              <w:t>序号</w:t>
            </w:r>
          </w:p>
        </w:tc>
        <w:tc>
          <w:tcPr>
            <w:tcW w:w="2942" w:type="dxa"/>
            <w:vAlign w:val="center"/>
          </w:tcPr>
          <w:p w14:paraId="636A3948">
            <w:pPr>
              <w:pStyle w:val="263"/>
              <w:ind w:left="107"/>
              <w:jc w:val="center"/>
              <w:rPr>
                <w:rFonts w:hint="eastAsia"/>
                <w:b/>
                <w:color w:val="auto"/>
                <w:sz w:val="24"/>
                <w:szCs w:val="24"/>
                <w:highlight w:val="none"/>
              </w:rPr>
            </w:pPr>
            <w:r>
              <w:rPr>
                <w:rFonts w:hint="eastAsia"/>
                <w:b/>
                <w:color w:val="auto"/>
                <w:sz w:val="24"/>
                <w:szCs w:val="24"/>
                <w:highlight w:val="none"/>
              </w:rPr>
              <w:t>分项名称</w:t>
            </w:r>
          </w:p>
        </w:tc>
        <w:tc>
          <w:tcPr>
            <w:tcW w:w="1349" w:type="dxa"/>
            <w:vAlign w:val="center"/>
          </w:tcPr>
          <w:p w14:paraId="7D24765D">
            <w:pPr>
              <w:pStyle w:val="263"/>
              <w:ind w:left="108"/>
              <w:jc w:val="center"/>
              <w:rPr>
                <w:rFonts w:hint="eastAsia"/>
                <w:b/>
                <w:color w:val="auto"/>
                <w:sz w:val="24"/>
                <w:szCs w:val="24"/>
                <w:highlight w:val="none"/>
              </w:rPr>
            </w:pPr>
            <w:r>
              <w:rPr>
                <w:rFonts w:hint="eastAsia"/>
                <w:b/>
                <w:color w:val="auto"/>
                <w:sz w:val="24"/>
                <w:szCs w:val="24"/>
                <w:highlight w:val="none"/>
              </w:rPr>
              <w:t>单价（元）</w:t>
            </w:r>
          </w:p>
        </w:tc>
        <w:tc>
          <w:tcPr>
            <w:tcW w:w="1208" w:type="dxa"/>
            <w:vAlign w:val="center"/>
          </w:tcPr>
          <w:p w14:paraId="7ADDCD9C">
            <w:pPr>
              <w:pStyle w:val="263"/>
              <w:ind w:left="361"/>
              <w:jc w:val="both"/>
              <w:rPr>
                <w:rFonts w:hint="eastAsia"/>
                <w:b/>
                <w:color w:val="auto"/>
                <w:sz w:val="24"/>
                <w:szCs w:val="24"/>
                <w:highlight w:val="none"/>
              </w:rPr>
            </w:pPr>
            <w:r>
              <w:rPr>
                <w:rFonts w:hint="eastAsia"/>
                <w:b/>
                <w:color w:val="auto"/>
                <w:sz w:val="24"/>
                <w:szCs w:val="24"/>
                <w:highlight w:val="none"/>
              </w:rPr>
              <w:t>数量</w:t>
            </w:r>
          </w:p>
        </w:tc>
        <w:tc>
          <w:tcPr>
            <w:tcW w:w="1347" w:type="dxa"/>
            <w:vAlign w:val="center"/>
          </w:tcPr>
          <w:p w14:paraId="2A25D561">
            <w:pPr>
              <w:pStyle w:val="263"/>
              <w:ind w:left="108"/>
              <w:jc w:val="center"/>
              <w:rPr>
                <w:rFonts w:hint="eastAsia"/>
                <w:b/>
                <w:color w:val="auto"/>
                <w:sz w:val="24"/>
                <w:szCs w:val="24"/>
                <w:highlight w:val="none"/>
              </w:rPr>
            </w:pPr>
            <w:r>
              <w:rPr>
                <w:rFonts w:hint="eastAsia"/>
                <w:b/>
                <w:color w:val="auto"/>
                <w:sz w:val="24"/>
                <w:szCs w:val="24"/>
                <w:highlight w:val="none"/>
              </w:rPr>
              <w:t>合价（元）</w:t>
            </w:r>
          </w:p>
        </w:tc>
        <w:tc>
          <w:tcPr>
            <w:tcW w:w="1711" w:type="dxa"/>
            <w:vAlign w:val="center"/>
          </w:tcPr>
          <w:p w14:paraId="0877BFE3">
            <w:pPr>
              <w:pStyle w:val="263"/>
              <w:ind w:left="107"/>
              <w:jc w:val="center"/>
              <w:rPr>
                <w:rFonts w:hint="eastAsia"/>
                <w:b/>
                <w:color w:val="auto"/>
                <w:sz w:val="24"/>
                <w:szCs w:val="24"/>
                <w:highlight w:val="none"/>
              </w:rPr>
            </w:pPr>
            <w:r>
              <w:rPr>
                <w:rFonts w:hint="eastAsia"/>
                <w:b/>
                <w:color w:val="auto"/>
                <w:sz w:val="24"/>
                <w:szCs w:val="24"/>
                <w:highlight w:val="none"/>
              </w:rPr>
              <w:t>备注/说明</w:t>
            </w:r>
          </w:p>
        </w:tc>
      </w:tr>
      <w:tr w14:paraId="6076C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760" w:type="dxa"/>
            <w:vAlign w:val="center"/>
          </w:tcPr>
          <w:p w14:paraId="77251AB2">
            <w:pPr>
              <w:pStyle w:val="263"/>
              <w:ind w:left="11"/>
              <w:jc w:val="center"/>
              <w:rPr>
                <w:rFonts w:hint="eastAsia"/>
                <w:color w:val="auto"/>
                <w:sz w:val="24"/>
                <w:szCs w:val="24"/>
                <w:highlight w:val="none"/>
              </w:rPr>
            </w:pPr>
            <w:r>
              <w:rPr>
                <w:rFonts w:hint="eastAsia"/>
                <w:color w:val="auto"/>
                <w:sz w:val="24"/>
                <w:szCs w:val="24"/>
                <w:highlight w:val="none"/>
              </w:rPr>
              <w:t>1</w:t>
            </w:r>
          </w:p>
        </w:tc>
        <w:tc>
          <w:tcPr>
            <w:tcW w:w="2942" w:type="dxa"/>
            <w:vAlign w:val="center"/>
          </w:tcPr>
          <w:p w14:paraId="657E24B5">
            <w:pPr>
              <w:pStyle w:val="263"/>
              <w:jc w:val="center"/>
              <w:rPr>
                <w:rFonts w:hint="eastAsia"/>
                <w:color w:val="auto"/>
                <w:sz w:val="24"/>
                <w:szCs w:val="24"/>
                <w:highlight w:val="none"/>
              </w:rPr>
            </w:pPr>
          </w:p>
        </w:tc>
        <w:tc>
          <w:tcPr>
            <w:tcW w:w="1349" w:type="dxa"/>
            <w:vAlign w:val="center"/>
          </w:tcPr>
          <w:p w14:paraId="3353324F">
            <w:pPr>
              <w:pStyle w:val="263"/>
              <w:jc w:val="center"/>
              <w:rPr>
                <w:rFonts w:hint="eastAsia"/>
                <w:color w:val="auto"/>
                <w:sz w:val="24"/>
                <w:szCs w:val="24"/>
                <w:highlight w:val="none"/>
              </w:rPr>
            </w:pPr>
          </w:p>
        </w:tc>
        <w:tc>
          <w:tcPr>
            <w:tcW w:w="1208" w:type="dxa"/>
            <w:vAlign w:val="center"/>
          </w:tcPr>
          <w:p w14:paraId="19BDD286">
            <w:pPr>
              <w:pStyle w:val="263"/>
              <w:jc w:val="center"/>
              <w:rPr>
                <w:rFonts w:hint="eastAsia"/>
                <w:color w:val="auto"/>
                <w:sz w:val="24"/>
                <w:szCs w:val="24"/>
                <w:highlight w:val="none"/>
              </w:rPr>
            </w:pPr>
          </w:p>
        </w:tc>
        <w:tc>
          <w:tcPr>
            <w:tcW w:w="1347" w:type="dxa"/>
            <w:vAlign w:val="center"/>
          </w:tcPr>
          <w:p w14:paraId="22421FA5">
            <w:pPr>
              <w:pStyle w:val="263"/>
              <w:jc w:val="center"/>
              <w:rPr>
                <w:rFonts w:hint="eastAsia"/>
                <w:color w:val="auto"/>
                <w:sz w:val="24"/>
                <w:szCs w:val="24"/>
                <w:highlight w:val="none"/>
              </w:rPr>
            </w:pPr>
          </w:p>
        </w:tc>
        <w:tc>
          <w:tcPr>
            <w:tcW w:w="1711" w:type="dxa"/>
            <w:vAlign w:val="center"/>
          </w:tcPr>
          <w:p w14:paraId="5DC4C2EC">
            <w:pPr>
              <w:pStyle w:val="263"/>
              <w:jc w:val="center"/>
              <w:rPr>
                <w:rFonts w:hint="eastAsia"/>
                <w:color w:val="auto"/>
                <w:sz w:val="24"/>
                <w:szCs w:val="24"/>
                <w:highlight w:val="none"/>
              </w:rPr>
            </w:pPr>
          </w:p>
        </w:tc>
      </w:tr>
      <w:tr w14:paraId="2FBE9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760" w:type="dxa"/>
            <w:vAlign w:val="center"/>
          </w:tcPr>
          <w:p w14:paraId="48473AE1">
            <w:pPr>
              <w:pStyle w:val="263"/>
              <w:ind w:left="11"/>
              <w:jc w:val="center"/>
              <w:rPr>
                <w:rFonts w:hint="eastAsia"/>
                <w:color w:val="auto"/>
                <w:sz w:val="24"/>
                <w:szCs w:val="24"/>
                <w:highlight w:val="none"/>
              </w:rPr>
            </w:pPr>
            <w:r>
              <w:rPr>
                <w:rFonts w:hint="eastAsia"/>
                <w:color w:val="auto"/>
                <w:sz w:val="24"/>
                <w:szCs w:val="24"/>
                <w:highlight w:val="none"/>
              </w:rPr>
              <w:t>2</w:t>
            </w:r>
          </w:p>
        </w:tc>
        <w:tc>
          <w:tcPr>
            <w:tcW w:w="2942" w:type="dxa"/>
            <w:vAlign w:val="center"/>
          </w:tcPr>
          <w:p w14:paraId="6FAAA7C5">
            <w:pPr>
              <w:pStyle w:val="263"/>
              <w:jc w:val="center"/>
              <w:rPr>
                <w:rFonts w:hint="eastAsia"/>
                <w:color w:val="auto"/>
                <w:sz w:val="24"/>
                <w:szCs w:val="24"/>
                <w:highlight w:val="none"/>
              </w:rPr>
            </w:pPr>
          </w:p>
        </w:tc>
        <w:tc>
          <w:tcPr>
            <w:tcW w:w="1349" w:type="dxa"/>
            <w:vAlign w:val="center"/>
          </w:tcPr>
          <w:p w14:paraId="00F32F33">
            <w:pPr>
              <w:pStyle w:val="263"/>
              <w:jc w:val="center"/>
              <w:rPr>
                <w:rFonts w:hint="eastAsia"/>
                <w:color w:val="auto"/>
                <w:sz w:val="24"/>
                <w:szCs w:val="24"/>
                <w:highlight w:val="none"/>
              </w:rPr>
            </w:pPr>
          </w:p>
        </w:tc>
        <w:tc>
          <w:tcPr>
            <w:tcW w:w="1208" w:type="dxa"/>
            <w:vAlign w:val="center"/>
          </w:tcPr>
          <w:p w14:paraId="0C666A1B">
            <w:pPr>
              <w:pStyle w:val="263"/>
              <w:jc w:val="center"/>
              <w:rPr>
                <w:rFonts w:hint="eastAsia"/>
                <w:color w:val="auto"/>
                <w:sz w:val="24"/>
                <w:szCs w:val="24"/>
                <w:highlight w:val="none"/>
              </w:rPr>
            </w:pPr>
          </w:p>
        </w:tc>
        <w:tc>
          <w:tcPr>
            <w:tcW w:w="1347" w:type="dxa"/>
            <w:vAlign w:val="center"/>
          </w:tcPr>
          <w:p w14:paraId="50015896">
            <w:pPr>
              <w:pStyle w:val="263"/>
              <w:jc w:val="center"/>
              <w:rPr>
                <w:rFonts w:hint="eastAsia"/>
                <w:color w:val="auto"/>
                <w:sz w:val="24"/>
                <w:szCs w:val="24"/>
                <w:highlight w:val="none"/>
              </w:rPr>
            </w:pPr>
          </w:p>
        </w:tc>
        <w:tc>
          <w:tcPr>
            <w:tcW w:w="1711" w:type="dxa"/>
            <w:vAlign w:val="center"/>
          </w:tcPr>
          <w:p w14:paraId="5EB06279">
            <w:pPr>
              <w:pStyle w:val="263"/>
              <w:jc w:val="center"/>
              <w:rPr>
                <w:rFonts w:hint="eastAsia"/>
                <w:color w:val="auto"/>
                <w:sz w:val="24"/>
                <w:szCs w:val="24"/>
                <w:highlight w:val="none"/>
              </w:rPr>
            </w:pPr>
          </w:p>
        </w:tc>
      </w:tr>
      <w:tr w14:paraId="14A29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760" w:type="dxa"/>
            <w:vAlign w:val="center"/>
          </w:tcPr>
          <w:p w14:paraId="3D4EE73D">
            <w:pPr>
              <w:pStyle w:val="263"/>
              <w:ind w:left="11"/>
              <w:jc w:val="center"/>
              <w:rPr>
                <w:rFonts w:hint="eastAsia"/>
                <w:color w:val="auto"/>
                <w:sz w:val="24"/>
                <w:szCs w:val="24"/>
                <w:highlight w:val="none"/>
                <w:lang w:eastAsia="zh-CN"/>
              </w:rPr>
            </w:pPr>
            <w:r>
              <w:rPr>
                <w:rFonts w:hint="eastAsia"/>
                <w:color w:val="auto"/>
                <w:sz w:val="24"/>
                <w:szCs w:val="24"/>
                <w:highlight w:val="none"/>
                <w:lang w:eastAsia="zh-CN"/>
              </w:rPr>
              <w:t>3</w:t>
            </w:r>
          </w:p>
        </w:tc>
        <w:tc>
          <w:tcPr>
            <w:tcW w:w="2942" w:type="dxa"/>
            <w:vAlign w:val="center"/>
          </w:tcPr>
          <w:p w14:paraId="1709EA20">
            <w:pPr>
              <w:pStyle w:val="263"/>
              <w:ind w:left="107"/>
              <w:jc w:val="center"/>
              <w:rPr>
                <w:rFonts w:hint="eastAsia"/>
                <w:color w:val="auto"/>
                <w:sz w:val="24"/>
                <w:szCs w:val="24"/>
                <w:highlight w:val="none"/>
              </w:rPr>
            </w:pPr>
            <w:r>
              <w:rPr>
                <w:rFonts w:hint="eastAsia"/>
                <w:color w:val="auto"/>
                <w:sz w:val="24"/>
                <w:szCs w:val="24"/>
                <w:highlight w:val="none"/>
              </w:rPr>
              <w:t>……</w:t>
            </w:r>
          </w:p>
        </w:tc>
        <w:tc>
          <w:tcPr>
            <w:tcW w:w="1349" w:type="dxa"/>
            <w:vAlign w:val="center"/>
          </w:tcPr>
          <w:p w14:paraId="726794BB">
            <w:pPr>
              <w:pStyle w:val="263"/>
              <w:jc w:val="center"/>
              <w:rPr>
                <w:rFonts w:hint="eastAsia"/>
                <w:color w:val="auto"/>
                <w:sz w:val="24"/>
                <w:szCs w:val="24"/>
                <w:highlight w:val="none"/>
              </w:rPr>
            </w:pPr>
          </w:p>
        </w:tc>
        <w:tc>
          <w:tcPr>
            <w:tcW w:w="1208" w:type="dxa"/>
            <w:vAlign w:val="center"/>
          </w:tcPr>
          <w:p w14:paraId="0AC1B23D">
            <w:pPr>
              <w:pStyle w:val="263"/>
              <w:jc w:val="center"/>
              <w:rPr>
                <w:rFonts w:hint="eastAsia"/>
                <w:color w:val="auto"/>
                <w:sz w:val="24"/>
                <w:szCs w:val="24"/>
                <w:highlight w:val="none"/>
              </w:rPr>
            </w:pPr>
          </w:p>
        </w:tc>
        <w:tc>
          <w:tcPr>
            <w:tcW w:w="1347" w:type="dxa"/>
            <w:vAlign w:val="center"/>
          </w:tcPr>
          <w:p w14:paraId="43DF7BA4">
            <w:pPr>
              <w:pStyle w:val="263"/>
              <w:jc w:val="center"/>
              <w:rPr>
                <w:rFonts w:hint="eastAsia"/>
                <w:color w:val="auto"/>
                <w:sz w:val="24"/>
                <w:szCs w:val="24"/>
                <w:highlight w:val="none"/>
              </w:rPr>
            </w:pPr>
          </w:p>
        </w:tc>
        <w:tc>
          <w:tcPr>
            <w:tcW w:w="1711" w:type="dxa"/>
            <w:vAlign w:val="center"/>
          </w:tcPr>
          <w:p w14:paraId="6F97263B">
            <w:pPr>
              <w:pStyle w:val="263"/>
              <w:jc w:val="center"/>
              <w:rPr>
                <w:rFonts w:hint="eastAsia"/>
                <w:color w:val="auto"/>
                <w:sz w:val="24"/>
                <w:szCs w:val="24"/>
                <w:highlight w:val="none"/>
              </w:rPr>
            </w:pPr>
          </w:p>
        </w:tc>
      </w:tr>
      <w:tr w14:paraId="307A6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6259" w:type="dxa"/>
            <w:gridSpan w:val="4"/>
            <w:vAlign w:val="center"/>
          </w:tcPr>
          <w:p w14:paraId="3C520BA3">
            <w:pPr>
              <w:pStyle w:val="263"/>
              <w:ind w:right="90"/>
              <w:jc w:val="center"/>
              <w:rPr>
                <w:rFonts w:hint="eastAsia"/>
                <w:b/>
                <w:color w:val="auto"/>
                <w:sz w:val="24"/>
                <w:szCs w:val="24"/>
                <w:highlight w:val="none"/>
              </w:rPr>
            </w:pPr>
            <w:r>
              <w:rPr>
                <w:rFonts w:hint="eastAsia"/>
                <w:b/>
                <w:color w:val="auto"/>
                <w:sz w:val="24"/>
                <w:szCs w:val="24"/>
                <w:highlight w:val="none"/>
              </w:rPr>
              <w:t>总价（元）</w:t>
            </w:r>
          </w:p>
        </w:tc>
        <w:tc>
          <w:tcPr>
            <w:tcW w:w="1347" w:type="dxa"/>
            <w:vAlign w:val="center"/>
          </w:tcPr>
          <w:p w14:paraId="32954C20">
            <w:pPr>
              <w:pStyle w:val="263"/>
              <w:jc w:val="center"/>
              <w:rPr>
                <w:rFonts w:hint="eastAsia"/>
                <w:color w:val="auto"/>
                <w:sz w:val="24"/>
                <w:szCs w:val="24"/>
                <w:highlight w:val="none"/>
              </w:rPr>
            </w:pPr>
          </w:p>
        </w:tc>
        <w:tc>
          <w:tcPr>
            <w:tcW w:w="1711" w:type="dxa"/>
            <w:vAlign w:val="center"/>
          </w:tcPr>
          <w:p w14:paraId="24962E49">
            <w:pPr>
              <w:pStyle w:val="263"/>
              <w:jc w:val="center"/>
              <w:rPr>
                <w:rFonts w:hint="eastAsia"/>
                <w:color w:val="auto"/>
                <w:sz w:val="24"/>
                <w:szCs w:val="24"/>
                <w:highlight w:val="none"/>
              </w:rPr>
            </w:pPr>
          </w:p>
        </w:tc>
      </w:tr>
    </w:tbl>
    <w:p w14:paraId="6281EA4C">
      <w:pPr>
        <w:pStyle w:val="18"/>
        <w:spacing w:line="360" w:lineRule="auto"/>
        <w:ind w:left="401"/>
        <w:rPr>
          <w:rFonts w:hint="eastAsia" w:cs="宋体"/>
          <w:color w:val="auto"/>
          <w:highlight w:val="none"/>
        </w:rPr>
      </w:pPr>
    </w:p>
    <w:p w14:paraId="2D064705">
      <w:pPr>
        <w:pStyle w:val="18"/>
        <w:spacing w:before="0" w:line="360" w:lineRule="auto"/>
        <w:ind w:left="403"/>
        <w:rPr>
          <w:rFonts w:hint="eastAsia" w:cs="宋体"/>
          <w:color w:val="auto"/>
          <w:highlight w:val="none"/>
        </w:rPr>
      </w:pPr>
      <w:r>
        <w:rPr>
          <w:rFonts w:hint="eastAsia" w:cs="宋体"/>
          <w:color w:val="auto"/>
          <w:highlight w:val="none"/>
        </w:rPr>
        <w:t>注：1.本表应按包分别填写，可拓展。</w:t>
      </w:r>
    </w:p>
    <w:p w14:paraId="64DF4363">
      <w:pPr>
        <w:pStyle w:val="18"/>
        <w:spacing w:before="0" w:line="360" w:lineRule="auto"/>
        <w:ind w:left="403" w:firstLine="480" w:firstLineChars="200"/>
        <w:rPr>
          <w:rFonts w:hint="eastAsia" w:cs="宋体"/>
          <w:color w:val="auto"/>
          <w:highlight w:val="none"/>
        </w:rPr>
      </w:pPr>
      <w:r>
        <w:rPr>
          <w:rFonts w:hint="eastAsia" w:cs="宋体"/>
          <w:color w:val="auto"/>
          <w:highlight w:val="none"/>
        </w:rPr>
        <w:t>2.如果不提供分项报价将视为没有实质性响应招标文件。</w:t>
      </w:r>
    </w:p>
    <w:p w14:paraId="64290C1F">
      <w:pPr>
        <w:pStyle w:val="18"/>
        <w:spacing w:before="0" w:line="360" w:lineRule="auto"/>
        <w:ind w:left="403" w:firstLine="480" w:firstLineChars="200"/>
        <w:rPr>
          <w:rFonts w:hint="eastAsia" w:cs="宋体"/>
          <w:color w:val="auto"/>
          <w:highlight w:val="none"/>
        </w:rPr>
      </w:pPr>
      <w:r>
        <w:rPr>
          <w:rFonts w:hint="eastAsia" w:cs="宋体"/>
          <w:color w:val="auto"/>
          <w:highlight w:val="none"/>
        </w:rPr>
        <w:t>3.上述各项的详细规格（如有），可另页描述。</w:t>
      </w:r>
    </w:p>
    <w:p w14:paraId="15C2F554">
      <w:pPr>
        <w:autoSpaceDE w:val="0"/>
        <w:autoSpaceDN w:val="0"/>
        <w:adjustRightInd w:val="0"/>
        <w:snapToGrid w:val="0"/>
        <w:spacing w:before="25" w:after="25"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                  </w:t>
      </w:r>
    </w:p>
    <w:p w14:paraId="734A58DA">
      <w:pPr>
        <w:autoSpaceDE w:val="0"/>
        <w:autoSpaceDN w:val="0"/>
        <w:adjustRightInd w:val="0"/>
        <w:snapToGrid w:val="0"/>
        <w:spacing w:before="25" w:after="25" w:line="360" w:lineRule="auto"/>
        <w:rPr>
          <w:rFonts w:hint="eastAsia" w:ascii="宋体" w:hAnsi="宋体" w:cs="宋体"/>
          <w:color w:val="auto"/>
          <w:sz w:val="24"/>
          <w:highlight w:val="none"/>
          <w:lang w:val="zh-CN"/>
        </w:rPr>
      </w:pPr>
      <w:r>
        <w:rPr>
          <w:rFonts w:hint="eastAsia" w:ascii="宋体" w:hAnsi="宋体" w:cs="宋体"/>
          <w:color w:val="auto"/>
          <w:sz w:val="24"/>
          <w:highlight w:val="none"/>
        </w:rPr>
        <w:t>投标人名称（加盖公章）</w:t>
      </w:r>
      <w:r>
        <w:rPr>
          <w:rFonts w:hint="eastAsia" w:ascii="宋体" w:hAnsi="宋体" w:cs="宋体"/>
          <w:color w:val="auto"/>
          <w:sz w:val="24"/>
          <w:highlight w:val="none"/>
          <w:lang w:val="zh-CN"/>
        </w:rPr>
        <w:t>：____________</w:t>
      </w:r>
    </w:p>
    <w:p w14:paraId="063F8C06">
      <w:pPr>
        <w:autoSpaceDE w:val="0"/>
        <w:autoSpaceDN w:val="0"/>
        <w:adjustRightInd w:val="0"/>
        <w:snapToGrid w:val="0"/>
        <w:spacing w:before="25" w:after="25" w:line="360" w:lineRule="auto"/>
        <w:rPr>
          <w:rFonts w:hint="eastAsia" w:ascii="宋体" w:hAnsi="宋体" w:cs="宋体"/>
          <w:color w:val="auto"/>
          <w:sz w:val="24"/>
          <w:highlight w:val="none"/>
          <w:lang w:val="zh-CN"/>
        </w:rPr>
      </w:pPr>
      <w:r>
        <w:rPr>
          <w:rFonts w:hint="eastAsia" w:ascii="宋体" w:hAnsi="宋体" w:cs="宋体"/>
          <w:color w:val="auto"/>
          <w:sz w:val="24"/>
          <w:szCs w:val="20"/>
          <w:highlight w:val="none"/>
        </w:rPr>
        <w:t xml:space="preserve">日期：_____年______月______日   </w:t>
      </w:r>
    </w:p>
    <w:p w14:paraId="4EEB7A27">
      <w:pPr>
        <w:spacing w:line="360" w:lineRule="auto"/>
        <w:outlineLvl w:val="2"/>
        <w:rPr>
          <w:rFonts w:hint="eastAsia" w:ascii="宋体" w:hAnsi="宋体" w:cs="宋体"/>
          <w:color w:val="auto"/>
          <w:sz w:val="24"/>
          <w:szCs w:val="20"/>
          <w:highlight w:val="none"/>
        </w:rPr>
      </w:pPr>
      <w:bookmarkStart w:id="1084" w:name="_Toc142311062"/>
      <w:bookmarkStart w:id="1085" w:name="_Toc127151562"/>
      <w:bookmarkStart w:id="1086" w:name="_Toc305158904"/>
      <w:bookmarkStart w:id="1087" w:name="_Toc195842927"/>
      <w:bookmarkStart w:id="1088" w:name="_Toc150480798"/>
      <w:bookmarkStart w:id="1089" w:name="_Toc226337258"/>
      <w:bookmarkStart w:id="1090" w:name="_Toc226965752"/>
      <w:bookmarkStart w:id="1091" w:name="_Toc226965835"/>
      <w:bookmarkStart w:id="1092" w:name="_Toc150774765"/>
      <w:bookmarkStart w:id="1093" w:name="_Toc265228400"/>
      <w:bookmarkStart w:id="1094" w:name="_Toc264969252"/>
      <w:bookmarkStart w:id="1095" w:name="_Toc305158830"/>
      <w:bookmarkStart w:id="1096" w:name="_Toc226309806"/>
      <w:bookmarkStart w:id="1097" w:name="_Toc195842926"/>
      <w:bookmarkStart w:id="1098" w:name="_Toc264969251"/>
      <w:bookmarkStart w:id="1099" w:name="_Toc305158903"/>
      <w:bookmarkStart w:id="1100" w:name="_Toc226965751"/>
      <w:bookmarkStart w:id="1101" w:name="_Toc150480797"/>
      <w:bookmarkStart w:id="1102" w:name="_Toc226965834"/>
      <w:bookmarkStart w:id="1103" w:name="_Toc305158829"/>
      <w:bookmarkStart w:id="1104" w:name="_Toc150774764"/>
      <w:bookmarkStart w:id="1105" w:name="_Toc226309805"/>
      <w:bookmarkStart w:id="1106" w:name="_Toc142311061"/>
      <w:bookmarkStart w:id="1107" w:name="_Toc226337257"/>
      <w:bookmarkStart w:id="1108" w:name="_Toc127151561"/>
      <w:bookmarkStart w:id="1109" w:name="_Toc265228399"/>
      <w:r>
        <w:rPr>
          <w:rFonts w:hint="eastAsia" w:ascii="宋体" w:hAnsi="宋体" w:cs="宋体"/>
          <w:color w:val="auto"/>
          <w:sz w:val="24"/>
          <w:szCs w:val="20"/>
          <w:highlight w:val="none"/>
        </w:rPr>
        <w:br w:type="page"/>
      </w:r>
      <w:r>
        <w:rPr>
          <w:rFonts w:hint="eastAsia" w:ascii="宋体" w:hAnsi="宋体" w:cs="宋体"/>
          <w:color w:val="auto"/>
          <w:sz w:val="24"/>
          <w:szCs w:val="20"/>
          <w:highlight w:val="none"/>
        </w:rPr>
        <w:t>5  合同条款偏离表</w:t>
      </w:r>
      <w:bookmarkEnd w:id="1084"/>
      <w:bookmarkEnd w:id="1085"/>
      <w:bookmarkEnd w:id="1086"/>
      <w:bookmarkEnd w:id="1087"/>
      <w:bookmarkEnd w:id="1088"/>
      <w:bookmarkEnd w:id="1089"/>
      <w:bookmarkEnd w:id="1090"/>
      <w:bookmarkEnd w:id="1091"/>
      <w:bookmarkEnd w:id="1092"/>
      <w:bookmarkEnd w:id="1093"/>
      <w:bookmarkEnd w:id="1094"/>
      <w:bookmarkEnd w:id="1095"/>
      <w:bookmarkEnd w:id="1096"/>
      <w:r>
        <w:rPr>
          <w:rFonts w:hint="eastAsia" w:ascii="宋体" w:hAnsi="宋体" w:cs="宋体"/>
          <w:color w:val="auto"/>
          <w:sz w:val="24"/>
          <w:szCs w:val="20"/>
          <w:highlight w:val="none"/>
        </w:rPr>
        <w:t>（实质性格式）</w:t>
      </w:r>
    </w:p>
    <w:p w14:paraId="3AB9F7F2">
      <w:pPr>
        <w:spacing w:line="360" w:lineRule="auto"/>
        <w:rPr>
          <w:rFonts w:hint="eastAsia" w:ascii="宋体" w:hAnsi="宋体" w:cs="宋体"/>
          <w:color w:val="auto"/>
          <w:sz w:val="24"/>
          <w:szCs w:val="20"/>
          <w:highlight w:val="none"/>
        </w:rPr>
      </w:pPr>
    </w:p>
    <w:p w14:paraId="0B69C739">
      <w:pPr>
        <w:tabs>
          <w:tab w:val="left" w:pos="2775"/>
          <w:tab w:val="center" w:pos="4153"/>
        </w:tabs>
        <w:autoSpaceDE w:val="0"/>
        <w:autoSpaceDN w:val="0"/>
        <w:adjustRightInd w:val="0"/>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合同条款偏离表</w:t>
      </w:r>
    </w:p>
    <w:p w14:paraId="740C940B">
      <w:pPr>
        <w:spacing w:line="360" w:lineRule="auto"/>
        <w:rPr>
          <w:rFonts w:hint="eastAsia" w:ascii="宋体" w:hAnsi="宋体" w:cs="宋体"/>
          <w:color w:val="auto"/>
          <w:sz w:val="24"/>
          <w:szCs w:val="20"/>
          <w:highlight w:val="none"/>
        </w:rPr>
      </w:pPr>
    </w:p>
    <w:p w14:paraId="21986EFF">
      <w:pPr>
        <w:tabs>
          <w:tab w:val="left" w:pos="1800"/>
          <w:tab w:val="left" w:pos="5580"/>
        </w:tabs>
        <w:spacing w:line="360" w:lineRule="auto"/>
        <w:ind w:firstLine="360" w:firstLineChars="150"/>
        <w:jc w:val="left"/>
        <w:rPr>
          <w:rFonts w:hint="eastAsia" w:ascii="宋体" w:hAnsi="宋体" w:cs="宋体"/>
          <w:color w:val="auto"/>
          <w:sz w:val="24"/>
          <w:highlight w:val="none"/>
        </w:rPr>
      </w:pPr>
      <w:r>
        <w:rPr>
          <w:rFonts w:hint="eastAsia" w:ascii="宋体" w:hAnsi="宋体" w:cs="宋体"/>
          <w:color w:val="auto"/>
          <w:sz w:val="24"/>
          <w:highlight w:val="none"/>
        </w:rPr>
        <w:t>项目编号/包号：_____________________     项目名称：_____________</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225"/>
        <w:gridCol w:w="1850"/>
        <w:gridCol w:w="1851"/>
        <w:gridCol w:w="2259"/>
        <w:gridCol w:w="747"/>
      </w:tblGrid>
      <w:tr w14:paraId="33E56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0" w:type="auto"/>
            <w:gridSpan w:val="6"/>
            <w:vAlign w:val="center"/>
          </w:tcPr>
          <w:p w14:paraId="6FE6EFFF">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eastAsia" w:ascii="宋体" w:hAnsi="宋体" w:cs="宋体"/>
                <w:b/>
                <w:color w:val="auto"/>
                <w:sz w:val="24"/>
                <w:highlight w:val="none"/>
              </w:rPr>
            </w:pPr>
            <w:r>
              <w:rPr>
                <w:rFonts w:hint="eastAsia" w:ascii="宋体" w:hAnsi="宋体" w:cs="宋体"/>
                <w:b/>
                <w:color w:val="auto"/>
                <w:sz w:val="24"/>
                <w:highlight w:val="none"/>
              </w:rPr>
              <w:t>对本项目合同条款的偏离情况（请进行勾选）：</w:t>
            </w:r>
          </w:p>
          <w:p w14:paraId="0991EECB">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eastAsia" w:ascii="宋体" w:hAnsi="宋体" w:cs="宋体"/>
                <w:b/>
                <w:color w:val="auto"/>
                <w:sz w:val="24"/>
                <w:highlight w:val="none"/>
              </w:rPr>
            </w:pPr>
            <w:r>
              <w:rPr>
                <w:rFonts w:hint="eastAsia" w:ascii="宋体" w:hAnsi="宋体" w:cs="宋体"/>
                <w:b/>
                <w:color w:val="auto"/>
                <w:sz w:val="24"/>
                <w:highlight w:val="none"/>
              </w:rPr>
              <w:t>□无偏离</w:t>
            </w:r>
            <w:r>
              <w:rPr>
                <w:rFonts w:hint="eastAsia" w:ascii="宋体" w:hAnsi="宋体" w:cs="宋体"/>
                <w:color w:val="auto"/>
                <w:sz w:val="24"/>
                <w:highlight w:val="none"/>
              </w:rPr>
              <w:t>（</w:t>
            </w:r>
            <w:r>
              <w:rPr>
                <w:rFonts w:hint="eastAsia" w:ascii="宋体" w:hAnsi="宋体" w:cs="宋体"/>
                <w:color w:val="auto"/>
                <w:sz w:val="24"/>
                <w:szCs w:val="21"/>
                <w:highlight w:val="none"/>
              </w:rPr>
              <w:t>如无偏离，仅勾选无偏离即可</w:t>
            </w:r>
            <w:r>
              <w:rPr>
                <w:rFonts w:hint="eastAsia" w:ascii="宋体" w:hAnsi="宋体" w:cs="宋体"/>
                <w:color w:val="auto"/>
                <w:sz w:val="24"/>
                <w:highlight w:val="none"/>
              </w:rPr>
              <w:t>）</w:t>
            </w:r>
          </w:p>
          <w:p w14:paraId="3E829D9D">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eastAsia" w:ascii="宋体" w:hAnsi="宋体" w:cs="宋体"/>
                <w:color w:val="auto"/>
                <w:sz w:val="24"/>
                <w:highlight w:val="none"/>
              </w:rPr>
            </w:pPr>
            <w:r>
              <w:rPr>
                <w:rFonts w:hint="eastAsia" w:ascii="宋体" w:hAnsi="宋体" w:cs="宋体"/>
                <w:b/>
                <w:color w:val="auto"/>
                <w:sz w:val="24"/>
                <w:highlight w:val="none"/>
              </w:rPr>
              <w:t>□有偏离</w:t>
            </w:r>
            <w:r>
              <w:rPr>
                <w:rFonts w:hint="eastAsia" w:ascii="宋体" w:hAnsi="宋体" w:cs="宋体"/>
                <w:color w:val="auto"/>
                <w:sz w:val="24"/>
                <w:highlight w:val="none"/>
              </w:rPr>
              <w:t>（</w:t>
            </w:r>
            <w:r>
              <w:rPr>
                <w:rFonts w:hint="eastAsia" w:ascii="宋体" w:hAnsi="宋体" w:cs="宋体"/>
                <w:color w:val="auto"/>
                <w:sz w:val="24"/>
                <w:szCs w:val="21"/>
                <w:highlight w:val="none"/>
              </w:rPr>
              <w:t>如有偏离，</w:t>
            </w:r>
            <w:r>
              <w:rPr>
                <w:rFonts w:hint="eastAsia" w:ascii="宋体" w:hAnsi="宋体" w:cs="宋体"/>
                <w:color w:val="auto"/>
                <w:sz w:val="24"/>
                <w:highlight w:val="none"/>
              </w:rPr>
              <w:t>则应在本表中对偏离项逐一列明）</w:t>
            </w:r>
          </w:p>
        </w:tc>
      </w:tr>
      <w:tr w14:paraId="5C883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804" w:type="dxa"/>
            <w:vAlign w:val="center"/>
          </w:tcPr>
          <w:p w14:paraId="03DC1F63">
            <w:pP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253" w:type="dxa"/>
            <w:vAlign w:val="center"/>
          </w:tcPr>
          <w:p w14:paraId="2EACC46D">
            <w:pPr>
              <w:adjustRightInd w:val="0"/>
              <w:snapToGrid w:val="0"/>
              <w:jc w:val="center"/>
              <w:rPr>
                <w:rFonts w:hint="eastAsia" w:ascii="宋体" w:hAnsi="宋体" w:cs="宋体"/>
                <w:color w:val="auto"/>
                <w:sz w:val="24"/>
                <w:highlight w:val="none"/>
              </w:rPr>
            </w:pPr>
            <w:r>
              <w:rPr>
                <w:rFonts w:hint="eastAsia" w:ascii="宋体" w:hAnsi="宋体" w:cs="宋体"/>
                <w:color w:val="auto"/>
                <w:sz w:val="24"/>
                <w:szCs w:val="21"/>
                <w:highlight w:val="none"/>
              </w:rPr>
              <w:t>招标文件</w:t>
            </w:r>
            <w:r>
              <w:rPr>
                <w:rFonts w:hint="eastAsia" w:ascii="宋体" w:hAnsi="宋体" w:cs="宋体"/>
                <w:color w:val="auto"/>
                <w:sz w:val="24"/>
                <w:highlight w:val="none"/>
              </w:rPr>
              <w:t>条目号（页码）</w:t>
            </w:r>
          </w:p>
        </w:tc>
        <w:tc>
          <w:tcPr>
            <w:tcW w:w="1923" w:type="dxa"/>
            <w:vAlign w:val="center"/>
          </w:tcPr>
          <w:p w14:paraId="34F84A90">
            <w:pPr>
              <w:adjustRightInd w:val="0"/>
              <w:snapToGrid w:val="0"/>
              <w:jc w:val="center"/>
              <w:rPr>
                <w:rFonts w:hint="eastAsia" w:ascii="宋体" w:hAnsi="宋体" w:cs="宋体"/>
                <w:color w:val="auto"/>
                <w:sz w:val="24"/>
                <w:highlight w:val="none"/>
              </w:rPr>
            </w:pPr>
            <w:r>
              <w:rPr>
                <w:rFonts w:hint="eastAsia" w:ascii="宋体" w:hAnsi="宋体" w:cs="宋体"/>
                <w:color w:val="auto"/>
                <w:sz w:val="24"/>
                <w:szCs w:val="21"/>
                <w:highlight w:val="none"/>
              </w:rPr>
              <w:t>招标文件</w:t>
            </w:r>
            <w:r>
              <w:rPr>
                <w:rFonts w:hint="eastAsia" w:ascii="宋体" w:hAnsi="宋体" w:cs="宋体"/>
                <w:color w:val="auto"/>
                <w:sz w:val="24"/>
                <w:highlight w:val="none"/>
              </w:rPr>
              <w:t>要求</w:t>
            </w:r>
          </w:p>
        </w:tc>
        <w:tc>
          <w:tcPr>
            <w:tcW w:w="1924" w:type="dxa"/>
            <w:vAlign w:val="center"/>
          </w:tcPr>
          <w:p w14:paraId="34513C4C">
            <w:pP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投标文件内容</w:t>
            </w:r>
          </w:p>
        </w:tc>
        <w:tc>
          <w:tcPr>
            <w:tcW w:w="2354" w:type="dxa"/>
            <w:vAlign w:val="center"/>
          </w:tcPr>
          <w:p w14:paraId="2B82FC1D">
            <w:pP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偏离情况</w:t>
            </w:r>
          </w:p>
        </w:tc>
        <w:tc>
          <w:tcPr>
            <w:tcW w:w="762" w:type="dxa"/>
            <w:vAlign w:val="center"/>
          </w:tcPr>
          <w:p w14:paraId="5B0EA978">
            <w:pP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说明</w:t>
            </w:r>
          </w:p>
        </w:tc>
      </w:tr>
      <w:tr w14:paraId="6F003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04" w:type="dxa"/>
            <w:vAlign w:val="center"/>
          </w:tcPr>
          <w:p w14:paraId="71D77EC0">
            <w:pPr>
              <w:adjustRightInd w:val="0"/>
              <w:snapToGrid w:val="0"/>
              <w:jc w:val="center"/>
              <w:rPr>
                <w:rFonts w:hint="eastAsia" w:ascii="宋体" w:hAnsi="宋体" w:cs="宋体"/>
                <w:color w:val="auto"/>
                <w:sz w:val="24"/>
                <w:highlight w:val="none"/>
              </w:rPr>
            </w:pPr>
          </w:p>
        </w:tc>
        <w:tc>
          <w:tcPr>
            <w:tcW w:w="1253" w:type="dxa"/>
            <w:vAlign w:val="center"/>
          </w:tcPr>
          <w:p w14:paraId="73268AE7">
            <w:pPr>
              <w:adjustRightInd w:val="0"/>
              <w:snapToGrid w:val="0"/>
              <w:jc w:val="center"/>
              <w:rPr>
                <w:rFonts w:hint="eastAsia" w:ascii="宋体" w:hAnsi="宋体" w:cs="宋体"/>
                <w:color w:val="auto"/>
                <w:sz w:val="24"/>
                <w:highlight w:val="none"/>
              </w:rPr>
            </w:pPr>
          </w:p>
        </w:tc>
        <w:tc>
          <w:tcPr>
            <w:tcW w:w="1923" w:type="dxa"/>
            <w:vAlign w:val="center"/>
          </w:tcPr>
          <w:p w14:paraId="28ABA333">
            <w:pPr>
              <w:adjustRightInd w:val="0"/>
              <w:snapToGrid w:val="0"/>
              <w:jc w:val="center"/>
              <w:rPr>
                <w:rFonts w:hint="eastAsia" w:ascii="宋体" w:hAnsi="宋体" w:cs="宋体"/>
                <w:color w:val="auto"/>
                <w:sz w:val="24"/>
                <w:highlight w:val="none"/>
              </w:rPr>
            </w:pPr>
          </w:p>
        </w:tc>
        <w:tc>
          <w:tcPr>
            <w:tcW w:w="1924" w:type="dxa"/>
            <w:vAlign w:val="center"/>
          </w:tcPr>
          <w:p w14:paraId="5BA0A8ED">
            <w:pPr>
              <w:adjustRightInd w:val="0"/>
              <w:snapToGrid w:val="0"/>
              <w:jc w:val="center"/>
              <w:rPr>
                <w:rFonts w:hint="eastAsia" w:ascii="宋体" w:hAnsi="宋体" w:cs="宋体"/>
                <w:color w:val="auto"/>
                <w:sz w:val="24"/>
                <w:highlight w:val="none"/>
              </w:rPr>
            </w:pPr>
          </w:p>
        </w:tc>
        <w:tc>
          <w:tcPr>
            <w:tcW w:w="2354" w:type="dxa"/>
            <w:vAlign w:val="center"/>
          </w:tcPr>
          <w:p w14:paraId="3D7D7E4A">
            <w:pPr>
              <w:adjustRightInd w:val="0"/>
              <w:snapToGrid w:val="0"/>
              <w:jc w:val="center"/>
              <w:rPr>
                <w:rFonts w:hint="eastAsia" w:ascii="宋体" w:hAnsi="宋体" w:cs="宋体"/>
                <w:color w:val="auto"/>
                <w:sz w:val="24"/>
                <w:highlight w:val="none"/>
              </w:rPr>
            </w:pPr>
          </w:p>
        </w:tc>
        <w:tc>
          <w:tcPr>
            <w:tcW w:w="762" w:type="dxa"/>
            <w:vAlign w:val="center"/>
          </w:tcPr>
          <w:p w14:paraId="1262AFD5">
            <w:pPr>
              <w:adjustRightInd w:val="0"/>
              <w:snapToGrid w:val="0"/>
              <w:jc w:val="center"/>
              <w:rPr>
                <w:rFonts w:hint="eastAsia" w:ascii="宋体" w:hAnsi="宋体" w:cs="宋体"/>
                <w:color w:val="auto"/>
                <w:sz w:val="24"/>
                <w:highlight w:val="none"/>
              </w:rPr>
            </w:pPr>
          </w:p>
        </w:tc>
      </w:tr>
      <w:tr w14:paraId="43442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04" w:type="dxa"/>
            <w:vAlign w:val="center"/>
          </w:tcPr>
          <w:p w14:paraId="75F58B2F">
            <w:pPr>
              <w:adjustRightInd w:val="0"/>
              <w:snapToGrid w:val="0"/>
              <w:jc w:val="center"/>
              <w:rPr>
                <w:rFonts w:hint="eastAsia" w:ascii="宋体" w:hAnsi="宋体" w:cs="宋体"/>
                <w:color w:val="auto"/>
                <w:sz w:val="24"/>
                <w:highlight w:val="none"/>
              </w:rPr>
            </w:pPr>
          </w:p>
        </w:tc>
        <w:tc>
          <w:tcPr>
            <w:tcW w:w="1253" w:type="dxa"/>
            <w:vAlign w:val="center"/>
          </w:tcPr>
          <w:p w14:paraId="67E982A2">
            <w:pPr>
              <w:adjustRightInd w:val="0"/>
              <w:snapToGrid w:val="0"/>
              <w:jc w:val="center"/>
              <w:rPr>
                <w:rFonts w:hint="eastAsia" w:ascii="宋体" w:hAnsi="宋体" w:cs="宋体"/>
                <w:color w:val="auto"/>
                <w:sz w:val="24"/>
                <w:highlight w:val="none"/>
              </w:rPr>
            </w:pPr>
          </w:p>
        </w:tc>
        <w:tc>
          <w:tcPr>
            <w:tcW w:w="1923" w:type="dxa"/>
            <w:vAlign w:val="center"/>
          </w:tcPr>
          <w:p w14:paraId="044564BC">
            <w:pPr>
              <w:adjustRightInd w:val="0"/>
              <w:snapToGrid w:val="0"/>
              <w:jc w:val="center"/>
              <w:rPr>
                <w:rFonts w:hint="eastAsia" w:ascii="宋体" w:hAnsi="宋体" w:cs="宋体"/>
                <w:color w:val="auto"/>
                <w:sz w:val="24"/>
                <w:highlight w:val="none"/>
              </w:rPr>
            </w:pPr>
          </w:p>
        </w:tc>
        <w:tc>
          <w:tcPr>
            <w:tcW w:w="1924" w:type="dxa"/>
            <w:vAlign w:val="center"/>
          </w:tcPr>
          <w:p w14:paraId="753638A4">
            <w:pPr>
              <w:adjustRightInd w:val="0"/>
              <w:snapToGrid w:val="0"/>
              <w:jc w:val="center"/>
              <w:rPr>
                <w:rFonts w:hint="eastAsia" w:ascii="宋体" w:hAnsi="宋体" w:cs="宋体"/>
                <w:color w:val="auto"/>
                <w:sz w:val="24"/>
                <w:highlight w:val="none"/>
              </w:rPr>
            </w:pPr>
          </w:p>
        </w:tc>
        <w:tc>
          <w:tcPr>
            <w:tcW w:w="2354" w:type="dxa"/>
            <w:vAlign w:val="center"/>
          </w:tcPr>
          <w:p w14:paraId="3C27DC32">
            <w:pPr>
              <w:adjustRightInd w:val="0"/>
              <w:snapToGrid w:val="0"/>
              <w:jc w:val="center"/>
              <w:rPr>
                <w:rFonts w:hint="eastAsia" w:ascii="宋体" w:hAnsi="宋体" w:cs="宋体"/>
                <w:color w:val="auto"/>
                <w:sz w:val="24"/>
                <w:highlight w:val="none"/>
              </w:rPr>
            </w:pPr>
          </w:p>
        </w:tc>
        <w:tc>
          <w:tcPr>
            <w:tcW w:w="762" w:type="dxa"/>
            <w:vAlign w:val="center"/>
          </w:tcPr>
          <w:p w14:paraId="6037444D">
            <w:pPr>
              <w:adjustRightInd w:val="0"/>
              <w:snapToGrid w:val="0"/>
              <w:jc w:val="center"/>
              <w:rPr>
                <w:rFonts w:hint="eastAsia" w:ascii="宋体" w:hAnsi="宋体" w:cs="宋体"/>
                <w:color w:val="auto"/>
                <w:sz w:val="24"/>
                <w:highlight w:val="none"/>
              </w:rPr>
            </w:pPr>
          </w:p>
        </w:tc>
      </w:tr>
      <w:tr w14:paraId="36F9F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04" w:type="dxa"/>
            <w:vAlign w:val="center"/>
          </w:tcPr>
          <w:p w14:paraId="29465639">
            <w:pPr>
              <w:adjustRightInd w:val="0"/>
              <w:snapToGrid w:val="0"/>
              <w:jc w:val="center"/>
              <w:rPr>
                <w:rFonts w:hint="eastAsia" w:ascii="宋体" w:hAnsi="宋体" w:cs="宋体"/>
                <w:color w:val="auto"/>
                <w:sz w:val="24"/>
                <w:highlight w:val="none"/>
              </w:rPr>
            </w:pPr>
          </w:p>
        </w:tc>
        <w:tc>
          <w:tcPr>
            <w:tcW w:w="1253" w:type="dxa"/>
            <w:vAlign w:val="center"/>
          </w:tcPr>
          <w:p w14:paraId="0A66986F">
            <w:pPr>
              <w:adjustRightInd w:val="0"/>
              <w:snapToGrid w:val="0"/>
              <w:jc w:val="center"/>
              <w:rPr>
                <w:rFonts w:hint="eastAsia" w:ascii="宋体" w:hAnsi="宋体" w:cs="宋体"/>
                <w:color w:val="auto"/>
                <w:sz w:val="24"/>
                <w:highlight w:val="none"/>
              </w:rPr>
            </w:pPr>
          </w:p>
        </w:tc>
        <w:tc>
          <w:tcPr>
            <w:tcW w:w="1923" w:type="dxa"/>
            <w:vAlign w:val="center"/>
          </w:tcPr>
          <w:p w14:paraId="1CF297FE">
            <w:pPr>
              <w:adjustRightInd w:val="0"/>
              <w:snapToGrid w:val="0"/>
              <w:jc w:val="center"/>
              <w:rPr>
                <w:rFonts w:hint="eastAsia" w:ascii="宋体" w:hAnsi="宋体" w:cs="宋体"/>
                <w:color w:val="auto"/>
                <w:sz w:val="24"/>
                <w:highlight w:val="none"/>
              </w:rPr>
            </w:pPr>
          </w:p>
        </w:tc>
        <w:tc>
          <w:tcPr>
            <w:tcW w:w="1924" w:type="dxa"/>
            <w:vAlign w:val="center"/>
          </w:tcPr>
          <w:p w14:paraId="21BDB18F">
            <w:pPr>
              <w:adjustRightInd w:val="0"/>
              <w:snapToGrid w:val="0"/>
              <w:jc w:val="center"/>
              <w:rPr>
                <w:rFonts w:hint="eastAsia" w:ascii="宋体" w:hAnsi="宋体" w:cs="宋体"/>
                <w:color w:val="auto"/>
                <w:sz w:val="24"/>
                <w:highlight w:val="none"/>
              </w:rPr>
            </w:pPr>
          </w:p>
        </w:tc>
        <w:tc>
          <w:tcPr>
            <w:tcW w:w="2354" w:type="dxa"/>
            <w:vAlign w:val="center"/>
          </w:tcPr>
          <w:p w14:paraId="05517CF7">
            <w:pPr>
              <w:adjustRightInd w:val="0"/>
              <w:snapToGrid w:val="0"/>
              <w:jc w:val="center"/>
              <w:rPr>
                <w:rFonts w:hint="eastAsia" w:ascii="宋体" w:hAnsi="宋体" w:cs="宋体"/>
                <w:color w:val="auto"/>
                <w:sz w:val="24"/>
                <w:highlight w:val="none"/>
              </w:rPr>
            </w:pPr>
          </w:p>
        </w:tc>
        <w:tc>
          <w:tcPr>
            <w:tcW w:w="762" w:type="dxa"/>
            <w:vAlign w:val="center"/>
          </w:tcPr>
          <w:p w14:paraId="2233C42F">
            <w:pPr>
              <w:adjustRightInd w:val="0"/>
              <w:snapToGrid w:val="0"/>
              <w:jc w:val="center"/>
              <w:rPr>
                <w:rFonts w:hint="eastAsia" w:ascii="宋体" w:hAnsi="宋体" w:cs="宋体"/>
                <w:color w:val="auto"/>
                <w:sz w:val="24"/>
                <w:highlight w:val="none"/>
              </w:rPr>
            </w:pPr>
          </w:p>
        </w:tc>
      </w:tr>
      <w:tr w14:paraId="2271E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804" w:type="dxa"/>
            <w:vAlign w:val="center"/>
          </w:tcPr>
          <w:p w14:paraId="2EB55311">
            <w:pPr>
              <w:adjustRightInd w:val="0"/>
              <w:snapToGrid w:val="0"/>
              <w:jc w:val="center"/>
              <w:rPr>
                <w:rFonts w:hint="eastAsia" w:ascii="宋体" w:hAnsi="宋体" w:cs="宋体"/>
                <w:color w:val="auto"/>
                <w:sz w:val="24"/>
                <w:highlight w:val="none"/>
              </w:rPr>
            </w:pPr>
          </w:p>
        </w:tc>
        <w:tc>
          <w:tcPr>
            <w:tcW w:w="1253" w:type="dxa"/>
            <w:vAlign w:val="center"/>
          </w:tcPr>
          <w:p w14:paraId="7D408645">
            <w:pPr>
              <w:adjustRightInd w:val="0"/>
              <w:snapToGrid w:val="0"/>
              <w:jc w:val="center"/>
              <w:rPr>
                <w:rFonts w:hint="eastAsia" w:ascii="宋体" w:hAnsi="宋体" w:cs="宋体"/>
                <w:color w:val="auto"/>
                <w:sz w:val="24"/>
                <w:highlight w:val="none"/>
              </w:rPr>
            </w:pPr>
          </w:p>
        </w:tc>
        <w:tc>
          <w:tcPr>
            <w:tcW w:w="1923" w:type="dxa"/>
            <w:vAlign w:val="center"/>
          </w:tcPr>
          <w:p w14:paraId="2F6BEFC4">
            <w:pPr>
              <w:adjustRightInd w:val="0"/>
              <w:snapToGrid w:val="0"/>
              <w:jc w:val="center"/>
              <w:rPr>
                <w:rFonts w:hint="eastAsia" w:ascii="宋体" w:hAnsi="宋体" w:cs="宋体"/>
                <w:color w:val="auto"/>
                <w:sz w:val="24"/>
                <w:highlight w:val="none"/>
              </w:rPr>
            </w:pPr>
          </w:p>
        </w:tc>
        <w:tc>
          <w:tcPr>
            <w:tcW w:w="1924" w:type="dxa"/>
            <w:vAlign w:val="center"/>
          </w:tcPr>
          <w:p w14:paraId="5AD9FEDA">
            <w:pPr>
              <w:adjustRightInd w:val="0"/>
              <w:snapToGrid w:val="0"/>
              <w:jc w:val="center"/>
              <w:rPr>
                <w:rFonts w:hint="eastAsia" w:ascii="宋体" w:hAnsi="宋体" w:cs="宋体"/>
                <w:color w:val="auto"/>
                <w:sz w:val="24"/>
                <w:highlight w:val="none"/>
              </w:rPr>
            </w:pPr>
          </w:p>
        </w:tc>
        <w:tc>
          <w:tcPr>
            <w:tcW w:w="2354" w:type="dxa"/>
            <w:vAlign w:val="center"/>
          </w:tcPr>
          <w:p w14:paraId="7812EA6D">
            <w:pPr>
              <w:adjustRightInd w:val="0"/>
              <w:snapToGrid w:val="0"/>
              <w:jc w:val="center"/>
              <w:rPr>
                <w:rFonts w:hint="eastAsia" w:ascii="宋体" w:hAnsi="宋体" w:cs="宋体"/>
                <w:color w:val="auto"/>
                <w:sz w:val="24"/>
                <w:highlight w:val="none"/>
              </w:rPr>
            </w:pPr>
          </w:p>
        </w:tc>
        <w:tc>
          <w:tcPr>
            <w:tcW w:w="762" w:type="dxa"/>
            <w:vAlign w:val="center"/>
          </w:tcPr>
          <w:p w14:paraId="08B853C2">
            <w:pPr>
              <w:adjustRightInd w:val="0"/>
              <w:snapToGrid w:val="0"/>
              <w:jc w:val="center"/>
              <w:rPr>
                <w:rFonts w:hint="eastAsia" w:ascii="宋体" w:hAnsi="宋体" w:cs="宋体"/>
                <w:color w:val="auto"/>
                <w:sz w:val="24"/>
                <w:highlight w:val="none"/>
              </w:rPr>
            </w:pPr>
          </w:p>
        </w:tc>
      </w:tr>
    </w:tbl>
    <w:p w14:paraId="077F5F9C">
      <w:pPr>
        <w:tabs>
          <w:tab w:val="left" w:pos="1800"/>
          <w:tab w:val="left" w:pos="5580"/>
        </w:tabs>
        <w:jc w:val="left"/>
        <w:rPr>
          <w:rFonts w:hint="eastAsia" w:ascii="宋体" w:hAnsi="宋体" w:cs="宋体"/>
          <w:color w:val="auto"/>
          <w:sz w:val="24"/>
          <w:highlight w:val="none"/>
        </w:rPr>
      </w:pPr>
    </w:p>
    <w:p w14:paraId="3C83998C">
      <w:pPr>
        <w:tabs>
          <w:tab w:val="left" w:pos="1800"/>
          <w:tab w:val="left" w:pos="5580"/>
        </w:tabs>
        <w:jc w:val="left"/>
        <w:rPr>
          <w:rFonts w:hint="eastAsia" w:ascii="宋体" w:hAnsi="宋体" w:cs="宋体"/>
          <w:color w:val="auto"/>
          <w:sz w:val="24"/>
          <w:highlight w:val="none"/>
        </w:rPr>
      </w:pPr>
      <w:r>
        <w:rPr>
          <w:rFonts w:hint="eastAsia" w:ascii="宋体" w:hAnsi="宋体" w:cs="宋体"/>
          <w:color w:val="auto"/>
          <w:sz w:val="24"/>
          <w:highlight w:val="none"/>
        </w:rPr>
        <w:t>注：</w:t>
      </w:r>
    </w:p>
    <w:p w14:paraId="1FA65A57">
      <w:pPr>
        <w:tabs>
          <w:tab w:val="left" w:pos="1800"/>
          <w:tab w:val="left" w:pos="5580"/>
        </w:tabs>
        <w:jc w:val="left"/>
        <w:rPr>
          <w:rFonts w:hint="eastAsia" w:ascii="宋体" w:hAnsi="宋体" w:cs="宋体"/>
          <w:color w:val="auto"/>
          <w:sz w:val="24"/>
          <w:highlight w:val="none"/>
        </w:rPr>
      </w:pPr>
      <w:r>
        <w:rPr>
          <w:rFonts w:hint="eastAsia" w:ascii="宋体" w:hAnsi="宋体" w:cs="宋体"/>
          <w:color w:val="auto"/>
          <w:sz w:val="24"/>
          <w:highlight w:val="none"/>
        </w:rPr>
        <w:t>1. 对合同条款中的所有要求，除本表所列明的所有偏离外，均视作供应商已对之理解和响应。</w:t>
      </w:r>
    </w:p>
    <w:p w14:paraId="4BE48436">
      <w:pPr>
        <w:tabs>
          <w:tab w:val="left" w:pos="1800"/>
          <w:tab w:val="left" w:pos="5580"/>
        </w:tabs>
        <w:jc w:val="left"/>
        <w:rPr>
          <w:rFonts w:hint="eastAsia" w:ascii="宋体" w:hAnsi="宋体" w:cs="宋体"/>
          <w:color w:val="auto"/>
          <w:sz w:val="24"/>
          <w:highlight w:val="none"/>
        </w:rPr>
      </w:pPr>
      <w:r>
        <w:rPr>
          <w:rFonts w:hint="eastAsia" w:ascii="宋体" w:hAnsi="宋体" w:cs="宋体"/>
          <w:color w:val="auto"/>
          <w:sz w:val="24"/>
          <w:highlight w:val="none"/>
        </w:rPr>
        <w:t>2. “偏离情况”列应据实填写“正偏离”或“负偏离”。</w:t>
      </w:r>
    </w:p>
    <w:p w14:paraId="18B0E5D5">
      <w:pPr>
        <w:spacing w:line="360" w:lineRule="auto"/>
        <w:rPr>
          <w:rFonts w:hint="eastAsia" w:ascii="宋体" w:hAnsi="宋体" w:cs="宋体"/>
          <w:color w:val="auto"/>
          <w:sz w:val="24"/>
          <w:szCs w:val="20"/>
          <w:highlight w:val="none"/>
        </w:rPr>
      </w:pPr>
    </w:p>
    <w:p w14:paraId="556DEA87">
      <w:pPr>
        <w:autoSpaceDE w:val="0"/>
        <w:autoSpaceDN w:val="0"/>
        <w:adjustRightInd w:val="0"/>
        <w:snapToGrid w:val="0"/>
        <w:spacing w:before="25" w:after="25"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                      </w:t>
      </w:r>
    </w:p>
    <w:p w14:paraId="74CB2830">
      <w:pPr>
        <w:autoSpaceDE w:val="0"/>
        <w:autoSpaceDN w:val="0"/>
        <w:adjustRightInd w:val="0"/>
        <w:snapToGrid w:val="0"/>
        <w:spacing w:before="25" w:after="25" w:line="360" w:lineRule="auto"/>
        <w:rPr>
          <w:rFonts w:hint="eastAsia" w:ascii="宋体" w:hAnsi="宋体" w:cs="宋体"/>
          <w:color w:val="auto"/>
          <w:sz w:val="24"/>
          <w:highlight w:val="none"/>
          <w:lang w:val="zh-CN"/>
        </w:rPr>
      </w:pPr>
      <w:r>
        <w:rPr>
          <w:rFonts w:hint="eastAsia" w:ascii="宋体" w:hAnsi="宋体" w:cs="宋体"/>
          <w:color w:val="auto"/>
          <w:sz w:val="24"/>
          <w:highlight w:val="none"/>
        </w:rPr>
        <w:t>投标人名称（加盖公章）</w:t>
      </w:r>
      <w:r>
        <w:rPr>
          <w:rFonts w:hint="eastAsia" w:ascii="宋体" w:hAnsi="宋体" w:cs="宋体"/>
          <w:color w:val="auto"/>
          <w:sz w:val="24"/>
          <w:highlight w:val="none"/>
          <w:lang w:val="zh-CN"/>
        </w:rPr>
        <w:t>：____________</w:t>
      </w:r>
    </w:p>
    <w:p w14:paraId="30D1AFE6">
      <w:pPr>
        <w:autoSpaceDE w:val="0"/>
        <w:autoSpaceDN w:val="0"/>
        <w:adjustRightInd w:val="0"/>
        <w:snapToGrid w:val="0"/>
        <w:spacing w:before="25" w:after="25" w:line="360" w:lineRule="auto"/>
        <w:rPr>
          <w:rFonts w:hint="eastAsia" w:ascii="宋体" w:hAnsi="宋体" w:cs="宋体"/>
          <w:color w:val="auto"/>
          <w:sz w:val="24"/>
          <w:highlight w:val="none"/>
          <w:lang w:val="zh-CN"/>
        </w:rPr>
      </w:pPr>
      <w:r>
        <w:rPr>
          <w:rFonts w:hint="eastAsia" w:ascii="宋体" w:hAnsi="宋体" w:cs="宋体"/>
          <w:color w:val="auto"/>
          <w:sz w:val="24"/>
          <w:szCs w:val="20"/>
          <w:highlight w:val="none"/>
        </w:rPr>
        <w:t xml:space="preserve">日期：_____年______月______日   </w:t>
      </w:r>
    </w:p>
    <w:p w14:paraId="7755EB22">
      <w:pPr>
        <w:spacing w:line="360" w:lineRule="auto"/>
        <w:outlineLvl w:val="2"/>
        <w:rPr>
          <w:rFonts w:hint="eastAsia" w:ascii="宋体" w:hAnsi="宋体" w:cs="宋体"/>
          <w:color w:val="auto"/>
          <w:sz w:val="24"/>
          <w:szCs w:val="20"/>
          <w:highlight w:val="none"/>
        </w:rPr>
      </w:pPr>
      <w:r>
        <w:rPr>
          <w:rFonts w:hint="eastAsia" w:ascii="宋体" w:hAnsi="宋体" w:cs="宋体"/>
          <w:color w:val="auto"/>
          <w:sz w:val="24"/>
          <w:szCs w:val="20"/>
          <w:highlight w:val="none"/>
        </w:rPr>
        <w:br w:type="page"/>
      </w:r>
      <w:r>
        <w:rPr>
          <w:rFonts w:hint="eastAsia" w:ascii="宋体" w:hAnsi="宋体" w:cs="宋体"/>
          <w:color w:val="auto"/>
          <w:sz w:val="24"/>
          <w:szCs w:val="20"/>
          <w:highlight w:val="none"/>
        </w:rPr>
        <w:t xml:space="preserve">6  </w:t>
      </w:r>
      <w:bookmarkEnd w:id="1097"/>
      <w:bookmarkEnd w:id="1098"/>
      <w:bookmarkEnd w:id="1099"/>
      <w:bookmarkEnd w:id="1100"/>
      <w:bookmarkEnd w:id="1101"/>
      <w:bookmarkEnd w:id="1102"/>
      <w:bookmarkEnd w:id="1103"/>
      <w:bookmarkEnd w:id="1104"/>
      <w:bookmarkEnd w:id="1105"/>
      <w:bookmarkEnd w:id="1106"/>
      <w:bookmarkEnd w:id="1107"/>
      <w:bookmarkEnd w:id="1108"/>
      <w:bookmarkEnd w:id="1109"/>
      <w:r>
        <w:rPr>
          <w:rFonts w:hint="eastAsia" w:ascii="宋体" w:hAnsi="宋体" w:cs="宋体"/>
          <w:color w:val="auto"/>
          <w:sz w:val="24"/>
          <w:szCs w:val="20"/>
          <w:highlight w:val="none"/>
        </w:rPr>
        <w:t>采购需求偏离表（实质性格式）</w:t>
      </w:r>
    </w:p>
    <w:p w14:paraId="362A7CBA">
      <w:pPr>
        <w:autoSpaceDE w:val="0"/>
        <w:autoSpaceDN w:val="0"/>
        <w:adjustRightInd w:val="0"/>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采购需求偏离表</w:t>
      </w:r>
    </w:p>
    <w:p w14:paraId="16FFAB56">
      <w:pPr>
        <w:tabs>
          <w:tab w:val="left" w:pos="1800"/>
          <w:tab w:val="left" w:pos="5580"/>
        </w:tabs>
        <w:spacing w:line="360" w:lineRule="auto"/>
        <w:ind w:firstLine="360" w:firstLineChars="150"/>
        <w:jc w:val="left"/>
        <w:rPr>
          <w:rFonts w:hint="eastAsia" w:ascii="宋体" w:hAnsi="宋体" w:cs="宋体"/>
          <w:color w:val="auto"/>
          <w:sz w:val="24"/>
          <w:highlight w:val="none"/>
          <w:u w:val="single"/>
        </w:rPr>
      </w:pPr>
      <w:r>
        <w:rPr>
          <w:rFonts w:hint="eastAsia" w:ascii="宋体" w:hAnsi="宋体" w:cs="宋体"/>
          <w:color w:val="auto"/>
          <w:sz w:val="24"/>
          <w:highlight w:val="none"/>
        </w:rPr>
        <w:t>项目编号/包号：_____________________     项目名称：____________</w:t>
      </w:r>
    </w:p>
    <w:tbl>
      <w:tblPr>
        <w:tblStyle w:val="47"/>
        <w:tblW w:w="9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403"/>
        <w:gridCol w:w="2257"/>
        <w:gridCol w:w="2013"/>
        <w:gridCol w:w="1775"/>
        <w:gridCol w:w="955"/>
      </w:tblGrid>
      <w:tr w14:paraId="6DAF2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33" w:type="dxa"/>
            <w:vAlign w:val="center"/>
          </w:tcPr>
          <w:p w14:paraId="695CCBD2">
            <w:pP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403" w:type="dxa"/>
            <w:vAlign w:val="center"/>
          </w:tcPr>
          <w:p w14:paraId="28041F5E">
            <w:pP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招标文件条目号</w:t>
            </w:r>
          </w:p>
          <w:p w14:paraId="41341817">
            <w:pP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（页码）</w:t>
            </w:r>
          </w:p>
        </w:tc>
        <w:tc>
          <w:tcPr>
            <w:tcW w:w="2257" w:type="dxa"/>
            <w:vAlign w:val="center"/>
          </w:tcPr>
          <w:p w14:paraId="068CF404">
            <w:pP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招标文件要求</w:t>
            </w:r>
          </w:p>
        </w:tc>
        <w:tc>
          <w:tcPr>
            <w:tcW w:w="2013" w:type="dxa"/>
            <w:vAlign w:val="center"/>
          </w:tcPr>
          <w:p w14:paraId="6879DFC5">
            <w:pP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投标响应内容</w:t>
            </w:r>
          </w:p>
        </w:tc>
        <w:tc>
          <w:tcPr>
            <w:tcW w:w="1775" w:type="dxa"/>
            <w:vAlign w:val="center"/>
          </w:tcPr>
          <w:p w14:paraId="268A69C0">
            <w:pP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偏离情况</w:t>
            </w:r>
          </w:p>
        </w:tc>
        <w:tc>
          <w:tcPr>
            <w:tcW w:w="955" w:type="dxa"/>
            <w:vAlign w:val="center"/>
          </w:tcPr>
          <w:p w14:paraId="2707B4C8">
            <w:pP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说明</w:t>
            </w:r>
          </w:p>
        </w:tc>
      </w:tr>
      <w:tr w14:paraId="2C27C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33" w:type="dxa"/>
            <w:vAlign w:val="center"/>
          </w:tcPr>
          <w:p w14:paraId="72B11B80">
            <w:pPr>
              <w:adjustRightInd w:val="0"/>
              <w:snapToGrid w:val="0"/>
              <w:jc w:val="center"/>
              <w:rPr>
                <w:rFonts w:hint="eastAsia" w:ascii="宋体" w:hAnsi="宋体" w:cs="宋体"/>
                <w:color w:val="auto"/>
                <w:sz w:val="24"/>
                <w:highlight w:val="none"/>
              </w:rPr>
            </w:pPr>
          </w:p>
        </w:tc>
        <w:tc>
          <w:tcPr>
            <w:tcW w:w="1403" w:type="dxa"/>
            <w:vAlign w:val="center"/>
          </w:tcPr>
          <w:p w14:paraId="0F78EFEB">
            <w:pPr>
              <w:adjustRightInd w:val="0"/>
              <w:snapToGrid w:val="0"/>
              <w:jc w:val="center"/>
              <w:rPr>
                <w:rFonts w:hint="eastAsia" w:ascii="宋体" w:hAnsi="宋体" w:cs="宋体"/>
                <w:color w:val="auto"/>
                <w:sz w:val="24"/>
                <w:highlight w:val="none"/>
              </w:rPr>
            </w:pPr>
          </w:p>
        </w:tc>
        <w:tc>
          <w:tcPr>
            <w:tcW w:w="2257" w:type="dxa"/>
            <w:vAlign w:val="center"/>
          </w:tcPr>
          <w:p w14:paraId="2D98CBEF">
            <w:pPr>
              <w:adjustRightInd w:val="0"/>
              <w:snapToGrid w:val="0"/>
              <w:jc w:val="center"/>
              <w:rPr>
                <w:rFonts w:hint="eastAsia" w:ascii="宋体" w:hAnsi="宋体" w:cs="宋体"/>
                <w:color w:val="auto"/>
                <w:sz w:val="24"/>
                <w:highlight w:val="none"/>
              </w:rPr>
            </w:pPr>
          </w:p>
        </w:tc>
        <w:tc>
          <w:tcPr>
            <w:tcW w:w="2013" w:type="dxa"/>
            <w:vAlign w:val="center"/>
          </w:tcPr>
          <w:p w14:paraId="59D46730">
            <w:pPr>
              <w:adjustRightInd w:val="0"/>
              <w:snapToGrid w:val="0"/>
              <w:jc w:val="center"/>
              <w:rPr>
                <w:rFonts w:hint="eastAsia" w:ascii="宋体" w:hAnsi="宋体" w:cs="宋体"/>
                <w:color w:val="auto"/>
                <w:sz w:val="24"/>
                <w:highlight w:val="none"/>
              </w:rPr>
            </w:pPr>
          </w:p>
        </w:tc>
        <w:tc>
          <w:tcPr>
            <w:tcW w:w="1775" w:type="dxa"/>
            <w:vAlign w:val="center"/>
          </w:tcPr>
          <w:p w14:paraId="448794B3">
            <w:pPr>
              <w:adjustRightInd w:val="0"/>
              <w:snapToGrid w:val="0"/>
              <w:jc w:val="center"/>
              <w:rPr>
                <w:rFonts w:hint="eastAsia" w:ascii="宋体" w:hAnsi="宋体" w:cs="宋体"/>
                <w:color w:val="auto"/>
                <w:sz w:val="24"/>
                <w:highlight w:val="none"/>
              </w:rPr>
            </w:pPr>
          </w:p>
        </w:tc>
        <w:tc>
          <w:tcPr>
            <w:tcW w:w="955" w:type="dxa"/>
            <w:vAlign w:val="center"/>
          </w:tcPr>
          <w:p w14:paraId="20605EF6">
            <w:pPr>
              <w:adjustRightInd w:val="0"/>
              <w:snapToGrid w:val="0"/>
              <w:jc w:val="center"/>
              <w:rPr>
                <w:rFonts w:hint="eastAsia" w:ascii="宋体" w:hAnsi="宋体" w:cs="宋体"/>
                <w:color w:val="auto"/>
                <w:sz w:val="24"/>
                <w:highlight w:val="none"/>
              </w:rPr>
            </w:pPr>
          </w:p>
        </w:tc>
      </w:tr>
      <w:tr w14:paraId="0A608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33" w:type="dxa"/>
            <w:vAlign w:val="center"/>
          </w:tcPr>
          <w:p w14:paraId="0CC63550">
            <w:pPr>
              <w:adjustRightInd w:val="0"/>
              <w:snapToGrid w:val="0"/>
              <w:jc w:val="center"/>
              <w:rPr>
                <w:rFonts w:hint="eastAsia" w:ascii="宋体" w:hAnsi="宋体" w:cs="宋体"/>
                <w:color w:val="auto"/>
                <w:sz w:val="24"/>
                <w:highlight w:val="none"/>
              </w:rPr>
            </w:pPr>
          </w:p>
        </w:tc>
        <w:tc>
          <w:tcPr>
            <w:tcW w:w="1403" w:type="dxa"/>
            <w:vAlign w:val="center"/>
          </w:tcPr>
          <w:p w14:paraId="2AF7FF7A">
            <w:pPr>
              <w:adjustRightInd w:val="0"/>
              <w:snapToGrid w:val="0"/>
              <w:jc w:val="center"/>
              <w:rPr>
                <w:rFonts w:hint="eastAsia" w:ascii="宋体" w:hAnsi="宋体" w:cs="宋体"/>
                <w:color w:val="auto"/>
                <w:sz w:val="24"/>
                <w:highlight w:val="none"/>
              </w:rPr>
            </w:pPr>
          </w:p>
        </w:tc>
        <w:tc>
          <w:tcPr>
            <w:tcW w:w="2257" w:type="dxa"/>
            <w:vAlign w:val="center"/>
          </w:tcPr>
          <w:p w14:paraId="0710B4C1">
            <w:pPr>
              <w:adjustRightInd w:val="0"/>
              <w:snapToGrid w:val="0"/>
              <w:jc w:val="center"/>
              <w:rPr>
                <w:rFonts w:hint="eastAsia" w:ascii="宋体" w:hAnsi="宋体" w:cs="宋体"/>
                <w:color w:val="auto"/>
                <w:sz w:val="24"/>
                <w:highlight w:val="none"/>
              </w:rPr>
            </w:pPr>
          </w:p>
        </w:tc>
        <w:tc>
          <w:tcPr>
            <w:tcW w:w="2013" w:type="dxa"/>
            <w:vAlign w:val="center"/>
          </w:tcPr>
          <w:p w14:paraId="26F303E4">
            <w:pPr>
              <w:adjustRightInd w:val="0"/>
              <w:snapToGrid w:val="0"/>
              <w:jc w:val="center"/>
              <w:rPr>
                <w:rFonts w:hint="eastAsia" w:ascii="宋体" w:hAnsi="宋体" w:cs="宋体"/>
                <w:color w:val="auto"/>
                <w:sz w:val="24"/>
                <w:highlight w:val="none"/>
              </w:rPr>
            </w:pPr>
          </w:p>
        </w:tc>
        <w:tc>
          <w:tcPr>
            <w:tcW w:w="1775" w:type="dxa"/>
            <w:vAlign w:val="center"/>
          </w:tcPr>
          <w:p w14:paraId="53E90902">
            <w:pPr>
              <w:adjustRightInd w:val="0"/>
              <w:snapToGrid w:val="0"/>
              <w:jc w:val="center"/>
              <w:rPr>
                <w:rFonts w:hint="eastAsia" w:ascii="宋体" w:hAnsi="宋体" w:cs="宋体"/>
                <w:color w:val="auto"/>
                <w:sz w:val="24"/>
                <w:highlight w:val="none"/>
              </w:rPr>
            </w:pPr>
          </w:p>
        </w:tc>
        <w:tc>
          <w:tcPr>
            <w:tcW w:w="955" w:type="dxa"/>
            <w:vAlign w:val="center"/>
          </w:tcPr>
          <w:p w14:paraId="2E0B80FF">
            <w:pPr>
              <w:adjustRightInd w:val="0"/>
              <w:snapToGrid w:val="0"/>
              <w:jc w:val="center"/>
              <w:rPr>
                <w:rFonts w:hint="eastAsia" w:ascii="宋体" w:hAnsi="宋体" w:cs="宋体"/>
                <w:color w:val="auto"/>
                <w:sz w:val="24"/>
                <w:highlight w:val="none"/>
              </w:rPr>
            </w:pPr>
          </w:p>
        </w:tc>
      </w:tr>
      <w:tr w14:paraId="322D7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33" w:type="dxa"/>
            <w:vAlign w:val="center"/>
          </w:tcPr>
          <w:p w14:paraId="340F5B74">
            <w:pPr>
              <w:adjustRightInd w:val="0"/>
              <w:snapToGrid w:val="0"/>
              <w:jc w:val="center"/>
              <w:rPr>
                <w:rFonts w:hint="eastAsia" w:ascii="宋体" w:hAnsi="宋体" w:cs="宋体"/>
                <w:color w:val="auto"/>
                <w:sz w:val="24"/>
                <w:highlight w:val="none"/>
              </w:rPr>
            </w:pPr>
          </w:p>
        </w:tc>
        <w:tc>
          <w:tcPr>
            <w:tcW w:w="1403" w:type="dxa"/>
            <w:vAlign w:val="center"/>
          </w:tcPr>
          <w:p w14:paraId="4C34376C">
            <w:pPr>
              <w:adjustRightInd w:val="0"/>
              <w:snapToGrid w:val="0"/>
              <w:jc w:val="center"/>
              <w:rPr>
                <w:rFonts w:hint="eastAsia" w:ascii="宋体" w:hAnsi="宋体" w:cs="宋体"/>
                <w:color w:val="auto"/>
                <w:sz w:val="24"/>
                <w:highlight w:val="none"/>
              </w:rPr>
            </w:pPr>
          </w:p>
        </w:tc>
        <w:tc>
          <w:tcPr>
            <w:tcW w:w="2257" w:type="dxa"/>
            <w:vAlign w:val="center"/>
          </w:tcPr>
          <w:p w14:paraId="0A3F129D">
            <w:pPr>
              <w:adjustRightInd w:val="0"/>
              <w:snapToGrid w:val="0"/>
              <w:jc w:val="center"/>
              <w:rPr>
                <w:rFonts w:hint="eastAsia" w:ascii="宋体" w:hAnsi="宋体" w:cs="宋体"/>
                <w:color w:val="auto"/>
                <w:sz w:val="24"/>
                <w:highlight w:val="none"/>
              </w:rPr>
            </w:pPr>
          </w:p>
        </w:tc>
        <w:tc>
          <w:tcPr>
            <w:tcW w:w="2013" w:type="dxa"/>
            <w:vAlign w:val="center"/>
          </w:tcPr>
          <w:p w14:paraId="30B9C57C">
            <w:pPr>
              <w:adjustRightInd w:val="0"/>
              <w:snapToGrid w:val="0"/>
              <w:jc w:val="center"/>
              <w:rPr>
                <w:rFonts w:hint="eastAsia" w:ascii="宋体" w:hAnsi="宋体" w:cs="宋体"/>
                <w:color w:val="auto"/>
                <w:sz w:val="24"/>
                <w:highlight w:val="none"/>
              </w:rPr>
            </w:pPr>
          </w:p>
        </w:tc>
        <w:tc>
          <w:tcPr>
            <w:tcW w:w="1775" w:type="dxa"/>
            <w:vAlign w:val="center"/>
          </w:tcPr>
          <w:p w14:paraId="61DA0594">
            <w:pPr>
              <w:adjustRightInd w:val="0"/>
              <w:snapToGrid w:val="0"/>
              <w:jc w:val="center"/>
              <w:rPr>
                <w:rFonts w:hint="eastAsia" w:ascii="宋体" w:hAnsi="宋体" w:cs="宋体"/>
                <w:color w:val="auto"/>
                <w:sz w:val="24"/>
                <w:highlight w:val="none"/>
              </w:rPr>
            </w:pPr>
          </w:p>
        </w:tc>
        <w:tc>
          <w:tcPr>
            <w:tcW w:w="955" w:type="dxa"/>
            <w:vAlign w:val="center"/>
          </w:tcPr>
          <w:p w14:paraId="0414EF50">
            <w:pPr>
              <w:adjustRightInd w:val="0"/>
              <w:snapToGrid w:val="0"/>
              <w:jc w:val="center"/>
              <w:rPr>
                <w:rFonts w:hint="eastAsia" w:ascii="宋体" w:hAnsi="宋体" w:cs="宋体"/>
                <w:color w:val="auto"/>
                <w:sz w:val="24"/>
                <w:highlight w:val="none"/>
              </w:rPr>
            </w:pPr>
          </w:p>
        </w:tc>
      </w:tr>
      <w:tr w14:paraId="7EC0C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33" w:type="dxa"/>
            <w:vAlign w:val="center"/>
          </w:tcPr>
          <w:p w14:paraId="16196272">
            <w:pPr>
              <w:adjustRightInd w:val="0"/>
              <w:snapToGrid w:val="0"/>
              <w:jc w:val="center"/>
              <w:rPr>
                <w:rFonts w:hint="eastAsia" w:ascii="宋体" w:hAnsi="宋体" w:cs="宋体"/>
                <w:color w:val="auto"/>
                <w:sz w:val="24"/>
                <w:highlight w:val="none"/>
              </w:rPr>
            </w:pPr>
          </w:p>
        </w:tc>
        <w:tc>
          <w:tcPr>
            <w:tcW w:w="1403" w:type="dxa"/>
            <w:vAlign w:val="center"/>
          </w:tcPr>
          <w:p w14:paraId="66E27C10">
            <w:pPr>
              <w:adjustRightInd w:val="0"/>
              <w:snapToGrid w:val="0"/>
              <w:jc w:val="center"/>
              <w:rPr>
                <w:rFonts w:hint="eastAsia" w:ascii="宋体" w:hAnsi="宋体" w:cs="宋体"/>
                <w:color w:val="auto"/>
                <w:sz w:val="24"/>
                <w:highlight w:val="none"/>
              </w:rPr>
            </w:pPr>
          </w:p>
        </w:tc>
        <w:tc>
          <w:tcPr>
            <w:tcW w:w="2257" w:type="dxa"/>
            <w:vAlign w:val="center"/>
          </w:tcPr>
          <w:p w14:paraId="19BE6B0D">
            <w:pPr>
              <w:adjustRightInd w:val="0"/>
              <w:snapToGrid w:val="0"/>
              <w:jc w:val="center"/>
              <w:rPr>
                <w:rFonts w:hint="eastAsia" w:ascii="宋体" w:hAnsi="宋体" w:cs="宋体"/>
                <w:color w:val="auto"/>
                <w:sz w:val="24"/>
                <w:highlight w:val="none"/>
              </w:rPr>
            </w:pPr>
          </w:p>
        </w:tc>
        <w:tc>
          <w:tcPr>
            <w:tcW w:w="2013" w:type="dxa"/>
            <w:vAlign w:val="center"/>
          </w:tcPr>
          <w:p w14:paraId="391D8127">
            <w:pPr>
              <w:adjustRightInd w:val="0"/>
              <w:snapToGrid w:val="0"/>
              <w:jc w:val="center"/>
              <w:rPr>
                <w:rFonts w:hint="eastAsia" w:ascii="宋体" w:hAnsi="宋体" w:cs="宋体"/>
                <w:color w:val="auto"/>
                <w:sz w:val="24"/>
                <w:highlight w:val="none"/>
              </w:rPr>
            </w:pPr>
          </w:p>
        </w:tc>
        <w:tc>
          <w:tcPr>
            <w:tcW w:w="1775" w:type="dxa"/>
            <w:vAlign w:val="center"/>
          </w:tcPr>
          <w:p w14:paraId="3BF08E2F">
            <w:pPr>
              <w:adjustRightInd w:val="0"/>
              <w:snapToGrid w:val="0"/>
              <w:jc w:val="center"/>
              <w:rPr>
                <w:rFonts w:hint="eastAsia" w:ascii="宋体" w:hAnsi="宋体" w:cs="宋体"/>
                <w:color w:val="auto"/>
                <w:sz w:val="24"/>
                <w:highlight w:val="none"/>
              </w:rPr>
            </w:pPr>
          </w:p>
        </w:tc>
        <w:tc>
          <w:tcPr>
            <w:tcW w:w="955" w:type="dxa"/>
            <w:vAlign w:val="center"/>
          </w:tcPr>
          <w:p w14:paraId="168B72D3">
            <w:pPr>
              <w:adjustRightInd w:val="0"/>
              <w:snapToGrid w:val="0"/>
              <w:jc w:val="center"/>
              <w:rPr>
                <w:rFonts w:hint="eastAsia" w:ascii="宋体" w:hAnsi="宋体" w:cs="宋体"/>
                <w:color w:val="auto"/>
                <w:sz w:val="24"/>
                <w:highlight w:val="none"/>
              </w:rPr>
            </w:pPr>
          </w:p>
        </w:tc>
      </w:tr>
      <w:tr w14:paraId="5E07E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33" w:type="dxa"/>
            <w:vAlign w:val="center"/>
          </w:tcPr>
          <w:p w14:paraId="43F82469">
            <w:pPr>
              <w:adjustRightInd w:val="0"/>
              <w:snapToGrid w:val="0"/>
              <w:jc w:val="center"/>
              <w:rPr>
                <w:rFonts w:hint="eastAsia" w:ascii="宋体" w:hAnsi="宋体" w:cs="宋体"/>
                <w:color w:val="auto"/>
                <w:sz w:val="24"/>
                <w:highlight w:val="none"/>
              </w:rPr>
            </w:pPr>
          </w:p>
        </w:tc>
        <w:tc>
          <w:tcPr>
            <w:tcW w:w="1403" w:type="dxa"/>
            <w:vAlign w:val="center"/>
          </w:tcPr>
          <w:p w14:paraId="21999C59">
            <w:pPr>
              <w:adjustRightInd w:val="0"/>
              <w:snapToGrid w:val="0"/>
              <w:jc w:val="center"/>
              <w:rPr>
                <w:rFonts w:hint="eastAsia" w:ascii="宋体" w:hAnsi="宋体" w:cs="宋体"/>
                <w:color w:val="auto"/>
                <w:sz w:val="24"/>
                <w:highlight w:val="none"/>
              </w:rPr>
            </w:pPr>
          </w:p>
        </w:tc>
        <w:tc>
          <w:tcPr>
            <w:tcW w:w="2257" w:type="dxa"/>
            <w:vAlign w:val="center"/>
          </w:tcPr>
          <w:p w14:paraId="1D0FD1C2">
            <w:pPr>
              <w:adjustRightInd w:val="0"/>
              <w:snapToGrid w:val="0"/>
              <w:jc w:val="center"/>
              <w:rPr>
                <w:rFonts w:hint="eastAsia" w:ascii="宋体" w:hAnsi="宋体" w:cs="宋体"/>
                <w:color w:val="auto"/>
                <w:sz w:val="24"/>
                <w:highlight w:val="none"/>
              </w:rPr>
            </w:pPr>
          </w:p>
        </w:tc>
        <w:tc>
          <w:tcPr>
            <w:tcW w:w="2013" w:type="dxa"/>
            <w:vAlign w:val="center"/>
          </w:tcPr>
          <w:p w14:paraId="02EEC7A3">
            <w:pPr>
              <w:adjustRightInd w:val="0"/>
              <w:snapToGrid w:val="0"/>
              <w:jc w:val="center"/>
              <w:rPr>
                <w:rFonts w:hint="eastAsia" w:ascii="宋体" w:hAnsi="宋体" w:cs="宋体"/>
                <w:color w:val="auto"/>
                <w:sz w:val="24"/>
                <w:highlight w:val="none"/>
              </w:rPr>
            </w:pPr>
          </w:p>
        </w:tc>
        <w:tc>
          <w:tcPr>
            <w:tcW w:w="1775" w:type="dxa"/>
            <w:vAlign w:val="center"/>
          </w:tcPr>
          <w:p w14:paraId="1D6D689F">
            <w:pPr>
              <w:adjustRightInd w:val="0"/>
              <w:snapToGrid w:val="0"/>
              <w:jc w:val="center"/>
              <w:rPr>
                <w:rFonts w:hint="eastAsia" w:ascii="宋体" w:hAnsi="宋体" w:cs="宋体"/>
                <w:color w:val="auto"/>
                <w:sz w:val="24"/>
                <w:highlight w:val="none"/>
              </w:rPr>
            </w:pPr>
          </w:p>
        </w:tc>
        <w:tc>
          <w:tcPr>
            <w:tcW w:w="955" w:type="dxa"/>
            <w:vAlign w:val="center"/>
          </w:tcPr>
          <w:p w14:paraId="09535C48">
            <w:pPr>
              <w:adjustRightInd w:val="0"/>
              <w:snapToGrid w:val="0"/>
              <w:jc w:val="center"/>
              <w:rPr>
                <w:rFonts w:hint="eastAsia" w:ascii="宋体" w:hAnsi="宋体" w:cs="宋体"/>
                <w:color w:val="auto"/>
                <w:sz w:val="24"/>
                <w:highlight w:val="none"/>
              </w:rPr>
            </w:pPr>
          </w:p>
        </w:tc>
      </w:tr>
      <w:tr w14:paraId="1F117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733" w:type="dxa"/>
            <w:vAlign w:val="center"/>
          </w:tcPr>
          <w:p w14:paraId="708F3E0A">
            <w:pPr>
              <w:adjustRightInd w:val="0"/>
              <w:snapToGrid w:val="0"/>
              <w:jc w:val="center"/>
              <w:rPr>
                <w:rFonts w:hint="eastAsia" w:ascii="宋体" w:hAnsi="宋体" w:cs="宋体"/>
                <w:color w:val="auto"/>
                <w:sz w:val="24"/>
                <w:highlight w:val="none"/>
              </w:rPr>
            </w:pPr>
          </w:p>
        </w:tc>
        <w:tc>
          <w:tcPr>
            <w:tcW w:w="1403" w:type="dxa"/>
            <w:vAlign w:val="center"/>
          </w:tcPr>
          <w:p w14:paraId="424BEF82">
            <w:pPr>
              <w:adjustRightInd w:val="0"/>
              <w:snapToGrid w:val="0"/>
              <w:jc w:val="center"/>
              <w:rPr>
                <w:rFonts w:hint="eastAsia" w:ascii="宋体" w:hAnsi="宋体" w:cs="宋体"/>
                <w:color w:val="auto"/>
                <w:sz w:val="24"/>
                <w:highlight w:val="none"/>
              </w:rPr>
            </w:pPr>
          </w:p>
        </w:tc>
        <w:tc>
          <w:tcPr>
            <w:tcW w:w="2257" w:type="dxa"/>
            <w:vAlign w:val="center"/>
          </w:tcPr>
          <w:p w14:paraId="76301B06">
            <w:pPr>
              <w:adjustRightInd w:val="0"/>
              <w:snapToGrid w:val="0"/>
              <w:jc w:val="center"/>
              <w:rPr>
                <w:rFonts w:hint="eastAsia" w:ascii="宋体" w:hAnsi="宋体" w:cs="宋体"/>
                <w:color w:val="auto"/>
                <w:sz w:val="24"/>
                <w:highlight w:val="none"/>
              </w:rPr>
            </w:pPr>
          </w:p>
        </w:tc>
        <w:tc>
          <w:tcPr>
            <w:tcW w:w="2013" w:type="dxa"/>
            <w:vAlign w:val="center"/>
          </w:tcPr>
          <w:p w14:paraId="2E89BC5A">
            <w:pPr>
              <w:adjustRightInd w:val="0"/>
              <w:snapToGrid w:val="0"/>
              <w:jc w:val="center"/>
              <w:rPr>
                <w:rFonts w:hint="eastAsia" w:ascii="宋体" w:hAnsi="宋体" w:cs="宋体"/>
                <w:color w:val="auto"/>
                <w:sz w:val="24"/>
                <w:highlight w:val="none"/>
              </w:rPr>
            </w:pPr>
          </w:p>
        </w:tc>
        <w:tc>
          <w:tcPr>
            <w:tcW w:w="1775" w:type="dxa"/>
            <w:vAlign w:val="center"/>
          </w:tcPr>
          <w:p w14:paraId="750B963E">
            <w:pPr>
              <w:adjustRightInd w:val="0"/>
              <w:snapToGrid w:val="0"/>
              <w:jc w:val="center"/>
              <w:rPr>
                <w:rFonts w:hint="eastAsia" w:ascii="宋体" w:hAnsi="宋体" w:cs="宋体"/>
                <w:color w:val="auto"/>
                <w:sz w:val="24"/>
                <w:highlight w:val="none"/>
              </w:rPr>
            </w:pPr>
          </w:p>
        </w:tc>
        <w:tc>
          <w:tcPr>
            <w:tcW w:w="955" w:type="dxa"/>
            <w:vAlign w:val="center"/>
          </w:tcPr>
          <w:p w14:paraId="588FC8A6">
            <w:pPr>
              <w:adjustRightInd w:val="0"/>
              <w:snapToGrid w:val="0"/>
              <w:jc w:val="center"/>
              <w:rPr>
                <w:rFonts w:hint="eastAsia" w:ascii="宋体" w:hAnsi="宋体" w:cs="宋体"/>
                <w:color w:val="auto"/>
                <w:sz w:val="24"/>
                <w:highlight w:val="none"/>
              </w:rPr>
            </w:pPr>
          </w:p>
        </w:tc>
      </w:tr>
    </w:tbl>
    <w:p w14:paraId="7C6FCEC3">
      <w:pPr>
        <w:tabs>
          <w:tab w:val="left" w:pos="1800"/>
          <w:tab w:val="left" w:pos="5580"/>
        </w:tabs>
        <w:spacing w:line="360" w:lineRule="auto"/>
        <w:ind w:firstLine="360" w:firstLineChars="150"/>
        <w:jc w:val="left"/>
        <w:rPr>
          <w:rFonts w:hint="eastAsia" w:ascii="宋体" w:hAnsi="宋体" w:cs="宋体"/>
          <w:color w:val="auto"/>
          <w:sz w:val="24"/>
          <w:highlight w:val="none"/>
          <w:u w:val="single"/>
        </w:rPr>
      </w:pPr>
    </w:p>
    <w:p w14:paraId="685BFACF">
      <w:pPr>
        <w:tabs>
          <w:tab w:val="left" w:pos="1800"/>
          <w:tab w:val="left" w:pos="558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注：</w:t>
      </w:r>
    </w:p>
    <w:p w14:paraId="2BB1CDAA">
      <w:pPr>
        <w:tabs>
          <w:tab w:val="left" w:pos="1800"/>
          <w:tab w:val="left" w:pos="558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1.对招标文件中的所有商务、技术要求，除本表所列明的所有偏离外，均视作供应商已对之理解和响应。此表中若无任何文字说明，内容为空白，</w:t>
      </w:r>
      <w:r>
        <w:rPr>
          <w:rFonts w:hint="eastAsia" w:ascii="宋体" w:hAnsi="宋体" w:cs="宋体"/>
          <w:b/>
          <w:color w:val="auto"/>
          <w:sz w:val="24"/>
          <w:highlight w:val="none"/>
        </w:rPr>
        <w:t>投标无效。</w:t>
      </w:r>
    </w:p>
    <w:p w14:paraId="5F2BACE7">
      <w:pPr>
        <w:tabs>
          <w:tab w:val="left" w:pos="1800"/>
          <w:tab w:val="left" w:pos="558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2.针对本招标文件《采购需求》，招标文件有明确要求提供证明材料的，投标人需按招标文件要求提供证明材料。</w:t>
      </w:r>
    </w:p>
    <w:p w14:paraId="2994F1F6">
      <w:pPr>
        <w:tabs>
          <w:tab w:val="left" w:pos="1800"/>
          <w:tab w:val="left" w:pos="558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3.“偏离情况”列应据实填写“无偏离”、“正偏离”或“负偏离”。</w:t>
      </w:r>
    </w:p>
    <w:p w14:paraId="52132E40">
      <w:pPr>
        <w:tabs>
          <w:tab w:val="left" w:pos="1800"/>
          <w:tab w:val="left" w:pos="5580"/>
        </w:tabs>
        <w:jc w:val="left"/>
        <w:rPr>
          <w:rFonts w:hint="eastAsia" w:ascii="宋体" w:hAnsi="宋体" w:cs="宋体"/>
          <w:color w:val="auto"/>
          <w:sz w:val="24"/>
          <w:highlight w:val="none"/>
        </w:rPr>
      </w:pPr>
    </w:p>
    <w:p w14:paraId="44E23CD1">
      <w:pPr>
        <w:tabs>
          <w:tab w:val="left" w:pos="1800"/>
          <w:tab w:val="left" w:pos="5580"/>
        </w:tabs>
        <w:jc w:val="left"/>
        <w:rPr>
          <w:rFonts w:hint="eastAsia" w:ascii="宋体" w:hAnsi="宋体" w:cs="宋体"/>
          <w:color w:val="auto"/>
          <w:sz w:val="24"/>
          <w:highlight w:val="none"/>
        </w:rPr>
      </w:pPr>
    </w:p>
    <w:p w14:paraId="36440986">
      <w:pPr>
        <w:autoSpaceDE w:val="0"/>
        <w:autoSpaceDN w:val="0"/>
        <w:adjustRightInd w:val="0"/>
        <w:snapToGrid w:val="0"/>
        <w:spacing w:before="25" w:after="25"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                  </w:t>
      </w:r>
    </w:p>
    <w:p w14:paraId="6B2E2D39">
      <w:pPr>
        <w:autoSpaceDE w:val="0"/>
        <w:autoSpaceDN w:val="0"/>
        <w:adjustRightInd w:val="0"/>
        <w:snapToGrid w:val="0"/>
        <w:spacing w:before="25" w:after="25" w:line="360" w:lineRule="auto"/>
        <w:rPr>
          <w:rFonts w:hint="eastAsia" w:ascii="宋体" w:hAnsi="宋体" w:cs="宋体"/>
          <w:color w:val="auto"/>
          <w:sz w:val="24"/>
          <w:highlight w:val="none"/>
          <w:lang w:val="zh-CN"/>
        </w:rPr>
      </w:pPr>
      <w:r>
        <w:rPr>
          <w:rFonts w:hint="eastAsia" w:ascii="宋体" w:hAnsi="宋体" w:cs="宋体"/>
          <w:color w:val="auto"/>
          <w:sz w:val="24"/>
          <w:highlight w:val="none"/>
        </w:rPr>
        <w:t>投标人名称（加盖公章）</w:t>
      </w:r>
      <w:r>
        <w:rPr>
          <w:rFonts w:hint="eastAsia" w:ascii="宋体" w:hAnsi="宋体" w:cs="宋体"/>
          <w:color w:val="auto"/>
          <w:sz w:val="24"/>
          <w:highlight w:val="none"/>
          <w:lang w:val="zh-CN"/>
        </w:rPr>
        <w:t>：    ____________</w:t>
      </w:r>
    </w:p>
    <w:p w14:paraId="6589D1DA">
      <w:pPr>
        <w:autoSpaceDE w:val="0"/>
        <w:autoSpaceDN w:val="0"/>
        <w:adjustRightInd w:val="0"/>
        <w:snapToGrid w:val="0"/>
        <w:spacing w:before="25" w:after="25" w:line="360" w:lineRule="auto"/>
        <w:rPr>
          <w:rFonts w:hint="eastAsia" w:ascii="宋体" w:hAnsi="宋体" w:cs="宋体"/>
          <w:color w:val="auto"/>
          <w:sz w:val="24"/>
          <w:highlight w:val="none"/>
          <w:lang w:val="zh-CN"/>
        </w:rPr>
      </w:pPr>
      <w:r>
        <w:rPr>
          <w:rFonts w:hint="eastAsia" w:ascii="宋体" w:hAnsi="宋体" w:cs="宋体"/>
          <w:color w:val="auto"/>
          <w:sz w:val="24"/>
          <w:szCs w:val="20"/>
          <w:highlight w:val="none"/>
        </w:rPr>
        <w:t xml:space="preserve">日期：_____年______月______日   </w:t>
      </w:r>
    </w:p>
    <w:p w14:paraId="734472A2">
      <w:pPr>
        <w:spacing w:line="360" w:lineRule="auto"/>
        <w:outlineLvl w:val="2"/>
        <w:rPr>
          <w:rFonts w:hint="eastAsia" w:ascii="宋体" w:hAnsi="宋体" w:cs="宋体"/>
          <w:color w:val="auto"/>
          <w:sz w:val="24"/>
          <w:szCs w:val="20"/>
          <w:highlight w:val="none"/>
        </w:rPr>
      </w:pPr>
      <w:r>
        <w:rPr>
          <w:rFonts w:hint="eastAsia" w:ascii="宋体" w:hAnsi="宋体" w:cs="宋体"/>
          <w:color w:val="auto"/>
          <w:sz w:val="24"/>
          <w:szCs w:val="20"/>
          <w:highlight w:val="none"/>
        </w:rPr>
        <w:br w:type="page"/>
      </w:r>
      <w:r>
        <w:rPr>
          <w:rFonts w:hint="eastAsia" w:ascii="宋体" w:hAnsi="宋体" w:cs="宋体"/>
          <w:color w:val="auto"/>
          <w:sz w:val="24"/>
          <w:szCs w:val="20"/>
          <w:highlight w:val="none"/>
        </w:rPr>
        <w:t>7  中小企业声明函</w:t>
      </w:r>
    </w:p>
    <w:p w14:paraId="23EE93E9">
      <w:pPr>
        <w:tabs>
          <w:tab w:val="left" w:pos="5580"/>
        </w:tabs>
        <w:spacing w:line="360" w:lineRule="auto"/>
        <w:rPr>
          <w:rFonts w:hint="eastAsia" w:ascii="宋体" w:hAnsi="宋体" w:cs="宋体"/>
          <w:color w:val="auto"/>
          <w:sz w:val="24"/>
          <w:highlight w:val="none"/>
        </w:rPr>
      </w:pPr>
      <w:r>
        <w:rPr>
          <w:rFonts w:hint="eastAsia" w:ascii="宋体" w:hAnsi="宋体" w:cs="宋体"/>
          <w:color w:val="auto"/>
          <w:sz w:val="24"/>
          <w:highlight w:val="none"/>
        </w:rPr>
        <w:t>说明：</w:t>
      </w:r>
    </w:p>
    <w:p w14:paraId="12AD0A38">
      <w:pPr>
        <w:tabs>
          <w:tab w:val="left" w:pos="5580"/>
        </w:tabs>
        <w:spacing w:line="360" w:lineRule="auto"/>
        <w:rPr>
          <w:rFonts w:hint="eastAsia" w:ascii="宋体" w:hAnsi="宋体" w:cs="宋体"/>
          <w:color w:val="auto"/>
          <w:sz w:val="24"/>
          <w:highlight w:val="none"/>
        </w:rPr>
      </w:pPr>
      <w:r>
        <w:rPr>
          <w:rFonts w:hint="eastAsia" w:ascii="宋体" w:hAnsi="宋体" w:cs="宋体"/>
          <w:color w:val="auto"/>
          <w:sz w:val="24"/>
          <w:highlight w:val="none"/>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136DBF24">
      <w:pPr>
        <w:tabs>
          <w:tab w:val="left" w:pos="5580"/>
        </w:tabs>
        <w:spacing w:line="360" w:lineRule="auto"/>
        <w:rPr>
          <w:rFonts w:hint="eastAsia" w:ascii="宋体" w:hAnsi="宋体" w:cs="宋体"/>
          <w:color w:val="auto"/>
          <w:sz w:val="24"/>
          <w:highlight w:val="none"/>
        </w:rPr>
      </w:pPr>
      <w:r>
        <w:rPr>
          <w:rFonts w:hint="eastAsia" w:ascii="宋体" w:hAnsi="宋体" w:cs="宋体"/>
          <w:color w:val="auto"/>
          <w:sz w:val="24"/>
          <w:highlight w:val="none"/>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744A95C7">
      <w:pPr>
        <w:tabs>
          <w:tab w:val="left" w:pos="5580"/>
        </w:tabs>
        <w:spacing w:line="360" w:lineRule="auto"/>
        <w:rPr>
          <w:rFonts w:hint="eastAsia" w:ascii="宋体" w:hAnsi="宋体" w:cs="宋体"/>
          <w:color w:val="auto"/>
          <w:sz w:val="24"/>
          <w:highlight w:val="none"/>
        </w:rPr>
      </w:pPr>
      <w:r>
        <w:rPr>
          <w:rFonts w:hint="eastAsia" w:ascii="宋体" w:hAnsi="宋体" w:cs="宋体"/>
          <w:color w:val="auto"/>
          <w:sz w:val="24"/>
          <w:highlight w:val="none"/>
        </w:rPr>
        <w:t>3）对于多标的采购项目，投标人应充分、准确地了解所提供货物的制造企业、提供服务的承接企业信息。对相关情况了解不清楚的，不建议填报本声明函。</w:t>
      </w:r>
    </w:p>
    <w:p w14:paraId="6C60DAFE">
      <w:pPr>
        <w:tabs>
          <w:tab w:val="left" w:pos="5580"/>
        </w:tabs>
        <w:spacing w:line="360" w:lineRule="auto"/>
        <w:rPr>
          <w:rFonts w:hint="eastAsia" w:ascii="宋体" w:hAnsi="宋体" w:cs="宋体"/>
          <w:color w:val="auto"/>
          <w:sz w:val="24"/>
          <w:highlight w:val="none"/>
        </w:rPr>
      </w:pPr>
      <w:r>
        <w:rPr>
          <w:rFonts w:hint="eastAsia" w:ascii="宋体" w:hAnsi="宋体" w:cs="宋体"/>
          <w:color w:val="auto"/>
          <w:sz w:val="24"/>
          <w:highlight w:val="none"/>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5ABE2B19">
      <w:pPr>
        <w:spacing w:before="327" w:line="360" w:lineRule="auto"/>
        <w:ind w:left="1798"/>
        <w:rPr>
          <w:rFonts w:hint="eastAsia" w:ascii="宋体" w:hAnsi="宋体" w:cs="宋体"/>
          <w:color w:val="auto"/>
          <w:sz w:val="35"/>
          <w:szCs w:val="35"/>
          <w:highlight w:val="none"/>
        </w:rPr>
      </w:pPr>
      <w:r>
        <w:rPr>
          <w:rFonts w:hint="eastAsia" w:ascii="宋体" w:hAnsi="宋体" w:cs="宋体"/>
          <w:color w:val="auto"/>
          <w:sz w:val="24"/>
          <w:highlight w:val="none"/>
        </w:rPr>
        <w:br w:type="page"/>
      </w:r>
      <w:r>
        <w:rPr>
          <w:rFonts w:hint="eastAsia" w:ascii="宋体" w:hAnsi="宋体" w:cs="宋体"/>
          <w:b/>
          <w:bCs/>
          <w:color w:val="auto"/>
          <w:spacing w:val="8"/>
          <w:sz w:val="35"/>
          <w:szCs w:val="35"/>
          <w:highlight w:val="none"/>
        </w:rPr>
        <w:t>中小企业声明函（工程、服务）格式</w:t>
      </w:r>
    </w:p>
    <w:p w14:paraId="4C883C6B">
      <w:pPr>
        <w:widowControl/>
        <w:kinsoku w:val="0"/>
        <w:autoSpaceDE w:val="0"/>
        <w:autoSpaceDN w:val="0"/>
        <w:adjustRightInd w:val="0"/>
        <w:snapToGrid w:val="0"/>
        <w:spacing w:line="360" w:lineRule="auto"/>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  库﹝2020﹞46号）的规定，本公司（联合体）参加</w:t>
      </w:r>
      <w:r>
        <w:rPr>
          <w:rFonts w:hint="eastAsia" w:ascii="宋体" w:hAnsi="宋体" w:cs="宋体"/>
          <w:color w:val="auto"/>
          <w:sz w:val="24"/>
          <w:highlight w:val="none"/>
          <w:u w:val="single"/>
        </w:rPr>
        <w:t xml:space="preserve">（单位名称） </w:t>
      </w:r>
      <w:r>
        <w:rPr>
          <w:rFonts w:hint="eastAsia" w:ascii="宋体" w:hAnsi="宋体" w:cs="宋体"/>
          <w:color w:val="auto"/>
          <w:sz w:val="24"/>
          <w:highlight w:val="none"/>
        </w:rPr>
        <w:t>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182A2A6">
      <w:pPr>
        <w:widowControl/>
        <w:kinsoku w:val="0"/>
        <w:autoSpaceDE w:val="0"/>
        <w:autoSpaceDN w:val="0"/>
        <w:adjustRightInd w:val="0"/>
        <w:snapToGrid w:val="0"/>
        <w:spacing w:line="360" w:lineRule="auto"/>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行业；承建（承接）企业 为</w:t>
      </w:r>
      <w:r>
        <w:rPr>
          <w:rFonts w:hint="eastAsia" w:ascii="宋体" w:hAnsi="宋体" w:cs="宋体"/>
          <w:color w:val="auto"/>
          <w:sz w:val="24"/>
          <w:highlight w:val="none"/>
          <w:u w:val="single"/>
        </w:rPr>
        <w:t>（企业名称 ）</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t xml:space="preserve"> 1</w:t>
      </w:r>
      <w:r>
        <w:rPr>
          <w:rFonts w:hint="eastAsia" w:ascii="宋体" w:hAnsi="宋体" w:cs="宋体"/>
          <w:color w:val="auto"/>
          <w:sz w:val="24"/>
          <w:highlight w:val="none"/>
        </w:rPr>
        <w:t>，属于</w:t>
      </w:r>
      <w:r>
        <w:rPr>
          <w:rFonts w:hint="eastAsia" w:ascii="宋体" w:hAnsi="宋体" w:cs="宋体"/>
          <w:color w:val="auto"/>
          <w:sz w:val="24"/>
          <w:highlight w:val="none"/>
          <w:u w:val="single"/>
        </w:rPr>
        <w:t>（ 中型企业 、小型企业 、微型企业）</w:t>
      </w:r>
      <w:r>
        <w:rPr>
          <w:rFonts w:hint="eastAsia" w:ascii="宋体" w:hAnsi="宋体" w:cs="宋体"/>
          <w:color w:val="auto"/>
          <w:sz w:val="24"/>
          <w:highlight w:val="none"/>
        </w:rPr>
        <w:t>；</w:t>
      </w:r>
    </w:p>
    <w:p w14:paraId="2BA6829D">
      <w:pPr>
        <w:widowControl/>
        <w:kinsoku w:val="0"/>
        <w:autoSpaceDE w:val="0"/>
        <w:autoSpaceDN w:val="0"/>
        <w:adjustRightInd w:val="0"/>
        <w:snapToGrid w:val="0"/>
        <w:spacing w:line="360" w:lineRule="auto"/>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行业；承建（承接）企业 为</w:t>
      </w:r>
      <w:r>
        <w:rPr>
          <w:rFonts w:hint="eastAsia" w:ascii="宋体" w:hAnsi="宋体" w:cs="宋体"/>
          <w:color w:val="auto"/>
          <w:sz w:val="24"/>
          <w:highlight w:val="none"/>
          <w:u w:val="single"/>
        </w:rPr>
        <w:t>（企业名称 ）</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t xml:space="preserve"> 1</w:t>
      </w:r>
      <w:r>
        <w:rPr>
          <w:rFonts w:hint="eastAsia" w:ascii="宋体" w:hAnsi="宋体" w:cs="宋体"/>
          <w:color w:val="auto"/>
          <w:sz w:val="24"/>
          <w:highlight w:val="none"/>
        </w:rPr>
        <w:t>，属于</w:t>
      </w:r>
      <w:r>
        <w:rPr>
          <w:rFonts w:hint="eastAsia" w:ascii="宋体" w:hAnsi="宋体" w:cs="宋体"/>
          <w:color w:val="auto"/>
          <w:sz w:val="24"/>
          <w:highlight w:val="none"/>
          <w:u w:val="single"/>
        </w:rPr>
        <w:t>（ 中型企业 、小型企业 、微型企业）</w:t>
      </w:r>
      <w:r>
        <w:rPr>
          <w:rFonts w:hint="eastAsia" w:ascii="宋体" w:hAnsi="宋体" w:cs="宋体"/>
          <w:color w:val="auto"/>
          <w:sz w:val="24"/>
          <w:highlight w:val="none"/>
        </w:rPr>
        <w:t>；</w:t>
      </w:r>
    </w:p>
    <w:p w14:paraId="2DED7F60">
      <w:pPr>
        <w:widowControl/>
        <w:kinsoku w:val="0"/>
        <w:autoSpaceDE w:val="0"/>
        <w:autoSpaceDN w:val="0"/>
        <w:adjustRightInd w:val="0"/>
        <w:snapToGrid w:val="0"/>
        <w:spacing w:line="360" w:lineRule="auto"/>
        <w:ind w:firstLine="480" w:firstLineChars="200"/>
        <w:textAlignment w:val="baseline"/>
        <w:rPr>
          <w:rFonts w:hint="eastAsia" w:ascii="宋体" w:hAnsi="宋体" w:cs="宋体"/>
          <w:color w:val="auto"/>
          <w:sz w:val="24"/>
          <w:highlight w:val="none"/>
        </w:rPr>
      </w:pPr>
    </w:p>
    <w:p w14:paraId="0B3C6483">
      <w:pPr>
        <w:pStyle w:val="18"/>
        <w:spacing w:before="70" w:line="81" w:lineRule="exact"/>
        <w:ind w:left="640"/>
        <w:rPr>
          <w:rFonts w:hint="eastAsia" w:cs="宋体"/>
          <w:color w:val="auto"/>
          <w:highlight w:val="none"/>
        </w:rPr>
      </w:pPr>
      <w:r>
        <w:rPr>
          <w:rFonts w:hint="eastAsia" w:cs="宋体"/>
          <w:color w:val="auto"/>
          <w:spacing w:val="2"/>
          <w:position w:val="1"/>
          <w:highlight w:val="none"/>
        </w:rPr>
        <w:t>……</w:t>
      </w:r>
    </w:p>
    <w:p w14:paraId="26E8B8E1">
      <w:pPr>
        <w:spacing w:before="185" w:line="360" w:lineRule="auto"/>
        <w:ind w:left="110" w:right="84" w:firstLine="526"/>
        <w:rPr>
          <w:rFonts w:hint="eastAsia" w:ascii="宋体" w:hAnsi="宋体" w:cs="宋体"/>
          <w:color w:val="auto"/>
          <w:sz w:val="24"/>
          <w:highlight w:val="none"/>
        </w:rPr>
      </w:pPr>
      <w:r>
        <w:rPr>
          <w:rFonts w:hint="eastAsia" w:ascii="宋体" w:hAnsi="宋体" w:cs="宋体"/>
          <w:color w:val="auto"/>
          <w:spacing w:val="6"/>
          <w:sz w:val="24"/>
          <w:highlight w:val="none"/>
        </w:rPr>
        <w:t>以上企业</w:t>
      </w:r>
      <w:r>
        <w:rPr>
          <w:rFonts w:hint="eastAsia" w:ascii="宋体" w:hAnsi="宋体" w:cs="宋体"/>
          <w:color w:val="auto"/>
          <w:spacing w:val="-13"/>
          <w:sz w:val="24"/>
          <w:highlight w:val="none"/>
        </w:rPr>
        <w:t>，</w:t>
      </w:r>
      <w:r>
        <w:rPr>
          <w:rFonts w:hint="eastAsia" w:ascii="宋体" w:hAnsi="宋体" w:cs="宋体"/>
          <w:color w:val="auto"/>
          <w:spacing w:val="6"/>
          <w:sz w:val="24"/>
          <w:highlight w:val="none"/>
        </w:rPr>
        <w:t>不属于大企业的分支机构</w:t>
      </w:r>
      <w:r>
        <w:rPr>
          <w:rFonts w:hint="eastAsia" w:ascii="宋体" w:hAnsi="宋体" w:cs="宋体"/>
          <w:color w:val="auto"/>
          <w:spacing w:val="-17"/>
          <w:sz w:val="24"/>
          <w:highlight w:val="none"/>
        </w:rPr>
        <w:t>，</w:t>
      </w:r>
      <w:r>
        <w:rPr>
          <w:rFonts w:hint="eastAsia" w:ascii="宋体" w:hAnsi="宋体" w:cs="宋体"/>
          <w:color w:val="auto"/>
          <w:spacing w:val="6"/>
          <w:sz w:val="24"/>
          <w:highlight w:val="none"/>
        </w:rPr>
        <w:t>不存在控股股东为大企业的情形</w:t>
      </w:r>
      <w:r>
        <w:rPr>
          <w:rFonts w:hint="eastAsia" w:ascii="宋体" w:hAnsi="宋体" w:cs="宋体"/>
          <w:color w:val="auto"/>
          <w:spacing w:val="-17"/>
          <w:sz w:val="24"/>
          <w:highlight w:val="none"/>
        </w:rPr>
        <w:t>，</w:t>
      </w:r>
      <w:r>
        <w:rPr>
          <w:rFonts w:hint="eastAsia" w:ascii="宋体" w:hAnsi="宋体" w:cs="宋体"/>
          <w:color w:val="auto"/>
          <w:spacing w:val="6"/>
          <w:sz w:val="24"/>
          <w:highlight w:val="none"/>
        </w:rPr>
        <w:t>也不</w:t>
      </w:r>
      <w:r>
        <w:rPr>
          <w:rFonts w:hint="eastAsia" w:ascii="宋体" w:hAnsi="宋体" w:cs="宋体"/>
          <w:color w:val="auto"/>
          <w:spacing w:val="11"/>
          <w:sz w:val="24"/>
          <w:highlight w:val="none"/>
        </w:rPr>
        <w:t>存在与大企业的负责人为同一人的情形。</w:t>
      </w:r>
    </w:p>
    <w:p w14:paraId="4909478F">
      <w:pPr>
        <w:spacing w:before="11" w:line="360" w:lineRule="auto"/>
        <w:ind w:left="616"/>
        <w:rPr>
          <w:rFonts w:hint="eastAsia" w:ascii="宋体" w:hAnsi="宋体" w:cs="宋体"/>
          <w:color w:val="auto"/>
          <w:sz w:val="24"/>
          <w:highlight w:val="none"/>
        </w:rPr>
      </w:pPr>
      <w:r>
        <w:rPr>
          <w:rFonts w:hint="eastAsia" w:ascii="宋体" w:hAnsi="宋体" w:cs="宋体"/>
          <w:color w:val="auto"/>
          <w:spacing w:val="9"/>
          <w:sz w:val="24"/>
          <w:highlight w:val="none"/>
        </w:rPr>
        <w:t>本企业对上述声明内容的真实性负责</w:t>
      </w:r>
      <w:r>
        <w:rPr>
          <w:rFonts w:hint="eastAsia" w:ascii="宋体" w:hAnsi="宋体" w:cs="宋体"/>
          <w:color w:val="auto"/>
          <w:spacing w:val="-31"/>
          <w:sz w:val="24"/>
          <w:highlight w:val="none"/>
        </w:rPr>
        <w:t>。</w:t>
      </w:r>
      <w:r>
        <w:rPr>
          <w:rFonts w:hint="eastAsia" w:ascii="宋体" w:hAnsi="宋体" w:cs="宋体"/>
          <w:color w:val="auto"/>
          <w:spacing w:val="9"/>
          <w:sz w:val="24"/>
          <w:highlight w:val="none"/>
        </w:rPr>
        <w:t>如有虚假</w:t>
      </w:r>
      <w:r>
        <w:rPr>
          <w:rFonts w:hint="eastAsia" w:ascii="宋体" w:hAnsi="宋体" w:cs="宋体"/>
          <w:color w:val="auto"/>
          <w:spacing w:val="-17"/>
          <w:sz w:val="24"/>
          <w:highlight w:val="none"/>
        </w:rPr>
        <w:t>，</w:t>
      </w:r>
      <w:r>
        <w:rPr>
          <w:rFonts w:hint="eastAsia" w:ascii="宋体" w:hAnsi="宋体" w:cs="宋体"/>
          <w:color w:val="auto"/>
          <w:spacing w:val="9"/>
          <w:sz w:val="24"/>
          <w:highlight w:val="none"/>
        </w:rPr>
        <w:t>将依法承担相应</w:t>
      </w:r>
      <w:r>
        <w:rPr>
          <w:rFonts w:hint="eastAsia" w:ascii="宋体" w:hAnsi="宋体" w:cs="宋体"/>
          <w:color w:val="auto"/>
          <w:spacing w:val="8"/>
          <w:sz w:val="24"/>
          <w:highlight w:val="none"/>
        </w:rPr>
        <w:t>责任。</w:t>
      </w:r>
    </w:p>
    <w:p w14:paraId="040B1F28">
      <w:pPr>
        <w:pStyle w:val="18"/>
        <w:spacing w:line="245" w:lineRule="auto"/>
        <w:rPr>
          <w:rFonts w:hint="eastAsia" w:cs="宋体"/>
          <w:color w:val="auto"/>
          <w:highlight w:val="none"/>
        </w:rPr>
      </w:pPr>
    </w:p>
    <w:p w14:paraId="39B6EBB7">
      <w:pPr>
        <w:pStyle w:val="18"/>
        <w:spacing w:line="245" w:lineRule="auto"/>
        <w:rPr>
          <w:rFonts w:hint="eastAsia" w:cs="宋体"/>
          <w:color w:val="auto"/>
          <w:highlight w:val="none"/>
        </w:rPr>
      </w:pPr>
    </w:p>
    <w:p w14:paraId="397DAF6F">
      <w:pPr>
        <w:spacing w:before="103" w:line="196" w:lineRule="auto"/>
        <w:ind w:left="5825"/>
        <w:rPr>
          <w:rFonts w:hint="eastAsia" w:ascii="宋体" w:hAnsi="宋体" w:cs="宋体"/>
          <w:color w:val="auto"/>
          <w:sz w:val="24"/>
          <w:highlight w:val="none"/>
        </w:rPr>
      </w:pPr>
      <w:r>
        <w:rPr>
          <w:rFonts w:hint="eastAsia" w:ascii="宋体" w:hAnsi="宋体" w:cs="宋体"/>
          <w:color w:val="auto"/>
          <w:spacing w:val="-1"/>
          <w:sz w:val="24"/>
          <w:highlight w:val="none"/>
        </w:rPr>
        <w:t>企业名称（盖章</w:t>
      </w:r>
      <w:r>
        <w:rPr>
          <w:rFonts w:hint="eastAsia" w:ascii="宋体" w:hAnsi="宋体" w:cs="宋体"/>
          <w:color w:val="auto"/>
          <w:spacing w:val="-61"/>
          <w:sz w:val="24"/>
          <w:highlight w:val="none"/>
        </w:rPr>
        <w:t>）：</w:t>
      </w:r>
      <w:r>
        <w:rPr>
          <w:rFonts w:hint="eastAsia" w:ascii="宋体" w:hAnsi="宋体" w:cs="宋体"/>
          <w:color w:val="auto"/>
          <w:sz w:val="24"/>
          <w:highlight w:val="none"/>
          <w:u w:val="single"/>
        </w:rPr>
        <w:t xml:space="preserve">              </w:t>
      </w:r>
    </w:p>
    <w:p w14:paraId="25C01B01">
      <w:pPr>
        <w:pStyle w:val="18"/>
        <w:spacing w:before="185" w:line="200" w:lineRule="auto"/>
        <w:ind w:left="7076"/>
        <w:rPr>
          <w:rFonts w:hint="eastAsia" w:cs="宋体"/>
          <w:color w:val="auto"/>
          <w:highlight w:val="none"/>
        </w:rPr>
      </w:pPr>
      <w:r>
        <w:rPr>
          <w:rFonts w:hint="eastAsia" w:cs="宋体"/>
          <w:color w:val="auto"/>
          <w:spacing w:val="20"/>
          <w:highlight w:val="none"/>
        </w:rPr>
        <w:t>日期：</w:t>
      </w:r>
      <w:r>
        <w:rPr>
          <w:rFonts w:hint="eastAsia" w:cs="宋体"/>
          <w:color w:val="auto"/>
          <w:highlight w:val="none"/>
          <w:u w:val="single"/>
        </w:rPr>
        <w:t xml:space="preserve">                  </w:t>
      </w:r>
    </w:p>
    <w:p w14:paraId="55D8BB7F">
      <w:pPr>
        <w:spacing w:line="360" w:lineRule="auto"/>
        <w:ind w:right="360" w:firstLine="480"/>
        <w:jc w:val="right"/>
        <w:rPr>
          <w:rFonts w:hint="eastAsia" w:ascii="宋体" w:hAnsi="宋体" w:cs="宋体"/>
          <w:color w:val="auto"/>
          <w:sz w:val="24"/>
          <w:highlight w:val="none"/>
        </w:rPr>
      </w:pPr>
    </w:p>
    <w:p w14:paraId="769DD192">
      <w:pPr>
        <w:spacing w:line="360" w:lineRule="auto"/>
        <w:ind w:right="360" w:firstLine="480"/>
        <w:jc w:val="right"/>
        <w:rPr>
          <w:rFonts w:hint="eastAsia" w:ascii="宋体" w:hAnsi="宋体" w:cs="宋体"/>
          <w:color w:val="auto"/>
          <w:sz w:val="24"/>
          <w:highlight w:val="none"/>
        </w:rPr>
      </w:pPr>
    </w:p>
    <w:p w14:paraId="1F7DD776">
      <w:pPr>
        <w:adjustRightInd w:val="0"/>
        <w:snapToGrid w:val="0"/>
        <w:jc w:val="left"/>
        <w:rPr>
          <w:rFonts w:hint="eastAsia" w:ascii="宋体" w:hAnsi="宋体" w:cs="宋体"/>
          <w:color w:val="auto"/>
          <w:sz w:val="24"/>
          <w:szCs w:val="21"/>
          <w:highlight w:val="none"/>
        </w:rPr>
      </w:pPr>
    </w:p>
    <w:tbl>
      <w:tblPr>
        <w:tblStyle w:val="47"/>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19"/>
      </w:tblGrid>
      <w:tr w14:paraId="02FBE1DA">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39BF8270">
            <w:pPr>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vertAlign w:val="superscript"/>
              </w:rPr>
              <w:t>1</w:t>
            </w:r>
            <w:r>
              <w:rPr>
                <w:rFonts w:hint="eastAsia" w:ascii="宋体" w:hAnsi="宋体" w:cs="宋体"/>
                <w:color w:val="auto"/>
                <w:szCs w:val="21"/>
                <w:highlight w:val="none"/>
              </w:rPr>
              <w:t>从业人员、营业收入、资产总额填报上一年度数据，无上一年度数据的新成立企业可不填报。</w:t>
            </w:r>
          </w:p>
        </w:tc>
      </w:tr>
    </w:tbl>
    <w:p w14:paraId="14140F89">
      <w:pPr>
        <w:adjustRightInd w:val="0"/>
        <w:snapToGrid w:val="0"/>
        <w:jc w:val="left"/>
        <w:rPr>
          <w:rFonts w:hint="eastAsia" w:ascii="宋体" w:hAnsi="宋体" w:cs="宋体"/>
          <w:color w:val="auto"/>
          <w:szCs w:val="21"/>
          <w:highlight w:val="none"/>
          <w:vertAlign w:val="superscript"/>
        </w:rPr>
      </w:pPr>
    </w:p>
    <w:p w14:paraId="60A4BC1C">
      <w:pPr>
        <w:spacing w:line="360" w:lineRule="auto"/>
        <w:ind w:right="360" w:firstLine="480"/>
        <w:jc w:val="right"/>
        <w:rPr>
          <w:rFonts w:hint="eastAsia" w:ascii="宋体" w:hAnsi="宋体" w:cs="宋体"/>
          <w:color w:val="auto"/>
          <w:sz w:val="24"/>
          <w:highlight w:val="none"/>
        </w:rPr>
      </w:pPr>
    </w:p>
    <w:p w14:paraId="2AD157A3">
      <w:pPr>
        <w:spacing w:line="360" w:lineRule="auto"/>
        <w:ind w:right="360" w:firstLine="480"/>
        <w:jc w:val="right"/>
        <w:rPr>
          <w:rFonts w:hint="eastAsia" w:ascii="宋体" w:hAnsi="宋体" w:cs="宋体"/>
          <w:color w:val="auto"/>
          <w:sz w:val="24"/>
          <w:highlight w:val="none"/>
        </w:rPr>
      </w:pPr>
    </w:p>
    <w:p w14:paraId="3C1BDD69">
      <w:pPr>
        <w:spacing w:line="360" w:lineRule="auto"/>
        <w:rPr>
          <w:rFonts w:hint="eastAsia" w:ascii="宋体" w:hAnsi="宋体" w:cs="宋体"/>
          <w:color w:val="auto"/>
          <w:sz w:val="24"/>
          <w:szCs w:val="20"/>
          <w:highlight w:val="none"/>
        </w:rPr>
      </w:pPr>
    </w:p>
    <w:p w14:paraId="1409CCC7">
      <w:pP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br w:type="page"/>
      </w:r>
    </w:p>
    <w:p w14:paraId="5701BAA5">
      <w:pPr>
        <w:spacing w:before="240" w:beforeLines="100" w:after="240" w:afterLines="100" w:line="360" w:lineRule="auto"/>
        <w:jc w:val="center"/>
        <w:rPr>
          <w:rFonts w:hint="eastAsia" w:ascii="宋体" w:hAnsi="宋体" w:cs="宋体"/>
          <w:color w:val="auto"/>
          <w:sz w:val="36"/>
          <w:szCs w:val="36"/>
          <w:highlight w:val="none"/>
        </w:rPr>
      </w:pPr>
      <w:r>
        <w:rPr>
          <w:rFonts w:hint="eastAsia" w:ascii="宋体" w:hAnsi="宋体" w:cs="宋体"/>
          <w:b/>
          <w:bCs/>
          <w:color w:val="auto"/>
          <w:sz w:val="36"/>
          <w:szCs w:val="36"/>
          <w:highlight w:val="none"/>
        </w:rPr>
        <w:t>残疾人福利性单位声明函格式</w:t>
      </w:r>
      <w:r>
        <w:rPr>
          <w:rFonts w:hint="eastAsia" w:ascii="宋体" w:hAnsi="宋体" w:cs="宋体"/>
          <w:color w:val="auto"/>
          <w:sz w:val="36"/>
          <w:szCs w:val="36"/>
          <w:highlight w:val="none"/>
        </w:rPr>
        <w:t xml:space="preserve"> </w:t>
      </w:r>
    </w:p>
    <w:p w14:paraId="7862294D">
      <w:pPr>
        <w:spacing w:line="588" w:lineRule="exact"/>
        <w:ind w:firstLine="504"/>
        <w:rPr>
          <w:rFonts w:hint="eastAsia"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〔2017〕141</w:t>
      </w:r>
      <w:r>
        <w:rPr>
          <w:rFonts w:hint="eastAsia" w:ascii="宋体" w:hAnsi="宋体" w:cs="宋体"/>
          <w:color w:val="auto"/>
          <w:spacing w:val="6"/>
          <w:sz w:val="24"/>
          <w:highlight w:val="none"/>
        </w:rPr>
        <w:t>号）的规定，本单位</w:t>
      </w:r>
      <w:r>
        <w:rPr>
          <w:rFonts w:hint="eastAsia" w:ascii="宋体" w:hAnsi="宋体" w:cs="宋体"/>
          <w:b/>
          <w:color w:val="auto"/>
          <w:sz w:val="24"/>
          <w:highlight w:val="none"/>
        </w:rPr>
        <w:t>（请进行勾选）</w:t>
      </w:r>
      <w:r>
        <w:rPr>
          <w:rFonts w:hint="eastAsia" w:ascii="宋体" w:hAnsi="宋体" w:cs="宋体"/>
          <w:color w:val="auto"/>
          <w:spacing w:val="6"/>
          <w:sz w:val="24"/>
          <w:highlight w:val="none"/>
        </w:rPr>
        <w:t>：</w:t>
      </w:r>
    </w:p>
    <w:p w14:paraId="68D7553F">
      <w:pPr>
        <w:spacing w:line="588" w:lineRule="exact"/>
        <w:ind w:firstLine="482"/>
        <w:rPr>
          <w:rFonts w:hint="eastAsia" w:ascii="宋体" w:hAnsi="宋体" w:cs="宋体"/>
          <w:b/>
          <w:color w:val="auto"/>
          <w:spacing w:val="6"/>
          <w:sz w:val="24"/>
          <w:highlight w:val="none"/>
        </w:rPr>
      </w:pPr>
      <w:r>
        <w:rPr>
          <w:rFonts w:hint="eastAsia" w:ascii="宋体" w:hAnsi="宋体" w:cs="宋体"/>
          <w:b/>
          <w:color w:val="auto"/>
          <w:sz w:val="24"/>
          <w:highlight w:val="none"/>
        </w:rPr>
        <w:t>□</w:t>
      </w:r>
      <w:r>
        <w:rPr>
          <w:rFonts w:hint="eastAsia" w:ascii="宋体" w:hAnsi="宋体" w:cs="宋体"/>
          <w:b/>
          <w:color w:val="auto"/>
          <w:spacing w:val="6"/>
          <w:sz w:val="24"/>
          <w:highlight w:val="none"/>
        </w:rPr>
        <w:t>不属于符合条件的残疾人福利性单位。</w:t>
      </w:r>
    </w:p>
    <w:p w14:paraId="27EE4FD8">
      <w:pPr>
        <w:spacing w:line="588" w:lineRule="exact"/>
        <w:ind w:firstLine="482"/>
        <w:rPr>
          <w:rFonts w:hint="eastAsia" w:ascii="宋体" w:hAnsi="宋体" w:cs="宋体"/>
          <w:color w:val="auto"/>
          <w:spacing w:val="6"/>
          <w:sz w:val="24"/>
          <w:highlight w:val="none"/>
        </w:rPr>
      </w:pPr>
      <w:r>
        <w:rPr>
          <w:rFonts w:hint="eastAsia" w:ascii="宋体" w:hAnsi="宋体" w:cs="宋体"/>
          <w:b/>
          <w:color w:val="auto"/>
          <w:sz w:val="24"/>
          <w:highlight w:val="none"/>
        </w:rPr>
        <w:t>□</w:t>
      </w:r>
      <w:r>
        <w:rPr>
          <w:rFonts w:hint="eastAsia" w:ascii="宋体" w:hAnsi="宋体" w:cs="宋体"/>
          <w:b/>
          <w:color w:val="auto"/>
          <w:spacing w:val="6"/>
          <w:sz w:val="24"/>
          <w:highlight w:val="none"/>
        </w:rPr>
        <w:t>属于符合条件的残疾人福利性单位，</w:t>
      </w:r>
      <w:r>
        <w:rPr>
          <w:rFonts w:hint="eastAsia" w:ascii="宋体" w:hAnsi="宋体" w:cs="宋体"/>
          <w:color w:val="auto"/>
          <w:spacing w:val="6"/>
          <w:sz w:val="24"/>
          <w:highlight w:val="none"/>
        </w:rPr>
        <w:t>且本单位参加______单位的______项目采购活动提供本单位制造的货物（由本单位承担工程/提供服务），或者提供其他残疾人福利性单位制造的货物（不包括使用非残疾人福利性单位注册商标的货物）。</w:t>
      </w:r>
    </w:p>
    <w:p w14:paraId="7C79D1E7">
      <w:pPr>
        <w:spacing w:line="588" w:lineRule="exact"/>
        <w:ind w:firstLine="506" w:firstLineChars="200"/>
        <w:rPr>
          <w:rFonts w:hint="eastAsia" w:ascii="宋体" w:hAnsi="宋体" w:cs="宋体"/>
          <w:color w:val="auto"/>
          <w:spacing w:val="6"/>
          <w:sz w:val="24"/>
          <w:highlight w:val="none"/>
        </w:rPr>
      </w:pPr>
      <w:r>
        <w:rPr>
          <w:rFonts w:hint="eastAsia" w:ascii="宋体" w:hAnsi="宋体" w:cs="宋体"/>
          <w:b/>
          <w:color w:val="auto"/>
          <w:spacing w:val="6"/>
          <w:sz w:val="24"/>
          <w:highlight w:val="none"/>
        </w:rPr>
        <w:t>本单位对上述声明的真实性负责。如有虚假，将依法承担相应责任。</w:t>
      </w:r>
    </w:p>
    <w:p w14:paraId="68769336">
      <w:pPr>
        <w:spacing w:line="588" w:lineRule="exact"/>
        <w:ind w:firstLine="504" w:firstLineChars="200"/>
        <w:rPr>
          <w:rFonts w:hint="eastAsia" w:ascii="宋体" w:hAnsi="宋体" w:cs="宋体"/>
          <w:color w:val="auto"/>
          <w:spacing w:val="6"/>
          <w:sz w:val="24"/>
          <w:highlight w:val="none"/>
        </w:rPr>
      </w:pPr>
    </w:p>
    <w:p w14:paraId="27FA680B">
      <w:pPr>
        <w:spacing w:line="588" w:lineRule="exact"/>
        <w:ind w:firstLine="504" w:firstLineChars="200"/>
        <w:rPr>
          <w:rFonts w:hint="eastAsia" w:ascii="宋体" w:hAnsi="宋体" w:cs="宋体"/>
          <w:color w:val="auto"/>
          <w:spacing w:val="6"/>
          <w:sz w:val="24"/>
          <w:highlight w:val="none"/>
        </w:rPr>
      </w:pPr>
    </w:p>
    <w:p w14:paraId="4C763747">
      <w:pPr>
        <w:tabs>
          <w:tab w:val="left" w:pos="4860"/>
        </w:tabs>
        <w:spacing w:line="588" w:lineRule="exact"/>
        <w:ind w:right="1560" w:firstLine="504" w:firstLineChars="200"/>
        <w:jc w:val="center"/>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               单位名称（盖章）：</w:t>
      </w:r>
    </w:p>
    <w:p w14:paraId="6E336AFE">
      <w:pPr>
        <w:tabs>
          <w:tab w:val="left" w:pos="4860"/>
        </w:tabs>
        <w:spacing w:line="588" w:lineRule="exact"/>
        <w:ind w:right="1560" w:firstLine="504" w:firstLineChars="200"/>
        <w:jc w:val="center"/>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       日  期：</w:t>
      </w:r>
    </w:p>
    <w:p w14:paraId="459C8810">
      <w:pPr>
        <w:spacing w:line="360" w:lineRule="auto"/>
        <w:outlineLvl w:val="2"/>
        <w:rPr>
          <w:rFonts w:hint="eastAsia" w:ascii="宋体" w:hAnsi="宋体" w:cs="宋体"/>
          <w:color w:val="auto"/>
          <w:sz w:val="24"/>
          <w:szCs w:val="20"/>
          <w:highlight w:val="none"/>
        </w:rPr>
      </w:pPr>
      <w:r>
        <w:rPr>
          <w:rFonts w:hint="eastAsia" w:ascii="宋体" w:hAnsi="宋体" w:cs="宋体"/>
          <w:color w:val="auto"/>
          <w:szCs w:val="20"/>
          <w:highlight w:val="none"/>
        </w:rPr>
        <w:br w:type="page"/>
      </w:r>
      <w:r>
        <w:rPr>
          <w:rFonts w:hint="eastAsia" w:ascii="宋体" w:hAnsi="宋体" w:cs="宋体"/>
          <w:color w:val="auto"/>
          <w:sz w:val="24"/>
          <w:szCs w:val="20"/>
          <w:highlight w:val="none"/>
        </w:rPr>
        <w:t>8  拟分包情况说明（类型二）（本项目不适用）</w:t>
      </w:r>
    </w:p>
    <w:p w14:paraId="211C95F8">
      <w:pPr>
        <w:autoSpaceDE w:val="0"/>
        <w:autoSpaceDN w:val="0"/>
        <w:adjustRightInd w:val="0"/>
        <w:jc w:val="center"/>
        <w:rPr>
          <w:rFonts w:hint="eastAsia" w:ascii="宋体" w:hAnsi="宋体" w:cs="宋体"/>
          <w:color w:val="auto"/>
          <w:sz w:val="30"/>
          <w:szCs w:val="30"/>
          <w:highlight w:val="none"/>
        </w:rPr>
      </w:pPr>
    </w:p>
    <w:p w14:paraId="60B221DC">
      <w:pPr>
        <w:autoSpaceDE w:val="0"/>
        <w:autoSpaceDN w:val="0"/>
        <w:adjustRightInd w:val="0"/>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拟分包情况说明</w:t>
      </w:r>
    </w:p>
    <w:p w14:paraId="2CC9DBCD">
      <w:pPr>
        <w:keepNext w:val="0"/>
        <w:keepLines w:val="0"/>
        <w:pageBreakBefore w:val="0"/>
        <w:widowControl w:val="0"/>
        <w:tabs>
          <w:tab w:val="left" w:pos="5580"/>
        </w:tabs>
        <w:kinsoku/>
        <w:wordWrap/>
        <w:overflowPunct/>
        <w:topLinePunct w:val="0"/>
        <w:bidi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w:t>
      </w:r>
    </w:p>
    <w:p w14:paraId="57020A02">
      <w:pPr>
        <w:keepNext w:val="0"/>
        <w:keepLines w:val="0"/>
        <w:pageBreakBefore w:val="0"/>
        <w:widowControl w:val="0"/>
        <w:kinsoku/>
        <w:wordWrap/>
        <w:overflowPunct/>
        <w:topLinePunct w:val="0"/>
        <w:bidi w:val="0"/>
        <w:adjustRightInd w:val="0"/>
        <w:snapToGrid w:val="0"/>
        <w:spacing w:after="0"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47"/>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7DB02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0446D3F5">
            <w:pPr>
              <w:pStyle w:val="263"/>
              <w:keepNext w:val="0"/>
              <w:keepLines w:val="0"/>
              <w:pageBreakBefore w:val="0"/>
              <w:widowControl w:val="0"/>
              <w:kinsoku/>
              <w:wordWrap/>
              <w:overflowPunct/>
              <w:topLinePunct w:val="0"/>
              <w:bidi w:val="0"/>
              <w:spacing w:after="0"/>
              <w:jc w:val="center"/>
              <w:textAlignment w:val="auto"/>
              <w:rPr>
                <w:rFonts w:hint="eastAsia"/>
                <w:color w:val="auto"/>
                <w:sz w:val="24"/>
                <w:highlight w:val="none"/>
              </w:rPr>
            </w:pPr>
            <w:r>
              <w:rPr>
                <w:rFonts w:hint="eastAsia"/>
                <w:color w:val="auto"/>
                <w:sz w:val="24"/>
                <w:highlight w:val="none"/>
              </w:rPr>
              <w:t>序号</w:t>
            </w:r>
          </w:p>
        </w:tc>
        <w:tc>
          <w:tcPr>
            <w:tcW w:w="1287" w:type="dxa"/>
            <w:vAlign w:val="center"/>
          </w:tcPr>
          <w:p w14:paraId="2C3E20B1">
            <w:pPr>
              <w:pStyle w:val="263"/>
              <w:keepNext w:val="0"/>
              <w:keepLines w:val="0"/>
              <w:pageBreakBefore w:val="0"/>
              <w:widowControl w:val="0"/>
              <w:kinsoku/>
              <w:wordWrap/>
              <w:overflowPunct/>
              <w:topLinePunct w:val="0"/>
              <w:bidi w:val="0"/>
              <w:spacing w:after="0"/>
              <w:jc w:val="center"/>
              <w:textAlignment w:val="auto"/>
              <w:rPr>
                <w:rFonts w:hint="eastAsia"/>
                <w:color w:val="auto"/>
                <w:sz w:val="24"/>
                <w:highlight w:val="none"/>
              </w:rPr>
            </w:pPr>
            <w:r>
              <w:rPr>
                <w:rFonts w:hint="eastAsia"/>
                <w:color w:val="auto"/>
                <w:sz w:val="24"/>
                <w:highlight w:val="none"/>
              </w:rPr>
              <w:t>分包承担</w:t>
            </w:r>
          </w:p>
          <w:p w14:paraId="6678F31A">
            <w:pPr>
              <w:pStyle w:val="263"/>
              <w:keepNext w:val="0"/>
              <w:keepLines w:val="0"/>
              <w:pageBreakBefore w:val="0"/>
              <w:widowControl w:val="0"/>
              <w:kinsoku/>
              <w:wordWrap/>
              <w:overflowPunct/>
              <w:topLinePunct w:val="0"/>
              <w:bidi w:val="0"/>
              <w:spacing w:after="0"/>
              <w:jc w:val="center"/>
              <w:textAlignment w:val="auto"/>
              <w:rPr>
                <w:rFonts w:hint="eastAsia"/>
                <w:color w:val="auto"/>
                <w:sz w:val="24"/>
                <w:highlight w:val="none"/>
              </w:rPr>
            </w:pPr>
            <w:r>
              <w:rPr>
                <w:rFonts w:hint="eastAsia"/>
                <w:color w:val="auto"/>
                <w:sz w:val="24"/>
                <w:highlight w:val="none"/>
              </w:rPr>
              <w:t>主体名称</w:t>
            </w:r>
          </w:p>
        </w:tc>
        <w:tc>
          <w:tcPr>
            <w:tcW w:w="1513" w:type="dxa"/>
            <w:vAlign w:val="center"/>
          </w:tcPr>
          <w:p w14:paraId="49130D41">
            <w:pPr>
              <w:pStyle w:val="263"/>
              <w:keepNext w:val="0"/>
              <w:keepLines w:val="0"/>
              <w:pageBreakBefore w:val="0"/>
              <w:widowControl w:val="0"/>
              <w:kinsoku/>
              <w:wordWrap/>
              <w:overflowPunct/>
              <w:topLinePunct w:val="0"/>
              <w:bidi w:val="0"/>
              <w:spacing w:after="0"/>
              <w:jc w:val="center"/>
              <w:textAlignment w:val="auto"/>
              <w:rPr>
                <w:rFonts w:hint="eastAsia"/>
                <w:color w:val="auto"/>
                <w:sz w:val="24"/>
                <w:highlight w:val="none"/>
                <w:lang w:eastAsia="zh-CN"/>
              </w:rPr>
            </w:pPr>
            <w:r>
              <w:rPr>
                <w:rFonts w:hint="eastAsia"/>
                <w:color w:val="auto"/>
                <w:sz w:val="24"/>
                <w:highlight w:val="none"/>
                <w:lang w:eastAsia="zh-CN"/>
              </w:rPr>
              <w:t>分包承担</w:t>
            </w:r>
          </w:p>
          <w:p w14:paraId="7AF04429">
            <w:pPr>
              <w:pStyle w:val="263"/>
              <w:keepNext w:val="0"/>
              <w:keepLines w:val="0"/>
              <w:pageBreakBefore w:val="0"/>
              <w:widowControl w:val="0"/>
              <w:kinsoku/>
              <w:wordWrap/>
              <w:overflowPunct/>
              <w:topLinePunct w:val="0"/>
              <w:bidi w:val="0"/>
              <w:spacing w:after="0"/>
              <w:jc w:val="center"/>
              <w:textAlignment w:val="auto"/>
              <w:rPr>
                <w:rFonts w:hint="eastAsia"/>
                <w:color w:val="auto"/>
                <w:sz w:val="24"/>
                <w:highlight w:val="none"/>
                <w:lang w:eastAsia="zh-CN"/>
              </w:rPr>
            </w:pPr>
            <w:r>
              <w:rPr>
                <w:rFonts w:hint="eastAsia"/>
                <w:color w:val="auto"/>
                <w:sz w:val="24"/>
                <w:highlight w:val="none"/>
                <w:lang w:eastAsia="zh-CN"/>
              </w:rPr>
              <w:t>主体类型</w:t>
            </w:r>
          </w:p>
          <w:p w14:paraId="6E73D905">
            <w:pPr>
              <w:pStyle w:val="263"/>
              <w:keepNext w:val="0"/>
              <w:keepLines w:val="0"/>
              <w:pageBreakBefore w:val="0"/>
              <w:widowControl w:val="0"/>
              <w:kinsoku/>
              <w:wordWrap/>
              <w:overflowPunct/>
              <w:topLinePunct w:val="0"/>
              <w:bidi w:val="0"/>
              <w:spacing w:after="0"/>
              <w:jc w:val="center"/>
              <w:textAlignment w:val="auto"/>
              <w:rPr>
                <w:rFonts w:hint="eastAsia"/>
                <w:color w:val="auto"/>
                <w:sz w:val="24"/>
                <w:highlight w:val="none"/>
                <w:lang w:eastAsia="zh-CN"/>
              </w:rPr>
            </w:pPr>
            <w:r>
              <w:rPr>
                <w:rFonts w:hint="eastAsia"/>
                <w:color w:val="auto"/>
                <w:sz w:val="24"/>
                <w:highlight w:val="none"/>
                <w:lang w:eastAsia="zh-CN"/>
              </w:rPr>
              <w:t>（勾选）</w:t>
            </w:r>
          </w:p>
        </w:tc>
        <w:tc>
          <w:tcPr>
            <w:tcW w:w="1125" w:type="dxa"/>
            <w:vAlign w:val="center"/>
          </w:tcPr>
          <w:p w14:paraId="6D598608">
            <w:pPr>
              <w:pStyle w:val="263"/>
              <w:keepNext w:val="0"/>
              <w:keepLines w:val="0"/>
              <w:pageBreakBefore w:val="0"/>
              <w:widowControl w:val="0"/>
              <w:kinsoku/>
              <w:wordWrap/>
              <w:overflowPunct/>
              <w:topLinePunct w:val="0"/>
              <w:bidi w:val="0"/>
              <w:spacing w:after="0"/>
              <w:jc w:val="center"/>
              <w:textAlignment w:val="auto"/>
              <w:rPr>
                <w:rFonts w:hint="eastAsia"/>
                <w:color w:val="auto"/>
                <w:sz w:val="24"/>
                <w:highlight w:val="none"/>
              </w:rPr>
            </w:pPr>
            <w:r>
              <w:rPr>
                <w:rFonts w:hint="eastAsia"/>
                <w:color w:val="auto"/>
                <w:sz w:val="24"/>
                <w:highlight w:val="none"/>
              </w:rPr>
              <w:t>资质等级</w:t>
            </w:r>
          </w:p>
        </w:tc>
        <w:tc>
          <w:tcPr>
            <w:tcW w:w="1558" w:type="dxa"/>
            <w:vAlign w:val="center"/>
          </w:tcPr>
          <w:p w14:paraId="1E77CC6E">
            <w:pPr>
              <w:pStyle w:val="263"/>
              <w:keepNext w:val="0"/>
              <w:keepLines w:val="0"/>
              <w:pageBreakBefore w:val="0"/>
              <w:widowControl w:val="0"/>
              <w:kinsoku/>
              <w:wordWrap/>
              <w:overflowPunct/>
              <w:topLinePunct w:val="0"/>
              <w:bidi w:val="0"/>
              <w:spacing w:after="0"/>
              <w:jc w:val="center"/>
              <w:textAlignment w:val="auto"/>
              <w:rPr>
                <w:rFonts w:hint="eastAsia"/>
                <w:color w:val="auto"/>
                <w:sz w:val="24"/>
                <w:highlight w:val="none"/>
              </w:rPr>
            </w:pPr>
            <w:r>
              <w:rPr>
                <w:rFonts w:hint="eastAsia"/>
                <w:color w:val="auto"/>
                <w:sz w:val="24"/>
                <w:highlight w:val="none"/>
              </w:rPr>
              <w:t>拟分包</w:t>
            </w:r>
          </w:p>
          <w:p w14:paraId="74EA649C">
            <w:pPr>
              <w:pStyle w:val="263"/>
              <w:keepNext w:val="0"/>
              <w:keepLines w:val="0"/>
              <w:pageBreakBefore w:val="0"/>
              <w:widowControl w:val="0"/>
              <w:kinsoku/>
              <w:wordWrap/>
              <w:overflowPunct/>
              <w:topLinePunct w:val="0"/>
              <w:bidi w:val="0"/>
              <w:spacing w:after="0"/>
              <w:jc w:val="center"/>
              <w:textAlignment w:val="auto"/>
              <w:rPr>
                <w:rFonts w:hint="eastAsia"/>
                <w:color w:val="auto"/>
                <w:sz w:val="24"/>
                <w:highlight w:val="none"/>
              </w:rPr>
            </w:pPr>
            <w:r>
              <w:rPr>
                <w:rFonts w:hint="eastAsia"/>
                <w:color w:val="auto"/>
                <w:sz w:val="24"/>
                <w:highlight w:val="none"/>
              </w:rPr>
              <w:t>合同内容</w:t>
            </w:r>
          </w:p>
        </w:tc>
        <w:tc>
          <w:tcPr>
            <w:tcW w:w="1498" w:type="dxa"/>
            <w:vAlign w:val="center"/>
          </w:tcPr>
          <w:p w14:paraId="5F22ADE7">
            <w:pPr>
              <w:pStyle w:val="263"/>
              <w:keepNext w:val="0"/>
              <w:keepLines w:val="0"/>
              <w:pageBreakBefore w:val="0"/>
              <w:widowControl w:val="0"/>
              <w:kinsoku/>
              <w:wordWrap/>
              <w:overflowPunct/>
              <w:topLinePunct w:val="0"/>
              <w:bidi w:val="0"/>
              <w:spacing w:after="0"/>
              <w:jc w:val="center"/>
              <w:textAlignment w:val="auto"/>
              <w:rPr>
                <w:rFonts w:hint="eastAsia"/>
                <w:color w:val="auto"/>
                <w:sz w:val="24"/>
                <w:highlight w:val="none"/>
                <w:lang w:eastAsia="zh-CN"/>
              </w:rPr>
            </w:pPr>
            <w:r>
              <w:rPr>
                <w:rFonts w:hint="eastAsia"/>
                <w:color w:val="auto"/>
                <w:sz w:val="24"/>
                <w:highlight w:val="none"/>
                <w:lang w:eastAsia="zh-CN"/>
              </w:rPr>
              <w:t>拟分包</w:t>
            </w:r>
          </w:p>
          <w:p w14:paraId="50767339">
            <w:pPr>
              <w:pStyle w:val="263"/>
              <w:keepNext w:val="0"/>
              <w:keepLines w:val="0"/>
              <w:pageBreakBefore w:val="0"/>
              <w:widowControl w:val="0"/>
              <w:kinsoku/>
              <w:wordWrap/>
              <w:overflowPunct/>
              <w:topLinePunct w:val="0"/>
              <w:bidi w:val="0"/>
              <w:spacing w:after="0"/>
              <w:jc w:val="center"/>
              <w:textAlignment w:val="auto"/>
              <w:rPr>
                <w:rFonts w:hint="eastAsia"/>
                <w:color w:val="auto"/>
                <w:sz w:val="24"/>
                <w:highlight w:val="none"/>
                <w:lang w:eastAsia="zh-CN"/>
              </w:rPr>
            </w:pPr>
            <w:r>
              <w:rPr>
                <w:rFonts w:hint="eastAsia"/>
                <w:color w:val="auto"/>
                <w:sz w:val="24"/>
                <w:highlight w:val="none"/>
                <w:lang w:eastAsia="zh-CN"/>
              </w:rPr>
              <w:t>合同金额</w:t>
            </w:r>
          </w:p>
          <w:p w14:paraId="6B2F38A8">
            <w:pPr>
              <w:pStyle w:val="263"/>
              <w:keepNext w:val="0"/>
              <w:keepLines w:val="0"/>
              <w:pageBreakBefore w:val="0"/>
              <w:widowControl w:val="0"/>
              <w:kinsoku/>
              <w:wordWrap/>
              <w:overflowPunct/>
              <w:topLinePunct w:val="0"/>
              <w:bidi w:val="0"/>
              <w:spacing w:after="0"/>
              <w:jc w:val="center"/>
              <w:textAlignment w:val="auto"/>
              <w:rPr>
                <w:rFonts w:hint="eastAsia"/>
                <w:color w:val="auto"/>
                <w:sz w:val="24"/>
                <w:highlight w:val="none"/>
                <w:lang w:eastAsia="zh-CN"/>
              </w:rPr>
            </w:pPr>
            <w:r>
              <w:rPr>
                <w:rFonts w:hint="eastAsia"/>
                <w:color w:val="auto"/>
                <w:sz w:val="24"/>
                <w:highlight w:val="none"/>
                <w:lang w:eastAsia="zh-CN"/>
              </w:rPr>
              <w:t>（人民币元）</w:t>
            </w:r>
          </w:p>
        </w:tc>
        <w:tc>
          <w:tcPr>
            <w:tcW w:w="1564" w:type="dxa"/>
            <w:vAlign w:val="center"/>
          </w:tcPr>
          <w:p w14:paraId="0D9D74E7">
            <w:pPr>
              <w:pStyle w:val="263"/>
              <w:keepNext w:val="0"/>
              <w:keepLines w:val="0"/>
              <w:pageBreakBefore w:val="0"/>
              <w:widowControl w:val="0"/>
              <w:kinsoku/>
              <w:wordWrap/>
              <w:overflowPunct/>
              <w:topLinePunct w:val="0"/>
              <w:bidi w:val="0"/>
              <w:spacing w:after="0"/>
              <w:jc w:val="center"/>
              <w:textAlignment w:val="auto"/>
              <w:rPr>
                <w:rFonts w:hint="eastAsia"/>
                <w:b/>
                <w:color w:val="auto"/>
                <w:sz w:val="24"/>
                <w:highlight w:val="none"/>
                <w:lang w:eastAsia="zh-CN"/>
              </w:rPr>
            </w:pPr>
            <w:r>
              <w:rPr>
                <w:rFonts w:hint="eastAsia"/>
                <w:b/>
                <w:color w:val="auto"/>
                <w:sz w:val="24"/>
                <w:highlight w:val="none"/>
                <w:lang w:eastAsia="zh-CN"/>
              </w:rPr>
              <w:t>占投标报价</w:t>
            </w:r>
          </w:p>
          <w:p w14:paraId="6C9A7CBC">
            <w:pPr>
              <w:pStyle w:val="263"/>
              <w:keepNext w:val="0"/>
              <w:keepLines w:val="0"/>
              <w:pageBreakBefore w:val="0"/>
              <w:widowControl w:val="0"/>
              <w:kinsoku/>
              <w:wordWrap/>
              <w:overflowPunct/>
              <w:topLinePunct w:val="0"/>
              <w:bidi w:val="0"/>
              <w:spacing w:after="0"/>
              <w:jc w:val="center"/>
              <w:textAlignment w:val="auto"/>
              <w:rPr>
                <w:rFonts w:hint="eastAsia"/>
                <w:color w:val="auto"/>
                <w:sz w:val="24"/>
                <w:highlight w:val="none"/>
                <w:lang w:eastAsia="zh-CN"/>
              </w:rPr>
            </w:pPr>
            <w:r>
              <w:rPr>
                <w:rFonts w:hint="eastAsia"/>
                <w:b/>
                <w:color w:val="auto"/>
                <w:sz w:val="24"/>
                <w:highlight w:val="none"/>
                <w:lang w:eastAsia="zh-CN"/>
              </w:rPr>
              <w:t>的比例（%）</w:t>
            </w:r>
          </w:p>
        </w:tc>
      </w:tr>
      <w:tr w14:paraId="391C0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6A15D375">
            <w:pPr>
              <w:pStyle w:val="263"/>
              <w:keepNext w:val="0"/>
              <w:keepLines w:val="0"/>
              <w:pageBreakBefore w:val="0"/>
              <w:widowControl w:val="0"/>
              <w:kinsoku/>
              <w:wordWrap/>
              <w:overflowPunct/>
              <w:topLinePunct w:val="0"/>
              <w:bidi w:val="0"/>
              <w:spacing w:after="0"/>
              <w:jc w:val="center"/>
              <w:textAlignment w:val="auto"/>
              <w:rPr>
                <w:rFonts w:hint="eastAsia"/>
                <w:color w:val="auto"/>
                <w:sz w:val="24"/>
                <w:highlight w:val="none"/>
              </w:rPr>
            </w:pPr>
            <w:r>
              <w:rPr>
                <w:rFonts w:hint="eastAsia"/>
                <w:color w:val="auto"/>
                <w:sz w:val="24"/>
                <w:highlight w:val="none"/>
              </w:rPr>
              <w:t>1</w:t>
            </w:r>
          </w:p>
        </w:tc>
        <w:tc>
          <w:tcPr>
            <w:tcW w:w="1287" w:type="dxa"/>
            <w:vAlign w:val="center"/>
          </w:tcPr>
          <w:p w14:paraId="625E2284">
            <w:pPr>
              <w:pStyle w:val="263"/>
              <w:keepNext w:val="0"/>
              <w:keepLines w:val="0"/>
              <w:pageBreakBefore w:val="0"/>
              <w:widowControl w:val="0"/>
              <w:kinsoku/>
              <w:wordWrap/>
              <w:overflowPunct/>
              <w:topLinePunct w:val="0"/>
              <w:bidi w:val="0"/>
              <w:spacing w:after="0"/>
              <w:jc w:val="center"/>
              <w:textAlignment w:val="auto"/>
              <w:rPr>
                <w:rFonts w:hint="eastAsia"/>
                <w:color w:val="auto"/>
                <w:sz w:val="30"/>
                <w:highlight w:val="none"/>
              </w:rPr>
            </w:pPr>
          </w:p>
        </w:tc>
        <w:tc>
          <w:tcPr>
            <w:tcW w:w="1513" w:type="dxa"/>
            <w:vAlign w:val="center"/>
          </w:tcPr>
          <w:p w14:paraId="505F1B30">
            <w:pPr>
              <w:pStyle w:val="263"/>
              <w:keepNext w:val="0"/>
              <w:keepLines w:val="0"/>
              <w:pageBreakBefore w:val="0"/>
              <w:widowControl w:val="0"/>
              <w:tabs>
                <w:tab w:val="left" w:pos="235"/>
              </w:tabs>
              <w:kinsoku/>
              <w:wordWrap/>
              <w:overflowPunct/>
              <w:topLinePunct w:val="0"/>
              <w:bidi w:val="0"/>
              <w:spacing w:after="0"/>
              <w:ind w:left="1" w:leftChars="-43" w:hanging="91" w:hangingChars="38"/>
              <w:jc w:val="center"/>
              <w:textAlignment w:val="auto"/>
              <w:rPr>
                <w:rFonts w:hint="eastAsia"/>
                <w:color w:val="auto"/>
                <w:sz w:val="24"/>
                <w:highlight w:val="none"/>
                <w:lang w:eastAsia="zh-CN"/>
              </w:rPr>
            </w:pPr>
            <w:r>
              <w:rPr>
                <w:rFonts w:hint="eastAsia"/>
                <w:color w:val="auto"/>
                <w:sz w:val="24"/>
                <w:highlight w:val="none"/>
                <w:lang w:eastAsia="zh-CN"/>
              </w:rPr>
              <w:t>□小微企业</w:t>
            </w:r>
          </w:p>
          <w:p w14:paraId="6BA2D63A">
            <w:pPr>
              <w:pStyle w:val="263"/>
              <w:keepNext w:val="0"/>
              <w:keepLines w:val="0"/>
              <w:pageBreakBefore w:val="0"/>
              <w:widowControl w:val="0"/>
              <w:tabs>
                <w:tab w:val="left" w:pos="235"/>
              </w:tabs>
              <w:kinsoku/>
              <w:wordWrap/>
              <w:overflowPunct/>
              <w:topLinePunct w:val="0"/>
              <w:bidi w:val="0"/>
              <w:spacing w:after="0"/>
              <w:ind w:left="1" w:leftChars="-43" w:hanging="91" w:hangingChars="38"/>
              <w:jc w:val="center"/>
              <w:textAlignment w:val="auto"/>
              <w:rPr>
                <w:rFonts w:hint="eastAsia"/>
                <w:color w:val="auto"/>
                <w:sz w:val="24"/>
                <w:highlight w:val="none"/>
                <w:lang w:eastAsia="zh-CN"/>
              </w:rPr>
            </w:pPr>
            <w:r>
              <w:rPr>
                <w:rFonts w:hint="eastAsia"/>
                <w:color w:val="auto"/>
                <w:sz w:val="24"/>
                <w:highlight w:val="none"/>
                <w:lang w:eastAsia="zh-CN"/>
              </w:rPr>
              <w:t>□其他类型</w:t>
            </w:r>
          </w:p>
        </w:tc>
        <w:tc>
          <w:tcPr>
            <w:tcW w:w="1125" w:type="dxa"/>
            <w:vAlign w:val="center"/>
          </w:tcPr>
          <w:p w14:paraId="61016E72">
            <w:pPr>
              <w:pStyle w:val="263"/>
              <w:keepNext w:val="0"/>
              <w:keepLines w:val="0"/>
              <w:pageBreakBefore w:val="0"/>
              <w:widowControl w:val="0"/>
              <w:kinsoku/>
              <w:wordWrap/>
              <w:overflowPunct/>
              <w:topLinePunct w:val="0"/>
              <w:bidi w:val="0"/>
              <w:spacing w:after="0"/>
              <w:jc w:val="center"/>
              <w:textAlignment w:val="auto"/>
              <w:rPr>
                <w:rFonts w:hint="eastAsia"/>
                <w:color w:val="auto"/>
                <w:sz w:val="30"/>
                <w:highlight w:val="none"/>
                <w:lang w:eastAsia="zh-CN"/>
              </w:rPr>
            </w:pPr>
          </w:p>
        </w:tc>
        <w:tc>
          <w:tcPr>
            <w:tcW w:w="1558" w:type="dxa"/>
            <w:vAlign w:val="center"/>
          </w:tcPr>
          <w:p w14:paraId="0EF70387">
            <w:pPr>
              <w:pStyle w:val="263"/>
              <w:keepNext w:val="0"/>
              <w:keepLines w:val="0"/>
              <w:pageBreakBefore w:val="0"/>
              <w:widowControl w:val="0"/>
              <w:kinsoku/>
              <w:wordWrap/>
              <w:overflowPunct/>
              <w:topLinePunct w:val="0"/>
              <w:bidi w:val="0"/>
              <w:spacing w:after="0"/>
              <w:jc w:val="center"/>
              <w:textAlignment w:val="auto"/>
              <w:rPr>
                <w:rFonts w:hint="eastAsia"/>
                <w:color w:val="auto"/>
                <w:sz w:val="30"/>
                <w:highlight w:val="none"/>
                <w:lang w:eastAsia="zh-CN"/>
              </w:rPr>
            </w:pPr>
          </w:p>
        </w:tc>
        <w:tc>
          <w:tcPr>
            <w:tcW w:w="1498" w:type="dxa"/>
            <w:vAlign w:val="center"/>
          </w:tcPr>
          <w:p w14:paraId="354F0C0A">
            <w:pPr>
              <w:pStyle w:val="263"/>
              <w:keepNext w:val="0"/>
              <w:keepLines w:val="0"/>
              <w:pageBreakBefore w:val="0"/>
              <w:widowControl w:val="0"/>
              <w:kinsoku/>
              <w:wordWrap/>
              <w:overflowPunct/>
              <w:topLinePunct w:val="0"/>
              <w:bidi w:val="0"/>
              <w:spacing w:after="0"/>
              <w:jc w:val="center"/>
              <w:textAlignment w:val="auto"/>
              <w:rPr>
                <w:rFonts w:hint="eastAsia"/>
                <w:color w:val="auto"/>
                <w:sz w:val="30"/>
                <w:highlight w:val="none"/>
                <w:lang w:eastAsia="zh-CN"/>
              </w:rPr>
            </w:pPr>
          </w:p>
        </w:tc>
        <w:tc>
          <w:tcPr>
            <w:tcW w:w="1564" w:type="dxa"/>
            <w:vAlign w:val="center"/>
          </w:tcPr>
          <w:p w14:paraId="348DA5BD">
            <w:pPr>
              <w:pStyle w:val="263"/>
              <w:keepNext w:val="0"/>
              <w:keepLines w:val="0"/>
              <w:pageBreakBefore w:val="0"/>
              <w:widowControl w:val="0"/>
              <w:kinsoku/>
              <w:wordWrap/>
              <w:overflowPunct/>
              <w:topLinePunct w:val="0"/>
              <w:bidi w:val="0"/>
              <w:spacing w:after="0"/>
              <w:jc w:val="center"/>
              <w:textAlignment w:val="auto"/>
              <w:rPr>
                <w:rFonts w:hint="eastAsia"/>
                <w:color w:val="auto"/>
                <w:sz w:val="30"/>
                <w:highlight w:val="none"/>
                <w:lang w:eastAsia="zh-CN"/>
              </w:rPr>
            </w:pPr>
          </w:p>
        </w:tc>
      </w:tr>
      <w:tr w14:paraId="04C07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049680D8">
            <w:pPr>
              <w:pStyle w:val="263"/>
              <w:keepNext w:val="0"/>
              <w:keepLines w:val="0"/>
              <w:pageBreakBefore w:val="0"/>
              <w:widowControl w:val="0"/>
              <w:kinsoku/>
              <w:wordWrap/>
              <w:overflowPunct/>
              <w:topLinePunct w:val="0"/>
              <w:bidi w:val="0"/>
              <w:spacing w:after="0"/>
              <w:jc w:val="center"/>
              <w:textAlignment w:val="auto"/>
              <w:rPr>
                <w:rFonts w:hint="eastAsia"/>
                <w:color w:val="auto"/>
                <w:sz w:val="24"/>
                <w:highlight w:val="none"/>
                <w:lang w:eastAsia="zh-CN"/>
              </w:rPr>
            </w:pPr>
            <w:r>
              <w:rPr>
                <w:rFonts w:hint="eastAsia"/>
                <w:color w:val="auto"/>
                <w:sz w:val="24"/>
                <w:highlight w:val="none"/>
                <w:lang w:eastAsia="zh-CN"/>
              </w:rPr>
              <w:t>2</w:t>
            </w:r>
          </w:p>
        </w:tc>
        <w:tc>
          <w:tcPr>
            <w:tcW w:w="1287" w:type="dxa"/>
            <w:vAlign w:val="center"/>
          </w:tcPr>
          <w:p w14:paraId="1CD98463">
            <w:pPr>
              <w:pStyle w:val="263"/>
              <w:keepNext w:val="0"/>
              <w:keepLines w:val="0"/>
              <w:pageBreakBefore w:val="0"/>
              <w:widowControl w:val="0"/>
              <w:kinsoku/>
              <w:wordWrap/>
              <w:overflowPunct/>
              <w:topLinePunct w:val="0"/>
              <w:bidi w:val="0"/>
              <w:spacing w:after="0"/>
              <w:jc w:val="center"/>
              <w:textAlignment w:val="auto"/>
              <w:rPr>
                <w:rFonts w:hint="eastAsia"/>
                <w:color w:val="auto"/>
                <w:sz w:val="30"/>
                <w:highlight w:val="none"/>
              </w:rPr>
            </w:pPr>
          </w:p>
        </w:tc>
        <w:tc>
          <w:tcPr>
            <w:tcW w:w="1513" w:type="dxa"/>
            <w:vAlign w:val="center"/>
          </w:tcPr>
          <w:p w14:paraId="5FB879FE">
            <w:pPr>
              <w:pStyle w:val="263"/>
              <w:keepNext w:val="0"/>
              <w:keepLines w:val="0"/>
              <w:pageBreakBefore w:val="0"/>
              <w:widowControl w:val="0"/>
              <w:tabs>
                <w:tab w:val="left" w:pos="235"/>
              </w:tabs>
              <w:kinsoku/>
              <w:wordWrap/>
              <w:overflowPunct/>
              <w:topLinePunct w:val="0"/>
              <w:bidi w:val="0"/>
              <w:spacing w:after="0"/>
              <w:ind w:left="1" w:leftChars="-43" w:hanging="91" w:hangingChars="38"/>
              <w:jc w:val="center"/>
              <w:textAlignment w:val="auto"/>
              <w:rPr>
                <w:rFonts w:hint="eastAsia"/>
                <w:color w:val="auto"/>
                <w:sz w:val="24"/>
                <w:highlight w:val="none"/>
                <w:lang w:eastAsia="zh-CN"/>
              </w:rPr>
            </w:pPr>
            <w:r>
              <w:rPr>
                <w:rFonts w:hint="eastAsia"/>
                <w:color w:val="auto"/>
                <w:sz w:val="24"/>
                <w:highlight w:val="none"/>
                <w:lang w:eastAsia="zh-CN"/>
              </w:rPr>
              <w:t>□小微企业</w:t>
            </w:r>
          </w:p>
          <w:p w14:paraId="432CEFAC">
            <w:pPr>
              <w:pStyle w:val="263"/>
              <w:keepNext w:val="0"/>
              <w:keepLines w:val="0"/>
              <w:pageBreakBefore w:val="0"/>
              <w:widowControl w:val="0"/>
              <w:tabs>
                <w:tab w:val="left" w:pos="235"/>
              </w:tabs>
              <w:kinsoku/>
              <w:wordWrap/>
              <w:overflowPunct/>
              <w:topLinePunct w:val="0"/>
              <w:bidi w:val="0"/>
              <w:spacing w:after="0"/>
              <w:ind w:left="1" w:leftChars="-43" w:hanging="91" w:hangingChars="38"/>
              <w:jc w:val="center"/>
              <w:textAlignment w:val="auto"/>
              <w:rPr>
                <w:rFonts w:hint="eastAsia"/>
                <w:color w:val="auto"/>
                <w:sz w:val="24"/>
                <w:highlight w:val="none"/>
                <w:lang w:eastAsia="zh-CN"/>
              </w:rPr>
            </w:pPr>
            <w:r>
              <w:rPr>
                <w:rFonts w:hint="eastAsia"/>
                <w:color w:val="auto"/>
                <w:sz w:val="24"/>
                <w:highlight w:val="none"/>
                <w:lang w:eastAsia="zh-CN"/>
              </w:rPr>
              <w:t>□其他类型</w:t>
            </w:r>
          </w:p>
        </w:tc>
        <w:tc>
          <w:tcPr>
            <w:tcW w:w="1125" w:type="dxa"/>
            <w:vAlign w:val="center"/>
          </w:tcPr>
          <w:p w14:paraId="2DF370A1">
            <w:pPr>
              <w:pStyle w:val="263"/>
              <w:keepNext w:val="0"/>
              <w:keepLines w:val="0"/>
              <w:pageBreakBefore w:val="0"/>
              <w:widowControl w:val="0"/>
              <w:kinsoku/>
              <w:wordWrap/>
              <w:overflowPunct/>
              <w:topLinePunct w:val="0"/>
              <w:bidi w:val="0"/>
              <w:spacing w:after="0"/>
              <w:jc w:val="center"/>
              <w:textAlignment w:val="auto"/>
              <w:rPr>
                <w:rFonts w:hint="eastAsia"/>
                <w:color w:val="auto"/>
                <w:sz w:val="30"/>
                <w:highlight w:val="none"/>
                <w:lang w:eastAsia="zh-CN"/>
              </w:rPr>
            </w:pPr>
          </w:p>
        </w:tc>
        <w:tc>
          <w:tcPr>
            <w:tcW w:w="1558" w:type="dxa"/>
            <w:vAlign w:val="center"/>
          </w:tcPr>
          <w:p w14:paraId="6F348D7A">
            <w:pPr>
              <w:pStyle w:val="263"/>
              <w:keepNext w:val="0"/>
              <w:keepLines w:val="0"/>
              <w:pageBreakBefore w:val="0"/>
              <w:widowControl w:val="0"/>
              <w:kinsoku/>
              <w:wordWrap/>
              <w:overflowPunct/>
              <w:topLinePunct w:val="0"/>
              <w:bidi w:val="0"/>
              <w:spacing w:after="0"/>
              <w:jc w:val="center"/>
              <w:textAlignment w:val="auto"/>
              <w:rPr>
                <w:rFonts w:hint="eastAsia"/>
                <w:color w:val="auto"/>
                <w:sz w:val="30"/>
                <w:highlight w:val="none"/>
                <w:lang w:eastAsia="zh-CN"/>
              </w:rPr>
            </w:pPr>
          </w:p>
        </w:tc>
        <w:tc>
          <w:tcPr>
            <w:tcW w:w="1498" w:type="dxa"/>
            <w:vAlign w:val="center"/>
          </w:tcPr>
          <w:p w14:paraId="4E247BFA">
            <w:pPr>
              <w:pStyle w:val="263"/>
              <w:keepNext w:val="0"/>
              <w:keepLines w:val="0"/>
              <w:pageBreakBefore w:val="0"/>
              <w:widowControl w:val="0"/>
              <w:kinsoku/>
              <w:wordWrap/>
              <w:overflowPunct/>
              <w:topLinePunct w:val="0"/>
              <w:bidi w:val="0"/>
              <w:spacing w:after="0"/>
              <w:jc w:val="center"/>
              <w:textAlignment w:val="auto"/>
              <w:rPr>
                <w:rFonts w:hint="eastAsia"/>
                <w:color w:val="auto"/>
                <w:sz w:val="30"/>
                <w:highlight w:val="none"/>
                <w:lang w:eastAsia="zh-CN"/>
              </w:rPr>
            </w:pPr>
          </w:p>
        </w:tc>
        <w:tc>
          <w:tcPr>
            <w:tcW w:w="1564" w:type="dxa"/>
            <w:vAlign w:val="center"/>
          </w:tcPr>
          <w:p w14:paraId="68B50CFF">
            <w:pPr>
              <w:pStyle w:val="263"/>
              <w:keepNext w:val="0"/>
              <w:keepLines w:val="0"/>
              <w:pageBreakBefore w:val="0"/>
              <w:widowControl w:val="0"/>
              <w:kinsoku/>
              <w:wordWrap/>
              <w:overflowPunct/>
              <w:topLinePunct w:val="0"/>
              <w:bidi w:val="0"/>
              <w:spacing w:after="0"/>
              <w:jc w:val="center"/>
              <w:textAlignment w:val="auto"/>
              <w:rPr>
                <w:rFonts w:hint="eastAsia"/>
                <w:color w:val="auto"/>
                <w:sz w:val="30"/>
                <w:highlight w:val="none"/>
                <w:lang w:eastAsia="zh-CN"/>
              </w:rPr>
            </w:pPr>
          </w:p>
        </w:tc>
      </w:tr>
      <w:tr w14:paraId="1122A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65BDAE1A">
            <w:pPr>
              <w:pStyle w:val="263"/>
              <w:keepNext w:val="0"/>
              <w:keepLines w:val="0"/>
              <w:pageBreakBefore w:val="0"/>
              <w:widowControl w:val="0"/>
              <w:kinsoku/>
              <w:wordWrap/>
              <w:overflowPunct/>
              <w:topLinePunct w:val="0"/>
              <w:bidi w:val="0"/>
              <w:spacing w:after="0"/>
              <w:jc w:val="center"/>
              <w:textAlignment w:val="auto"/>
              <w:rPr>
                <w:rFonts w:hint="eastAsia"/>
                <w:color w:val="auto"/>
                <w:sz w:val="24"/>
                <w:highlight w:val="none"/>
                <w:lang w:eastAsia="zh-CN"/>
              </w:rPr>
            </w:pPr>
            <w:r>
              <w:rPr>
                <w:rFonts w:hint="eastAsia"/>
                <w:color w:val="auto"/>
                <w:sz w:val="24"/>
                <w:highlight w:val="none"/>
                <w:lang w:eastAsia="zh-CN"/>
              </w:rPr>
              <w:t>…</w:t>
            </w:r>
          </w:p>
        </w:tc>
        <w:tc>
          <w:tcPr>
            <w:tcW w:w="1287" w:type="dxa"/>
            <w:vAlign w:val="center"/>
          </w:tcPr>
          <w:p w14:paraId="38CD05FE">
            <w:pPr>
              <w:pStyle w:val="263"/>
              <w:keepNext w:val="0"/>
              <w:keepLines w:val="0"/>
              <w:pageBreakBefore w:val="0"/>
              <w:widowControl w:val="0"/>
              <w:kinsoku/>
              <w:wordWrap/>
              <w:overflowPunct/>
              <w:topLinePunct w:val="0"/>
              <w:bidi w:val="0"/>
              <w:spacing w:after="0"/>
              <w:jc w:val="center"/>
              <w:textAlignment w:val="auto"/>
              <w:rPr>
                <w:rFonts w:hint="eastAsia"/>
                <w:color w:val="auto"/>
                <w:sz w:val="30"/>
                <w:highlight w:val="none"/>
              </w:rPr>
            </w:pPr>
          </w:p>
        </w:tc>
        <w:tc>
          <w:tcPr>
            <w:tcW w:w="1513" w:type="dxa"/>
            <w:vAlign w:val="center"/>
          </w:tcPr>
          <w:p w14:paraId="2C6BC65A">
            <w:pPr>
              <w:pStyle w:val="263"/>
              <w:keepNext w:val="0"/>
              <w:keepLines w:val="0"/>
              <w:pageBreakBefore w:val="0"/>
              <w:widowControl w:val="0"/>
              <w:tabs>
                <w:tab w:val="left" w:pos="235"/>
              </w:tabs>
              <w:kinsoku/>
              <w:wordWrap/>
              <w:overflowPunct/>
              <w:topLinePunct w:val="0"/>
              <w:bidi w:val="0"/>
              <w:spacing w:after="0"/>
              <w:jc w:val="center"/>
              <w:textAlignment w:val="auto"/>
              <w:rPr>
                <w:rFonts w:hint="eastAsia"/>
                <w:color w:val="auto"/>
                <w:sz w:val="24"/>
                <w:highlight w:val="none"/>
              </w:rPr>
            </w:pPr>
          </w:p>
        </w:tc>
        <w:tc>
          <w:tcPr>
            <w:tcW w:w="1125" w:type="dxa"/>
            <w:vAlign w:val="center"/>
          </w:tcPr>
          <w:p w14:paraId="3DA545CF">
            <w:pPr>
              <w:pStyle w:val="263"/>
              <w:keepNext w:val="0"/>
              <w:keepLines w:val="0"/>
              <w:pageBreakBefore w:val="0"/>
              <w:widowControl w:val="0"/>
              <w:kinsoku/>
              <w:wordWrap/>
              <w:overflowPunct/>
              <w:topLinePunct w:val="0"/>
              <w:bidi w:val="0"/>
              <w:spacing w:after="0"/>
              <w:jc w:val="center"/>
              <w:textAlignment w:val="auto"/>
              <w:rPr>
                <w:rFonts w:hint="eastAsia"/>
                <w:color w:val="auto"/>
                <w:sz w:val="30"/>
                <w:highlight w:val="none"/>
              </w:rPr>
            </w:pPr>
          </w:p>
        </w:tc>
        <w:tc>
          <w:tcPr>
            <w:tcW w:w="1558" w:type="dxa"/>
            <w:vAlign w:val="center"/>
          </w:tcPr>
          <w:p w14:paraId="0873EB3F">
            <w:pPr>
              <w:pStyle w:val="263"/>
              <w:keepNext w:val="0"/>
              <w:keepLines w:val="0"/>
              <w:pageBreakBefore w:val="0"/>
              <w:widowControl w:val="0"/>
              <w:kinsoku/>
              <w:wordWrap/>
              <w:overflowPunct/>
              <w:topLinePunct w:val="0"/>
              <w:bidi w:val="0"/>
              <w:spacing w:after="0"/>
              <w:jc w:val="center"/>
              <w:textAlignment w:val="auto"/>
              <w:rPr>
                <w:rFonts w:hint="eastAsia"/>
                <w:color w:val="auto"/>
                <w:sz w:val="30"/>
                <w:highlight w:val="none"/>
              </w:rPr>
            </w:pPr>
          </w:p>
        </w:tc>
        <w:tc>
          <w:tcPr>
            <w:tcW w:w="1498" w:type="dxa"/>
            <w:vAlign w:val="center"/>
          </w:tcPr>
          <w:p w14:paraId="62148994">
            <w:pPr>
              <w:pStyle w:val="263"/>
              <w:keepNext w:val="0"/>
              <w:keepLines w:val="0"/>
              <w:pageBreakBefore w:val="0"/>
              <w:widowControl w:val="0"/>
              <w:kinsoku/>
              <w:wordWrap/>
              <w:overflowPunct/>
              <w:topLinePunct w:val="0"/>
              <w:bidi w:val="0"/>
              <w:spacing w:after="0"/>
              <w:jc w:val="center"/>
              <w:textAlignment w:val="auto"/>
              <w:rPr>
                <w:rFonts w:hint="eastAsia"/>
                <w:color w:val="auto"/>
                <w:sz w:val="30"/>
                <w:highlight w:val="none"/>
              </w:rPr>
            </w:pPr>
          </w:p>
        </w:tc>
        <w:tc>
          <w:tcPr>
            <w:tcW w:w="1564" w:type="dxa"/>
            <w:vAlign w:val="center"/>
          </w:tcPr>
          <w:p w14:paraId="48EEEDB9">
            <w:pPr>
              <w:pStyle w:val="263"/>
              <w:keepNext w:val="0"/>
              <w:keepLines w:val="0"/>
              <w:pageBreakBefore w:val="0"/>
              <w:widowControl w:val="0"/>
              <w:kinsoku/>
              <w:wordWrap/>
              <w:overflowPunct/>
              <w:topLinePunct w:val="0"/>
              <w:bidi w:val="0"/>
              <w:spacing w:after="0"/>
              <w:jc w:val="center"/>
              <w:textAlignment w:val="auto"/>
              <w:rPr>
                <w:rFonts w:hint="eastAsia"/>
                <w:color w:val="auto"/>
                <w:sz w:val="30"/>
                <w:highlight w:val="none"/>
              </w:rPr>
            </w:pPr>
          </w:p>
        </w:tc>
      </w:tr>
      <w:tr w14:paraId="2DA07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7A99753E">
            <w:pPr>
              <w:pStyle w:val="263"/>
              <w:keepNext w:val="0"/>
              <w:keepLines w:val="0"/>
              <w:pageBreakBefore w:val="0"/>
              <w:widowControl w:val="0"/>
              <w:kinsoku/>
              <w:wordWrap/>
              <w:overflowPunct/>
              <w:topLinePunct w:val="0"/>
              <w:bidi w:val="0"/>
              <w:spacing w:after="0"/>
              <w:ind w:right="57" w:rightChars="27"/>
              <w:jc w:val="right"/>
              <w:textAlignment w:val="auto"/>
              <w:rPr>
                <w:rFonts w:hint="eastAsia"/>
                <w:color w:val="auto"/>
                <w:sz w:val="24"/>
                <w:highlight w:val="none"/>
                <w:lang w:eastAsia="zh-CN"/>
              </w:rPr>
            </w:pPr>
            <w:r>
              <w:rPr>
                <w:rFonts w:hint="eastAsia"/>
                <w:color w:val="auto"/>
                <w:sz w:val="24"/>
                <w:highlight w:val="none"/>
                <w:lang w:eastAsia="zh-CN"/>
              </w:rPr>
              <w:t>合计：</w:t>
            </w:r>
          </w:p>
        </w:tc>
        <w:tc>
          <w:tcPr>
            <w:tcW w:w="1498" w:type="dxa"/>
            <w:vAlign w:val="center"/>
          </w:tcPr>
          <w:p w14:paraId="6C33CC3F">
            <w:pPr>
              <w:pStyle w:val="263"/>
              <w:keepNext w:val="0"/>
              <w:keepLines w:val="0"/>
              <w:pageBreakBefore w:val="0"/>
              <w:widowControl w:val="0"/>
              <w:kinsoku/>
              <w:wordWrap/>
              <w:overflowPunct/>
              <w:topLinePunct w:val="0"/>
              <w:bidi w:val="0"/>
              <w:spacing w:after="0"/>
              <w:jc w:val="center"/>
              <w:textAlignment w:val="auto"/>
              <w:rPr>
                <w:rFonts w:hint="eastAsia"/>
                <w:color w:val="auto"/>
                <w:sz w:val="30"/>
                <w:highlight w:val="none"/>
              </w:rPr>
            </w:pPr>
          </w:p>
        </w:tc>
        <w:tc>
          <w:tcPr>
            <w:tcW w:w="1564" w:type="dxa"/>
            <w:vAlign w:val="center"/>
          </w:tcPr>
          <w:p w14:paraId="1A2F8F7D">
            <w:pPr>
              <w:pStyle w:val="263"/>
              <w:keepNext w:val="0"/>
              <w:keepLines w:val="0"/>
              <w:pageBreakBefore w:val="0"/>
              <w:widowControl w:val="0"/>
              <w:kinsoku/>
              <w:wordWrap/>
              <w:overflowPunct/>
              <w:topLinePunct w:val="0"/>
              <w:bidi w:val="0"/>
              <w:spacing w:after="0"/>
              <w:jc w:val="center"/>
              <w:textAlignment w:val="auto"/>
              <w:rPr>
                <w:rFonts w:hint="eastAsia"/>
                <w:color w:val="auto"/>
                <w:sz w:val="30"/>
                <w:highlight w:val="none"/>
              </w:rPr>
            </w:pPr>
          </w:p>
        </w:tc>
      </w:tr>
    </w:tbl>
    <w:p w14:paraId="004D6B4F">
      <w:pPr>
        <w:keepNext w:val="0"/>
        <w:keepLines w:val="0"/>
        <w:pageBreakBefore w:val="0"/>
        <w:widowControl w:val="0"/>
        <w:kinsoku/>
        <w:wordWrap/>
        <w:overflowPunct/>
        <w:topLinePunct w:val="0"/>
        <w:bidi w:val="0"/>
        <w:adjustRightInd w:val="0"/>
        <w:snapToGrid w:val="0"/>
        <w:spacing w:after="0" w:line="360" w:lineRule="auto"/>
        <w:ind w:firstLine="480" w:firstLineChars="200"/>
        <w:jc w:val="left"/>
        <w:textAlignment w:val="auto"/>
        <w:rPr>
          <w:rFonts w:hint="eastAsia" w:ascii="宋体" w:hAnsi="宋体" w:cs="宋体"/>
          <w:color w:val="auto"/>
          <w:sz w:val="24"/>
          <w:highlight w:val="none"/>
        </w:rPr>
      </w:pPr>
    </w:p>
    <w:p w14:paraId="351A656E">
      <w:pPr>
        <w:keepNext w:val="0"/>
        <w:keepLines w:val="0"/>
        <w:pageBreakBefore w:val="0"/>
        <w:widowControl w:val="0"/>
        <w:kinsoku/>
        <w:wordWrap/>
        <w:overflowPunct/>
        <w:topLinePunct w:val="0"/>
        <w:bidi w:val="0"/>
        <w:adjustRightInd w:val="0"/>
        <w:snapToGrid w:val="0"/>
        <w:spacing w:after="0" w:line="360" w:lineRule="auto"/>
        <w:jc w:val="left"/>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注： </w:t>
      </w:r>
    </w:p>
    <w:p w14:paraId="50B1FB7D">
      <w:pPr>
        <w:keepNext w:val="0"/>
        <w:keepLines w:val="0"/>
        <w:pageBreakBefore w:val="0"/>
        <w:widowControl w:val="0"/>
        <w:kinsoku/>
        <w:wordWrap/>
        <w:overflowPunct/>
        <w:topLinePunct w:val="0"/>
        <w:bidi w:val="0"/>
        <w:adjustRightInd w:val="0"/>
        <w:snapToGrid w:val="0"/>
        <w:spacing w:after="0" w:line="360" w:lineRule="auto"/>
        <w:jc w:val="left"/>
        <w:textAlignment w:val="auto"/>
        <w:rPr>
          <w:rFonts w:hint="eastAsia" w:ascii="宋体" w:hAnsi="宋体" w:cs="宋体"/>
          <w:color w:val="auto"/>
          <w:sz w:val="24"/>
          <w:highlight w:val="none"/>
        </w:rPr>
      </w:pPr>
      <w:r>
        <w:rPr>
          <w:rFonts w:hint="eastAsia" w:ascii="宋体" w:hAnsi="宋体" w:cs="宋体"/>
          <w:color w:val="auto"/>
          <w:sz w:val="24"/>
          <w:highlight w:val="none"/>
        </w:rPr>
        <w:t>1.本表仅在投标人非因“为落实政府采购政策”而分包时填写；投标人“为落实政府采购政策”而向中小企业分包时请按照《</w:t>
      </w:r>
      <w:r>
        <w:rPr>
          <w:rFonts w:hint="eastAsia" w:ascii="宋体" w:hAnsi="宋体" w:cs="宋体"/>
          <w:color w:val="auto"/>
          <w:sz w:val="24"/>
          <w:szCs w:val="20"/>
          <w:highlight w:val="none"/>
        </w:rPr>
        <w:t>拟分包情况说明及分包意向协议</w:t>
      </w:r>
      <w:r>
        <w:rPr>
          <w:rFonts w:hint="eastAsia" w:ascii="宋体" w:hAnsi="宋体" w:cs="宋体"/>
          <w:color w:val="auto"/>
          <w:sz w:val="24"/>
          <w:highlight w:val="none"/>
        </w:rPr>
        <w:t>》（类型一）要求填写。</w:t>
      </w:r>
    </w:p>
    <w:p w14:paraId="5709BA0F">
      <w:pPr>
        <w:keepNext w:val="0"/>
        <w:keepLines w:val="0"/>
        <w:pageBreakBefore w:val="0"/>
        <w:widowControl w:val="0"/>
        <w:kinsoku/>
        <w:wordWrap/>
        <w:overflowPunct/>
        <w:topLinePunct w:val="0"/>
        <w:bidi w:val="0"/>
        <w:adjustRightInd w:val="0"/>
        <w:snapToGrid w:val="0"/>
        <w:spacing w:after="0" w:line="360" w:lineRule="auto"/>
        <w:jc w:val="left"/>
        <w:textAlignment w:val="auto"/>
        <w:rPr>
          <w:rFonts w:hint="eastAsia" w:ascii="宋体" w:hAnsi="宋体" w:cs="宋体"/>
          <w:color w:val="auto"/>
          <w:sz w:val="24"/>
          <w:highlight w:val="none"/>
        </w:rPr>
      </w:pPr>
      <w:r>
        <w:rPr>
          <w:rFonts w:hint="eastAsia" w:ascii="宋体" w:hAnsi="宋体" w:cs="宋体"/>
          <w:color w:val="auto"/>
          <w:sz w:val="24"/>
          <w:highlight w:val="none"/>
        </w:rPr>
        <w:t>2.如本招标文件《投标人须知资料表》载明本项目分包承担主体应具备的相应资质条件，则投标人须在本表中列明分包承担主体的资质等级，并后附资质证书复印件，否则</w:t>
      </w:r>
      <w:r>
        <w:rPr>
          <w:rFonts w:hint="eastAsia" w:ascii="宋体" w:hAnsi="宋体" w:cs="宋体"/>
          <w:b/>
          <w:color w:val="auto"/>
          <w:sz w:val="24"/>
          <w:highlight w:val="none"/>
        </w:rPr>
        <w:t>投标无效</w:t>
      </w:r>
      <w:r>
        <w:rPr>
          <w:rFonts w:hint="eastAsia" w:ascii="宋体" w:hAnsi="宋体" w:cs="宋体"/>
          <w:color w:val="auto"/>
          <w:sz w:val="24"/>
          <w:highlight w:val="none"/>
        </w:rPr>
        <w:t>。</w:t>
      </w:r>
    </w:p>
    <w:p w14:paraId="2B33AE83">
      <w:pPr>
        <w:adjustRightInd w:val="0"/>
        <w:snapToGrid w:val="0"/>
        <w:spacing w:line="360" w:lineRule="auto"/>
        <w:jc w:val="left"/>
        <w:rPr>
          <w:rFonts w:hint="eastAsia" w:ascii="宋体" w:hAnsi="宋体" w:cs="宋体"/>
          <w:color w:val="auto"/>
          <w:sz w:val="24"/>
          <w:highlight w:val="none"/>
        </w:rPr>
      </w:pPr>
    </w:p>
    <w:p w14:paraId="2AE57547">
      <w:pPr>
        <w:adjustRightInd w:val="0"/>
        <w:snapToGrid w:val="0"/>
        <w:spacing w:line="360" w:lineRule="auto"/>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投标人名称（盖章）：______</w:t>
      </w:r>
    </w:p>
    <w:p w14:paraId="3FD0DCC4">
      <w:pPr>
        <w:adjustRightInd w:val="0"/>
        <w:snapToGrid w:val="0"/>
        <w:spacing w:line="360" w:lineRule="auto"/>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日期：_____年______月______日</w:t>
      </w:r>
    </w:p>
    <w:p w14:paraId="2D751D7E">
      <w:pPr>
        <w:spacing w:line="360" w:lineRule="auto"/>
        <w:outlineLvl w:val="2"/>
        <w:rPr>
          <w:rFonts w:hint="eastAsia" w:ascii="宋体" w:hAnsi="宋体" w:cs="宋体"/>
          <w:color w:val="auto"/>
          <w:sz w:val="24"/>
          <w:szCs w:val="20"/>
          <w:highlight w:val="none"/>
        </w:rPr>
      </w:pPr>
      <w:r>
        <w:rPr>
          <w:rFonts w:hint="eastAsia" w:ascii="宋体" w:hAnsi="宋体" w:cs="宋体"/>
          <w:color w:val="auto"/>
          <w:sz w:val="24"/>
          <w:szCs w:val="20"/>
          <w:highlight w:val="none"/>
        </w:rPr>
        <w:br w:type="page"/>
      </w:r>
      <w:r>
        <w:rPr>
          <w:rFonts w:hint="eastAsia" w:ascii="宋体" w:hAnsi="宋体" w:cs="宋体"/>
          <w:color w:val="auto"/>
          <w:sz w:val="24"/>
          <w:szCs w:val="20"/>
          <w:highlight w:val="none"/>
        </w:rPr>
        <w:t>9  招标文件要求提供或投标人认为应附的其他材料</w:t>
      </w:r>
    </w:p>
    <w:p w14:paraId="71AB1C2B">
      <w:pPr>
        <w:tabs>
          <w:tab w:val="left" w:pos="5580"/>
        </w:tabs>
        <w:spacing w:line="360" w:lineRule="auto"/>
        <w:rPr>
          <w:rFonts w:hint="eastAsia" w:ascii="宋体" w:hAnsi="宋体" w:cs="宋体"/>
          <w:color w:val="auto"/>
          <w:sz w:val="24"/>
          <w:highlight w:val="none"/>
        </w:rPr>
      </w:pPr>
      <w:r>
        <w:rPr>
          <w:rFonts w:hint="eastAsia" w:ascii="宋体" w:hAnsi="宋体" w:cs="宋体"/>
          <w:color w:val="auto"/>
          <w:sz w:val="24"/>
          <w:highlight w:val="none"/>
        </w:rPr>
        <w:t>9-1供应商信息采集表</w:t>
      </w:r>
    </w:p>
    <w:p w14:paraId="4C648745">
      <w:pPr>
        <w:tabs>
          <w:tab w:val="left" w:pos="5580"/>
        </w:tabs>
        <w:spacing w:line="360" w:lineRule="auto"/>
        <w:rPr>
          <w:rFonts w:hint="eastAsia" w:ascii="宋体" w:hAnsi="宋体" w:cs="宋体"/>
          <w:color w:val="auto"/>
          <w:sz w:val="24"/>
          <w:highlight w:val="none"/>
        </w:rPr>
      </w:pPr>
      <w:r>
        <w:rPr>
          <w:rFonts w:hint="eastAsia" w:ascii="宋体" w:hAnsi="宋体" w:cs="宋体"/>
          <w:color w:val="auto"/>
          <w:sz w:val="24"/>
          <w:highlight w:val="none"/>
        </w:rPr>
        <w:t>9-2类似（同类）业绩/经验清单</w:t>
      </w:r>
    </w:p>
    <w:p w14:paraId="47A64BCA">
      <w:pPr>
        <w:tabs>
          <w:tab w:val="left" w:pos="5580"/>
        </w:tabs>
        <w:spacing w:line="360" w:lineRule="auto"/>
        <w:rPr>
          <w:rFonts w:hint="eastAsia" w:ascii="宋体" w:hAnsi="宋体" w:cs="宋体"/>
          <w:color w:val="auto"/>
          <w:sz w:val="24"/>
          <w:highlight w:val="none"/>
        </w:rPr>
      </w:pPr>
      <w:r>
        <w:rPr>
          <w:rFonts w:hint="eastAsia" w:ascii="宋体" w:hAnsi="宋体" w:cs="宋体"/>
          <w:color w:val="auto"/>
          <w:sz w:val="24"/>
          <w:highlight w:val="none"/>
        </w:rPr>
        <w:t>9-3拟派项目团队成员一览表</w:t>
      </w:r>
    </w:p>
    <w:p w14:paraId="51B66989">
      <w:pPr>
        <w:tabs>
          <w:tab w:val="left" w:pos="5580"/>
        </w:tabs>
        <w:spacing w:line="360" w:lineRule="auto"/>
        <w:rPr>
          <w:rFonts w:hint="eastAsia" w:ascii="宋体" w:hAnsi="宋体" w:cs="宋体"/>
          <w:color w:val="auto"/>
          <w:sz w:val="24"/>
          <w:highlight w:val="none"/>
        </w:rPr>
      </w:pPr>
      <w:r>
        <w:rPr>
          <w:rFonts w:hint="eastAsia" w:ascii="宋体" w:hAnsi="宋体" w:cs="宋体"/>
          <w:color w:val="auto"/>
          <w:sz w:val="24"/>
          <w:highlight w:val="none"/>
        </w:rPr>
        <w:t>9-4拟派团队成员资历一览表</w:t>
      </w:r>
    </w:p>
    <w:p w14:paraId="5DFB8ED9">
      <w:pPr>
        <w:tabs>
          <w:tab w:val="left" w:pos="5580"/>
        </w:tabs>
        <w:spacing w:line="360" w:lineRule="auto"/>
        <w:rPr>
          <w:rFonts w:hint="eastAsia" w:ascii="宋体" w:hAnsi="宋体" w:cs="宋体"/>
          <w:color w:val="auto"/>
          <w:sz w:val="24"/>
          <w:highlight w:val="none"/>
        </w:rPr>
      </w:pPr>
      <w:r>
        <w:rPr>
          <w:rFonts w:hint="eastAsia" w:ascii="宋体" w:hAnsi="宋体" w:cs="宋体"/>
          <w:color w:val="auto"/>
          <w:sz w:val="24"/>
          <w:highlight w:val="none"/>
        </w:rPr>
        <w:t>9-5技术方案</w:t>
      </w:r>
    </w:p>
    <w:p w14:paraId="16A4121F">
      <w:pPr>
        <w:tabs>
          <w:tab w:val="left" w:pos="5580"/>
        </w:tabs>
        <w:spacing w:line="360" w:lineRule="auto"/>
        <w:rPr>
          <w:rFonts w:hint="eastAsia" w:ascii="宋体" w:hAnsi="宋体" w:cs="宋体"/>
          <w:color w:val="auto"/>
          <w:sz w:val="24"/>
          <w:highlight w:val="none"/>
        </w:rPr>
      </w:pPr>
      <w:r>
        <w:rPr>
          <w:rFonts w:hint="eastAsia" w:ascii="宋体" w:hAnsi="宋体" w:cs="宋体"/>
          <w:color w:val="auto"/>
          <w:sz w:val="24"/>
          <w:highlight w:val="none"/>
        </w:rPr>
        <w:t>9-6招标文件要求提供或投标人认为应附的其他材料</w:t>
      </w:r>
    </w:p>
    <w:p w14:paraId="2F57E955">
      <w:pPr>
        <w:spacing w:line="360" w:lineRule="auto"/>
        <w:rPr>
          <w:rFonts w:hint="eastAsia" w:ascii="宋体" w:hAnsi="宋体" w:cs="宋体"/>
          <w:color w:val="auto"/>
          <w:highlight w:val="none"/>
        </w:rPr>
      </w:pPr>
    </w:p>
    <w:p w14:paraId="5A9F32F3">
      <w:pPr>
        <w:pStyle w:val="18"/>
        <w:spacing w:line="360" w:lineRule="auto"/>
        <w:rPr>
          <w:rFonts w:hint="eastAsia" w:cs="宋体"/>
          <w:color w:val="auto"/>
          <w:highlight w:val="none"/>
        </w:rPr>
      </w:pPr>
      <w:r>
        <w:rPr>
          <w:rFonts w:hint="eastAsia" w:cs="宋体"/>
          <w:color w:val="auto"/>
          <w:highlight w:val="none"/>
        </w:rPr>
        <w:t>格式如下：</w:t>
      </w:r>
    </w:p>
    <w:p w14:paraId="287282A6">
      <w:pPr>
        <w:rPr>
          <w:rFonts w:hint="eastAsia" w:ascii="宋体" w:hAnsi="宋体" w:cs="宋体"/>
          <w:color w:val="auto"/>
          <w:highlight w:val="none"/>
        </w:rPr>
      </w:pPr>
      <w:r>
        <w:rPr>
          <w:rFonts w:hint="eastAsia" w:ascii="宋体" w:hAnsi="宋体" w:cs="宋体"/>
          <w:color w:val="auto"/>
          <w:highlight w:val="none"/>
        </w:rPr>
        <w:br w:type="page"/>
      </w:r>
    </w:p>
    <w:p w14:paraId="4C0AE322">
      <w:pPr>
        <w:snapToGrid w:val="0"/>
        <w:spacing w:after="120" w:afterLines="50" w:line="360" w:lineRule="auto"/>
        <w:outlineLvl w:val="2"/>
        <w:rPr>
          <w:rFonts w:hint="eastAsia" w:ascii="宋体" w:hAnsi="宋体" w:cs="宋体"/>
          <w:b/>
          <w:color w:val="auto"/>
          <w:szCs w:val="21"/>
          <w:highlight w:val="none"/>
        </w:rPr>
      </w:pPr>
      <w:r>
        <w:rPr>
          <w:rFonts w:hint="eastAsia" w:ascii="宋体" w:hAnsi="宋体" w:cs="宋体"/>
          <w:b/>
          <w:color w:val="auto"/>
          <w:szCs w:val="21"/>
          <w:highlight w:val="none"/>
        </w:rPr>
        <w:t>9-1供应商信息采集表</w:t>
      </w:r>
    </w:p>
    <w:tbl>
      <w:tblPr>
        <w:tblStyle w:val="26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96"/>
        <w:gridCol w:w="3097"/>
        <w:gridCol w:w="3095"/>
      </w:tblGrid>
      <w:tr w14:paraId="4C018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3096" w:type="dxa"/>
          </w:tcPr>
          <w:p w14:paraId="58B87E78">
            <w:pPr>
              <w:pStyle w:val="263"/>
              <w:spacing w:before="7"/>
              <w:ind w:left="108"/>
              <w:jc w:val="center"/>
              <w:rPr>
                <w:rFonts w:hint="eastAsia"/>
                <w:color w:val="auto"/>
                <w:spacing w:val="4"/>
                <w:sz w:val="24"/>
                <w:szCs w:val="24"/>
                <w:highlight w:val="none"/>
              </w:rPr>
            </w:pPr>
            <w:r>
              <w:rPr>
                <w:rFonts w:hint="eastAsia"/>
                <w:color w:val="auto"/>
                <w:spacing w:val="4"/>
                <w:sz w:val="24"/>
                <w:szCs w:val="24"/>
                <w:highlight w:val="none"/>
              </w:rPr>
              <w:t>供应商名称</w:t>
            </w:r>
          </w:p>
        </w:tc>
        <w:tc>
          <w:tcPr>
            <w:tcW w:w="3097" w:type="dxa"/>
          </w:tcPr>
          <w:p w14:paraId="38D8A9BF">
            <w:pPr>
              <w:pStyle w:val="263"/>
              <w:spacing w:before="7"/>
              <w:ind w:left="108"/>
              <w:jc w:val="center"/>
              <w:rPr>
                <w:rFonts w:hint="eastAsia"/>
                <w:color w:val="auto"/>
                <w:spacing w:val="4"/>
                <w:sz w:val="24"/>
                <w:szCs w:val="24"/>
                <w:highlight w:val="none"/>
              </w:rPr>
            </w:pPr>
            <w:r>
              <w:rPr>
                <w:rFonts w:hint="eastAsia"/>
                <w:color w:val="auto"/>
                <w:spacing w:val="4"/>
                <w:sz w:val="24"/>
                <w:szCs w:val="24"/>
                <w:highlight w:val="none"/>
              </w:rPr>
              <w:t>供应商所属性别</w:t>
            </w:r>
          </w:p>
        </w:tc>
        <w:tc>
          <w:tcPr>
            <w:tcW w:w="3095" w:type="dxa"/>
          </w:tcPr>
          <w:p w14:paraId="6AF4CA4B">
            <w:pPr>
              <w:pStyle w:val="263"/>
              <w:spacing w:before="7"/>
              <w:ind w:left="107"/>
              <w:jc w:val="center"/>
              <w:rPr>
                <w:rFonts w:hint="eastAsia"/>
                <w:color w:val="auto"/>
                <w:spacing w:val="4"/>
                <w:sz w:val="24"/>
                <w:szCs w:val="24"/>
                <w:highlight w:val="none"/>
              </w:rPr>
            </w:pPr>
            <w:r>
              <w:rPr>
                <w:rFonts w:hint="eastAsia"/>
                <w:color w:val="auto"/>
                <w:spacing w:val="4"/>
                <w:sz w:val="24"/>
                <w:szCs w:val="24"/>
                <w:highlight w:val="none"/>
              </w:rPr>
              <w:t>外商投资类型</w:t>
            </w:r>
          </w:p>
        </w:tc>
      </w:tr>
      <w:tr w14:paraId="40708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3096" w:type="dxa"/>
          </w:tcPr>
          <w:p w14:paraId="7243D37E">
            <w:pPr>
              <w:pStyle w:val="263"/>
              <w:rPr>
                <w:rFonts w:hint="eastAsia"/>
                <w:color w:val="auto"/>
                <w:spacing w:val="4"/>
                <w:sz w:val="24"/>
                <w:szCs w:val="24"/>
                <w:highlight w:val="none"/>
              </w:rPr>
            </w:pPr>
          </w:p>
        </w:tc>
        <w:tc>
          <w:tcPr>
            <w:tcW w:w="3097" w:type="dxa"/>
          </w:tcPr>
          <w:p w14:paraId="2F158CCC">
            <w:pPr>
              <w:pStyle w:val="263"/>
              <w:rPr>
                <w:rFonts w:hint="eastAsia"/>
                <w:color w:val="auto"/>
                <w:spacing w:val="4"/>
                <w:sz w:val="24"/>
                <w:szCs w:val="24"/>
                <w:highlight w:val="none"/>
              </w:rPr>
            </w:pPr>
          </w:p>
        </w:tc>
        <w:tc>
          <w:tcPr>
            <w:tcW w:w="3095" w:type="dxa"/>
          </w:tcPr>
          <w:p w14:paraId="68C74A0B">
            <w:pPr>
              <w:pStyle w:val="263"/>
              <w:rPr>
                <w:rFonts w:hint="eastAsia"/>
                <w:color w:val="auto"/>
                <w:spacing w:val="4"/>
                <w:sz w:val="24"/>
                <w:szCs w:val="24"/>
                <w:highlight w:val="none"/>
              </w:rPr>
            </w:pPr>
          </w:p>
        </w:tc>
      </w:tr>
      <w:tr w14:paraId="3C095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3096" w:type="dxa"/>
          </w:tcPr>
          <w:p w14:paraId="376B069B">
            <w:pPr>
              <w:pStyle w:val="263"/>
              <w:rPr>
                <w:rFonts w:hint="eastAsia"/>
                <w:color w:val="auto"/>
                <w:spacing w:val="4"/>
                <w:sz w:val="24"/>
                <w:szCs w:val="24"/>
                <w:highlight w:val="none"/>
              </w:rPr>
            </w:pPr>
          </w:p>
        </w:tc>
        <w:tc>
          <w:tcPr>
            <w:tcW w:w="3097" w:type="dxa"/>
          </w:tcPr>
          <w:p w14:paraId="1FE94107">
            <w:pPr>
              <w:pStyle w:val="263"/>
              <w:rPr>
                <w:rFonts w:hint="eastAsia"/>
                <w:color w:val="auto"/>
                <w:spacing w:val="4"/>
                <w:sz w:val="24"/>
                <w:szCs w:val="24"/>
                <w:highlight w:val="none"/>
              </w:rPr>
            </w:pPr>
          </w:p>
        </w:tc>
        <w:tc>
          <w:tcPr>
            <w:tcW w:w="3095" w:type="dxa"/>
          </w:tcPr>
          <w:p w14:paraId="52705F6A">
            <w:pPr>
              <w:pStyle w:val="263"/>
              <w:rPr>
                <w:rFonts w:hint="eastAsia"/>
                <w:color w:val="auto"/>
                <w:spacing w:val="4"/>
                <w:sz w:val="24"/>
                <w:szCs w:val="24"/>
                <w:highlight w:val="none"/>
              </w:rPr>
            </w:pPr>
          </w:p>
        </w:tc>
      </w:tr>
      <w:tr w14:paraId="3EE01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jc w:val="center"/>
        </w:trPr>
        <w:tc>
          <w:tcPr>
            <w:tcW w:w="3096" w:type="dxa"/>
          </w:tcPr>
          <w:p w14:paraId="4D42834D">
            <w:pPr>
              <w:pStyle w:val="263"/>
              <w:rPr>
                <w:rFonts w:hint="eastAsia"/>
                <w:color w:val="auto"/>
                <w:spacing w:val="4"/>
                <w:sz w:val="24"/>
                <w:szCs w:val="24"/>
                <w:highlight w:val="none"/>
              </w:rPr>
            </w:pPr>
          </w:p>
        </w:tc>
        <w:tc>
          <w:tcPr>
            <w:tcW w:w="3097" w:type="dxa"/>
          </w:tcPr>
          <w:p w14:paraId="0BB3FB31">
            <w:pPr>
              <w:pStyle w:val="263"/>
              <w:rPr>
                <w:rFonts w:hint="eastAsia"/>
                <w:color w:val="auto"/>
                <w:spacing w:val="4"/>
                <w:sz w:val="24"/>
                <w:szCs w:val="24"/>
                <w:highlight w:val="none"/>
              </w:rPr>
            </w:pPr>
          </w:p>
        </w:tc>
        <w:tc>
          <w:tcPr>
            <w:tcW w:w="3095" w:type="dxa"/>
          </w:tcPr>
          <w:p w14:paraId="12B82E97">
            <w:pPr>
              <w:pStyle w:val="263"/>
              <w:rPr>
                <w:rFonts w:hint="eastAsia"/>
                <w:color w:val="auto"/>
                <w:spacing w:val="4"/>
                <w:sz w:val="24"/>
                <w:szCs w:val="24"/>
                <w:highlight w:val="none"/>
              </w:rPr>
            </w:pPr>
          </w:p>
        </w:tc>
      </w:tr>
      <w:tr w14:paraId="01A74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3096" w:type="dxa"/>
          </w:tcPr>
          <w:p w14:paraId="369132AD">
            <w:pPr>
              <w:pStyle w:val="263"/>
              <w:rPr>
                <w:rFonts w:hint="eastAsia"/>
                <w:color w:val="auto"/>
                <w:spacing w:val="4"/>
                <w:sz w:val="24"/>
                <w:szCs w:val="24"/>
                <w:highlight w:val="none"/>
              </w:rPr>
            </w:pPr>
          </w:p>
        </w:tc>
        <w:tc>
          <w:tcPr>
            <w:tcW w:w="3097" w:type="dxa"/>
          </w:tcPr>
          <w:p w14:paraId="7B51F75A">
            <w:pPr>
              <w:pStyle w:val="263"/>
              <w:rPr>
                <w:rFonts w:hint="eastAsia"/>
                <w:color w:val="auto"/>
                <w:spacing w:val="4"/>
                <w:sz w:val="24"/>
                <w:szCs w:val="24"/>
                <w:highlight w:val="none"/>
              </w:rPr>
            </w:pPr>
          </w:p>
        </w:tc>
        <w:tc>
          <w:tcPr>
            <w:tcW w:w="3095" w:type="dxa"/>
          </w:tcPr>
          <w:p w14:paraId="128B361A">
            <w:pPr>
              <w:pStyle w:val="263"/>
              <w:rPr>
                <w:rFonts w:hint="eastAsia"/>
                <w:color w:val="auto"/>
                <w:spacing w:val="4"/>
                <w:sz w:val="24"/>
                <w:szCs w:val="24"/>
                <w:highlight w:val="none"/>
              </w:rPr>
            </w:pPr>
          </w:p>
        </w:tc>
      </w:tr>
    </w:tbl>
    <w:p w14:paraId="096B30F5">
      <w:pPr>
        <w:pStyle w:val="18"/>
        <w:spacing w:line="360" w:lineRule="auto"/>
        <w:ind w:left="401"/>
        <w:rPr>
          <w:rFonts w:hint="eastAsia" w:cs="宋体"/>
          <w:color w:val="auto"/>
          <w:spacing w:val="4"/>
          <w:highlight w:val="none"/>
        </w:rPr>
      </w:pPr>
      <w:r>
        <w:rPr>
          <w:rFonts w:hint="eastAsia" w:cs="宋体"/>
          <w:color w:val="auto"/>
          <w:spacing w:val="4"/>
          <w:highlight w:val="none"/>
        </w:rPr>
        <w:t>注：1.供应商如为联合体，则应填写联合体各成员信息。</w:t>
      </w:r>
    </w:p>
    <w:p w14:paraId="7041E81D">
      <w:pPr>
        <w:pStyle w:val="18"/>
        <w:spacing w:line="360" w:lineRule="auto"/>
        <w:ind w:left="401" w:firstLine="496" w:firstLineChars="200"/>
        <w:rPr>
          <w:rFonts w:hint="eastAsia" w:cs="宋体"/>
          <w:color w:val="auto"/>
          <w:spacing w:val="4"/>
          <w:highlight w:val="none"/>
        </w:rPr>
      </w:pPr>
      <w:r>
        <w:rPr>
          <w:rFonts w:hint="eastAsia" w:cs="宋体"/>
          <w:color w:val="auto"/>
          <w:spacing w:val="4"/>
          <w:highlight w:val="none"/>
        </w:rPr>
        <w:t>2.供应商所属性别请填写“男”或“女”，指拥有供应商 51%以上绝对所有权的性别；绝对所有权拥有者可以是一个人，也可以是多人合计计算。</w:t>
      </w:r>
    </w:p>
    <w:p w14:paraId="2DB94FCE">
      <w:pPr>
        <w:spacing w:line="360" w:lineRule="auto"/>
        <w:rPr>
          <w:rFonts w:hint="eastAsia" w:ascii="宋体" w:hAnsi="宋体" w:cs="宋体"/>
          <w:color w:val="auto"/>
          <w:spacing w:val="4"/>
          <w:sz w:val="24"/>
          <w:highlight w:val="none"/>
        </w:rPr>
        <w:sectPr>
          <w:headerReference r:id="rId28" w:type="first"/>
          <w:footerReference r:id="rId30" w:type="first"/>
          <w:headerReference r:id="rId27" w:type="even"/>
          <w:footerReference r:id="rId29" w:type="even"/>
          <w:pgSz w:w="11905" w:h="16838"/>
          <w:pgMar w:top="1417" w:right="1701" w:bottom="1417" w:left="1701" w:header="1020" w:footer="850" w:gutter="0"/>
          <w:cols w:space="0" w:num="1"/>
          <w:rtlGutter w:val="0"/>
          <w:docGrid w:linePitch="462" w:charSpace="0"/>
        </w:sectPr>
      </w:pPr>
      <w:r>
        <w:rPr>
          <w:rFonts w:hint="eastAsia" w:ascii="宋体" w:hAnsi="宋体" w:cs="宋体"/>
          <w:color w:val="auto"/>
          <w:spacing w:val="4"/>
          <w:sz w:val="24"/>
          <w:highlight w:val="none"/>
        </w:rPr>
        <w:t>外商投资类型请填写“外商单独投资”、“外商部分投资”或“内资”。</w:t>
      </w:r>
    </w:p>
    <w:p w14:paraId="49028B0F">
      <w:pPr>
        <w:snapToGrid w:val="0"/>
        <w:spacing w:after="120" w:afterLines="50" w:line="360" w:lineRule="exact"/>
        <w:outlineLvl w:val="2"/>
        <w:rPr>
          <w:rFonts w:hint="eastAsia" w:ascii="宋体" w:hAnsi="宋体" w:cs="宋体"/>
          <w:b/>
          <w:color w:val="auto"/>
          <w:sz w:val="24"/>
          <w:highlight w:val="none"/>
        </w:rPr>
      </w:pPr>
      <w:r>
        <w:rPr>
          <w:rFonts w:hint="eastAsia" w:ascii="宋体" w:hAnsi="宋体" w:cs="宋体"/>
          <w:b/>
          <w:color w:val="auto"/>
          <w:sz w:val="24"/>
          <w:highlight w:val="none"/>
        </w:rPr>
        <w:t>9-2类似（同类）业绩/经验清单</w:t>
      </w:r>
    </w:p>
    <w:p w14:paraId="019D9359">
      <w:pPr>
        <w:snapToGrid w:val="0"/>
        <w:spacing w:after="120" w:afterLines="50"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类似（同类）业绩/经验清单</w:t>
      </w:r>
    </w:p>
    <w:p w14:paraId="152A6918">
      <w:pPr>
        <w:snapToGrid w:val="0"/>
        <w:spacing w:after="120" w:afterLines="50" w:line="360" w:lineRule="exact"/>
        <w:jc w:val="center"/>
        <w:rPr>
          <w:rFonts w:hint="eastAsia" w:ascii="宋体" w:hAnsi="宋体" w:cs="宋体"/>
          <w:b/>
          <w:color w:val="auto"/>
          <w:sz w:val="24"/>
          <w:highlight w:val="none"/>
        </w:rPr>
      </w:pPr>
    </w:p>
    <w:tbl>
      <w:tblPr>
        <w:tblStyle w:val="47"/>
        <w:tblW w:w="137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1208"/>
        <w:gridCol w:w="1557"/>
        <w:gridCol w:w="3986"/>
        <w:gridCol w:w="1849"/>
        <w:gridCol w:w="1849"/>
        <w:gridCol w:w="1854"/>
        <w:gridCol w:w="1494"/>
      </w:tblGrid>
      <w:tr w14:paraId="13CED8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84" w:hRule="atLeast"/>
          <w:jc w:val="center"/>
        </w:trPr>
        <w:tc>
          <w:tcPr>
            <w:tcW w:w="1208" w:type="dxa"/>
            <w:tcBorders>
              <w:top w:val="single" w:color="auto" w:sz="4" w:space="0"/>
              <w:left w:val="single" w:color="auto" w:sz="4" w:space="0"/>
              <w:bottom w:val="single" w:color="auto" w:sz="4" w:space="0"/>
              <w:right w:val="single" w:color="auto" w:sz="4" w:space="0"/>
            </w:tcBorders>
            <w:vAlign w:val="center"/>
          </w:tcPr>
          <w:p w14:paraId="170E7432">
            <w:pPr>
              <w:pStyle w:val="13"/>
              <w:ind w:firstLine="0"/>
              <w:jc w:val="center"/>
              <w:rPr>
                <w:rFonts w:hint="eastAsia" w:hAnsi="宋体" w:cs="宋体"/>
                <w:color w:val="auto"/>
                <w:highlight w:val="none"/>
              </w:rPr>
            </w:pPr>
            <w:r>
              <w:rPr>
                <w:rFonts w:hint="eastAsia" w:hAnsi="宋体" w:cs="宋体"/>
                <w:color w:val="auto"/>
                <w:highlight w:val="none"/>
              </w:rPr>
              <w:t>日期</w:t>
            </w:r>
          </w:p>
        </w:tc>
        <w:tc>
          <w:tcPr>
            <w:tcW w:w="1557" w:type="dxa"/>
            <w:tcBorders>
              <w:top w:val="single" w:color="auto" w:sz="4" w:space="0"/>
              <w:left w:val="single" w:color="auto" w:sz="4" w:space="0"/>
              <w:bottom w:val="single" w:color="auto" w:sz="4" w:space="0"/>
              <w:right w:val="single" w:color="auto" w:sz="4" w:space="0"/>
            </w:tcBorders>
            <w:vAlign w:val="center"/>
          </w:tcPr>
          <w:p w14:paraId="208C632B">
            <w:pPr>
              <w:pStyle w:val="13"/>
              <w:ind w:firstLine="0"/>
              <w:jc w:val="center"/>
              <w:rPr>
                <w:rFonts w:hint="eastAsia" w:hAnsi="宋体" w:cs="宋体"/>
                <w:color w:val="auto"/>
                <w:highlight w:val="none"/>
              </w:rPr>
            </w:pPr>
            <w:r>
              <w:rPr>
                <w:rFonts w:hint="eastAsia" w:hAnsi="宋体" w:cs="宋体"/>
                <w:color w:val="auto"/>
                <w:highlight w:val="none"/>
              </w:rPr>
              <w:t>合同名称</w:t>
            </w:r>
          </w:p>
        </w:tc>
        <w:tc>
          <w:tcPr>
            <w:tcW w:w="3986" w:type="dxa"/>
            <w:tcBorders>
              <w:top w:val="single" w:color="auto" w:sz="4" w:space="0"/>
              <w:left w:val="single" w:color="auto" w:sz="4" w:space="0"/>
              <w:bottom w:val="single" w:color="auto" w:sz="4" w:space="0"/>
              <w:right w:val="single" w:color="auto" w:sz="4" w:space="0"/>
            </w:tcBorders>
            <w:vAlign w:val="center"/>
          </w:tcPr>
          <w:p w14:paraId="44C51EE8">
            <w:pPr>
              <w:pStyle w:val="13"/>
              <w:ind w:firstLine="0"/>
              <w:jc w:val="center"/>
              <w:rPr>
                <w:rFonts w:hint="eastAsia" w:hAnsi="宋体" w:cs="宋体"/>
                <w:color w:val="auto"/>
                <w:highlight w:val="none"/>
              </w:rPr>
            </w:pPr>
            <w:r>
              <w:rPr>
                <w:rFonts w:hint="eastAsia" w:hAnsi="宋体" w:cs="宋体"/>
                <w:color w:val="auto"/>
                <w:highlight w:val="none"/>
              </w:rPr>
              <w:t>项目内容</w:t>
            </w:r>
          </w:p>
        </w:tc>
        <w:tc>
          <w:tcPr>
            <w:tcW w:w="1849" w:type="dxa"/>
            <w:tcBorders>
              <w:top w:val="single" w:color="auto" w:sz="4" w:space="0"/>
              <w:left w:val="single" w:color="auto" w:sz="4" w:space="0"/>
              <w:bottom w:val="single" w:color="auto" w:sz="4" w:space="0"/>
              <w:right w:val="single" w:color="auto" w:sz="4" w:space="0"/>
            </w:tcBorders>
            <w:vAlign w:val="center"/>
          </w:tcPr>
          <w:p w14:paraId="593F87E7">
            <w:pPr>
              <w:pStyle w:val="13"/>
              <w:ind w:firstLine="0"/>
              <w:jc w:val="center"/>
              <w:rPr>
                <w:rFonts w:hint="eastAsia" w:hAnsi="宋体" w:cs="宋体"/>
                <w:color w:val="auto"/>
                <w:highlight w:val="none"/>
              </w:rPr>
            </w:pPr>
            <w:r>
              <w:rPr>
                <w:rFonts w:hint="eastAsia" w:hAnsi="宋体" w:cs="宋体"/>
                <w:color w:val="auto"/>
                <w:highlight w:val="none"/>
              </w:rPr>
              <w:t>金额</w:t>
            </w:r>
          </w:p>
        </w:tc>
        <w:tc>
          <w:tcPr>
            <w:tcW w:w="1849" w:type="dxa"/>
            <w:tcBorders>
              <w:top w:val="single" w:color="auto" w:sz="4" w:space="0"/>
              <w:left w:val="single" w:color="auto" w:sz="4" w:space="0"/>
              <w:bottom w:val="single" w:color="auto" w:sz="4" w:space="0"/>
              <w:right w:val="single" w:color="auto" w:sz="4" w:space="0"/>
            </w:tcBorders>
            <w:vAlign w:val="center"/>
          </w:tcPr>
          <w:p w14:paraId="754D945D">
            <w:pPr>
              <w:pStyle w:val="13"/>
              <w:ind w:firstLine="0"/>
              <w:jc w:val="center"/>
              <w:rPr>
                <w:rFonts w:hint="eastAsia" w:hAnsi="宋体" w:cs="宋体"/>
                <w:color w:val="auto"/>
                <w:highlight w:val="none"/>
              </w:rPr>
            </w:pPr>
            <w:r>
              <w:rPr>
                <w:rFonts w:hint="eastAsia" w:hAnsi="宋体" w:cs="宋体"/>
                <w:color w:val="auto"/>
                <w:highlight w:val="none"/>
              </w:rPr>
              <w:t>履约情况/评价</w:t>
            </w:r>
          </w:p>
        </w:tc>
        <w:tc>
          <w:tcPr>
            <w:tcW w:w="1854" w:type="dxa"/>
            <w:tcBorders>
              <w:top w:val="single" w:color="auto" w:sz="4" w:space="0"/>
              <w:left w:val="single" w:color="auto" w:sz="4" w:space="0"/>
              <w:bottom w:val="single" w:color="auto" w:sz="4" w:space="0"/>
              <w:right w:val="single" w:color="auto" w:sz="4" w:space="0"/>
            </w:tcBorders>
            <w:vAlign w:val="center"/>
          </w:tcPr>
          <w:p w14:paraId="3C419FC2">
            <w:pPr>
              <w:pStyle w:val="13"/>
              <w:ind w:firstLine="0"/>
              <w:jc w:val="center"/>
              <w:rPr>
                <w:rFonts w:hint="eastAsia" w:hAnsi="宋体" w:cs="宋体"/>
                <w:color w:val="auto"/>
                <w:highlight w:val="none"/>
              </w:rPr>
            </w:pPr>
            <w:r>
              <w:rPr>
                <w:rFonts w:hint="eastAsia" w:hAnsi="宋体" w:cs="宋体"/>
                <w:color w:val="auto"/>
                <w:highlight w:val="none"/>
              </w:rPr>
              <w:t>项目业主单位</w:t>
            </w:r>
          </w:p>
        </w:tc>
        <w:tc>
          <w:tcPr>
            <w:tcW w:w="1494" w:type="dxa"/>
            <w:tcBorders>
              <w:top w:val="single" w:color="auto" w:sz="4" w:space="0"/>
              <w:left w:val="single" w:color="auto" w:sz="4" w:space="0"/>
              <w:bottom w:val="single" w:color="auto" w:sz="4" w:space="0"/>
              <w:right w:val="single" w:color="auto" w:sz="4" w:space="0"/>
            </w:tcBorders>
            <w:vAlign w:val="center"/>
          </w:tcPr>
          <w:p w14:paraId="3C9AA593">
            <w:pPr>
              <w:pStyle w:val="13"/>
              <w:ind w:firstLine="0"/>
              <w:jc w:val="center"/>
              <w:rPr>
                <w:rFonts w:hint="eastAsia" w:hAnsi="宋体" w:cs="宋体"/>
                <w:color w:val="auto"/>
                <w:highlight w:val="none"/>
              </w:rPr>
            </w:pPr>
            <w:r>
              <w:rPr>
                <w:rFonts w:hint="eastAsia" w:hAnsi="宋体" w:cs="宋体"/>
                <w:color w:val="auto"/>
                <w:highlight w:val="none"/>
              </w:rPr>
              <w:t>联系电话</w:t>
            </w:r>
          </w:p>
        </w:tc>
      </w:tr>
      <w:tr w14:paraId="79BD97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84" w:hRule="atLeast"/>
          <w:jc w:val="center"/>
        </w:trPr>
        <w:tc>
          <w:tcPr>
            <w:tcW w:w="1208" w:type="dxa"/>
            <w:tcBorders>
              <w:top w:val="single" w:color="auto" w:sz="4" w:space="0"/>
              <w:left w:val="single" w:color="auto" w:sz="4" w:space="0"/>
              <w:bottom w:val="single" w:color="auto" w:sz="4" w:space="0"/>
              <w:right w:val="single" w:color="auto" w:sz="4" w:space="0"/>
            </w:tcBorders>
            <w:vAlign w:val="center"/>
          </w:tcPr>
          <w:p w14:paraId="01643AB0">
            <w:pPr>
              <w:pStyle w:val="13"/>
              <w:spacing w:after="156"/>
              <w:ind w:firstLine="0"/>
              <w:rPr>
                <w:rFonts w:hint="eastAsia" w:hAnsi="宋体" w:cs="宋体"/>
                <w:color w:val="auto"/>
                <w:highlight w:val="none"/>
              </w:rPr>
            </w:pPr>
          </w:p>
        </w:tc>
        <w:tc>
          <w:tcPr>
            <w:tcW w:w="1557" w:type="dxa"/>
            <w:tcBorders>
              <w:top w:val="single" w:color="auto" w:sz="4" w:space="0"/>
              <w:left w:val="single" w:color="auto" w:sz="4" w:space="0"/>
              <w:bottom w:val="single" w:color="auto" w:sz="4" w:space="0"/>
              <w:right w:val="single" w:color="auto" w:sz="4" w:space="0"/>
            </w:tcBorders>
            <w:vAlign w:val="center"/>
          </w:tcPr>
          <w:p w14:paraId="7D2C35D2">
            <w:pPr>
              <w:pStyle w:val="13"/>
              <w:spacing w:after="156"/>
              <w:ind w:firstLine="0"/>
              <w:rPr>
                <w:rFonts w:hint="eastAsia" w:hAnsi="宋体" w:cs="宋体"/>
                <w:color w:val="auto"/>
                <w:highlight w:val="none"/>
              </w:rPr>
            </w:pPr>
          </w:p>
        </w:tc>
        <w:tc>
          <w:tcPr>
            <w:tcW w:w="3986" w:type="dxa"/>
            <w:tcBorders>
              <w:top w:val="single" w:color="auto" w:sz="4" w:space="0"/>
              <w:left w:val="single" w:color="auto" w:sz="4" w:space="0"/>
              <w:bottom w:val="single" w:color="auto" w:sz="4" w:space="0"/>
              <w:right w:val="single" w:color="auto" w:sz="4" w:space="0"/>
            </w:tcBorders>
            <w:vAlign w:val="center"/>
          </w:tcPr>
          <w:p w14:paraId="2419A8DC">
            <w:pPr>
              <w:pStyle w:val="13"/>
              <w:spacing w:after="156"/>
              <w:ind w:firstLine="0"/>
              <w:rPr>
                <w:rFonts w:hint="eastAsia" w:hAnsi="宋体" w:cs="宋体"/>
                <w:color w:val="auto"/>
                <w:highlight w:val="none"/>
              </w:rPr>
            </w:pPr>
          </w:p>
        </w:tc>
        <w:tc>
          <w:tcPr>
            <w:tcW w:w="1849" w:type="dxa"/>
            <w:tcBorders>
              <w:top w:val="single" w:color="auto" w:sz="4" w:space="0"/>
              <w:left w:val="single" w:color="auto" w:sz="4" w:space="0"/>
              <w:bottom w:val="single" w:color="auto" w:sz="4" w:space="0"/>
              <w:right w:val="single" w:color="auto" w:sz="4" w:space="0"/>
            </w:tcBorders>
          </w:tcPr>
          <w:p w14:paraId="076FD0C6">
            <w:pPr>
              <w:pStyle w:val="13"/>
              <w:spacing w:after="156"/>
              <w:ind w:firstLine="0"/>
              <w:rPr>
                <w:rFonts w:hint="eastAsia" w:hAnsi="宋体" w:cs="宋体"/>
                <w:color w:val="auto"/>
                <w:highlight w:val="none"/>
              </w:rPr>
            </w:pPr>
          </w:p>
        </w:tc>
        <w:tc>
          <w:tcPr>
            <w:tcW w:w="1849" w:type="dxa"/>
            <w:tcBorders>
              <w:top w:val="single" w:color="auto" w:sz="4" w:space="0"/>
              <w:left w:val="single" w:color="auto" w:sz="4" w:space="0"/>
              <w:bottom w:val="single" w:color="auto" w:sz="4" w:space="0"/>
              <w:right w:val="single" w:color="auto" w:sz="4" w:space="0"/>
            </w:tcBorders>
          </w:tcPr>
          <w:p w14:paraId="67A8EF07">
            <w:pPr>
              <w:pStyle w:val="13"/>
              <w:spacing w:after="156"/>
              <w:ind w:firstLine="0"/>
              <w:rPr>
                <w:rFonts w:hint="eastAsia" w:hAnsi="宋体" w:cs="宋体"/>
                <w:color w:val="auto"/>
                <w:highlight w:val="none"/>
              </w:rPr>
            </w:pPr>
          </w:p>
        </w:tc>
        <w:tc>
          <w:tcPr>
            <w:tcW w:w="1854" w:type="dxa"/>
            <w:tcBorders>
              <w:top w:val="single" w:color="auto" w:sz="4" w:space="0"/>
              <w:left w:val="single" w:color="auto" w:sz="4" w:space="0"/>
              <w:bottom w:val="single" w:color="auto" w:sz="4" w:space="0"/>
              <w:right w:val="single" w:color="auto" w:sz="4" w:space="0"/>
            </w:tcBorders>
            <w:vAlign w:val="center"/>
          </w:tcPr>
          <w:p w14:paraId="56E6DB19">
            <w:pPr>
              <w:pStyle w:val="13"/>
              <w:spacing w:after="156"/>
              <w:ind w:firstLine="0"/>
              <w:rPr>
                <w:rFonts w:hint="eastAsia" w:hAnsi="宋体" w:cs="宋体"/>
                <w:color w:val="auto"/>
                <w:highlight w:val="none"/>
              </w:rPr>
            </w:pPr>
          </w:p>
        </w:tc>
        <w:tc>
          <w:tcPr>
            <w:tcW w:w="1494" w:type="dxa"/>
            <w:tcBorders>
              <w:top w:val="single" w:color="auto" w:sz="4" w:space="0"/>
              <w:left w:val="single" w:color="auto" w:sz="4" w:space="0"/>
              <w:bottom w:val="single" w:color="auto" w:sz="4" w:space="0"/>
              <w:right w:val="single" w:color="auto" w:sz="4" w:space="0"/>
            </w:tcBorders>
            <w:vAlign w:val="center"/>
          </w:tcPr>
          <w:p w14:paraId="71703C13">
            <w:pPr>
              <w:pStyle w:val="13"/>
              <w:spacing w:after="156"/>
              <w:ind w:firstLine="0"/>
              <w:rPr>
                <w:rFonts w:hint="eastAsia" w:hAnsi="宋体" w:cs="宋体"/>
                <w:color w:val="auto"/>
                <w:highlight w:val="none"/>
              </w:rPr>
            </w:pPr>
          </w:p>
        </w:tc>
      </w:tr>
      <w:tr w14:paraId="1A3A7E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84" w:hRule="atLeast"/>
          <w:jc w:val="center"/>
        </w:trPr>
        <w:tc>
          <w:tcPr>
            <w:tcW w:w="1208" w:type="dxa"/>
            <w:tcBorders>
              <w:top w:val="single" w:color="auto" w:sz="4" w:space="0"/>
              <w:left w:val="single" w:color="auto" w:sz="4" w:space="0"/>
              <w:bottom w:val="single" w:color="auto" w:sz="4" w:space="0"/>
              <w:right w:val="single" w:color="auto" w:sz="4" w:space="0"/>
            </w:tcBorders>
            <w:vAlign w:val="center"/>
          </w:tcPr>
          <w:p w14:paraId="796E65D5">
            <w:pPr>
              <w:pStyle w:val="13"/>
              <w:spacing w:after="156"/>
              <w:ind w:firstLine="0"/>
              <w:rPr>
                <w:rFonts w:hint="eastAsia" w:hAnsi="宋体" w:cs="宋体"/>
                <w:color w:val="auto"/>
                <w:highlight w:val="none"/>
              </w:rPr>
            </w:pPr>
          </w:p>
        </w:tc>
        <w:tc>
          <w:tcPr>
            <w:tcW w:w="1557" w:type="dxa"/>
            <w:tcBorders>
              <w:top w:val="single" w:color="auto" w:sz="4" w:space="0"/>
              <w:left w:val="single" w:color="auto" w:sz="4" w:space="0"/>
              <w:bottom w:val="single" w:color="auto" w:sz="4" w:space="0"/>
              <w:right w:val="single" w:color="auto" w:sz="4" w:space="0"/>
            </w:tcBorders>
            <w:vAlign w:val="center"/>
          </w:tcPr>
          <w:p w14:paraId="1B4589B4">
            <w:pPr>
              <w:pStyle w:val="13"/>
              <w:spacing w:after="156"/>
              <w:ind w:firstLine="0"/>
              <w:rPr>
                <w:rFonts w:hint="eastAsia" w:hAnsi="宋体" w:cs="宋体"/>
                <w:color w:val="auto"/>
                <w:highlight w:val="none"/>
              </w:rPr>
            </w:pPr>
          </w:p>
        </w:tc>
        <w:tc>
          <w:tcPr>
            <w:tcW w:w="3986" w:type="dxa"/>
            <w:tcBorders>
              <w:top w:val="single" w:color="auto" w:sz="4" w:space="0"/>
              <w:left w:val="single" w:color="auto" w:sz="4" w:space="0"/>
              <w:bottom w:val="single" w:color="auto" w:sz="4" w:space="0"/>
              <w:right w:val="single" w:color="auto" w:sz="4" w:space="0"/>
            </w:tcBorders>
            <w:vAlign w:val="center"/>
          </w:tcPr>
          <w:p w14:paraId="55C07277">
            <w:pPr>
              <w:pStyle w:val="13"/>
              <w:spacing w:after="156"/>
              <w:ind w:firstLine="0"/>
              <w:rPr>
                <w:rFonts w:hint="eastAsia" w:hAnsi="宋体" w:cs="宋体"/>
                <w:color w:val="auto"/>
                <w:highlight w:val="none"/>
              </w:rPr>
            </w:pPr>
          </w:p>
        </w:tc>
        <w:tc>
          <w:tcPr>
            <w:tcW w:w="1849" w:type="dxa"/>
            <w:tcBorders>
              <w:top w:val="single" w:color="auto" w:sz="4" w:space="0"/>
              <w:left w:val="single" w:color="auto" w:sz="4" w:space="0"/>
              <w:bottom w:val="single" w:color="auto" w:sz="4" w:space="0"/>
              <w:right w:val="single" w:color="auto" w:sz="4" w:space="0"/>
            </w:tcBorders>
          </w:tcPr>
          <w:p w14:paraId="52F42249">
            <w:pPr>
              <w:pStyle w:val="13"/>
              <w:spacing w:after="156"/>
              <w:ind w:firstLine="0"/>
              <w:rPr>
                <w:rFonts w:hint="eastAsia" w:hAnsi="宋体" w:cs="宋体"/>
                <w:color w:val="auto"/>
                <w:highlight w:val="none"/>
              </w:rPr>
            </w:pPr>
          </w:p>
        </w:tc>
        <w:tc>
          <w:tcPr>
            <w:tcW w:w="1849" w:type="dxa"/>
            <w:tcBorders>
              <w:top w:val="single" w:color="auto" w:sz="4" w:space="0"/>
              <w:left w:val="single" w:color="auto" w:sz="4" w:space="0"/>
              <w:bottom w:val="single" w:color="auto" w:sz="4" w:space="0"/>
              <w:right w:val="single" w:color="auto" w:sz="4" w:space="0"/>
            </w:tcBorders>
          </w:tcPr>
          <w:p w14:paraId="7AD4294D">
            <w:pPr>
              <w:pStyle w:val="13"/>
              <w:spacing w:after="156"/>
              <w:ind w:firstLine="0"/>
              <w:rPr>
                <w:rFonts w:hint="eastAsia" w:hAnsi="宋体" w:cs="宋体"/>
                <w:color w:val="auto"/>
                <w:highlight w:val="none"/>
              </w:rPr>
            </w:pPr>
          </w:p>
        </w:tc>
        <w:tc>
          <w:tcPr>
            <w:tcW w:w="1854" w:type="dxa"/>
            <w:tcBorders>
              <w:top w:val="single" w:color="auto" w:sz="4" w:space="0"/>
              <w:left w:val="single" w:color="auto" w:sz="4" w:space="0"/>
              <w:bottom w:val="single" w:color="auto" w:sz="4" w:space="0"/>
              <w:right w:val="single" w:color="auto" w:sz="4" w:space="0"/>
            </w:tcBorders>
            <w:vAlign w:val="center"/>
          </w:tcPr>
          <w:p w14:paraId="3841668F">
            <w:pPr>
              <w:pStyle w:val="13"/>
              <w:spacing w:after="156"/>
              <w:ind w:firstLine="0"/>
              <w:rPr>
                <w:rFonts w:hint="eastAsia" w:hAnsi="宋体" w:cs="宋体"/>
                <w:color w:val="auto"/>
                <w:highlight w:val="none"/>
              </w:rPr>
            </w:pPr>
          </w:p>
        </w:tc>
        <w:tc>
          <w:tcPr>
            <w:tcW w:w="1494" w:type="dxa"/>
            <w:tcBorders>
              <w:top w:val="single" w:color="auto" w:sz="4" w:space="0"/>
              <w:left w:val="single" w:color="auto" w:sz="4" w:space="0"/>
              <w:bottom w:val="single" w:color="auto" w:sz="4" w:space="0"/>
              <w:right w:val="single" w:color="auto" w:sz="4" w:space="0"/>
            </w:tcBorders>
            <w:vAlign w:val="center"/>
          </w:tcPr>
          <w:p w14:paraId="400851E4">
            <w:pPr>
              <w:pStyle w:val="13"/>
              <w:spacing w:after="156"/>
              <w:ind w:firstLine="0"/>
              <w:rPr>
                <w:rFonts w:hint="eastAsia" w:hAnsi="宋体" w:cs="宋体"/>
                <w:color w:val="auto"/>
                <w:highlight w:val="none"/>
              </w:rPr>
            </w:pPr>
          </w:p>
        </w:tc>
      </w:tr>
      <w:tr w14:paraId="24413F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84" w:hRule="atLeast"/>
          <w:jc w:val="center"/>
        </w:trPr>
        <w:tc>
          <w:tcPr>
            <w:tcW w:w="1208" w:type="dxa"/>
            <w:tcBorders>
              <w:top w:val="single" w:color="auto" w:sz="4" w:space="0"/>
              <w:left w:val="single" w:color="auto" w:sz="4" w:space="0"/>
              <w:bottom w:val="single" w:color="auto" w:sz="4" w:space="0"/>
              <w:right w:val="single" w:color="auto" w:sz="4" w:space="0"/>
            </w:tcBorders>
            <w:vAlign w:val="center"/>
          </w:tcPr>
          <w:p w14:paraId="511E8829">
            <w:pPr>
              <w:pStyle w:val="13"/>
              <w:spacing w:after="156"/>
              <w:ind w:firstLine="0"/>
              <w:rPr>
                <w:rFonts w:hint="eastAsia" w:hAnsi="宋体" w:cs="宋体"/>
                <w:color w:val="auto"/>
                <w:highlight w:val="none"/>
              </w:rPr>
            </w:pPr>
          </w:p>
        </w:tc>
        <w:tc>
          <w:tcPr>
            <w:tcW w:w="1557" w:type="dxa"/>
            <w:tcBorders>
              <w:top w:val="single" w:color="auto" w:sz="4" w:space="0"/>
              <w:left w:val="single" w:color="auto" w:sz="4" w:space="0"/>
              <w:bottom w:val="single" w:color="auto" w:sz="4" w:space="0"/>
              <w:right w:val="single" w:color="auto" w:sz="4" w:space="0"/>
            </w:tcBorders>
            <w:vAlign w:val="center"/>
          </w:tcPr>
          <w:p w14:paraId="1B5A6E01">
            <w:pPr>
              <w:pStyle w:val="13"/>
              <w:spacing w:after="156"/>
              <w:ind w:firstLine="0"/>
              <w:rPr>
                <w:rFonts w:hint="eastAsia" w:hAnsi="宋体" w:cs="宋体"/>
                <w:color w:val="auto"/>
                <w:highlight w:val="none"/>
              </w:rPr>
            </w:pPr>
          </w:p>
        </w:tc>
        <w:tc>
          <w:tcPr>
            <w:tcW w:w="3986" w:type="dxa"/>
            <w:tcBorders>
              <w:top w:val="single" w:color="auto" w:sz="4" w:space="0"/>
              <w:left w:val="single" w:color="auto" w:sz="4" w:space="0"/>
              <w:bottom w:val="single" w:color="auto" w:sz="4" w:space="0"/>
              <w:right w:val="single" w:color="auto" w:sz="4" w:space="0"/>
            </w:tcBorders>
            <w:vAlign w:val="center"/>
          </w:tcPr>
          <w:p w14:paraId="773ADF6C">
            <w:pPr>
              <w:pStyle w:val="13"/>
              <w:spacing w:after="156"/>
              <w:ind w:firstLine="0"/>
              <w:rPr>
                <w:rFonts w:hint="eastAsia" w:hAnsi="宋体" w:cs="宋体"/>
                <w:color w:val="auto"/>
                <w:highlight w:val="none"/>
              </w:rPr>
            </w:pPr>
          </w:p>
        </w:tc>
        <w:tc>
          <w:tcPr>
            <w:tcW w:w="1849" w:type="dxa"/>
            <w:tcBorders>
              <w:top w:val="single" w:color="auto" w:sz="4" w:space="0"/>
              <w:left w:val="single" w:color="auto" w:sz="4" w:space="0"/>
              <w:bottom w:val="single" w:color="auto" w:sz="4" w:space="0"/>
              <w:right w:val="single" w:color="auto" w:sz="4" w:space="0"/>
            </w:tcBorders>
          </w:tcPr>
          <w:p w14:paraId="289A21E1">
            <w:pPr>
              <w:pStyle w:val="13"/>
              <w:spacing w:after="156"/>
              <w:ind w:firstLine="0"/>
              <w:rPr>
                <w:rFonts w:hint="eastAsia" w:hAnsi="宋体" w:cs="宋体"/>
                <w:color w:val="auto"/>
                <w:highlight w:val="none"/>
              </w:rPr>
            </w:pPr>
          </w:p>
        </w:tc>
        <w:tc>
          <w:tcPr>
            <w:tcW w:w="1849" w:type="dxa"/>
            <w:tcBorders>
              <w:top w:val="single" w:color="auto" w:sz="4" w:space="0"/>
              <w:left w:val="single" w:color="auto" w:sz="4" w:space="0"/>
              <w:bottom w:val="single" w:color="auto" w:sz="4" w:space="0"/>
              <w:right w:val="single" w:color="auto" w:sz="4" w:space="0"/>
            </w:tcBorders>
          </w:tcPr>
          <w:p w14:paraId="3C128117">
            <w:pPr>
              <w:pStyle w:val="13"/>
              <w:spacing w:after="156"/>
              <w:ind w:firstLine="0"/>
              <w:rPr>
                <w:rFonts w:hint="eastAsia" w:hAnsi="宋体" w:cs="宋体"/>
                <w:color w:val="auto"/>
                <w:highlight w:val="none"/>
              </w:rPr>
            </w:pPr>
          </w:p>
        </w:tc>
        <w:tc>
          <w:tcPr>
            <w:tcW w:w="1854" w:type="dxa"/>
            <w:tcBorders>
              <w:top w:val="single" w:color="auto" w:sz="4" w:space="0"/>
              <w:left w:val="single" w:color="auto" w:sz="4" w:space="0"/>
              <w:bottom w:val="single" w:color="auto" w:sz="4" w:space="0"/>
              <w:right w:val="single" w:color="auto" w:sz="4" w:space="0"/>
            </w:tcBorders>
            <w:vAlign w:val="center"/>
          </w:tcPr>
          <w:p w14:paraId="2CEF2CB8">
            <w:pPr>
              <w:pStyle w:val="13"/>
              <w:spacing w:after="156"/>
              <w:ind w:firstLine="0"/>
              <w:rPr>
                <w:rFonts w:hint="eastAsia" w:hAnsi="宋体" w:cs="宋体"/>
                <w:color w:val="auto"/>
                <w:highlight w:val="none"/>
              </w:rPr>
            </w:pPr>
          </w:p>
        </w:tc>
        <w:tc>
          <w:tcPr>
            <w:tcW w:w="1494" w:type="dxa"/>
            <w:tcBorders>
              <w:top w:val="single" w:color="auto" w:sz="4" w:space="0"/>
              <w:left w:val="single" w:color="auto" w:sz="4" w:space="0"/>
              <w:bottom w:val="single" w:color="auto" w:sz="4" w:space="0"/>
              <w:right w:val="single" w:color="auto" w:sz="4" w:space="0"/>
            </w:tcBorders>
            <w:vAlign w:val="center"/>
          </w:tcPr>
          <w:p w14:paraId="6E934EC1">
            <w:pPr>
              <w:pStyle w:val="13"/>
              <w:spacing w:after="156"/>
              <w:ind w:firstLine="0"/>
              <w:rPr>
                <w:rFonts w:hint="eastAsia" w:hAnsi="宋体" w:cs="宋体"/>
                <w:color w:val="auto"/>
                <w:highlight w:val="none"/>
              </w:rPr>
            </w:pPr>
          </w:p>
        </w:tc>
      </w:tr>
      <w:tr w14:paraId="45BF83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14" w:hRule="atLeast"/>
          <w:jc w:val="center"/>
        </w:trPr>
        <w:tc>
          <w:tcPr>
            <w:tcW w:w="1208" w:type="dxa"/>
            <w:tcBorders>
              <w:top w:val="single" w:color="auto" w:sz="4" w:space="0"/>
              <w:left w:val="single" w:color="auto" w:sz="4" w:space="0"/>
              <w:bottom w:val="single" w:color="auto" w:sz="4" w:space="0"/>
              <w:right w:val="single" w:color="auto" w:sz="4" w:space="0"/>
            </w:tcBorders>
            <w:vAlign w:val="center"/>
          </w:tcPr>
          <w:p w14:paraId="7640D31B">
            <w:pPr>
              <w:pStyle w:val="13"/>
              <w:spacing w:after="156"/>
              <w:ind w:firstLine="0"/>
              <w:rPr>
                <w:rFonts w:hint="eastAsia" w:hAnsi="宋体" w:cs="宋体"/>
                <w:color w:val="auto"/>
                <w:highlight w:val="none"/>
              </w:rPr>
            </w:pPr>
          </w:p>
        </w:tc>
        <w:tc>
          <w:tcPr>
            <w:tcW w:w="1557" w:type="dxa"/>
            <w:tcBorders>
              <w:top w:val="single" w:color="auto" w:sz="4" w:space="0"/>
              <w:left w:val="single" w:color="auto" w:sz="4" w:space="0"/>
              <w:bottom w:val="single" w:color="auto" w:sz="4" w:space="0"/>
              <w:right w:val="single" w:color="auto" w:sz="4" w:space="0"/>
            </w:tcBorders>
            <w:vAlign w:val="center"/>
          </w:tcPr>
          <w:p w14:paraId="2FEF98DD">
            <w:pPr>
              <w:pStyle w:val="13"/>
              <w:spacing w:after="156"/>
              <w:ind w:firstLine="0"/>
              <w:rPr>
                <w:rFonts w:hint="eastAsia" w:hAnsi="宋体" w:cs="宋体"/>
                <w:color w:val="auto"/>
                <w:highlight w:val="none"/>
              </w:rPr>
            </w:pPr>
          </w:p>
        </w:tc>
        <w:tc>
          <w:tcPr>
            <w:tcW w:w="3986" w:type="dxa"/>
            <w:tcBorders>
              <w:top w:val="single" w:color="auto" w:sz="4" w:space="0"/>
              <w:left w:val="single" w:color="auto" w:sz="4" w:space="0"/>
              <w:bottom w:val="single" w:color="auto" w:sz="4" w:space="0"/>
              <w:right w:val="single" w:color="auto" w:sz="4" w:space="0"/>
            </w:tcBorders>
            <w:vAlign w:val="center"/>
          </w:tcPr>
          <w:p w14:paraId="15C8190D">
            <w:pPr>
              <w:pStyle w:val="13"/>
              <w:spacing w:after="156"/>
              <w:ind w:firstLine="0"/>
              <w:rPr>
                <w:rFonts w:hint="eastAsia" w:hAnsi="宋体" w:cs="宋体"/>
                <w:color w:val="auto"/>
                <w:highlight w:val="none"/>
              </w:rPr>
            </w:pPr>
          </w:p>
        </w:tc>
        <w:tc>
          <w:tcPr>
            <w:tcW w:w="1849" w:type="dxa"/>
            <w:tcBorders>
              <w:top w:val="single" w:color="auto" w:sz="4" w:space="0"/>
              <w:left w:val="single" w:color="auto" w:sz="4" w:space="0"/>
              <w:bottom w:val="single" w:color="auto" w:sz="4" w:space="0"/>
              <w:right w:val="single" w:color="auto" w:sz="4" w:space="0"/>
            </w:tcBorders>
          </w:tcPr>
          <w:p w14:paraId="3875B521">
            <w:pPr>
              <w:pStyle w:val="13"/>
              <w:spacing w:after="156"/>
              <w:ind w:firstLine="0"/>
              <w:rPr>
                <w:rFonts w:hint="eastAsia" w:hAnsi="宋体" w:cs="宋体"/>
                <w:color w:val="auto"/>
                <w:highlight w:val="none"/>
              </w:rPr>
            </w:pPr>
          </w:p>
        </w:tc>
        <w:tc>
          <w:tcPr>
            <w:tcW w:w="1849" w:type="dxa"/>
            <w:tcBorders>
              <w:top w:val="single" w:color="auto" w:sz="4" w:space="0"/>
              <w:left w:val="single" w:color="auto" w:sz="4" w:space="0"/>
              <w:bottom w:val="single" w:color="auto" w:sz="4" w:space="0"/>
              <w:right w:val="single" w:color="auto" w:sz="4" w:space="0"/>
            </w:tcBorders>
          </w:tcPr>
          <w:p w14:paraId="16B28FAD">
            <w:pPr>
              <w:pStyle w:val="13"/>
              <w:spacing w:after="156"/>
              <w:ind w:firstLine="0"/>
              <w:rPr>
                <w:rFonts w:hint="eastAsia" w:hAnsi="宋体" w:cs="宋体"/>
                <w:color w:val="auto"/>
                <w:highlight w:val="none"/>
              </w:rPr>
            </w:pPr>
          </w:p>
        </w:tc>
        <w:tc>
          <w:tcPr>
            <w:tcW w:w="1854" w:type="dxa"/>
            <w:tcBorders>
              <w:top w:val="single" w:color="auto" w:sz="4" w:space="0"/>
              <w:left w:val="single" w:color="auto" w:sz="4" w:space="0"/>
              <w:bottom w:val="single" w:color="auto" w:sz="4" w:space="0"/>
              <w:right w:val="single" w:color="auto" w:sz="4" w:space="0"/>
            </w:tcBorders>
            <w:vAlign w:val="center"/>
          </w:tcPr>
          <w:p w14:paraId="5B3EADC6">
            <w:pPr>
              <w:pStyle w:val="13"/>
              <w:spacing w:after="156"/>
              <w:ind w:firstLine="0"/>
              <w:rPr>
                <w:rFonts w:hint="eastAsia" w:hAnsi="宋体" w:cs="宋体"/>
                <w:color w:val="auto"/>
                <w:highlight w:val="none"/>
              </w:rPr>
            </w:pPr>
          </w:p>
        </w:tc>
        <w:tc>
          <w:tcPr>
            <w:tcW w:w="1494" w:type="dxa"/>
            <w:tcBorders>
              <w:top w:val="single" w:color="auto" w:sz="4" w:space="0"/>
              <w:left w:val="single" w:color="auto" w:sz="4" w:space="0"/>
              <w:bottom w:val="single" w:color="auto" w:sz="4" w:space="0"/>
              <w:right w:val="single" w:color="auto" w:sz="4" w:space="0"/>
            </w:tcBorders>
            <w:vAlign w:val="center"/>
          </w:tcPr>
          <w:p w14:paraId="0E9D5B2D">
            <w:pPr>
              <w:pStyle w:val="13"/>
              <w:spacing w:after="156"/>
              <w:ind w:firstLine="0"/>
              <w:rPr>
                <w:rFonts w:hint="eastAsia" w:hAnsi="宋体" w:cs="宋体"/>
                <w:color w:val="auto"/>
                <w:highlight w:val="none"/>
              </w:rPr>
            </w:pPr>
          </w:p>
        </w:tc>
      </w:tr>
    </w:tbl>
    <w:p w14:paraId="5F228BCC">
      <w:pPr>
        <w:snapToGrid w:val="0"/>
        <w:spacing w:after="120" w:afterLines="50" w:line="360" w:lineRule="exact"/>
        <w:jc w:val="center"/>
        <w:rPr>
          <w:rFonts w:hint="eastAsia" w:ascii="宋体" w:hAnsi="宋体" w:cs="宋体"/>
          <w:b/>
          <w:color w:val="auto"/>
          <w:sz w:val="24"/>
          <w:highlight w:val="none"/>
        </w:rPr>
      </w:pPr>
    </w:p>
    <w:p w14:paraId="4B59F3B7">
      <w:pPr>
        <w:snapToGrid w:val="0"/>
        <w:spacing w:after="120" w:afterLines="50" w:line="360" w:lineRule="exact"/>
        <w:jc w:val="left"/>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b/>
          <w:color w:val="auto"/>
          <w:sz w:val="24"/>
          <w:highlight w:val="none"/>
        </w:rPr>
        <w:t>类似（同类）业绩定义及证明材料要求以招标文件第四章 评标程序、评标方法和评标标准中“二、评标标准”为准。</w:t>
      </w:r>
    </w:p>
    <w:p w14:paraId="54E78ED1">
      <w:pPr>
        <w:snapToGrid w:val="0"/>
        <w:spacing w:after="120" w:afterLines="50" w:line="360" w:lineRule="exact"/>
        <w:jc w:val="left"/>
        <w:rPr>
          <w:rFonts w:hint="eastAsia" w:ascii="宋体" w:hAnsi="宋体" w:cs="宋体"/>
          <w:color w:val="auto"/>
          <w:sz w:val="24"/>
          <w:highlight w:val="none"/>
        </w:rPr>
      </w:pPr>
    </w:p>
    <w:p w14:paraId="525ED1E0">
      <w:pPr>
        <w:pStyle w:val="17"/>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供应商名称（盖章）：</w:t>
      </w:r>
    </w:p>
    <w:p w14:paraId="1AA65213">
      <w:pPr>
        <w:pStyle w:val="17"/>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日期： </w:t>
      </w:r>
    </w:p>
    <w:p w14:paraId="79A75241">
      <w:pPr>
        <w:widowControl/>
        <w:jc w:val="left"/>
        <w:rPr>
          <w:rFonts w:hint="eastAsia" w:ascii="宋体" w:hAnsi="宋体" w:cs="宋体"/>
          <w:color w:val="auto"/>
          <w:sz w:val="24"/>
          <w:highlight w:val="none"/>
          <w:u w:val="single"/>
        </w:rPr>
        <w:sectPr>
          <w:pgSz w:w="11905" w:h="16838"/>
          <w:pgMar w:top="1417" w:right="1701" w:bottom="1417" w:left="1701" w:header="1020" w:footer="850" w:gutter="0"/>
          <w:cols w:space="0" w:num="1"/>
          <w:rtlGutter w:val="0"/>
          <w:docGrid w:linePitch="0" w:charSpace="0"/>
        </w:sectPr>
      </w:pPr>
    </w:p>
    <w:p w14:paraId="230B8006">
      <w:pPr>
        <w:snapToGrid w:val="0"/>
        <w:spacing w:after="120" w:afterLines="50" w:line="360" w:lineRule="exact"/>
        <w:outlineLvl w:val="2"/>
        <w:rPr>
          <w:rFonts w:hint="eastAsia" w:ascii="宋体" w:hAnsi="宋体" w:cs="宋体"/>
          <w:b/>
          <w:color w:val="auto"/>
          <w:sz w:val="24"/>
          <w:highlight w:val="none"/>
        </w:rPr>
      </w:pPr>
      <w:r>
        <w:rPr>
          <w:rFonts w:hint="eastAsia" w:ascii="宋体" w:hAnsi="宋体" w:cs="宋体"/>
          <w:b/>
          <w:color w:val="auto"/>
          <w:sz w:val="24"/>
          <w:highlight w:val="none"/>
        </w:rPr>
        <w:t>9-3拟派项目团队成员一览表</w:t>
      </w:r>
    </w:p>
    <w:p w14:paraId="0B3B3C20">
      <w:pPr>
        <w:tabs>
          <w:tab w:val="left" w:pos="5580"/>
        </w:tabs>
        <w:snapToGrid w:val="0"/>
        <w:spacing w:after="120" w:afterLines="50" w:line="360" w:lineRule="exact"/>
        <w:ind w:left="-2" w:leftChars="-1"/>
        <w:jc w:val="center"/>
        <w:rPr>
          <w:rFonts w:hint="eastAsia" w:ascii="宋体" w:hAnsi="宋体" w:cs="宋体"/>
          <w:b/>
          <w:color w:val="auto"/>
          <w:sz w:val="24"/>
          <w:highlight w:val="none"/>
        </w:rPr>
      </w:pPr>
      <w:r>
        <w:rPr>
          <w:rFonts w:hint="eastAsia" w:ascii="宋体" w:hAnsi="宋体" w:cs="宋体"/>
          <w:b/>
          <w:color w:val="auto"/>
          <w:sz w:val="24"/>
          <w:highlight w:val="none"/>
        </w:rPr>
        <w:t>拟派项目团队成员一览表</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21"/>
        <w:gridCol w:w="781"/>
        <w:gridCol w:w="654"/>
        <w:gridCol w:w="1130"/>
        <w:gridCol w:w="1479"/>
        <w:gridCol w:w="1164"/>
        <w:gridCol w:w="1317"/>
        <w:gridCol w:w="1066"/>
      </w:tblGrid>
      <w:tr w14:paraId="204EE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44" w:type="dxa"/>
            <w:vAlign w:val="center"/>
          </w:tcPr>
          <w:p w14:paraId="7A7E5836">
            <w:pPr>
              <w:spacing w:after="0" w:line="240" w:lineRule="auto"/>
              <w:ind w:left="-67" w:right="-147"/>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021" w:type="dxa"/>
            <w:vAlign w:val="center"/>
          </w:tcPr>
          <w:p w14:paraId="5C0AFF7C">
            <w:pPr>
              <w:spacing w:after="0" w:line="240" w:lineRule="auto"/>
              <w:ind w:left="-67" w:right="-147"/>
              <w:jc w:val="center"/>
              <w:rPr>
                <w:rFonts w:hint="eastAsia" w:ascii="宋体" w:hAnsi="宋体" w:cs="宋体"/>
                <w:color w:val="auto"/>
                <w:sz w:val="24"/>
                <w:highlight w:val="none"/>
              </w:rPr>
            </w:pPr>
            <w:r>
              <w:rPr>
                <w:rFonts w:hint="eastAsia" w:ascii="宋体" w:hAnsi="宋体" w:cs="宋体"/>
                <w:color w:val="auto"/>
                <w:sz w:val="24"/>
                <w:highlight w:val="none"/>
              </w:rPr>
              <w:t>姓名</w:t>
            </w:r>
          </w:p>
        </w:tc>
        <w:tc>
          <w:tcPr>
            <w:tcW w:w="781" w:type="dxa"/>
            <w:vAlign w:val="center"/>
          </w:tcPr>
          <w:p w14:paraId="2CF8193B">
            <w:pPr>
              <w:spacing w:after="0" w:line="240" w:lineRule="auto"/>
              <w:ind w:left="-67" w:right="-147"/>
              <w:jc w:val="center"/>
              <w:rPr>
                <w:rFonts w:hint="eastAsia" w:ascii="宋体" w:hAnsi="宋体" w:cs="宋体"/>
                <w:color w:val="auto"/>
                <w:sz w:val="24"/>
                <w:highlight w:val="none"/>
              </w:rPr>
            </w:pPr>
            <w:r>
              <w:rPr>
                <w:rFonts w:hint="eastAsia" w:ascii="宋体" w:hAnsi="宋体" w:cs="宋体"/>
                <w:color w:val="auto"/>
                <w:sz w:val="24"/>
                <w:highlight w:val="none"/>
              </w:rPr>
              <w:t>性别</w:t>
            </w:r>
          </w:p>
        </w:tc>
        <w:tc>
          <w:tcPr>
            <w:tcW w:w="654" w:type="dxa"/>
            <w:vAlign w:val="center"/>
          </w:tcPr>
          <w:p w14:paraId="44ECB676">
            <w:pPr>
              <w:spacing w:after="0" w:line="240" w:lineRule="auto"/>
              <w:ind w:left="-67" w:right="-147"/>
              <w:jc w:val="center"/>
              <w:rPr>
                <w:rFonts w:hint="eastAsia" w:ascii="宋体" w:hAnsi="宋体" w:cs="宋体"/>
                <w:color w:val="auto"/>
                <w:sz w:val="24"/>
                <w:highlight w:val="none"/>
              </w:rPr>
            </w:pPr>
            <w:r>
              <w:rPr>
                <w:rFonts w:hint="eastAsia" w:ascii="宋体" w:hAnsi="宋体" w:cs="宋体"/>
                <w:color w:val="auto"/>
                <w:sz w:val="24"/>
                <w:highlight w:val="none"/>
              </w:rPr>
              <w:t>年龄</w:t>
            </w:r>
          </w:p>
        </w:tc>
        <w:tc>
          <w:tcPr>
            <w:tcW w:w="1130" w:type="dxa"/>
            <w:vAlign w:val="center"/>
          </w:tcPr>
          <w:p w14:paraId="4820B864">
            <w:pPr>
              <w:spacing w:after="0" w:line="240" w:lineRule="auto"/>
              <w:ind w:left="-67" w:right="-147"/>
              <w:jc w:val="center"/>
              <w:rPr>
                <w:rFonts w:hint="eastAsia" w:ascii="宋体" w:hAnsi="宋体" w:cs="宋体"/>
                <w:color w:val="auto"/>
                <w:sz w:val="24"/>
                <w:highlight w:val="none"/>
              </w:rPr>
            </w:pPr>
            <w:r>
              <w:rPr>
                <w:rFonts w:hint="eastAsia" w:ascii="宋体" w:hAnsi="宋体" w:cs="宋体"/>
                <w:color w:val="auto"/>
                <w:sz w:val="24"/>
                <w:highlight w:val="none"/>
              </w:rPr>
              <w:t>学历和专业</w:t>
            </w:r>
          </w:p>
        </w:tc>
        <w:tc>
          <w:tcPr>
            <w:tcW w:w="1479" w:type="dxa"/>
            <w:vAlign w:val="center"/>
          </w:tcPr>
          <w:p w14:paraId="2A4EA0E8">
            <w:pPr>
              <w:spacing w:after="0" w:line="240" w:lineRule="auto"/>
              <w:ind w:left="-67" w:right="-147"/>
              <w:jc w:val="center"/>
              <w:rPr>
                <w:rFonts w:hint="eastAsia" w:ascii="宋体" w:hAnsi="宋体" w:cs="宋体"/>
                <w:color w:val="auto"/>
                <w:sz w:val="24"/>
                <w:highlight w:val="none"/>
              </w:rPr>
            </w:pPr>
            <w:r>
              <w:rPr>
                <w:rFonts w:hint="eastAsia" w:ascii="宋体" w:hAnsi="宋体" w:cs="宋体"/>
                <w:color w:val="auto"/>
                <w:sz w:val="24"/>
                <w:highlight w:val="none"/>
              </w:rPr>
              <w:t>专业技术职称和执业资格</w:t>
            </w:r>
          </w:p>
        </w:tc>
        <w:tc>
          <w:tcPr>
            <w:tcW w:w="1164" w:type="dxa"/>
            <w:vAlign w:val="center"/>
          </w:tcPr>
          <w:p w14:paraId="257FB030">
            <w:pPr>
              <w:spacing w:after="0" w:line="240" w:lineRule="auto"/>
              <w:ind w:left="-67" w:right="-147"/>
              <w:jc w:val="center"/>
              <w:rPr>
                <w:rFonts w:hint="eastAsia" w:ascii="宋体" w:hAnsi="宋体" w:cs="宋体"/>
                <w:color w:val="auto"/>
                <w:sz w:val="24"/>
                <w:highlight w:val="none"/>
              </w:rPr>
            </w:pPr>
            <w:r>
              <w:rPr>
                <w:rFonts w:hint="eastAsia" w:ascii="宋体" w:hAnsi="宋体" w:cs="宋体"/>
                <w:color w:val="auto"/>
                <w:sz w:val="24"/>
                <w:highlight w:val="none"/>
              </w:rPr>
              <w:t>从业年限</w:t>
            </w:r>
          </w:p>
        </w:tc>
        <w:tc>
          <w:tcPr>
            <w:tcW w:w="1317" w:type="dxa"/>
            <w:vAlign w:val="center"/>
          </w:tcPr>
          <w:p w14:paraId="2E96D4FD">
            <w:pPr>
              <w:spacing w:after="0" w:line="240" w:lineRule="auto"/>
              <w:ind w:left="-67" w:right="-147"/>
              <w:jc w:val="center"/>
              <w:rPr>
                <w:rFonts w:hint="eastAsia" w:ascii="宋体" w:hAnsi="宋体" w:cs="宋体"/>
                <w:color w:val="auto"/>
                <w:sz w:val="24"/>
                <w:highlight w:val="none"/>
              </w:rPr>
            </w:pPr>
            <w:r>
              <w:rPr>
                <w:rFonts w:hint="eastAsia" w:ascii="宋体" w:hAnsi="宋体" w:cs="宋体"/>
                <w:color w:val="auto"/>
                <w:sz w:val="24"/>
                <w:highlight w:val="none"/>
              </w:rPr>
              <w:t>拟在本项目中担任的职务</w:t>
            </w:r>
          </w:p>
        </w:tc>
        <w:tc>
          <w:tcPr>
            <w:tcW w:w="1066" w:type="dxa"/>
            <w:vAlign w:val="center"/>
          </w:tcPr>
          <w:p w14:paraId="6B75C68C">
            <w:pPr>
              <w:spacing w:after="0" w:line="240" w:lineRule="auto"/>
              <w:ind w:left="-67" w:right="-147"/>
              <w:jc w:val="center"/>
              <w:rPr>
                <w:rFonts w:hint="eastAsia" w:ascii="宋体" w:hAnsi="宋体" w:cs="宋体"/>
                <w:color w:val="auto"/>
                <w:sz w:val="24"/>
                <w:highlight w:val="none"/>
              </w:rPr>
            </w:pPr>
            <w:r>
              <w:rPr>
                <w:rFonts w:hint="eastAsia" w:ascii="宋体" w:hAnsi="宋体" w:cs="宋体"/>
                <w:color w:val="auto"/>
                <w:sz w:val="24"/>
                <w:highlight w:val="none"/>
              </w:rPr>
              <w:t>参加同类型项目情况</w:t>
            </w:r>
          </w:p>
        </w:tc>
      </w:tr>
      <w:tr w14:paraId="50413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44" w:type="dxa"/>
            <w:vAlign w:val="center"/>
          </w:tcPr>
          <w:p w14:paraId="0DA08487">
            <w:pPr>
              <w:spacing w:after="0" w:line="240" w:lineRule="auto"/>
              <w:ind w:left="-67" w:right="-147"/>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021" w:type="dxa"/>
            <w:vAlign w:val="center"/>
          </w:tcPr>
          <w:p w14:paraId="6208DED8">
            <w:pPr>
              <w:spacing w:before="156" w:after="84"/>
              <w:ind w:left="-32" w:right="-70"/>
              <w:jc w:val="center"/>
              <w:rPr>
                <w:rFonts w:hint="eastAsia" w:ascii="宋体" w:hAnsi="宋体" w:cs="宋体"/>
                <w:color w:val="auto"/>
                <w:sz w:val="24"/>
                <w:highlight w:val="none"/>
              </w:rPr>
            </w:pPr>
          </w:p>
        </w:tc>
        <w:tc>
          <w:tcPr>
            <w:tcW w:w="781" w:type="dxa"/>
            <w:vAlign w:val="center"/>
          </w:tcPr>
          <w:p w14:paraId="095A0054">
            <w:pPr>
              <w:spacing w:before="156" w:after="84"/>
              <w:ind w:left="-32" w:right="-70"/>
              <w:jc w:val="center"/>
              <w:rPr>
                <w:rFonts w:hint="eastAsia" w:ascii="宋体" w:hAnsi="宋体" w:cs="宋体"/>
                <w:color w:val="auto"/>
                <w:sz w:val="24"/>
                <w:highlight w:val="none"/>
              </w:rPr>
            </w:pPr>
          </w:p>
        </w:tc>
        <w:tc>
          <w:tcPr>
            <w:tcW w:w="654" w:type="dxa"/>
            <w:vAlign w:val="center"/>
          </w:tcPr>
          <w:p w14:paraId="5CCB53A8">
            <w:pPr>
              <w:spacing w:before="156" w:after="84"/>
              <w:ind w:left="-32" w:right="-70"/>
              <w:jc w:val="center"/>
              <w:rPr>
                <w:rFonts w:hint="eastAsia" w:ascii="宋体" w:hAnsi="宋体" w:cs="宋体"/>
                <w:color w:val="auto"/>
                <w:sz w:val="24"/>
                <w:highlight w:val="none"/>
              </w:rPr>
            </w:pPr>
          </w:p>
        </w:tc>
        <w:tc>
          <w:tcPr>
            <w:tcW w:w="1130" w:type="dxa"/>
            <w:vAlign w:val="center"/>
          </w:tcPr>
          <w:p w14:paraId="7F553642">
            <w:pPr>
              <w:spacing w:before="156" w:after="84"/>
              <w:ind w:left="-32" w:right="-70"/>
              <w:jc w:val="center"/>
              <w:rPr>
                <w:rFonts w:hint="eastAsia" w:ascii="宋体" w:hAnsi="宋体" w:cs="宋体"/>
                <w:color w:val="auto"/>
                <w:sz w:val="24"/>
                <w:highlight w:val="none"/>
              </w:rPr>
            </w:pPr>
          </w:p>
        </w:tc>
        <w:tc>
          <w:tcPr>
            <w:tcW w:w="1479" w:type="dxa"/>
            <w:vAlign w:val="center"/>
          </w:tcPr>
          <w:p w14:paraId="030F8734">
            <w:pPr>
              <w:spacing w:before="156" w:after="84"/>
              <w:ind w:left="-32" w:right="-70"/>
              <w:jc w:val="center"/>
              <w:rPr>
                <w:rFonts w:hint="eastAsia" w:ascii="宋体" w:hAnsi="宋体" w:cs="宋体"/>
                <w:color w:val="auto"/>
                <w:sz w:val="24"/>
                <w:highlight w:val="none"/>
              </w:rPr>
            </w:pPr>
          </w:p>
        </w:tc>
        <w:tc>
          <w:tcPr>
            <w:tcW w:w="1164" w:type="dxa"/>
            <w:vAlign w:val="center"/>
          </w:tcPr>
          <w:p w14:paraId="05C287DF">
            <w:pPr>
              <w:spacing w:before="156" w:after="84"/>
              <w:ind w:left="-32" w:right="-70"/>
              <w:jc w:val="center"/>
              <w:rPr>
                <w:rFonts w:hint="eastAsia" w:ascii="宋体" w:hAnsi="宋体" w:cs="宋体"/>
                <w:color w:val="auto"/>
                <w:sz w:val="24"/>
                <w:highlight w:val="none"/>
              </w:rPr>
            </w:pPr>
          </w:p>
        </w:tc>
        <w:tc>
          <w:tcPr>
            <w:tcW w:w="1317" w:type="dxa"/>
            <w:vAlign w:val="center"/>
          </w:tcPr>
          <w:p w14:paraId="12E32F6A">
            <w:pPr>
              <w:spacing w:before="156" w:after="84"/>
              <w:ind w:left="-32" w:right="-70"/>
              <w:jc w:val="center"/>
              <w:rPr>
                <w:rFonts w:hint="eastAsia" w:ascii="宋体" w:hAnsi="宋体" w:cs="宋体"/>
                <w:color w:val="auto"/>
                <w:sz w:val="24"/>
                <w:highlight w:val="none"/>
              </w:rPr>
            </w:pPr>
          </w:p>
        </w:tc>
        <w:tc>
          <w:tcPr>
            <w:tcW w:w="1066" w:type="dxa"/>
            <w:vAlign w:val="center"/>
          </w:tcPr>
          <w:p w14:paraId="309E9EDC">
            <w:pPr>
              <w:spacing w:after="0" w:line="240" w:lineRule="auto"/>
              <w:ind w:left="-67" w:right="-147"/>
              <w:jc w:val="center"/>
              <w:rPr>
                <w:rFonts w:hint="eastAsia" w:ascii="宋体" w:hAnsi="宋体" w:cs="宋体"/>
                <w:color w:val="auto"/>
                <w:sz w:val="24"/>
                <w:highlight w:val="none"/>
              </w:rPr>
            </w:pPr>
          </w:p>
        </w:tc>
      </w:tr>
      <w:tr w14:paraId="7490A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44" w:type="dxa"/>
            <w:vAlign w:val="center"/>
          </w:tcPr>
          <w:p w14:paraId="7042FE3D">
            <w:pPr>
              <w:spacing w:before="156" w:after="84"/>
              <w:ind w:left="-32" w:right="-70"/>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021" w:type="dxa"/>
            <w:vAlign w:val="center"/>
          </w:tcPr>
          <w:p w14:paraId="55206065">
            <w:pPr>
              <w:spacing w:before="156" w:after="84"/>
              <w:ind w:left="-32" w:right="-70"/>
              <w:jc w:val="center"/>
              <w:rPr>
                <w:rFonts w:hint="eastAsia" w:ascii="宋体" w:hAnsi="宋体" w:cs="宋体"/>
                <w:color w:val="auto"/>
                <w:sz w:val="24"/>
                <w:highlight w:val="none"/>
              </w:rPr>
            </w:pPr>
          </w:p>
        </w:tc>
        <w:tc>
          <w:tcPr>
            <w:tcW w:w="781" w:type="dxa"/>
            <w:vAlign w:val="center"/>
          </w:tcPr>
          <w:p w14:paraId="561EF4CE">
            <w:pPr>
              <w:spacing w:before="156" w:after="84"/>
              <w:ind w:left="-32" w:right="-70"/>
              <w:jc w:val="center"/>
              <w:rPr>
                <w:rFonts w:hint="eastAsia" w:ascii="宋体" w:hAnsi="宋体" w:cs="宋体"/>
                <w:color w:val="auto"/>
                <w:sz w:val="24"/>
                <w:highlight w:val="none"/>
              </w:rPr>
            </w:pPr>
          </w:p>
        </w:tc>
        <w:tc>
          <w:tcPr>
            <w:tcW w:w="654" w:type="dxa"/>
            <w:vAlign w:val="center"/>
          </w:tcPr>
          <w:p w14:paraId="7CA2752C">
            <w:pPr>
              <w:spacing w:before="156" w:after="84"/>
              <w:ind w:left="-32" w:right="-70"/>
              <w:jc w:val="center"/>
              <w:rPr>
                <w:rFonts w:hint="eastAsia" w:ascii="宋体" w:hAnsi="宋体" w:cs="宋体"/>
                <w:color w:val="auto"/>
                <w:sz w:val="24"/>
                <w:highlight w:val="none"/>
              </w:rPr>
            </w:pPr>
          </w:p>
        </w:tc>
        <w:tc>
          <w:tcPr>
            <w:tcW w:w="1130" w:type="dxa"/>
            <w:vAlign w:val="center"/>
          </w:tcPr>
          <w:p w14:paraId="7F76203A">
            <w:pPr>
              <w:spacing w:before="156" w:after="84"/>
              <w:ind w:left="-32" w:right="-70"/>
              <w:jc w:val="center"/>
              <w:rPr>
                <w:rFonts w:hint="eastAsia" w:ascii="宋体" w:hAnsi="宋体" w:cs="宋体"/>
                <w:color w:val="auto"/>
                <w:sz w:val="24"/>
                <w:highlight w:val="none"/>
              </w:rPr>
            </w:pPr>
          </w:p>
        </w:tc>
        <w:tc>
          <w:tcPr>
            <w:tcW w:w="1479" w:type="dxa"/>
            <w:vAlign w:val="center"/>
          </w:tcPr>
          <w:p w14:paraId="71BF4C06">
            <w:pPr>
              <w:spacing w:before="156" w:after="84"/>
              <w:ind w:left="-32" w:right="-70"/>
              <w:jc w:val="center"/>
              <w:rPr>
                <w:rFonts w:hint="eastAsia" w:ascii="宋体" w:hAnsi="宋体" w:cs="宋体"/>
                <w:color w:val="auto"/>
                <w:sz w:val="24"/>
                <w:highlight w:val="none"/>
              </w:rPr>
            </w:pPr>
          </w:p>
        </w:tc>
        <w:tc>
          <w:tcPr>
            <w:tcW w:w="1164" w:type="dxa"/>
            <w:vAlign w:val="center"/>
          </w:tcPr>
          <w:p w14:paraId="52D4853A">
            <w:pPr>
              <w:spacing w:before="156" w:after="84"/>
              <w:ind w:left="-32" w:right="-70"/>
              <w:jc w:val="center"/>
              <w:rPr>
                <w:rFonts w:hint="eastAsia" w:ascii="宋体" w:hAnsi="宋体" w:cs="宋体"/>
                <w:color w:val="auto"/>
                <w:sz w:val="24"/>
                <w:highlight w:val="none"/>
              </w:rPr>
            </w:pPr>
          </w:p>
        </w:tc>
        <w:tc>
          <w:tcPr>
            <w:tcW w:w="1317" w:type="dxa"/>
            <w:vAlign w:val="center"/>
          </w:tcPr>
          <w:p w14:paraId="3E07F66F">
            <w:pPr>
              <w:spacing w:before="156" w:after="84"/>
              <w:ind w:left="-32" w:right="-70"/>
              <w:jc w:val="center"/>
              <w:rPr>
                <w:rFonts w:hint="eastAsia" w:ascii="宋体" w:hAnsi="宋体" w:cs="宋体"/>
                <w:color w:val="auto"/>
                <w:sz w:val="24"/>
                <w:highlight w:val="none"/>
              </w:rPr>
            </w:pPr>
          </w:p>
        </w:tc>
        <w:tc>
          <w:tcPr>
            <w:tcW w:w="1066" w:type="dxa"/>
            <w:vAlign w:val="center"/>
          </w:tcPr>
          <w:p w14:paraId="5285DD89">
            <w:pPr>
              <w:spacing w:before="156" w:after="84"/>
              <w:ind w:left="-32" w:right="-70"/>
              <w:jc w:val="center"/>
              <w:rPr>
                <w:rFonts w:hint="eastAsia" w:ascii="宋体" w:hAnsi="宋体" w:cs="宋体"/>
                <w:color w:val="auto"/>
                <w:sz w:val="24"/>
                <w:highlight w:val="none"/>
              </w:rPr>
            </w:pPr>
          </w:p>
        </w:tc>
      </w:tr>
      <w:tr w14:paraId="28984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44" w:type="dxa"/>
            <w:vAlign w:val="center"/>
          </w:tcPr>
          <w:p w14:paraId="6CB476EE">
            <w:pPr>
              <w:spacing w:before="156" w:after="84"/>
              <w:ind w:left="-32" w:right="-70"/>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021" w:type="dxa"/>
            <w:vAlign w:val="center"/>
          </w:tcPr>
          <w:p w14:paraId="624367B1">
            <w:pPr>
              <w:spacing w:before="156" w:after="84"/>
              <w:ind w:right="-70"/>
              <w:jc w:val="center"/>
              <w:rPr>
                <w:rFonts w:hint="eastAsia" w:ascii="宋体" w:hAnsi="宋体" w:cs="宋体"/>
                <w:color w:val="auto"/>
                <w:sz w:val="24"/>
                <w:highlight w:val="none"/>
              </w:rPr>
            </w:pPr>
          </w:p>
        </w:tc>
        <w:tc>
          <w:tcPr>
            <w:tcW w:w="781" w:type="dxa"/>
            <w:vAlign w:val="center"/>
          </w:tcPr>
          <w:p w14:paraId="4EEDEC68">
            <w:pPr>
              <w:spacing w:before="156" w:after="84"/>
              <w:ind w:left="-32" w:right="-70"/>
              <w:jc w:val="center"/>
              <w:rPr>
                <w:rFonts w:hint="eastAsia" w:ascii="宋体" w:hAnsi="宋体" w:cs="宋体"/>
                <w:color w:val="auto"/>
                <w:sz w:val="24"/>
                <w:highlight w:val="none"/>
              </w:rPr>
            </w:pPr>
          </w:p>
        </w:tc>
        <w:tc>
          <w:tcPr>
            <w:tcW w:w="654" w:type="dxa"/>
            <w:vAlign w:val="center"/>
          </w:tcPr>
          <w:p w14:paraId="18933C55">
            <w:pPr>
              <w:spacing w:before="156" w:after="84"/>
              <w:ind w:left="-32" w:right="-70"/>
              <w:jc w:val="center"/>
              <w:rPr>
                <w:rFonts w:hint="eastAsia" w:ascii="宋体" w:hAnsi="宋体" w:cs="宋体"/>
                <w:color w:val="auto"/>
                <w:sz w:val="24"/>
                <w:highlight w:val="none"/>
              </w:rPr>
            </w:pPr>
          </w:p>
        </w:tc>
        <w:tc>
          <w:tcPr>
            <w:tcW w:w="1130" w:type="dxa"/>
            <w:vAlign w:val="center"/>
          </w:tcPr>
          <w:p w14:paraId="637E4798">
            <w:pPr>
              <w:spacing w:before="156" w:after="84"/>
              <w:ind w:left="-32" w:right="-70"/>
              <w:jc w:val="center"/>
              <w:rPr>
                <w:rFonts w:hint="eastAsia" w:ascii="宋体" w:hAnsi="宋体" w:cs="宋体"/>
                <w:color w:val="auto"/>
                <w:sz w:val="24"/>
                <w:highlight w:val="none"/>
              </w:rPr>
            </w:pPr>
          </w:p>
        </w:tc>
        <w:tc>
          <w:tcPr>
            <w:tcW w:w="1479" w:type="dxa"/>
            <w:vAlign w:val="center"/>
          </w:tcPr>
          <w:p w14:paraId="7E8D6D54">
            <w:pPr>
              <w:spacing w:before="156" w:after="84"/>
              <w:ind w:left="-32" w:right="-70"/>
              <w:jc w:val="center"/>
              <w:rPr>
                <w:rFonts w:hint="eastAsia" w:ascii="宋体" w:hAnsi="宋体" w:cs="宋体"/>
                <w:color w:val="auto"/>
                <w:sz w:val="24"/>
                <w:highlight w:val="none"/>
              </w:rPr>
            </w:pPr>
          </w:p>
        </w:tc>
        <w:tc>
          <w:tcPr>
            <w:tcW w:w="1164" w:type="dxa"/>
            <w:vAlign w:val="center"/>
          </w:tcPr>
          <w:p w14:paraId="12A82AED">
            <w:pPr>
              <w:spacing w:before="156" w:after="84"/>
              <w:ind w:left="-32" w:right="-70"/>
              <w:jc w:val="center"/>
              <w:rPr>
                <w:rFonts w:hint="eastAsia" w:ascii="宋体" w:hAnsi="宋体" w:cs="宋体"/>
                <w:color w:val="auto"/>
                <w:sz w:val="24"/>
                <w:highlight w:val="none"/>
              </w:rPr>
            </w:pPr>
          </w:p>
        </w:tc>
        <w:tc>
          <w:tcPr>
            <w:tcW w:w="1317" w:type="dxa"/>
            <w:vAlign w:val="center"/>
          </w:tcPr>
          <w:p w14:paraId="58837FDE">
            <w:pPr>
              <w:spacing w:before="156" w:after="84"/>
              <w:ind w:left="-32" w:right="-70"/>
              <w:jc w:val="center"/>
              <w:rPr>
                <w:rFonts w:hint="eastAsia" w:ascii="宋体" w:hAnsi="宋体" w:cs="宋体"/>
                <w:color w:val="auto"/>
                <w:sz w:val="24"/>
                <w:highlight w:val="none"/>
              </w:rPr>
            </w:pPr>
          </w:p>
        </w:tc>
        <w:tc>
          <w:tcPr>
            <w:tcW w:w="1066" w:type="dxa"/>
            <w:vAlign w:val="center"/>
          </w:tcPr>
          <w:p w14:paraId="47CD4336">
            <w:pPr>
              <w:spacing w:before="156" w:after="84"/>
              <w:ind w:left="-32" w:right="-70"/>
              <w:jc w:val="center"/>
              <w:rPr>
                <w:rFonts w:hint="eastAsia" w:ascii="宋体" w:hAnsi="宋体" w:cs="宋体"/>
                <w:color w:val="auto"/>
                <w:sz w:val="24"/>
                <w:highlight w:val="none"/>
              </w:rPr>
            </w:pPr>
          </w:p>
        </w:tc>
      </w:tr>
      <w:tr w14:paraId="41CB7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44" w:type="dxa"/>
            <w:vAlign w:val="center"/>
          </w:tcPr>
          <w:p w14:paraId="74ECC480">
            <w:pPr>
              <w:spacing w:before="156" w:after="84"/>
              <w:ind w:left="-32" w:right="-70"/>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021" w:type="dxa"/>
            <w:vAlign w:val="center"/>
          </w:tcPr>
          <w:p w14:paraId="3A3B5FB5">
            <w:pPr>
              <w:spacing w:before="156" w:after="84"/>
              <w:ind w:left="-32" w:right="-70"/>
              <w:jc w:val="center"/>
              <w:rPr>
                <w:rFonts w:hint="eastAsia" w:ascii="宋体" w:hAnsi="宋体" w:cs="宋体"/>
                <w:color w:val="auto"/>
                <w:sz w:val="24"/>
                <w:highlight w:val="none"/>
              </w:rPr>
            </w:pPr>
          </w:p>
        </w:tc>
        <w:tc>
          <w:tcPr>
            <w:tcW w:w="781" w:type="dxa"/>
            <w:vAlign w:val="center"/>
          </w:tcPr>
          <w:p w14:paraId="12D36A50">
            <w:pPr>
              <w:spacing w:before="156" w:after="84"/>
              <w:ind w:left="-32" w:right="-70"/>
              <w:jc w:val="center"/>
              <w:rPr>
                <w:rFonts w:hint="eastAsia" w:ascii="宋体" w:hAnsi="宋体" w:cs="宋体"/>
                <w:color w:val="auto"/>
                <w:sz w:val="24"/>
                <w:highlight w:val="none"/>
              </w:rPr>
            </w:pPr>
          </w:p>
        </w:tc>
        <w:tc>
          <w:tcPr>
            <w:tcW w:w="654" w:type="dxa"/>
            <w:vAlign w:val="center"/>
          </w:tcPr>
          <w:p w14:paraId="53A24472">
            <w:pPr>
              <w:spacing w:before="156" w:after="84"/>
              <w:ind w:left="-32" w:right="-70"/>
              <w:jc w:val="center"/>
              <w:rPr>
                <w:rFonts w:hint="eastAsia" w:ascii="宋体" w:hAnsi="宋体" w:cs="宋体"/>
                <w:color w:val="auto"/>
                <w:sz w:val="24"/>
                <w:highlight w:val="none"/>
              </w:rPr>
            </w:pPr>
          </w:p>
        </w:tc>
        <w:tc>
          <w:tcPr>
            <w:tcW w:w="1130" w:type="dxa"/>
            <w:vAlign w:val="center"/>
          </w:tcPr>
          <w:p w14:paraId="1328AAE6">
            <w:pPr>
              <w:spacing w:before="156" w:after="84"/>
              <w:ind w:left="-32" w:right="-70"/>
              <w:jc w:val="center"/>
              <w:rPr>
                <w:rFonts w:hint="eastAsia" w:ascii="宋体" w:hAnsi="宋体" w:cs="宋体"/>
                <w:color w:val="auto"/>
                <w:sz w:val="24"/>
                <w:highlight w:val="none"/>
              </w:rPr>
            </w:pPr>
          </w:p>
        </w:tc>
        <w:tc>
          <w:tcPr>
            <w:tcW w:w="1479" w:type="dxa"/>
            <w:vAlign w:val="center"/>
          </w:tcPr>
          <w:p w14:paraId="1A30F919">
            <w:pPr>
              <w:spacing w:before="156" w:after="84"/>
              <w:ind w:left="-32" w:right="-70"/>
              <w:jc w:val="center"/>
              <w:rPr>
                <w:rFonts w:hint="eastAsia" w:ascii="宋体" w:hAnsi="宋体" w:cs="宋体"/>
                <w:color w:val="auto"/>
                <w:sz w:val="24"/>
                <w:highlight w:val="none"/>
              </w:rPr>
            </w:pPr>
          </w:p>
        </w:tc>
        <w:tc>
          <w:tcPr>
            <w:tcW w:w="1164" w:type="dxa"/>
            <w:vAlign w:val="center"/>
          </w:tcPr>
          <w:p w14:paraId="63D0E8C1">
            <w:pPr>
              <w:spacing w:before="156" w:after="84"/>
              <w:ind w:left="-32" w:right="-70"/>
              <w:jc w:val="center"/>
              <w:rPr>
                <w:rFonts w:hint="eastAsia" w:ascii="宋体" w:hAnsi="宋体" w:cs="宋体"/>
                <w:color w:val="auto"/>
                <w:sz w:val="24"/>
                <w:highlight w:val="none"/>
              </w:rPr>
            </w:pPr>
          </w:p>
        </w:tc>
        <w:tc>
          <w:tcPr>
            <w:tcW w:w="1317" w:type="dxa"/>
            <w:vAlign w:val="center"/>
          </w:tcPr>
          <w:p w14:paraId="607E288D">
            <w:pPr>
              <w:spacing w:before="156" w:after="84"/>
              <w:ind w:left="-32" w:right="-70"/>
              <w:jc w:val="center"/>
              <w:rPr>
                <w:rFonts w:hint="eastAsia" w:ascii="宋体" w:hAnsi="宋体" w:cs="宋体"/>
                <w:color w:val="auto"/>
                <w:sz w:val="24"/>
                <w:highlight w:val="none"/>
              </w:rPr>
            </w:pPr>
          </w:p>
        </w:tc>
        <w:tc>
          <w:tcPr>
            <w:tcW w:w="1066" w:type="dxa"/>
            <w:vAlign w:val="center"/>
          </w:tcPr>
          <w:p w14:paraId="62E68D66">
            <w:pPr>
              <w:spacing w:before="156" w:after="84"/>
              <w:ind w:left="-32" w:right="-70"/>
              <w:jc w:val="center"/>
              <w:rPr>
                <w:rFonts w:hint="eastAsia" w:ascii="宋体" w:hAnsi="宋体" w:cs="宋体"/>
                <w:color w:val="auto"/>
                <w:sz w:val="24"/>
                <w:highlight w:val="none"/>
              </w:rPr>
            </w:pPr>
          </w:p>
        </w:tc>
      </w:tr>
      <w:tr w14:paraId="0EE54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44" w:type="dxa"/>
            <w:vAlign w:val="center"/>
          </w:tcPr>
          <w:p w14:paraId="36795959">
            <w:pPr>
              <w:spacing w:before="156" w:after="84"/>
              <w:ind w:left="-32" w:right="-70"/>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021" w:type="dxa"/>
            <w:vAlign w:val="center"/>
          </w:tcPr>
          <w:p w14:paraId="686586E4">
            <w:pPr>
              <w:spacing w:before="156" w:after="84"/>
              <w:ind w:left="-32" w:right="-70"/>
              <w:jc w:val="center"/>
              <w:rPr>
                <w:rFonts w:hint="eastAsia" w:ascii="宋体" w:hAnsi="宋体" w:cs="宋体"/>
                <w:color w:val="auto"/>
                <w:sz w:val="24"/>
                <w:highlight w:val="none"/>
              </w:rPr>
            </w:pPr>
          </w:p>
        </w:tc>
        <w:tc>
          <w:tcPr>
            <w:tcW w:w="781" w:type="dxa"/>
            <w:vAlign w:val="center"/>
          </w:tcPr>
          <w:p w14:paraId="19F4D7AF">
            <w:pPr>
              <w:spacing w:before="156" w:after="84"/>
              <w:ind w:left="-32" w:right="-70"/>
              <w:jc w:val="center"/>
              <w:rPr>
                <w:rFonts w:hint="eastAsia" w:ascii="宋体" w:hAnsi="宋体" w:cs="宋体"/>
                <w:color w:val="auto"/>
                <w:sz w:val="24"/>
                <w:highlight w:val="none"/>
              </w:rPr>
            </w:pPr>
          </w:p>
        </w:tc>
        <w:tc>
          <w:tcPr>
            <w:tcW w:w="654" w:type="dxa"/>
            <w:vAlign w:val="center"/>
          </w:tcPr>
          <w:p w14:paraId="61031BE7">
            <w:pPr>
              <w:spacing w:before="156" w:after="84"/>
              <w:ind w:right="-70"/>
              <w:jc w:val="center"/>
              <w:rPr>
                <w:rFonts w:hint="eastAsia" w:ascii="宋体" w:hAnsi="宋体" w:cs="宋体"/>
                <w:color w:val="auto"/>
                <w:sz w:val="24"/>
                <w:highlight w:val="none"/>
              </w:rPr>
            </w:pPr>
          </w:p>
        </w:tc>
        <w:tc>
          <w:tcPr>
            <w:tcW w:w="1130" w:type="dxa"/>
            <w:vAlign w:val="center"/>
          </w:tcPr>
          <w:p w14:paraId="4F526A1F">
            <w:pPr>
              <w:spacing w:before="156" w:after="84"/>
              <w:ind w:left="-32" w:right="-70"/>
              <w:jc w:val="center"/>
              <w:rPr>
                <w:rFonts w:hint="eastAsia" w:ascii="宋体" w:hAnsi="宋体" w:cs="宋体"/>
                <w:color w:val="auto"/>
                <w:sz w:val="24"/>
                <w:highlight w:val="none"/>
              </w:rPr>
            </w:pPr>
          </w:p>
        </w:tc>
        <w:tc>
          <w:tcPr>
            <w:tcW w:w="1479" w:type="dxa"/>
            <w:vAlign w:val="center"/>
          </w:tcPr>
          <w:p w14:paraId="27BE151C">
            <w:pPr>
              <w:spacing w:before="156" w:after="84"/>
              <w:ind w:left="-32" w:right="-70"/>
              <w:jc w:val="center"/>
              <w:rPr>
                <w:rFonts w:hint="eastAsia" w:ascii="宋体" w:hAnsi="宋体" w:cs="宋体"/>
                <w:color w:val="auto"/>
                <w:sz w:val="24"/>
                <w:highlight w:val="none"/>
              </w:rPr>
            </w:pPr>
          </w:p>
        </w:tc>
        <w:tc>
          <w:tcPr>
            <w:tcW w:w="1164" w:type="dxa"/>
            <w:vAlign w:val="center"/>
          </w:tcPr>
          <w:p w14:paraId="423C9196">
            <w:pPr>
              <w:spacing w:before="156" w:after="84"/>
              <w:ind w:left="-32" w:right="-70"/>
              <w:jc w:val="center"/>
              <w:rPr>
                <w:rFonts w:hint="eastAsia" w:ascii="宋体" w:hAnsi="宋体" w:cs="宋体"/>
                <w:color w:val="auto"/>
                <w:sz w:val="24"/>
                <w:highlight w:val="none"/>
              </w:rPr>
            </w:pPr>
          </w:p>
        </w:tc>
        <w:tc>
          <w:tcPr>
            <w:tcW w:w="1317" w:type="dxa"/>
            <w:vAlign w:val="center"/>
          </w:tcPr>
          <w:p w14:paraId="28AA0D19">
            <w:pPr>
              <w:spacing w:before="156" w:after="84"/>
              <w:ind w:left="-32" w:right="-70"/>
              <w:jc w:val="center"/>
              <w:rPr>
                <w:rFonts w:hint="eastAsia" w:ascii="宋体" w:hAnsi="宋体" w:cs="宋体"/>
                <w:color w:val="auto"/>
                <w:sz w:val="24"/>
                <w:highlight w:val="none"/>
              </w:rPr>
            </w:pPr>
          </w:p>
        </w:tc>
        <w:tc>
          <w:tcPr>
            <w:tcW w:w="1066" w:type="dxa"/>
            <w:vAlign w:val="center"/>
          </w:tcPr>
          <w:p w14:paraId="1EC53740">
            <w:pPr>
              <w:spacing w:before="156" w:after="84"/>
              <w:ind w:left="-32" w:right="-70"/>
              <w:jc w:val="center"/>
              <w:rPr>
                <w:rFonts w:hint="eastAsia" w:ascii="宋体" w:hAnsi="宋体" w:cs="宋体"/>
                <w:color w:val="auto"/>
                <w:sz w:val="24"/>
                <w:highlight w:val="none"/>
              </w:rPr>
            </w:pPr>
          </w:p>
        </w:tc>
      </w:tr>
      <w:tr w14:paraId="1BF51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44" w:type="dxa"/>
            <w:vAlign w:val="center"/>
          </w:tcPr>
          <w:p w14:paraId="0D65DA19">
            <w:pPr>
              <w:spacing w:before="156" w:after="84"/>
              <w:ind w:left="-32" w:right="-70"/>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021" w:type="dxa"/>
            <w:vAlign w:val="center"/>
          </w:tcPr>
          <w:p w14:paraId="176CAD07">
            <w:pPr>
              <w:spacing w:before="156" w:after="84"/>
              <w:ind w:left="-32" w:right="-70"/>
              <w:jc w:val="center"/>
              <w:rPr>
                <w:rFonts w:hint="eastAsia" w:ascii="宋体" w:hAnsi="宋体" w:cs="宋体"/>
                <w:color w:val="auto"/>
                <w:sz w:val="24"/>
                <w:highlight w:val="none"/>
              </w:rPr>
            </w:pPr>
          </w:p>
        </w:tc>
        <w:tc>
          <w:tcPr>
            <w:tcW w:w="781" w:type="dxa"/>
            <w:vAlign w:val="center"/>
          </w:tcPr>
          <w:p w14:paraId="3F36A502">
            <w:pPr>
              <w:spacing w:before="156" w:after="84"/>
              <w:ind w:left="-32" w:right="-70"/>
              <w:jc w:val="center"/>
              <w:rPr>
                <w:rFonts w:hint="eastAsia" w:ascii="宋体" w:hAnsi="宋体" w:cs="宋体"/>
                <w:color w:val="auto"/>
                <w:sz w:val="24"/>
                <w:highlight w:val="none"/>
              </w:rPr>
            </w:pPr>
          </w:p>
        </w:tc>
        <w:tc>
          <w:tcPr>
            <w:tcW w:w="654" w:type="dxa"/>
            <w:vAlign w:val="center"/>
          </w:tcPr>
          <w:p w14:paraId="2E6511CC">
            <w:pPr>
              <w:spacing w:before="156" w:after="84"/>
              <w:ind w:left="-32" w:right="-70"/>
              <w:jc w:val="center"/>
              <w:rPr>
                <w:rFonts w:hint="eastAsia" w:ascii="宋体" w:hAnsi="宋体" w:cs="宋体"/>
                <w:color w:val="auto"/>
                <w:sz w:val="24"/>
                <w:highlight w:val="none"/>
              </w:rPr>
            </w:pPr>
          </w:p>
        </w:tc>
        <w:tc>
          <w:tcPr>
            <w:tcW w:w="1130" w:type="dxa"/>
            <w:vAlign w:val="center"/>
          </w:tcPr>
          <w:p w14:paraId="7668914D">
            <w:pPr>
              <w:spacing w:before="156" w:after="84"/>
              <w:ind w:left="-32" w:right="-70"/>
              <w:jc w:val="center"/>
              <w:rPr>
                <w:rFonts w:hint="eastAsia" w:ascii="宋体" w:hAnsi="宋体" w:cs="宋体"/>
                <w:color w:val="auto"/>
                <w:sz w:val="24"/>
                <w:highlight w:val="none"/>
              </w:rPr>
            </w:pPr>
          </w:p>
        </w:tc>
        <w:tc>
          <w:tcPr>
            <w:tcW w:w="1479" w:type="dxa"/>
            <w:vAlign w:val="center"/>
          </w:tcPr>
          <w:p w14:paraId="249B4124">
            <w:pPr>
              <w:spacing w:before="156" w:after="84"/>
              <w:ind w:left="-32" w:right="-70"/>
              <w:jc w:val="center"/>
              <w:rPr>
                <w:rFonts w:hint="eastAsia" w:ascii="宋体" w:hAnsi="宋体" w:cs="宋体"/>
                <w:color w:val="auto"/>
                <w:sz w:val="24"/>
                <w:highlight w:val="none"/>
              </w:rPr>
            </w:pPr>
          </w:p>
        </w:tc>
        <w:tc>
          <w:tcPr>
            <w:tcW w:w="1164" w:type="dxa"/>
            <w:vAlign w:val="center"/>
          </w:tcPr>
          <w:p w14:paraId="731ED9D1">
            <w:pPr>
              <w:spacing w:before="156" w:after="84"/>
              <w:ind w:left="-32" w:right="-70"/>
              <w:jc w:val="center"/>
              <w:rPr>
                <w:rFonts w:hint="eastAsia" w:ascii="宋体" w:hAnsi="宋体" w:cs="宋体"/>
                <w:color w:val="auto"/>
                <w:sz w:val="24"/>
                <w:highlight w:val="none"/>
              </w:rPr>
            </w:pPr>
          </w:p>
        </w:tc>
        <w:tc>
          <w:tcPr>
            <w:tcW w:w="1317" w:type="dxa"/>
            <w:vAlign w:val="center"/>
          </w:tcPr>
          <w:p w14:paraId="01971BAB">
            <w:pPr>
              <w:spacing w:before="156" w:after="84"/>
              <w:ind w:left="-32" w:right="-70"/>
              <w:jc w:val="center"/>
              <w:rPr>
                <w:rFonts w:hint="eastAsia" w:ascii="宋体" w:hAnsi="宋体" w:cs="宋体"/>
                <w:color w:val="auto"/>
                <w:sz w:val="24"/>
                <w:highlight w:val="none"/>
              </w:rPr>
            </w:pPr>
          </w:p>
        </w:tc>
        <w:tc>
          <w:tcPr>
            <w:tcW w:w="1066" w:type="dxa"/>
            <w:vAlign w:val="center"/>
          </w:tcPr>
          <w:p w14:paraId="1D0D2299">
            <w:pPr>
              <w:spacing w:before="156" w:after="84"/>
              <w:ind w:left="-32" w:right="-70"/>
              <w:jc w:val="center"/>
              <w:rPr>
                <w:rFonts w:hint="eastAsia" w:ascii="宋体" w:hAnsi="宋体" w:cs="宋体"/>
                <w:color w:val="auto"/>
                <w:sz w:val="24"/>
                <w:highlight w:val="none"/>
              </w:rPr>
            </w:pPr>
          </w:p>
        </w:tc>
      </w:tr>
    </w:tbl>
    <w:p w14:paraId="24D6B782">
      <w:pPr>
        <w:snapToGrid w:val="0"/>
        <w:spacing w:after="120" w:afterLines="50" w:line="360" w:lineRule="exact"/>
        <w:rPr>
          <w:rFonts w:hint="eastAsia" w:ascii="宋体" w:hAnsi="宋体" w:cs="宋体"/>
          <w:b/>
          <w:color w:val="auto"/>
          <w:sz w:val="24"/>
          <w:highlight w:val="none"/>
        </w:rPr>
      </w:pPr>
    </w:p>
    <w:p w14:paraId="5C4AACBC">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注：</w:t>
      </w:r>
      <w:r>
        <w:rPr>
          <w:rFonts w:hint="eastAsia" w:ascii="宋体" w:hAnsi="宋体" w:cs="宋体"/>
          <w:b/>
          <w:color w:val="auto"/>
          <w:sz w:val="24"/>
          <w:highlight w:val="none"/>
        </w:rPr>
        <w:t>1.本表可扩展。其中</w:t>
      </w:r>
      <w:r>
        <w:rPr>
          <w:rFonts w:hint="eastAsia" w:ascii="宋体" w:hAnsi="宋体" w:cs="宋体"/>
          <w:b/>
          <w:color w:val="auto"/>
          <w:sz w:val="24"/>
          <w:highlight w:val="none"/>
          <w:lang w:eastAsia="zh-CN"/>
        </w:rPr>
        <w:t>项目负责人</w:t>
      </w:r>
      <w:r>
        <w:rPr>
          <w:rFonts w:hint="eastAsia" w:ascii="宋体" w:hAnsi="宋体" w:cs="宋体"/>
          <w:b/>
          <w:color w:val="auto"/>
          <w:sz w:val="24"/>
          <w:highlight w:val="none"/>
        </w:rPr>
        <w:t>必须明确。</w:t>
      </w:r>
    </w:p>
    <w:p w14:paraId="37D19AD3">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 xml:space="preserve">    2.潜在投标人可参考招标文件第四章 评标程序、评标方法和评标标准中“二、评标标准”和第五章 采购需求的要求按包编写并提供相应资料。</w:t>
      </w:r>
    </w:p>
    <w:p w14:paraId="7F2D6FCF">
      <w:pPr>
        <w:snapToGrid w:val="0"/>
        <w:spacing w:after="120" w:afterLines="50" w:line="360" w:lineRule="exact"/>
        <w:rPr>
          <w:rFonts w:hint="eastAsia" w:ascii="宋体" w:hAnsi="宋体" w:cs="宋体"/>
          <w:b/>
          <w:color w:val="auto"/>
          <w:sz w:val="24"/>
          <w:highlight w:val="none"/>
        </w:rPr>
      </w:pPr>
      <w:r>
        <w:rPr>
          <w:rFonts w:hint="eastAsia" w:ascii="宋体" w:hAnsi="宋体" w:cs="宋体"/>
          <w:b/>
          <w:color w:val="auto"/>
          <w:sz w:val="24"/>
          <w:highlight w:val="none"/>
        </w:rPr>
        <w:t xml:space="preserve">  </w:t>
      </w:r>
    </w:p>
    <w:p w14:paraId="0D274C44">
      <w:pPr>
        <w:snapToGrid w:val="0"/>
        <w:spacing w:after="120" w:afterLines="50" w:line="360" w:lineRule="exact"/>
        <w:rPr>
          <w:rFonts w:hint="eastAsia" w:ascii="宋体" w:hAnsi="宋体" w:cs="宋体"/>
          <w:b/>
          <w:color w:val="auto"/>
          <w:sz w:val="24"/>
          <w:highlight w:val="none"/>
        </w:rPr>
      </w:pPr>
    </w:p>
    <w:p w14:paraId="37A58E1E">
      <w:pPr>
        <w:snapToGrid w:val="0"/>
        <w:spacing w:after="120" w:afterLines="50" w:line="360" w:lineRule="exact"/>
        <w:rPr>
          <w:rFonts w:hint="eastAsia" w:ascii="宋体" w:hAnsi="宋体" w:cs="宋体"/>
          <w:color w:val="auto"/>
          <w:sz w:val="24"/>
          <w:highlight w:val="none"/>
        </w:rPr>
      </w:pPr>
    </w:p>
    <w:p w14:paraId="6549DE54">
      <w:pPr>
        <w:snapToGrid w:val="0"/>
        <w:spacing w:after="120" w:afterLines="50" w:line="360" w:lineRule="auto"/>
        <w:rPr>
          <w:rFonts w:hint="eastAsia" w:ascii="宋体" w:hAnsi="宋体" w:cs="宋体"/>
          <w:color w:val="auto"/>
          <w:sz w:val="24"/>
          <w:highlight w:val="none"/>
        </w:rPr>
      </w:pPr>
      <w:r>
        <w:rPr>
          <w:rFonts w:hint="eastAsia" w:ascii="宋体" w:hAnsi="宋体" w:cs="宋体"/>
          <w:color w:val="auto"/>
          <w:sz w:val="24"/>
          <w:highlight w:val="none"/>
        </w:rPr>
        <w:t>供应商名称（盖章）：</w:t>
      </w:r>
    </w:p>
    <w:p w14:paraId="5DE316A7">
      <w:pPr>
        <w:snapToGrid w:val="0"/>
        <w:spacing w:after="120" w:afterLines="50"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6BE8F236">
      <w:pPr>
        <w:rPr>
          <w:rFonts w:hint="eastAsia" w:ascii="宋体" w:hAnsi="宋体" w:cs="宋体"/>
          <w:color w:val="auto"/>
          <w:sz w:val="24"/>
          <w:highlight w:val="none"/>
        </w:rPr>
      </w:pPr>
    </w:p>
    <w:p w14:paraId="62A0F0E2">
      <w:pPr>
        <w:rPr>
          <w:rFonts w:hint="eastAsia" w:ascii="宋体" w:hAnsi="宋体" w:cs="宋体"/>
          <w:color w:val="auto"/>
          <w:sz w:val="24"/>
          <w:highlight w:val="none"/>
        </w:rPr>
      </w:pPr>
    </w:p>
    <w:p w14:paraId="53460443">
      <w:pPr>
        <w:rPr>
          <w:rFonts w:hint="eastAsia" w:ascii="宋体" w:hAnsi="宋体" w:cs="宋体"/>
          <w:color w:val="auto"/>
          <w:sz w:val="24"/>
          <w:highlight w:val="none"/>
        </w:rPr>
      </w:pPr>
    </w:p>
    <w:p w14:paraId="401E6956">
      <w:pPr>
        <w:rPr>
          <w:rFonts w:hint="eastAsia" w:ascii="宋体" w:hAnsi="宋体" w:cs="宋体"/>
          <w:color w:val="auto"/>
          <w:sz w:val="24"/>
          <w:highlight w:val="none"/>
        </w:rPr>
      </w:pPr>
    </w:p>
    <w:p w14:paraId="69BBF0C4">
      <w:pPr>
        <w:snapToGrid w:val="0"/>
        <w:spacing w:after="120" w:afterLines="50" w:line="360" w:lineRule="exact"/>
        <w:outlineLvl w:val="2"/>
        <w:rPr>
          <w:rFonts w:hint="eastAsia" w:ascii="宋体" w:hAnsi="宋体" w:cs="宋体"/>
          <w:b/>
          <w:color w:val="auto"/>
          <w:sz w:val="24"/>
          <w:highlight w:val="none"/>
        </w:rPr>
      </w:pPr>
      <w:r>
        <w:rPr>
          <w:rFonts w:hint="eastAsia" w:ascii="宋体" w:hAnsi="宋体" w:cs="宋体"/>
          <w:b/>
          <w:bCs/>
          <w:color w:val="auto"/>
          <w:sz w:val="24"/>
          <w:highlight w:val="none"/>
        </w:rPr>
        <w:br w:type="page"/>
      </w:r>
      <w:r>
        <w:rPr>
          <w:rFonts w:hint="eastAsia" w:ascii="宋体" w:hAnsi="宋体" w:cs="宋体"/>
          <w:b/>
          <w:color w:val="auto"/>
          <w:sz w:val="24"/>
          <w:highlight w:val="none"/>
        </w:rPr>
        <w:t>9-4拟派团队成员资历一览表</w:t>
      </w:r>
    </w:p>
    <w:p w14:paraId="6A1077F3">
      <w:pPr>
        <w:tabs>
          <w:tab w:val="left" w:pos="5580"/>
        </w:tabs>
        <w:snapToGrid w:val="0"/>
        <w:spacing w:after="120" w:afterLines="50" w:line="360" w:lineRule="exact"/>
        <w:ind w:left="-2" w:leftChars="-1"/>
        <w:jc w:val="center"/>
        <w:rPr>
          <w:rFonts w:hint="eastAsia" w:ascii="宋体" w:hAnsi="宋体" w:cs="宋体"/>
          <w:color w:val="auto"/>
          <w:sz w:val="24"/>
          <w:highlight w:val="none"/>
          <w:u w:val="single"/>
        </w:rPr>
      </w:pPr>
    </w:p>
    <w:p w14:paraId="14D6A2EF">
      <w:pPr>
        <w:tabs>
          <w:tab w:val="left" w:pos="5580"/>
        </w:tabs>
        <w:snapToGrid w:val="0"/>
        <w:spacing w:after="120" w:afterLines="50" w:line="360" w:lineRule="exact"/>
        <w:ind w:left="-2" w:leftChars="-1"/>
        <w:jc w:val="center"/>
        <w:rPr>
          <w:rFonts w:hint="eastAsia" w:ascii="宋体" w:hAnsi="宋体" w:cs="宋体"/>
          <w:b/>
          <w:color w:val="auto"/>
          <w:sz w:val="24"/>
          <w:highlight w:val="none"/>
        </w:rPr>
      </w:pPr>
      <w:r>
        <w:rPr>
          <w:rFonts w:hint="eastAsia" w:ascii="宋体" w:hAnsi="宋体" w:cs="宋体"/>
          <w:b/>
          <w:color w:val="auto"/>
          <w:sz w:val="24"/>
          <w:highlight w:val="none"/>
        </w:rPr>
        <w:t>拟派团队成员资历一览表</w:t>
      </w:r>
    </w:p>
    <w:tbl>
      <w:tblPr>
        <w:tblStyle w:val="4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51"/>
        <w:gridCol w:w="2569"/>
        <w:gridCol w:w="2268"/>
        <w:gridCol w:w="2551"/>
      </w:tblGrid>
      <w:tr w14:paraId="609E99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951" w:type="dxa"/>
            <w:tcBorders>
              <w:top w:val="single" w:color="auto" w:sz="4" w:space="0"/>
              <w:left w:val="single" w:color="auto" w:sz="4" w:space="0"/>
              <w:bottom w:val="single" w:color="auto" w:sz="4" w:space="0"/>
              <w:right w:val="single" w:color="auto" w:sz="4" w:space="0"/>
            </w:tcBorders>
            <w:vAlign w:val="center"/>
          </w:tcPr>
          <w:p w14:paraId="093575C2">
            <w:pPr>
              <w:pStyle w:val="25"/>
              <w:spacing w:line="360" w:lineRule="auto"/>
              <w:ind w:left="480" w:hanging="480"/>
              <w:jc w:val="center"/>
              <w:rPr>
                <w:rFonts w:hAnsi="宋体" w:cs="宋体"/>
                <w:color w:val="auto"/>
                <w:sz w:val="24"/>
                <w:szCs w:val="24"/>
                <w:highlight w:val="none"/>
              </w:rPr>
            </w:pPr>
            <w:r>
              <w:rPr>
                <w:rFonts w:hAnsi="宋体" w:cs="宋体"/>
                <w:color w:val="auto"/>
                <w:sz w:val="24"/>
                <w:szCs w:val="24"/>
                <w:highlight w:val="none"/>
              </w:rPr>
              <w:t>姓名</w:t>
            </w:r>
          </w:p>
        </w:tc>
        <w:tc>
          <w:tcPr>
            <w:tcW w:w="2569" w:type="dxa"/>
            <w:tcBorders>
              <w:top w:val="single" w:color="auto" w:sz="4" w:space="0"/>
              <w:left w:val="single" w:color="auto" w:sz="4" w:space="0"/>
              <w:bottom w:val="single" w:color="auto" w:sz="4" w:space="0"/>
              <w:right w:val="single" w:color="auto" w:sz="4" w:space="0"/>
            </w:tcBorders>
            <w:vAlign w:val="center"/>
          </w:tcPr>
          <w:p w14:paraId="62F3392A">
            <w:pPr>
              <w:pStyle w:val="25"/>
              <w:spacing w:line="360" w:lineRule="auto"/>
              <w:ind w:left="480" w:hanging="480"/>
              <w:jc w:val="center"/>
              <w:rPr>
                <w:rFonts w:hAnsi="宋体" w:cs="宋体"/>
                <w:color w:val="auto"/>
                <w:sz w:val="24"/>
                <w:szCs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27E4E81C">
            <w:pPr>
              <w:pStyle w:val="25"/>
              <w:spacing w:line="360" w:lineRule="auto"/>
              <w:ind w:left="480" w:hanging="480"/>
              <w:jc w:val="center"/>
              <w:rPr>
                <w:rFonts w:hAnsi="宋体" w:cs="宋体"/>
                <w:color w:val="auto"/>
                <w:sz w:val="24"/>
                <w:szCs w:val="24"/>
                <w:highlight w:val="none"/>
              </w:rPr>
            </w:pPr>
            <w:r>
              <w:rPr>
                <w:rFonts w:hAnsi="宋体" w:cs="宋体"/>
                <w:color w:val="auto"/>
                <w:sz w:val="24"/>
                <w:szCs w:val="24"/>
                <w:highlight w:val="none"/>
              </w:rPr>
              <w:t>性别</w:t>
            </w:r>
          </w:p>
        </w:tc>
        <w:tc>
          <w:tcPr>
            <w:tcW w:w="2551" w:type="dxa"/>
            <w:tcBorders>
              <w:top w:val="single" w:color="auto" w:sz="4" w:space="0"/>
              <w:left w:val="single" w:color="auto" w:sz="4" w:space="0"/>
              <w:bottom w:val="single" w:color="auto" w:sz="4" w:space="0"/>
              <w:right w:val="single" w:color="auto" w:sz="4" w:space="0"/>
            </w:tcBorders>
            <w:vAlign w:val="center"/>
          </w:tcPr>
          <w:p w14:paraId="13A94A93">
            <w:pPr>
              <w:pStyle w:val="25"/>
              <w:spacing w:line="360" w:lineRule="auto"/>
              <w:ind w:left="480" w:hanging="480"/>
              <w:jc w:val="center"/>
              <w:rPr>
                <w:rFonts w:hAnsi="宋体" w:cs="宋体"/>
                <w:color w:val="auto"/>
                <w:sz w:val="24"/>
                <w:szCs w:val="24"/>
                <w:highlight w:val="none"/>
              </w:rPr>
            </w:pPr>
          </w:p>
        </w:tc>
      </w:tr>
      <w:tr w14:paraId="20F719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951" w:type="dxa"/>
            <w:tcBorders>
              <w:top w:val="single" w:color="auto" w:sz="4" w:space="0"/>
              <w:left w:val="single" w:color="auto" w:sz="4" w:space="0"/>
              <w:bottom w:val="single" w:color="auto" w:sz="4" w:space="0"/>
              <w:right w:val="single" w:color="auto" w:sz="4" w:space="0"/>
            </w:tcBorders>
            <w:vAlign w:val="center"/>
          </w:tcPr>
          <w:p w14:paraId="3F629C02">
            <w:pPr>
              <w:pStyle w:val="25"/>
              <w:spacing w:line="360" w:lineRule="auto"/>
              <w:ind w:left="480" w:hanging="480"/>
              <w:jc w:val="center"/>
              <w:rPr>
                <w:rFonts w:hAnsi="宋体" w:cs="宋体"/>
                <w:color w:val="auto"/>
                <w:sz w:val="24"/>
                <w:szCs w:val="24"/>
                <w:highlight w:val="none"/>
              </w:rPr>
            </w:pPr>
            <w:r>
              <w:rPr>
                <w:rFonts w:hAnsi="宋体" w:cs="宋体"/>
                <w:color w:val="auto"/>
                <w:sz w:val="24"/>
                <w:szCs w:val="24"/>
                <w:highlight w:val="none"/>
              </w:rPr>
              <w:t>身份证号</w:t>
            </w:r>
          </w:p>
        </w:tc>
        <w:tc>
          <w:tcPr>
            <w:tcW w:w="2569" w:type="dxa"/>
            <w:tcBorders>
              <w:top w:val="single" w:color="auto" w:sz="4" w:space="0"/>
              <w:left w:val="single" w:color="auto" w:sz="4" w:space="0"/>
              <w:bottom w:val="single" w:color="auto" w:sz="4" w:space="0"/>
              <w:right w:val="single" w:color="auto" w:sz="4" w:space="0"/>
            </w:tcBorders>
            <w:vAlign w:val="center"/>
          </w:tcPr>
          <w:p w14:paraId="4507BE1C">
            <w:pPr>
              <w:pStyle w:val="25"/>
              <w:spacing w:line="360" w:lineRule="auto"/>
              <w:ind w:left="480" w:hanging="480"/>
              <w:jc w:val="center"/>
              <w:rPr>
                <w:rFonts w:hAnsi="宋体" w:cs="宋体"/>
                <w:color w:val="auto"/>
                <w:sz w:val="24"/>
                <w:szCs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551519A7">
            <w:pPr>
              <w:pStyle w:val="25"/>
              <w:spacing w:line="360" w:lineRule="auto"/>
              <w:ind w:left="480" w:hanging="480"/>
              <w:jc w:val="center"/>
              <w:rPr>
                <w:rFonts w:hAnsi="宋体" w:cs="宋体"/>
                <w:color w:val="auto"/>
                <w:sz w:val="24"/>
                <w:szCs w:val="24"/>
                <w:highlight w:val="none"/>
              </w:rPr>
            </w:pPr>
            <w:r>
              <w:rPr>
                <w:rFonts w:hAnsi="宋体" w:cs="宋体"/>
                <w:color w:val="auto"/>
                <w:sz w:val="24"/>
                <w:szCs w:val="24"/>
                <w:highlight w:val="none"/>
              </w:rPr>
              <w:t>年龄</w:t>
            </w:r>
          </w:p>
        </w:tc>
        <w:tc>
          <w:tcPr>
            <w:tcW w:w="2551" w:type="dxa"/>
            <w:tcBorders>
              <w:top w:val="single" w:color="auto" w:sz="4" w:space="0"/>
              <w:left w:val="single" w:color="auto" w:sz="4" w:space="0"/>
              <w:bottom w:val="single" w:color="auto" w:sz="4" w:space="0"/>
              <w:right w:val="single" w:color="auto" w:sz="4" w:space="0"/>
            </w:tcBorders>
            <w:vAlign w:val="center"/>
          </w:tcPr>
          <w:p w14:paraId="25860193">
            <w:pPr>
              <w:pStyle w:val="25"/>
              <w:spacing w:line="360" w:lineRule="auto"/>
              <w:ind w:left="480" w:hanging="480"/>
              <w:jc w:val="center"/>
              <w:rPr>
                <w:rFonts w:hAnsi="宋体" w:cs="宋体"/>
                <w:color w:val="auto"/>
                <w:sz w:val="24"/>
                <w:szCs w:val="24"/>
                <w:highlight w:val="none"/>
              </w:rPr>
            </w:pPr>
          </w:p>
        </w:tc>
      </w:tr>
      <w:tr w14:paraId="39F87A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951" w:type="dxa"/>
            <w:tcBorders>
              <w:top w:val="single" w:color="auto" w:sz="4" w:space="0"/>
              <w:left w:val="single" w:color="auto" w:sz="4" w:space="0"/>
              <w:bottom w:val="single" w:color="auto" w:sz="4" w:space="0"/>
              <w:right w:val="single" w:color="auto" w:sz="4" w:space="0"/>
            </w:tcBorders>
            <w:vAlign w:val="center"/>
          </w:tcPr>
          <w:p w14:paraId="4289E257">
            <w:pPr>
              <w:pStyle w:val="25"/>
              <w:spacing w:line="360" w:lineRule="auto"/>
              <w:ind w:left="480" w:hanging="480"/>
              <w:jc w:val="center"/>
              <w:rPr>
                <w:rFonts w:hAnsi="宋体" w:cs="宋体"/>
                <w:color w:val="auto"/>
                <w:sz w:val="24"/>
                <w:szCs w:val="24"/>
                <w:highlight w:val="none"/>
              </w:rPr>
            </w:pPr>
            <w:r>
              <w:rPr>
                <w:rFonts w:hAnsi="宋体" w:cs="宋体"/>
                <w:color w:val="auto"/>
                <w:sz w:val="24"/>
                <w:szCs w:val="24"/>
                <w:highlight w:val="none"/>
              </w:rPr>
              <w:t>毕业院校及专业</w:t>
            </w:r>
          </w:p>
        </w:tc>
        <w:tc>
          <w:tcPr>
            <w:tcW w:w="2569" w:type="dxa"/>
            <w:tcBorders>
              <w:top w:val="single" w:color="auto" w:sz="4" w:space="0"/>
              <w:left w:val="single" w:color="auto" w:sz="4" w:space="0"/>
              <w:bottom w:val="single" w:color="auto" w:sz="4" w:space="0"/>
              <w:right w:val="single" w:color="auto" w:sz="4" w:space="0"/>
            </w:tcBorders>
            <w:vAlign w:val="center"/>
          </w:tcPr>
          <w:p w14:paraId="3EBD07C9">
            <w:pPr>
              <w:pStyle w:val="25"/>
              <w:spacing w:line="360" w:lineRule="auto"/>
              <w:ind w:left="480" w:hanging="480"/>
              <w:jc w:val="center"/>
              <w:rPr>
                <w:rFonts w:hAnsi="宋体" w:cs="宋体"/>
                <w:color w:val="auto"/>
                <w:sz w:val="24"/>
                <w:szCs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74E07E3C">
            <w:pPr>
              <w:pStyle w:val="25"/>
              <w:spacing w:line="360" w:lineRule="auto"/>
              <w:ind w:left="480" w:hanging="480"/>
              <w:jc w:val="center"/>
              <w:rPr>
                <w:rFonts w:hAnsi="宋体" w:cs="宋体"/>
                <w:color w:val="auto"/>
                <w:sz w:val="24"/>
                <w:szCs w:val="24"/>
                <w:highlight w:val="none"/>
              </w:rPr>
            </w:pPr>
            <w:r>
              <w:rPr>
                <w:rFonts w:hAnsi="宋体" w:cs="宋体"/>
                <w:color w:val="auto"/>
                <w:sz w:val="24"/>
                <w:szCs w:val="24"/>
                <w:highlight w:val="none"/>
              </w:rPr>
              <w:t>毕业时间</w:t>
            </w:r>
          </w:p>
        </w:tc>
        <w:tc>
          <w:tcPr>
            <w:tcW w:w="2551" w:type="dxa"/>
            <w:tcBorders>
              <w:top w:val="single" w:color="auto" w:sz="4" w:space="0"/>
              <w:left w:val="single" w:color="auto" w:sz="4" w:space="0"/>
              <w:bottom w:val="single" w:color="auto" w:sz="4" w:space="0"/>
              <w:right w:val="single" w:color="auto" w:sz="4" w:space="0"/>
            </w:tcBorders>
            <w:vAlign w:val="center"/>
          </w:tcPr>
          <w:p w14:paraId="6357CA4B">
            <w:pPr>
              <w:pStyle w:val="25"/>
              <w:spacing w:line="360" w:lineRule="auto"/>
              <w:ind w:left="480" w:hanging="480"/>
              <w:jc w:val="center"/>
              <w:rPr>
                <w:rFonts w:hAnsi="宋体" w:cs="宋体"/>
                <w:color w:val="auto"/>
                <w:sz w:val="24"/>
                <w:szCs w:val="24"/>
                <w:highlight w:val="none"/>
              </w:rPr>
            </w:pPr>
          </w:p>
        </w:tc>
      </w:tr>
      <w:tr w14:paraId="2DDA7C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951" w:type="dxa"/>
            <w:tcBorders>
              <w:top w:val="single" w:color="auto" w:sz="4" w:space="0"/>
              <w:left w:val="single" w:color="auto" w:sz="4" w:space="0"/>
              <w:bottom w:val="single" w:color="auto" w:sz="4" w:space="0"/>
              <w:right w:val="single" w:color="auto" w:sz="4" w:space="0"/>
            </w:tcBorders>
            <w:vAlign w:val="center"/>
          </w:tcPr>
          <w:p w14:paraId="0C8F0F90">
            <w:pPr>
              <w:pStyle w:val="25"/>
              <w:spacing w:line="360" w:lineRule="auto"/>
              <w:ind w:left="480" w:hanging="480"/>
              <w:jc w:val="center"/>
              <w:rPr>
                <w:rFonts w:hAnsi="宋体" w:cs="宋体"/>
                <w:color w:val="auto"/>
                <w:sz w:val="24"/>
                <w:szCs w:val="24"/>
                <w:highlight w:val="none"/>
              </w:rPr>
            </w:pPr>
            <w:r>
              <w:rPr>
                <w:rFonts w:hAnsi="宋体" w:cs="宋体"/>
                <w:color w:val="auto"/>
                <w:sz w:val="24"/>
                <w:szCs w:val="24"/>
                <w:highlight w:val="none"/>
              </w:rPr>
              <w:t>拟派职务</w:t>
            </w:r>
          </w:p>
        </w:tc>
        <w:tc>
          <w:tcPr>
            <w:tcW w:w="2569" w:type="dxa"/>
            <w:tcBorders>
              <w:top w:val="single" w:color="auto" w:sz="4" w:space="0"/>
              <w:left w:val="single" w:color="auto" w:sz="4" w:space="0"/>
              <w:bottom w:val="single" w:color="auto" w:sz="4" w:space="0"/>
              <w:right w:val="single" w:color="auto" w:sz="4" w:space="0"/>
            </w:tcBorders>
            <w:vAlign w:val="center"/>
          </w:tcPr>
          <w:p w14:paraId="6754CA85">
            <w:pPr>
              <w:pStyle w:val="25"/>
              <w:spacing w:line="360" w:lineRule="auto"/>
              <w:ind w:left="480" w:hanging="480"/>
              <w:jc w:val="center"/>
              <w:rPr>
                <w:rFonts w:hAnsi="宋体" w:cs="宋体"/>
                <w:color w:val="auto"/>
                <w:sz w:val="24"/>
                <w:szCs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3AEA4DE6">
            <w:pPr>
              <w:pStyle w:val="25"/>
              <w:spacing w:line="360" w:lineRule="auto"/>
              <w:ind w:left="480" w:hanging="480"/>
              <w:jc w:val="center"/>
              <w:rPr>
                <w:rFonts w:hAnsi="宋体" w:cs="宋体"/>
                <w:color w:val="auto"/>
                <w:sz w:val="24"/>
                <w:szCs w:val="24"/>
                <w:highlight w:val="none"/>
              </w:rPr>
            </w:pPr>
            <w:r>
              <w:rPr>
                <w:rFonts w:hAnsi="宋体" w:cs="宋体"/>
                <w:color w:val="auto"/>
                <w:sz w:val="24"/>
                <w:szCs w:val="24"/>
                <w:highlight w:val="none"/>
              </w:rPr>
              <w:t>资格/资质</w:t>
            </w:r>
          </w:p>
        </w:tc>
        <w:tc>
          <w:tcPr>
            <w:tcW w:w="2551" w:type="dxa"/>
            <w:tcBorders>
              <w:top w:val="single" w:color="auto" w:sz="4" w:space="0"/>
              <w:left w:val="single" w:color="auto" w:sz="4" w:space="0"/>
              <w:bottom w:val="single" w:color="auto" w:sz="4" w:space="0"/>
              <w:right w:val="single" w:color="auto" w:sz="4" w:space="0"/>
            </w:tcBorders>
            <w:vAlign w:val="center"/>
          </w:tcPr>
          <w:p w14:paraId="49BB3484">
            <w:pPr>
              <w:pStyle w:val="25"/>
              <w:spacing w:line="360" w:lineRule="auto"/>
              <w:ind w:left="480" w:hanging="480"/>
              <w:jc w:val="center"/>
              <w:rPr>
                <w:rFonts w:hAnsi="宋体" w:cs="宋体"/>
                <w:color w:val="auto"/>
                <w:sz w:val="24"/>
                <w:szCs w:val="24"/>
                <w:highlight w:val="none"/>
              </w:rPr>
            </w:pPr>
          </w:p>
        </w:tc>
      </w:tr>
      <w:tr w14:paraId="4A5D2F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14:paraId="31D8BF1A">
            <w:pPr>
              <w:pStyle w:val="25"/>
              <w:spacing w:line="360" w:lineRule="auto"/>
              <w:ind w:left="480" w:hanging="480"/>
              <w:jc w:val="center"/>
              <w:rPr>
                <w:rFonts w:hAnsi="宋体" w:cs="宋体"/>
                <w:color w:val="auto"/>
                <w:sz w:val="24"/>
                <w:szCs w:val="24"/>
                <w:highlight w:val="none"/>
              </w:rPr>
            </w:pPr>
            <w:r>
              <w:rPr>
                <w:rFonts w:hAnsi="宋体" w:cs="宋体"/>
                <w:color w:val="auto"/>
                <w:sz w:val="24"/>
                <w:szCs w:val="24"/>
                <w:highlight w:val="none"/>
              </w:rPr>
              <w:t>工作年限</w:t>
            </w:r>
          </w:p>
        </w:tc>
        <w:tc>
          <w:tcPr>
            <w:tcW w:w="2569" w:type="dxa"/>
            <w:tcBorders>
              <w:top w:val="single" w:color="auto" w:sz="4" w:space="0"/>
              <w:left w:val="single" w:color="auto" w:sz="4" w:space="0"/>
              <w:bottom w:val="single" w:color="auto" w:sz="4" w:space="0"/>
              <w:right w:val="single" w:color="auto" w:sz="4" w:space="0"/>
            </w:tcBorders>
            <w:vAlign w:val="center"/>
          </w:tcPr>
          <w:p w14:paraId="63281C5D">
            <w:pPr>
              <w:pStyle w:val="25"/>
              <w:spacing w:line="360" w:lineRule="auto"/>
              <w:ind w:left="480" w:hanging="480"/>
              <w:jc w:val="center"/>
              <w:rPr>
                <w:rFonts w:hAnsi="宋体" w:cs="宋体"/>
                <w:color w:val="auto"/>
                <w:sz w:val="24"/>
                <w:szCs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14D50669">
            <w:pPr>
              <w:pStyle w:val="25"/>
              <w:spacing w:line="360" w:lineRule="auto"/>
              <w:ind w:left="480" w:hanging="480"/>
              <w:jc w:val="center"/>
              <w:rPr>
                <w:rFonts w:hAnsi="宋体" w:cs="宋体"/>
                <w:color w:val="auto"/>
                <w:sz w:val="24"/>
                <w:szCs w:val="24"/>
                <w:highlight w:val="none"/>
              </w:rPr>
            </w:pPr>
            <w:r>
              <w:rPr>
                <w:rFonts w:hAnsi="宋体" w:cs="宋体"/>
                <w:color w:val="auto"/>
                <w:sz w:val="24"/>
                <w:szCs w:val="24"/>
                <w:highlight w:val="none"/>
              </w:rPr>
              <w:t>相关专业工作年限</w:t>
            </w:r>
          </w:p>
        </w:tc>
        <w:tc>
          <w:tcPr>
            <w:tcW w:w="2551" w:type="dxa"/>
            <w:tcBorders>
              <w:top w:val="single" w:color="auto" w:sz="4" w:space="0"/>
              <w:left w:val="single" w:color="auto" w:sz="4" w:space="0"/>
              <w:bottom w:val="single" w:color="auto" w:sz="4" w:space="0"/>
              <w:right w:val="single" w:color="auto" w:sz="4" w:space="0"/>
            </w:tcBorders>
            <w:vAlign w:val="center"/>
          </w:tcPr>
          <w:p w14:paraId="4B63AFD4">
            <w:pPr>
              <w:pStyle w:val="25"/>
              <w:spacing w:line="360" w:lineRule="auto"/>
              <w:ind w:left="480" w:hanging="480"/>
              <w:jc w:val="center"/>
              <w:rPr>
                <w:rFonts w:hAnsi="宋体" w:cs="宋体"/>
                <w:color w:val="auto"/>
                <w:sz w:val="24"/>
                <w:szCs w:val="24"/>
                <w:highlight w:val="none"/>
              </w:rPr>
            </w:pPr>
          </w:p>
        </w:tc>
      </w:tr>
      <w:tr w14:paraId="771F65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29"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14:paraId="73E13524">
            <w:pPr>
              <w:pStyle w:val="25"/>
              <w:spacing w:line="360" w:lineRule="auto"/>
              <w:ind w:left="480" w:hanging="480"/>
              <w:jc w:val="center"/>
              <w:rPr>
                <w:rFonts w:hAnsi="宋体" w:cs="宋体"/>
                <w:color w:val="auto"/>
                <w:sz w:val="24"/>
                <w:szCs w:val="24"/>
                <w:highlight w:val="none"/>
              </w:rPr>
            </w:pPr>
            <w:r>
              <w:rPr>
                <w:rFonts w:hAnsi="宋体" w:cs="宋体"/>
                <w:color w:val="auto"/>
                <w:sz w:val="24"/>
                <w:szCs w:val="24"/>
                <w:highlight w:val="none"/>
              </w:rPr>
              <w:t>工作简历</w:t>
            </w:r>
          </w:p>
        </w:tc>
        <w:tc>
          <w:tcPr>
            <w:tcW w:w="7388" w:type="dxa"/>
            <w:gridSpan w:val="3"/>
            <w:tcBorders>
              <w:top w:val="single" w:color="auto" w:sz="4" w:space="0"/>
              <w:left w:val="single" w:color="auto" w:sz="4" w:space="0"/>
              <w:bottom w:val="single" w:color="auto" w:sz="4" w:space="0"/>
              <w:right w:val="single" w:color="auto" w:sz="4" w:space="0"/>
            </w:tcBorders>
            <w:vAlign w:val="center"/>
          </w:tcPr>
          <w:p w14:paraId="21C0A8FB">
            <w:pPr>
              <w:pStyle w:val="25"/>
              <w:spacing w:line="360" w:lineRule="auto"/>
              <w:ind w:left="480" w:hanging="480"/>
              <w:jc w:val="center"/>
              <w:rPr>
                <w:rFonts w:hAnsi="宋体" w:cs="宋体"/>
                <w:color w:val="auto"/>
                <w:sz w:val="24"/>
                <w:szCs w:val="24"/>
                <w:highlight w:val="none"/>
              </w:rPr>
            </w:pPr>
          </w:p>
        </w:tc>
      </w:tr>
    </w:tbl>
    <w:p w14:paraId="0A7C0758">
      <w:pPr>
        <w:snapToGrid w:val="0"/>
        <w:spacing w:before="120" w:beforeLines="50" w:line="360" w:lineRule="auto"/>
        <w:rPr>
          <w:rFonts w:hint="eastAsia" w:ascii="宋体" w:hAnsi="宋体" w:cs="宋体"/>
          <w:b/>
          <w:color w:val="auto"/>
          <w:sz w:val="24"/>
          <w:highlight w:val="none"/>
        </w:rPr>
      </w:pPr>
      <w:r>
        <w:rPr>
          <w:rFonts w:hint="eastAsia" w:ascii="宋体" w:hAnsi="宋体" w:cs="宋体"/>
          <w:b/>
          <w:color w:val="auto"/>
          <w:sz w:val="24"/>
          <w:highlight w:val="none"/>
        </w:rPr>
        <w:t>注：本表可扩展。</w:t>
      </w:r>
    </w:p>
    <w:p w14:paraId="53326C58">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拟派团队成员应包括：</w:t>
      </w:r>
      <w:bookmarkStart w:id="1110" w:name="_Hlk37067383"/>
      <w:r>
        <w:rPr>
          <w:rFonts w:hint="eastAsia" w:ascii="宋体" w:hAnsi="宋体" w:cs="宋体"/>
          <w:b/>
          <w:color w:val="auto"/>
          <w:sz w:val="24"/>
          <w:highlight w:val="none"/>
        </w:rPr>
        <w:t>至少包括</w:t>
      </w:r>
      <w:bookmarkEnd w:id="1110"/>
      <w:r>
        <w:rPr>
          <w:rFonts w:hint="eastAsia" w:ascii="宋体" w:hAnsi="宋体" w:cs="宋体"/>
          <w:b/>
          <w:color w:val="auto"/>
          <w:sz w:val="24"/>
          <w:highlight w:val="none"/>
          <w:lang w:eastAsia="zh-CN"/>
        </w:rPr>
        <w:t>项目负责人</w:t>
      </w:r>
      <w:r>
        <w:rPr>
          <w:rFonts w:hint="eastAsia" w:ascii="宋体" w:hAnsi="宋体" w:cs="宋体"/>
          <w:b/>
          <w:color w:val="auto"/>
          <w:sz w:val="24"/>
          <w:highlight w:val="none"/>
        </w:rPr>
        <w:t>及项目团队成员。人员资历及其证明材料要求以招标文件第四章 评标程序、评标方法和评标标准中“二、评标标准”和第五章  采购需求为准。</w:t>
      </w:r>
    </w:p>
    <w:p w14:paraId="507360B5">
      <w:pPr>
        <w:snapToGrid w:val="0"/>
        <w:spacing w:after="120" w:afterLines="50" w:line="360" w:lineRule="exact"/>
        <w:rPr>
          <w:rFonts w:hint="eastAsia" w:ascii="宋体" w:hAnsi="宋体" w:cs="宋体"/>
          <w:color w:val="auto"/>
          <w:sz w:val="24"/>
          <w:highlight w:val="none"/>
        </w:rPr>
      </w:pPr>
    </w:p>
    <w:p w14:paraId="7551D971">
      <w:pPr>
        <w:snapToGrid w:val="0"/>
        <w:spacing w:after="120" w:afterLines="50" w:line="360" w:lineRule="auto"/>
        <w:rPr>
          <w:rFonts w:hint="eastAsia" w:ascii="宋体" w:hAnsi="宋体" w:cs="宋体"/>
          <w:color w:val="auto"/>
          <w:sz w:val="24"/>
          <w:highlight w:val="none"/>
        </w:rPr>
      </w:pPr>
      <w:r>
        <w:rPr>
          <w:rFonts w:hint="eastAsia" w:ascii="宋体" w:hAnsi="宋体" w:cs="宋体"/>
          <w:color w:val="auto"/>
          <w:sz w:val="24"/>
          <w:highlight w:val="none"/>
        </w:rPr>
        <w:t>供应商名称（盖章）：</w:t>
      </w:r>
    </w:p>
    <w:p w14:paraId="600FAE26">
      <w:pPr>
        <w:tabs>
          <w:tab w:val="left" w:pos="5580"/>
        </w:tabs>
        <w:snapToGrid w:val="0"/>
        <w:spacing w:after="120" w:afterLines="50" w:line="360" w:lineRule="auto"/>
        <w:ind w:left="-2" w:leftChars="-1"/>
        <w:rPr>
          <w:rFonts w:hint="eastAsia" w:ascii="宋体" w:hAnsi="宋体" w:cs="宋体"/>
          <w:color w:val="auto"/>
          <w:sz w:val="24"/>
          <w:highlight w:val="none"/>
          <w:u w:val="single"/>
        </w:rPr>
      </w:pPr>
      <w:r>
        <w:rPr>
          <w:rFonts w:hint="eastAsia" w:ascii="宋体" w:hAnsi="宋体" w:cs="宋体"/>
          <w:color w:val="auto"/>
          <w:sz w:val="24"/>
          <w:highlight w:val="none"/>
        </w:rPr>
        <w:t xml:space="preserve">日期： </w:t>
      </w:r>
    </w:p>
    <w:p w14:paraId="5498C96F">
      <w:pPr>
        <w:snapToGrid w:val="0"/>
        <w:spacing w:after="120" w:afterLines="50" w:line="360" w:lineRule="auto"/>
        <w:outlineLvl w:val="2"/>
        <w:rPr>
          <w:rFonts w:hint="eastAsia" w:ascii="宋体" w:hAnsi="宋体" w:cs="宋体"/>
          <w:b/>
          <w:color w:val="auto"/>
          <w:sz w:val="24"/>
          <w:highlight w:val="none"/>
        </w:rPr>
      </w:pPr>
      <w:r>
        <w:rPr>
          <w:rFonts w:hint="eastAsia" w:ascii="宋体" w:hAnsi="宋体" w:cs="宋体"/>
          <w:b/>
          <w:color w:val="auto"/>
          <w:sz w:val="24"/>
          <w:highlight w:val="none"/>
        </w:rPr>
        <w:t>9-5技术部分（可单独成册）</w:t>
      </w:r>
    </w:p>
    <w:p w14:paraId="04749B2B">
      <w:pPr>
        <w:snapToGrid w:val="0"/>
        <w:spacing w:after="120" w:afterLines="50" w:line="360" w:lineRule="auto"/>
        <w:rPr>
          <w:rFonts w:hint="eastAsia" w:ascii="宋体" w:hAnsi="宋体" w:cs="宋体"/>
          <w:bCs/>
          <w:color w:val="auto"/>
          <w:sz w:val="24"/>
          <w:highlight w:val="none"/>
        </w:rPr>
      </w:pPr>
      <w:r>
        <w:rPr>
          <w:rFonts w:hint="eastAsia" w:ascii="宋体" w:hAnsi="宋体" w:cs="宋体"/>
          <w:bCs/>
          <w:color w:val="auto"/>
          <w:sz w:val="24"/>
          <w:highlight w:val="none"/>
        </w:rPr>
        <w:t>编写注意事项：</w:t>
      </w:r>
    </w:p>
    <w:p w14:paraId="08716D0F">
      <w:pPr>
        <w:widowControl/>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潜在投标人可参考招标文件第四章 评标程序、评标方法和评标标准中“二、评标标准”的要求和第五章 采购需求编写并提供相应资料。</w:t>
      </w:r>
    </w:p>
    <w:p w14:paraId="027180EA">
      <w:pPr>
        <w:rPr>
          <w:rFonts w:hint="eastAsia" w:ascii="宋体" w:hAnsi="宋体" w:cs="宋体"/>
          <w:b/>
          <w:color w:val="auto"/>
          <w:sz w:val="24"/>
          <w:highlight w:val="none"/>
        </w:rPr>
      </w:pPr>
      <w:r>
        <w:rPr>
          <w:rFonts w:hint="eastAsia" w:ascii="宋体" w:hAnsi="宋体" w:cs="宋体"/>
          <w:color w:val="auto"/>
          <w:sz w:val="24"/>
          <w:highlight w:val="none"/>
        </w:rPr>
        <w:br w:type="page"/>
      </w:r>
      <w:r>
        <w:rPr>
          <w:rFonts w:hint="eastAsia" w:ascii="宋体" w:hAnsi="宋体" w:cs="宋体"/>
          <w:b/>
          <w:color w:val="auto"/>
          <w:sz w:val="24"/>
          <w:highlight w:val="none"/>
        </w:rPr>
        <w:t>9-6 招标文件要求提供或投标人认为应附的其他材料</w:t>
      </w:r>
    </w:p>
    <w:p w14:paraId="576B47C7">
      <w:pPr>
        <w:pStyle w:val="18"/>
        <w:rPr>
          <w:rFonts w:hint="eastAsia" w:cs="宋体"/>
          <w:color w:val="auto"/>
          <w:highlight w:val="none"/>
        </w:rPr>
      </w:pPr>
    </w:p>
    <w:p w14:paraId="49AD9508">
      <w:pPr>
        <w:rPr>
          <w:rFonts w:hint="eastAsia" w:ascii="宋体" w:hAnsi="宋体" w:cs="宋体"/>
          <w:color w:val="auto"/>
          <w:sz w:val="24"/>
          <w:highlight w:val="none"/>
        </w:rPr>
      </w:pPr>
      <w:r>
        <w:rPr>
          <w:rFonts w:hint="eastAsia" w:ascii="宋体" w:hAnsi="宋体" w:cs="宋体"/>
          <w:color w:val="auto"/>
          <w:sz w:val="24"/>
          <w:highlight w:val="none"/>
        </w:rPr>
        <w:t>格式自拟。</w:t>
      </w:r>
    </w:p>
    <w:p w14:paraId="233B286D">
      <w:pPr>
        <w:rPr>
          <w:rFonts w:hint="eastAsia" w:ascii="宋体" w:hAnsi="宋体" w:cs="宋体"/>
          <w:color w:val="auto"/>
          <w:sz w:val="24"/>
          <w:highlight w:val="none"/>
        </w:rPr>
      </w:pPr>
    </w:p>
    <w:bookmarkEnd w:id="1111"/>
    <w:sectPr>
      <w:pgSz w:w="11905" w:h="16838"/>
      <w:pgMar w:top="1417" w:right="1701" w:bottom="1417" w:left="1701" w:header="1020" w:footer="850" w:gutter="0"/>
      <w:cols w:space="0" w:num="1"/>
      <w:rtlGutter w:val="0"/>
      <w:docGrid w:linePitch="46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Arial Unicode MS">
    <w:altName w:val="Arial"/>
    <w:panose1 w:val="020B0604020202020204"/>
    <w:charset w:val="80"/>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00000" w:usb3="00000000" w:csb0="00040000" w:csb1="00000000"/>
  </w:font>
  <w:font w:name="Songti SC">
    <w:altName w:val="宋体"/>
    <w:panose1 w:val="00000000000000000000"/>
    <w:charset w:val="86"/>
    <w:family w:val="auto"/>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等线 Light">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1BF63">
    <w:pPr>
      <w:pStyle w:val="30"/>
      <w:framePr w:wrap="around" w:vAnchor="text" w:hAnchor="margin" w:y="1"/>
      <w:ind w:right="360"/>
      <w:rPr>
        <w:rStyle w:val="53"/>
      </w:rPr>
    </w:pPr>
  </w:p>
  <w:p w14:paraId="4D27ECD1">
    <w:pPr>
      <w:pStyle w:val="30"/>
      <w:ind w:right="360" w:firstLine="360"/>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7D77B">
    <w:pPr>
      <w:pStyle w:val="3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DFD9FA">
                          <w:pPr>
                            <w:pStyle w:val="30"/>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2DDFD9FA">
                    <w:pPr>
                      <w:pStyle w:val="30"/>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F1759">
    <w:pPr>
      <w:pStyle w:val="3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D89341">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59D89341">
                    <w:pPr>
                      <w:pStyle w:val="3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0E477">
    <w:pPr>
      <w:pStyle w:val="3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3823D3">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6B3823D3">
                    <w:pPr>
                      <w:pStyle w:val="3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1F7DC">
    <w:pPr>
      <w:pStyle w:val="3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2F1669">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562F1669">
                    <w:pPr>
                      <w:pStyle w:val="3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9EBDC">
    <w:pPr>
      <w:pStyle w:val="3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1C8E62">
                          <w:pPr>
                            <w:pStyle w:val="30"/>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0C1C8E62">
                    <w:pPr>
                      <w:pStyle w:val="30"/>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E6391">
    <w:pPr>
      <w:pStyle w:val="30"/>
      <w:framePr w:wrap="around" w:vAnchor="text" w:hAnchor="margin" w:xAlign="right" w:y="1"/>
      <w:rPr>
        <w:rStyle w:val="53"/>
      </w:rPr>
    </w:pPr>
    <w:r>
      <w:rPr>
        <w:rStyle w:val="53"/>
      </w:rPr>
      <w:fldChar w:fldCharType="begin"/>
    </w:r>
    <w:r>
      <w:rPr>
        <w:rStyle w:val="53"/>
      </w:rPr>
      <w:instrText xml:space="preserve">PAGE  </w:instrText>
    </w:r>
    <w:r>
      <w:rPr>
        <w:rStyle w:val="53"/>
      </w:rPr>
      <w:fldChar w:fldCharType="end"/>
    </w:r>
  </w:p>
  <w:p w14:paraId="7D3E697E">
    <w:pPr>
      <w:pStyle w:val="30"/>
      <w:ind w:right="360"/>
    </w:pPr>
  </w:p>
  <w:p w14:paraId="5E621356"/>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B2680">
    <w:pPr>
      <w:pStyle w:val="3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A9CAB">
    <w:pPr>
      <w:pStyle w:val="30"/>
      <w:framePr w:wrap="around" w:vAnchor="text" w:hAnchor="margin" w:xAlign="right" w:y="1"/>
      <w:rPr>
        <w:rStyle w:val="53"/>
      </w:rPr>
    </w:pPr>
    <w:r>
      <w:rPr>
        <w:rStyle w:val="53"/>
      </w:rPr>
      <w:fldChar w:fldCharType="begin"/>
    </w:r>
    <w:r>
      <w:rPr>
        <w:rStyle w:val="53"/>
      </w:rPr>
      <w:instrText xml:space="preserve">PAGE  </w:instrText>
    </w:r>
    <w:r>
      <w:rPr>
        <w:rStyle w:val="53"/>
      </w:rPr>
      <w:fldChar w:fldCharType="end"/>
    </w:r>
  </w:p>
  <w:p w14:paraId="23E913E8">
    <w:pPr>
      <w:pStyle w:val="30"/>
      <w:ind w:right="360"/>
    </w:pPr>
  </w:p>
  <w:p w14:paraId="3FAD5F35"/>
  <w:p w14:paraId="792A495F"/>
  <w:p w14:paraId="664DA889"/>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1BA64">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171D7">
    <w:pPr>
      <w:pStyle w:val="30"/>
      <w:framePr w:wrap="around" w:vAnchor="text" w:hAnchor="margin" w:xAlign="center" w:y="1"/>
      <w:rPr>
        <w:rStyle w:val="53"/>
      </w:rPr>
    </w:pPr>
    <w:r>
      <w:fldChar w:fldCharType="begin"/>
    </w:r>
    <w:r>
      <w:rPr>
        <w:rStyle w:val="53"/>
      </w:rPr>
      <w:instrText xml:space="preserve">PAGE  </w:instrText>
    </w:r>
    <w:r>
      <w:fldChar w:fldCharType="end"/>
    </w:r>
  </w:p>
  <w:p w14:paraId="37292158">
    <w:pPr>
      <w:pStyle w:val="3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22426">
    <w:pPr>
      <w:pStyle w:val="30"/>
      <w:framePr w:wrap="around" w:vAnchor="text" w:hAnchor="margin" w:xAlign="right" w:y="1"/>
      <w:rPr>
        <w:rStyle w:val="53"/>
      </w:rPr>
    </w:pPr>
  </w:p>
  <w:p w14:paraId="6EF1B00D">
    <w:pPr>
      <w:pStyle w:val="30"/>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50C4B">
    <w:pPr>
      <w:pStyle w:val="3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A4FA9">
    <w:pPr>
      <w:pStyle w:val="3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572F4B">
                          <w:pPr>
                            <w:pStyle w:val="3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54572F4B">
                    <w:pPr>
                      <w:pStyle w:val="3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54225">
    <w:pPr>
      <w:pStyle w:val="30"/>
      <w:rPr>
        <w:rStyle w:val="53"/>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F34490">
                          <w:pPr>
                            <w:pStyle w:val="30"/>
                            <w:rPr>
                              <w:sz w:val="21"/>
                              <w:szCs w:val="22"/>
                            </w:rPr>
                          </w:pPr>
                          <w:r>
                            <w:rPr>
                              <w:sz w:val="21"/>
                              <w:szCs w:val="22"/>
                            </w:rPr>
                            <w:fldChar w:fldCharType="begin"/>
                          </w:r>
                          <w:r>
                            <w:rPr>
                              <w:sz w:val="21"/>
                              <w:szCs w:val="22"/>
                            </w:rPr>
                            <w:instrText xml:space="preserve"> PAGE  \* MERGEFORMAT </w:instrText>
                          </w:r>
                          <w:r>
                            <w:rPr>
                              <w:sz w:val="21"/>
                              <w:szCs w:val="22"/>
                            </w:rPr>
                            <w:fldChar w:fldCharType="separate"/>
                          </w:r>
                          <w:r>
                            <w:rPr>
                              <w:sz w:val="21"/>
                              <w:szCs w:val="22"/>
                            </w:rPr>
                            <w:t>1</w:t>
                          </w:r>
                          <w:r>
                            <w:rPr>
                              <w:sz w:val="21"/>
                              <w:szCs w:val="2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29F34490">
                    <w:pPr>
                      <w:pStyle w:val="30"/>
                      <w:rPr>
                        <w:sz w:val="21"/>
                        <w:szCs w:val="22"/>
                      </w:rPr>
                    </w:pPr>
                    <w:r>
                      <w:rPr>
                        <w:sz w:val="21"/>
                        <w:szCs w:val="22"/>
                      </w:rPr>
                      <w:fldChar w:fldCharType="begin"/>
                    </w:r>
                    <w:r>
                      <w:rPr>
                        <w:sz w:val="21"/>
                        <w:szCs w:val="22"/>
                      </w:rPr>
                      <w:instrText xml:space="preserve"> PAGE  \* MERGEFORMAT </w:instrText>
                    </w:r>
                    <w:r>
                      <w:rPr>
                        <w:sz w:val="21"/>
                        <w:szCs w:val="22"/>
                      </w:rPr>
                      <w:fldChar w:fldCharType="separate"/>
                    </w:r>
                    <w:r>
                      <w:rPr>
                        <w:sz w:val="21"/>
                        <w:szCs w:val="22"/>
                      </w:rPr>
                      <w:t>1</w:t>
                    </w:r>
                    <w:r>
                      <w:rPr>
                        <w:sz w:val="21"/>
                        <w:szCs w:val="22"/>
                      </w:rPr>
                      <w:fldChar w:fldCharType="end"/>
                    </w:r>
                  </w:p>
                </w:txbxContent>
              </v:textbox>
            </v:shape>
          </w:pict>
        </mc:Fallback>
      </mc:AlternateContent>
    </w:r>
  </w:p>
  <w:p w14:paraId="3F1782CC">
    <w:pPr>
      <w:pStyle w:val="30"/>
      <w:ind w:right="360"/>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A2597">
    <w:pPr>
      <w:pStyle w:val="30"/>
      <w:framePr w:wrap="around" w:vAnchor="text" w:hAnchor="margin" w:xAlign="right" w:y="1"/>
      <w:rPr>
        <w:rStyle w:val="53"/>
      </w:rPr>
    </w:pPr>
    <w:r>
      <w:rPr>
        <w:rStyle w:val="53"/>
      </w:rPr>
      <w:fldChar w:fldCharType="begin"/>
    </w:r>
    <w:r>
      <w:rPr>
        <w:rStyle w:val="53"/>
      </w:rPr>
      <w:instrText xml:space="preserve">PAGE  </w:instrText>
    </w:r>
    <w:r>
      <w:rPr>
        <w:rStyle w:val="53"/>
      </w:rPr>
      <w:fldChar w:fldCharType="end"/>
    </w:r>
  </w:p>
  <w:p w14:paraId="0EE0C3B0">
    <w:pPr>
      <w:pStyle w:val="30"/>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819F9">
    <w:pPr>
      <w:pStyle w:val="3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BDA25">
    <w:pPr>
      <w:pStyle w:val="3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0506F4">
                          <w:pPr>
                            <w:pStyle w:val="30"/>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1F0506F4">
                    <w:pPr>
                      <w:pStyle w:val="30"/>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A421D">
    <w:pPr>
      <w:pStyle w:val="31"/>
    </w:pPr>
    <w:r>
      <w:rPr>
        <w:rFonts w:hint="eastAsia"/>
        <w:bCs/>
        <w:lang w:bidi="en-US"/>
      </w:rPr>
      <w:t xml:space="preserve">中信国际招标有限公司                </w:t>
    </w:r>
    <w:r>
      <w:rPr>
        <w:bCs/>
        <w:lang w:bidi="en-US"/>
      </w:rPr>
      <w:t xml:space="preserve">                             </w:t>
    </w:r>
    <w:r>
      <w:rPr>
        <w:rFonts w:hint="eastAsia"/>
        <w:bCs/>
        <w:lang w:bidi="en-US"/>
      </w:rPr>
      <w:t xml:space="preserve">                 </w:t>
    </w:r>
    <w:r>
      <w:rPr>
        <w:bCs/>
        <w:lang w:bidi="en-US"/>
      </w:rPr>
      <w:t xml:space="preserve"> </w:t>
    </w:r>
    <w:r>
      <w:rPr>
        <w:rFonts w:hint="eastAsia"/>
        <w:bCs/>
        <w:lang w:bidi="en-US"/>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BB00D">
    <w:pPr>
      <w:pStyle w:val="31"/>
    </w:pPr>
    <w:r>
      <w:rPr>
        <w:rFonts w:hint="eastAsia"/>
        <w:bCs/>
        <w:lang w:bidi="en-US"/>
      </w:rPr>
      <w:t xml:space="preserve">中信国际招标有限公司                </w:t>
    </w:r>
    <w:r>
      <w:rPr>
        <w:bCs/>
        <w:lang w:bidi="en-US"/>
      </w:rPr>
      <w:t xml:space="preserve">                             </w:t>
    </w:r>
    <w:r>
      <w:rPr>
        <w:rFonts w:hint="eastAsia"/>
        <w:bCs/>
        <w:lang w:bidi="en-US"/>
      </w:rPr>
      <w:t xml:space="preserve">                     </w:t>
    </w:r>
    <w:r>
      <w:rPr>
        <w:bCs/>
        <w:lang w:bidi="en-US"/>
      </w:rPr>
      <w:t xml:space="preserve"> </w:t>
    </w:r>
    <w:r>
      <w:rPr>
        <w:rFonts w:hint="eastAsia"/>
        <w:bCs/>
        <w:lang w:bidi="en-US"/>
      </w:rPr>
      <w:t>招标文件</w:t>
    </w:r>
  </w:p>
  <w:p w14:paraId="464DB2D2">
    <w:pPr>
      <w:pStyle w:val="31"/>
      <w:pBdr>
        <w:bottom w:val="none" w:color="auto" w:sz="0" w:space="0"/>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17473">
    <w:pPr>
      <w:pStyle w:val="3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D2404">
    <w:pPr>
      <w:pStyle w:val="3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EF18C">
    <w:pPr>
      <w:pStyle w:val="31"/>
    </w:pPr>
  </w:p>
  <w:p w14:paraId="08656C9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AD91E">
    <w:pPr>
      <w:pStyle w:val="3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1BA71">
    <w:pPr>
      <w:pStyle w:val="31"/>
    </w:pPr>
  </w:p>
  <w:p w14:paraId="50CA593E"/>
  <w:p w14:paraId="7DCE7157"/>
  <w:p w14:paraId="73DF244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6A52A">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D5E8D0"/>
    <w:multiLevelType w:val="singleLevel"/>
    <w:tmpl w:val="D3D5E8D0"/>
    <w:lvl w:ilvl="0" w:tentative="0">
      <w:start w:val="1"/>
      <w:numFmt w:val="decimal"/>
      <w:suff w:val="nothing"/>
      <w:lvlText w:val="（%1）"/>
      <w:lvlJc w:val="left"/>
    </w:lvl>
  </w:abstractNum>
  <w:abstractNum w:abstractNumId="1">
    <w:nsid w:val="F131CB54"/>
    <w:multiLevelType w:val="singleLevel"/>
    <w:tmpl w:val="F131CB54"/>
    <w:lvl w:ilvl="0" w:tentative="0">
      <w:start w:val="2"/>
      <w:numFmt w:val="chineseCounting"/>
      <w:suff w:val="nothing"/>
      <w:lvlText w:val="%1、"/>
      <w:lvlJc w:val="left"/>
      <w:rPr>
        <w:rFonts w:hint="eastAsia"/>
      </w:rPr>
    </w:lvl>
  </w:abstractNum>
  <w:abstractNum w:abstractNumId="2">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3">
    <w:nsid w:val="0000000A"/>
    <w:multiLevelType w:val="multilevel"/>
    <w:tmpl w:val="0000000A"/>
    <w:lvl w:ilvl="0" w:tentative="0">
      <w:start w:val="1"/>
      <w:numFmt w:val="decimal"/>
      <w:pStyle w:val="126"/>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D"/>
    <w:multiLevelType w:val="multilevel"/>
    <w:tmpl w:val="0000000D"/>
    <w:lvl w:ilvl="0" w:tentative="0">
      <w:start w:val="1"/>
      <w:numFmt w:val="lowerLetter"/>
      <w:pStyle w:val="200"/>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00000013"/>
    <w:multiLevelType w:val="singleLevel"/>
    <w:tmpl w:val="00000013"/>
    <w:lvl w:ilvl="0" w:tentative="0">
      <w:start w:val="1"/>
      <w:numFmt w:val="decimal"/>
      <w:pStyle w:val="171"/>
      <w:lvlText w:val="%1."/>
      <w:lvlJc w:val="left"/>
      <w:pPr>
        <w:tabs>
          <w:tab w:val="left" w:pos="360"/>
        </w:tabs>
        <w:ind w:left="360" w:hanging="360"/>
      </w:pPr>
      <w:rPr>
        <w:rFonts w:hint="default"/>
      </w:rPr>
    </w:lvl>
  </w:abstractNum>
  <w:abstractNum w:abstractNumId="6">
    <w:nsid w:val="00000026"/>
    <w:multiLevelType w:val="multilevel"/>
    <w:tmpl w:val="00000026"/>
    <w:lvl w:ilvl="0" w:tentative="0">
      <w:start w:val="1"/>
      <w:numFmt w:val="decimal"/>
      <w:pStyle w:val="118"/>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17"/>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56"/>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55"/>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64"/>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77"/>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40"/>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7">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58"/>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8">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9">
    <w:nsid w:val="0000002F"/>
    <w:multiLevelType w:val="multilevel"/>
    <w:tmpl w:val="0000002F"/>
    <w:lvl w:ilvl="0" w:tentative="0">
      <w:start w:val="1"/>
      <w:numFmt w:val="decimal"/>
      <w:pStyle w:val="125"/>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A6736D2"/>
    <w:multiLevelType w:val="multilevel"/>
    <w:tmpl w:val="0A6736D2"/>
    <w:lvl w:ilvl="0" w:tentative="0">
      <w:start w:val="1"/>
      <w:numFmt w:val="decimal"/>
      <w:pStyle w:val="308"/>
      <w:isLgl/>
      <w:lvlText w:val="%1."/>
      <w:lvlJc w:val="left"/>
      <w:pPr>
        <w:ind w:left="425" w:hanging="425"/>
      </w:pPr>
      <w:rPr>
        <w:rFonts w:hint="eastAsia" w:ascii="Times New Roman" w:hAnsi="Times New Roman" w:eastAsia="Arial Unicode MS" w:cs="Times New Roman"/>
        <w:b w:val="0"/>
        <w:i w:val="0"/>
        <w:sz w:val="44"/>
      </w:rPr>
    </w:lvl>
    <w:lvl w:ilvl="1" w:tentative="0">
      <w:start w:val="1"/>
      <w:numFmt w:val="decimal"/>
      <w:isLgl/>
      <w:lvlText w:val="%1.%2."/>
      <w:lvlJc w:val="left"/>
      <w:pPr>
        <w:ind w:left="567" w:hanging="567"/>
      </w:pPr>
      <w:rPr>
        <w:rFonts w:hint="eastAsia" w:ascii="Times New Roman" w:hAnsi="Times New Roman" w:eastAsia="Arial Unicode MS" w:cs="Times New Roman"/>
        <w:b w:val="0"/>
        <w:i w:val="0"/>
        <w:sz w:val="32"/>
      </w:rPr>
    </w:lvl>
    <w:lvl w:ilvl="2" w:tentative="0">
      <w:start w:val="1"/>
      <w:numFmt w:val="decimal"/>
      <w:pStyle w:val="307"/>
      <w:isLgl/>
      <w:lvlText w:val="%1.%2.%3."/>
      <w:lvlJc w:val="left"/>
      <w:pPr>
        <w:ind w:left="709" w:hanging="709"/>
      </w:pPr>
      <w:rPr>
        <w:rFonts w:hint="eastAsia" w:ascii="Times New Roman" w:hAnsi="Times New Roman" w:eastAsia="Arial Unicode MS" w:cs="Times New Roman"/>
        <w:b w:val="0"/>
        <w:i w:val="0"/>
        <w:sz w:val="30"/>
      </w:rPr>
    </w:lvl>
    <w:lvl w:ilvl="3" w:tentative="0">
      <w:start w:val="1"/>
      <w:numFmt w:val="decimal"/>
      <w:pStyle w:val="309"/>
      <w:lvlText w:val="%1.%2.%3.%4."/>
      <w:lvlJc w:val="left"/>
      <w:pPr>
        <w:ind w:left="851" w:hanging="851"/>
      </w:pPr>
    </w:lvl>
    <w:lvl w:ilvl="4" w:tentative="0">
      <w:start w:val="1"/>
      <w:numFmt w:val="decimal"/>
      <w:pStyle w:val="306"/>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1">
    <w:nsid w:val="0E230849"/>
    <w:multiLevelType w:val="multilevel"/>
    <w:tmpl w:val="0E230849"/>
    <w:lvl w:ilvl="0" w:tentative="0">
      <w:start w:val="1"/>
      <w:numFmt w:val="decimal"/>
      <w:pStyle w:val="225"/>
      <w:lvlText w:val="%1"/>
      <w:lvlJc w:val="left"/>
      <w:pPr>
        <w:ind w:left="680" w:hanging="680"/>
      </w:pPr>
      <w:rPr>
        <w:rFonts w:hint="eastAsia" w:ascii="宋体" w:hAnsi="宋体" w:eastAsia="宋体"/>
      </w:rPr>
    </w:lvl>
    <w:lvl w:ilvl="1" w:tentative="0">
      <w:start w:val="1"/>
      <w:numFmt w:val="decimal"/>
      <w:pStyle w:val="226"/>
      <w:lvlText w:val="%1.%2"/>
      <w:lvlJc w:val="left"/>
      <w:pPr>
        <w:ind w:left="851" w:hanging="851"/>
      </w:pPr>
      <w:rPr>
        <w:rFonts w:hint="eastAsia" w:ascii="宋体" w:hAnsi="宋体" w:eastAsia="宋体"/>
        <w:color w:val="auto"/>
      </w:rPr>
    </w:lvl>
    <w:lvl w:ilvl="2" w:tentative="0">
      <w:start w:val="1"/>
      <w:numFmt w:val="decimal"/>
      <w:pStyle w:val="227"/>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2">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4">
    <w:nsid w:val="2B79B020"/>
    <w:multiLevelType w:val="singleLevel"/>
    <w:tmpl w:val="2B79B020"/>
    <w:lvl w:ilvl="0" w:tentative="0">
      <w:start w:val="5"/>
      <w:numFmt w:val="decimal"/>
      <w:lvlText w:val="%1."/>
      <w:lvlJc w:val="left"/>
      <w:pPr>
        <w:tabs>
          <w:tab w:val="left" w:pos="312"/>
        </w:tabs>
      </w:pPr>
    </w:lvl>
  </w:abstractNum>
  <w:abstractNum w:abstractNumId="15">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6">
    <w:nsid w:val="31BF3158"/>
    <w:multiLevelType w:val="multilevel"/>
    <w:tmpl w:val="31BF3158"/>
    <w:lvl w:ilvl="0" w:tentative="0">
      <w:start w:val="1"/>
      <w:numFmt w:val="decimal"/>
      <w:suff w:val="space"/>
      <w:lvlText w:val="%1）"/>
      <w:lvlJc w:val="left"/>
      <w:pPr>
        <w:ind w:left="108" w:hanging="393"/>
      </w:pPr>
      <w:rPr>
        <w:rFonts w:hint="default" w:ascii="Arial" w:hAnsi="Arial" w:eastAsia="Arial" w:cs="Arial"/>
        <w:b w:val="0"/>
        <w:bCs w:val="0"/>
        <w:i w:val="0"/>
        <w:iCs w:val="0"/>
        <w:spacing w:val="-2"/>
        <w:w w:val="100"/>
        <w:sz w:val="22"/>
        <w:szCs w:val="22"/>
        <w:lang w:val="en-US" w:eastAsia="zh-CN" w:bidi="ar-SA"/>
      </w:rPr>
    </w:lvl>
    <w:lvl w:ilvl="1" w:tentative="0">
      <w:start w:val="0"/>
      <w:numFmt w:val="bullet"/>
      <w:lvlText w:val="•"/>
      <w:lvlJc w:val="left"/>
      <w:pPr>
        <w:ind w:left="761" w:hanging="393"/>
      </w:pPr>
      <w:rPr>
        <w:rFonts w:hint="default"/>
        <w:lang w:val="en-US" w:eastAsia="zh-CN" w:bidi="ar-SA"/>
      </w:rPr>
    </w:lvl>
    <w:lvl w:ilvl="2" w:tentative="0">
      <w:start w:val="0"/>
      <w:numFmt w:val="bullet"/>
      <w:lvlText w:val="•"/>
      <w:lvlJc w:val="left"/>
      <w:pPr>
        <w:ind w:left="1423" w:hanging="393"/>
      </w:pPr>
      <w:rPr>
        <w:rFonts w:hint="default"/>
        <w:lang w:val="en-US" w:eastAsia="zh-CN" w:bidi="ar-SA"/>
      </w:rPr>
    </w:lvl>
    <w:lvl w:ilvl="3" w:tentative="0">
      <w:start w:val="0"/>
      <w:numFmt w:val="bullet"/>
      <w:lvlText w:val="•"/>
      <w:lvlJc w:val="left"/>
      <w:pPr>
        <w:ind w:left="2084" w:hanging="393"/>
      </w:pPr>
      <w:rPr>
        <w:rFonts w:hint="default"/>
        <w:lang w:val="en-US" w:eastAsia="zh-CN" w:bidi="ar-SA"/>
      </w:rPr>
    </w:lvl>
    <w:lvl w:ilvl="4" w:tentative="0">
      <w:start w:val="0"/>
      <w:numFmt w:val="bullet"/>
      <w:lvlText w:val="•"/>
      <w:lvlJc w:val="left"/>
      <w:pPr>
        <w:ind w:left="2746" w:hanging="393"/>
      </w:pPr>
      <w:rPr>
        <w:rFonts w:hint="default"/>
        <w:lang w:val="en-US" w:eastAsia="zh-CN" w:bidi="ar-SA"/>
      </w:rPr>
    </w:lvl>
    <w:lvl w:ilvl="5" w:tentative="0">
      <w:start w:val="0"/>
      <w:numFmt w:val="bullet"/>
      <w:lvlText w:val="•"/>
      <w:lvlJc w:val="left"/>
      <w:pPr>
        <w:ind w:left="3407" w:hanging="393"/>
      </w:pPr>
      <w:rPr>
        <w:rFonts w:hint="default"/>
        <w:lang w:val="en-US" w:eastAsia="zh-CN" w:bidi="ar-SA"/>
      </w:rPr>
    </w:lvl>
    <w:lvl w:ilvl="6" w:tentative="0">
      <w:start w:val="0"/>
      <w:numFmt w:val="bullet"/>
      <w:lvlText w:val="•"/>
      <w:lvlJc w:val="left"/>
      <w:pPr>
        <w:ind w:left="4069" w:hanging="393"/>
      </w:pPr>
      <w:rPr>
        <w:rFonts w:hint="default"/>
        <w:lang w:val="en-US" w:eastAsia="zh-CN" w:bidi="ar-SA"/>
      </w:rPr>
    </w:lvl>
    <w:lvl w:ilvl="7" w:tentative="0">
      <w:start w:val="0"/>
      <w:numFmt w:val="bullet"/>
      <w:lvlText w:val="•"/>
      <w:lvlJc w:val="left"/>
      <w:pPr>
        <w:ind w:left="4730" w:hanging="393"/>
      </w:pPr>
      <w:rPr>
        <w:rFonts w:hint="default"/>
        <w:lang w:val="en-US" w:eastAsia="zh-CN" w:bidi="ar-SA"/>
      </w:rPr>
    </w:lvl>
    <w:lvl w:ilvl="8" w:tentative="0">
      <w:start w:val="0"/>
      <w:numFmt w:val="bullet"/>
      <w:lvlText w:val="•"/>
      <w:lvlJc w:val="left"/>
      <w:pPr>
        <w:ind w:left="5392" w:hanging="393"/>
      </w:pPr>
      <w:rPr>
        <w:rFonts w:hint="default"/>
        <w:lang w:val="en-US" w:eastAsia="zh-CN" w:bidi="ar-SA"/>
      </w:rPr>
    </w:lvl>
  </w:abstractNum>
  <w:abstractNum w:abstractNumId="17">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8">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8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9">
    <w:nsid w:val="6FA459EF"/>
    <w:multiLevelType w:val="singleLevel"/>
    <w:tmpl w:val="6FA459EF"/>
    <w:lvl w:ilvl="0" w:tentative="0">
      <w:start w:val="1"/>
      <w:numFmt w:val="decimal"/>
      <w:suff w:val="nothing"/>
      <w:lvlText w:val="%1）"/>
      <w:lvlJc w:val="left"/>
    </w:lvl>
  </w:abstractNum>
  <w:num w:numId="1">
    <w:abstractNumId w:val="6"/>
  </w:num>
  <w:num w:numId="2">
    <w:abstractNumId w:val="9"/>
  </w:num>
  <w:num w:numId="3">
    <w:abstractNumId w:val="3"/>
  </w:num>
  <w:num w:numId="4">
    <w:abstractNumId w:val="7"/>
  </w:num>
  <w:num w:numId="5">
    <w:abstractNumId w:val="5"/>
  </w:num>
  <w:num w:numId="6">
    <w:abstractNumId w:val="4"/>
  </w:num>
  <w:num w:numId="7">
    <w:abstractNumId w:val="1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4"/>
  </w:num>
  <w:num w:numId="11">
    <w:abstractNumId w:val="8"/>
  </w:num>
  <w:num w:numId="12">
    <w:abstractNumId w:val="13"/>
  </w:num>
  <w:num w:numId="13">
    <w:abstractNumId w:val="2"/>
  </w:num>
  <w:num w:numId="14">
    <w:abstractNumId w:val="17"/>
  </w:num>
  <w:num w:numId="15">
    <w:abstractNumId w:val="12"/>
  </w:num>
  <w:num w:numId="16">
    <w:abstractNumId w:val="16"/>
  </w:num>
  <w:num w:numId="17">
    <w:abstractNumId w:val="1"/>
  </w:num>
  <w:num w:numId="18">
    <w:abstractNumId w:val="0"/>
  </w:num>
  <w:num w:numId="19">
    <w:abstractNumId w:val="1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ZTI5ZmY4MmJjOTRhMTc2OWY1OTYyZWE2MWQ4Yzg4NzM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70"/>
    <w:rsid w:val="0000279B"/>
    <w:rsid w:val="000027EB"/>
    <w:rsid w:val="00002944"/>
    <w:rsid w:val="00002F3D"/>
    <w:rsid w:val="00002FE1"/>
    <w:rsid w:val="00003279"/>
    <w:rsid w:val="00003626"/>
    <w:rsid w:val="00003711"/>
    <w:rsid w:val="00003804"/>
    <w:rsid w:val="000039FD"/>
    <w:rsid w:val="00003A41"/>
    <w:rsid w:val="00003E5F"/>
    <w:rsid w:val="00003EA2"/>
    <w:rsid w:val="00003EA7"/>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D57"/>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7D"/>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4CA"/>
    <w:rsid w:val="00026693"/>
    <w:rsid w:val="000267C8"/>
    <w:rsid w:val="00026845"/>
    <w:rsid w:val="00026AAC"/>
    <w:rsid w:val="00026D3D"/>
    <w:rsid w:val="00026F4A"/>
    <w:rsid w:val="00027069"/>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3D45"/>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48"/>
    <w:rsid w:val="00043D59"/>
    <w:rsid w:val="00043DD6"/>
    <w:rsid w:val="000441F6"/>
    <w:rsid w:val="000446D5"/>
    <w:rsid w:val="00044723"/>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38"/>
    <w:rsid w:val="00045A76"/>
    <w:rsid w:val="00045AB9"/>
    <w:rsid w:val="00045BF7"/>
    <w:rsid w:val="000460A7"/>
    <w:rsid w:val="0004611A"/>
    <w:rsid w:val="000461DC"/>
    <w:rsid w:val="00046309"/>
    <w:rsid w:val="0004639F"/>
    <w:rsid w:val="00046737"/>
    <w:rsid w:val="0004680B"/>
    <w:rsid w:val="00046872"/>
    <w:rsid w:val="00046939"/>
    <w:rsid w:val="00046963"/>
    <w:rsid w:val="000469F1"/>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70"/>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5770E"/>
    <w:rsid w:val="000578C6"/>
    <w:rsid w:val="000600AF"/>
    <w:rsid w:val="000600DF"/>
    <w:rsid w:val="00060210"/>
    <w:rsid w:val="000602E6"/>
    <w:rsid w:val="00060333"/>
    <w:rsid w:val="00060350"/>
    <w:rsid w:val="000603F2"/>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266"/>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09A"/>
    <w:rsid w:val="0006751D"/>
    <w:rsid w:val="00067529"/>
    <w:rsid w:val="00067802"/>
    <w:rsid w:val="000679C4"/>
    <w:rsid w:val="00067D43"/>
    <w:rsid w:val="00067E9C"/>
    <w:rsid w:val="000701A2"/>
    <w:rsid w:val="000703BE"/>
    <w:rsid w:val="0007050C"/>
    <w:rsid w:val="00070524"/>
    <w:rsid w:val="00070526"/>
    <w:rsid w:val="0007060C"/>
    <w:rsid w:val="0007090B"/>
    <w:rsid w:val="00070998"/>
    <w:rsid w:val="00070BB9"/>
    <w:rsid w:val="0007103D"/>
    <w:rsid w:val="00071223"/>
    <w:rsid w:val="00071356"/>
    <w:rsid w:val="00071D3C"/>
    <w:rsid w:val="00071DF6"/>
    <w:rsid w:val="00071FFA"/>
    <w:rsid w:val="00072063"/>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908"/>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3BC"/>
    <w:rsid w:val="0007662D"/>
    <w:rsid w:val="00076D3D"/>
    <w:rsid w:val="00076E3C"/>
    <w:rsid w:val="00076E8A"/>
    <w:rsid w:val="00076EFF"/>
    <w:rsid w:val="00076FDA"/>
    <w:rsid w:val="00077079"/>
    <w:rsid w:val="000770B3"/>
    <w:rsid w:val="000775EA"/>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0F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2"/>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766"/>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ACE"/>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DE1"/>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423"/>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81"/>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981"/>
    <w:rsid w:val="000C1275"/>
    <w:rsid w:val="000C14D6"/>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393"/>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CA3"/>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95A"/>
    <w:rsid w:val="000E3C86"/>
    <w:rsid w:val="000E3D59"/>
    <w:rsid w:val="000E3DAC"/>
    <w:rsid w:val="000E401D"/>
    <w:rsid w:val="000E4215"/>
    <w:rsid w:val="000E439E"/>
    <w:rsid w:val="000E4476"/>
    <w:rsid w:val="000E4703"/>
    <w:rsid w:val="000E478F"/>
    <w:rsid w:val="000E48E0"/>
    <w:rsid w:val="000E48E2"/>
    <w:rsid w:val="000E48F7"/>
    <w:rsid w:val="000E4C55"/>
    <w:rsid w:val="000E4CBB"/>
    <w:rsid w:val="000E4DCA"/>
    <w:rsid w:val="000E505F"/>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6F6F"/>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30C"/>
    <w:rsid w:val="0011246A"/>
    <w:rsid w:val="0011261B"/>
    <w:rsid w:val="00112659"/>
    <w:rsid w:val="00112BFA"/>
    <w:rsid w:val="00112C7A"/>
    <w:rsid w:val="00112D88"/>
    <w:rsid w:val="00112DC9"/>
    <w:rsid w:val="00112EA1"/>
    <w:rsid w:val="00112EB8"/>
    <w:rsid w:val="00112F41"/>
    <w:rsid w:val="00113254"/>
    <w:rsid w:val="001133A4"/>
    <w:rsid w:val="00113451"/>
    <w:rsid w:val="001134AF"/>
    <w:rsid w:val="0011354B"/>
    <w:rsid w:val="0011375C"/>
    <w:rsid w:val="001137C8"/>
    <w:rsid w:val="001137CA"/>
    <w:rsid w:val="00113A8F"/>
    <w:rsid w:val="00113C06"/>
    <w:rsid w:val="001140D4"/>
    <w:rsid w:val="001141CF"/>
    <w:rsid w:val="00114447"/>
    <w:rsid w:val="0011448A"/>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8FB"/>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40D"/>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07"/>
    <w:rsid w:val="00127B9E"/>
    <w:rsid w:val="00127CA5"/>
    <w:rsid w:val="00127D7F"/>
    <w:rsid w:val="00127EBF"/>
    <w:rsid w:val="00127FC5"/>
    <w:rsid w:val="00130226"/>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A22"/>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6910"/>
    <w:rsid w:val="001371D4"/>
    <w:rsid w:val="001371DC"/>
    <w:rsid w:val="001379B7"/>
    <w:rsid w:val="00137A98"/>
    <w:rsid w:val="00137DD9"/>
    <w:rsid w:val="00137F03"/>
    <w:rsid w:val="001400A0"/>
    <w:rsid w:val="001404E9"/>
    <w:rsid w:val="00140656"/>
    <w:rsid w:val="00140C98"/>
    <w:rsid w:val="00140CC4"/>
    <w:rsid w:val="00140E02"/>
    <w:rsid w:val="00141308"/>
    <w:rsid w:val="00141657"/>
    <w:rsid w:val="001416C8"/>
    <w:rsid w:val="00141C91"/>
    <w:rsid w:val="00141DF4"/>
    <w:rsid w:val="00142005"/>
    <w:rsid w:val="00142471"/>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274"/>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10"/>
    <w:rsid w:val="001519E7"/>
    <w:rsid w:val="00151D76"/>
    <w:rsid w:val="00151DC4"/>
    <w:rsid w:val="00151E6E"/>
    <w:rsid w:val="00152016"/>
    <w:rsid w:val="001520F6"/>
    <w:rsid w:val="00152108"/>
    <w:rsid w:val="00152263"/>
    <w:rsid w:val="001523EE"/>
    <w:rsid w:val="00152731"/>
    <w:rsid w:val="00152850"/>
    <w:rsid w:val="0015290E"/>
    <w:rsid w:val="00152991"/>
    <w:rsid w:val="00152ABC"/>
    <w:rsid w:val="00152FE4"/>
    <w:rsid w:val="001532A4"/>
    <w:rsid w:val="001537A4"/>
    <w:rsid w:val="001537D0"/>
    <w:rsid w:val="00153B7D"/>
    <w:rsid w:val="00153BC8"/>
    <w:rsid w:val="00153F15"/>
    <w:rsid w:val="0015419C"/>
    <w:rsid w:val="00154401"/>
    <w:rsid w:val="001545AD"/>
    <w:rsid w:val="00154682"/>
    <w:rsid w:val="001547F6"/>
    <w:rsid w:val="00154E2A"/>
    <w:rsid w:val="00154E60"/>
    <w:rsid w:val="001550E2"/>
    <w:rsid w:val="00155202"/>
    <w:rsid w:val="0015538F"/>
    <w:rsid w:val="00155434"/>
    <w:rsid w:val="00155C72"/>
    <w:rsid w:val="001564FC"/>
    <w:rsid w:val="00156D28"/>
    <w:rsid w:val="00156D64"/>
    <w:rsid w:val="00156EF9"/>
    <w:rsid w:val="00157375"/>
    <w:rsid w:val="00157500"/>
    <w:rsid w:val="00157721"/>
    <w:rsid w:val="00157952"/>
    <w:rsid w:val="00157A47"/>
    <w:rsid w:val="00157BB6"/>
    <w:rsid w:val="001602B3"/>
    <w:rsid w:val="0016040C"/>
    <w:rsid w:val="001604C3"/>
    <w:rsid w:val="0016050D"/>
    <w:rsid w:val="0016079C"/>
    <w:rsid w:val="0016086E"/>
    <w:rsid w:val="001609D0"/>
    <w:rsid w:val="00160A0C"/>
    <w:rsid w:val="00160C89"/>
    <w:rsid w:val="00160E6C"/>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7CA"/>
    <w:rsid w:val="00163841"/>
    <w:rsid w:val="001638E0"/>
    <w:rsid w:val="001639E3"/>
    <w:rsid w:val="00163A1E"/>
    <w:rsid w:val="00163A32"/>
    <w:rsid w:val="00163B06"/>
    <w:rsid w:val="00163DD7"/>
    <w:rsid w:val="00163DF8"/>
    <w:rsid w:val="0016414D"/>
    <w:rsid w:val="00164669"/>
    <w:rsid w:val="001646BF"/>
    <w:rsid w:val="00164761"/>
    <w:rsid w:val="0016487B"/>
    <w:rsid w:val="001648FB"/>
    <w:rsid w:val="00164974"/>
    <w:rsid w:val="00164AB5"/>
    <w:rsid w:val="00164B73"/>
    <w:rsid w:val="00164F9C"/>
    <w:rsid w:val="001655BB"/>
    <w:rsid w:val="001657CC"/>
    <w:rsid w:val="00165B61"/>
    <w:rsid w:val="00166174"/>
    <w:rsid w:val="001664DB"/>
    <w:rsid w:val="00166541"/>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74D"/>
    <w:rsid w:val="00172877"/>
    <w:rsid w:val="00172A27"/>
    <w:rsid w:val="00173062"/>
    <w:rsid w:val="00173087"/>
    <w:rsid w:val="001730AA"/>
    <w:rsid w:val="00173189"/>
    <w:rsid w:val="001733BD"/>
    <w:rsid w:val="0017344E"/>
    <w:rsid w:val="0017345B"/>
    <w:rsid w:val="0017345C"/>
    <w:rsid w:val="001734C6"/>
    <w:rsid w:val="001734F4"/>
    <w:rsid w:val="00174052"/>
    <w:rsid w:val="00174088"/>
    <w:rsid w:val="00174325"/>
    <w:rsid w:val="00174359"/>
    <w:rsid w:val="001743BF"/>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A02"/>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11"/>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C49"/>
    <w:rsid w:val="00183DFC"/>
    <w:rsid w:val="00184004"/>
    <w:rsid w:val="00184171"/>
    <w:rsid w:val="00184298"/>
    <w:rsid w:val="001846ED"/>
    <w:rsid w:val="001849ED"/>
    <w:rsid w:val="00184B0F"/>
    <w:rsid w:val="00184BC3"/>
    <w:rsid w:val="00184DC3"/>
    <w:rsid w:val="00184F04"/>
    <w:rsid w:val="00184FA0"/>
    <w:rsid w:val="00185367"/>
    <w:rsid w:val="0018542F"/>
    <w:rsid w:val="001855AD"/>
    <w:rsid w:val="00185A00"/>
    <w:rsid w:val="00185BBA"/>
    <w:rsid w:val="0018614B"/>
    <w:rsid w:val="001862B1"/>
    <w:rsid w:val="001862ED"/>
    <w:rsid w:val="00186763"/>
    <w:rsid w:val="0018676E"/>
    <w:rsid w:val="0018693D"/>
    <w:rsid w:val="00186AEB"/>
    <w:rsid w:val="00186BF0"/>
    <w:rsid w:val="00186C6E"/>
    <w:rsid w:val="00186CE3"/>
    <w:rsid w:val="0018702E"/>
    <w:rsid w:val="00187162"/>
    <w:rsid w:val="0018723C"/>
    <w:rsid w:val="001872B3"/>
    <w:rsid w:val="00187350"/>
    <w:rsid w:val="001874D5"/>
    <w:rsid w:val="00187BD3"/>
    <w:rsid w:val="00187D09"/>
    <w:rsid w:val="00187D47"/>
    <w:rsid w:val="00187ED4"/>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523"/>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768"/>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BE6"/>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6AD"/>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96D"/>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48F"/>
    <w:rsid w:val="001C07AD"/>
    <w:rsid w:val="001C0850"/>
    <w:rsid w:val="001C0AB3"/>
    <w:rsid w:val="001C1461"/>
    <w:rsid w:val="001C167B"/>
    <w:rsid w:val="001C172A"/>
    <w:rsid w:val="001C1A12"/>
    <w:rsid w:val="001C1AE9"/>
    <w:rsid w:val="001C1B8B"/>
    <w:rsid w:val="001C1E53"/>
    <w:rsid w:val="001C2145"/>
    <w:rsid w:val="001C255E"/>
    <w:rsid w:val="001C2695"/>
    <w:rsid w:val="001C29BE"/>
    <w:rsid w:val="001C2BE2"/>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5D74"/>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229"/>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5BD"/>
    <w:rsid w:val="001D3766"/>
    <w:rsid w:val="001D3B44"/>
    <w:rsid w:val="001D3BFA"/>
    <w:rsid w:val="001D3D23"/>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383"/>
    <w:rsid w:val="001F17AB"/>
    <w:rsid w:val="001F1B18"/>
    <w:rsid w:val="001F1D26"/>
    <w:rsid w:val="001F1E70"/>
    <w:rsid w:val="001F2402"/>
    <w:rsid w:val="001F28AA"/>
    <w:rsid w:val="001F2AB7"/>
    <w:rsid w:val="001F2D4E"/>
    <w:rsid w:val="001F3082"/>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02"/>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3E6"/>
    <w:rsid w:val="002034C2"/>
    <w:rsid w:val="00203506"/>
    <w:rsid w:val="00203726"/>
    <w:rsid w:val="00203A4A"/>
    <w:rsid w:val="00203BF8"/>
    <w:rsid w:val="00203DAD"/>
    <w:rsid w:val="00203E7F"/>
    <w:rsid w:val="00204728"/>
    <w:rsid w:val="00204761"/>
    <w:rsid w:val="002047C4"/>
    <w:rsid w:val="00204865"/>
    <w:rsid w:val="00204E72"/>
    <w:rsid w:val="00204FA5"/>
    <w:rsid w:val="00205924"/>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9B0"/>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BE7"/>
    <w:rsid w:val="00216EEC"/>
    <w:rsid w:val="0021703E"/>
    <w:rsid w:val="00217445"/>
    <w:rsid w:val="0021798F"/>
    <w:rsid w:val="00217C37"/>
    <w:rsid w:val="00217CB8"/>
    <w:rsid w:val="00217E13"/>
    <w:rsid w:val="00217E62"/>
    <w:rsid w:val="00217EA8"/>
    <w:rsid w:val="0022004D"/>
    <w:rsid w:val="002202FE"/>
    <w:rsid w:val="00220349"/>
    <w:rsid w:val="002203C3"/>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432"/>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032"/>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0AC"/>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3"/>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03C"/>
    <w:rsid w:val="002553A1"/>
    <w:rsid w:val="00255507"/>
    <w:rsid w:val="002557F8"/>
    <w:rsid w:val="00255836"/>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8E"/>
    <w:rsid w:val="002708B8"/>
    <w:rsid w:val="00270954"/>
    <w:rsid w:val="00270A8B"/>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52C"/>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66"/>
    <w:rsid w:val="0027711C"/>
    <w:rsid w:val="00277147"/>
    <w:rsid w:val="002771C6"/>
    <w:rsid w:val="00277401"/>
    <w:rsid w:val="0027742A"/>
    <w:rsid w:val="002775CA"/>
    <w:rsid w:val="002776D8"/>
    <w:rsid w:val="002777C0"/>
    <w:rsid w:val="002777D6"/>
    <w:rsid w:val="00277856"/>
    <w:rsid w:val="002779E8"/>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2FFF"/>
    <w:rsid w:val="00283031"/>
    <w:rsid w:val="002832A6"/>
    <w:rsid w:val="002834E4"/>
    <w:rsid w:val="002837B1"/>
    <w:rsid w:val="00283AA1"/>
    <w:rsid w:val="00283C48"/>
    <w:rsid w:val="00283C50"/>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057"/>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13E"/>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5FF"/>
    <w:rsid w:val="00295708"/>
    <w:rsid w:val="002957E5"/>
    <w:rsid w:val="00295929"/>
    <w:rsid w:val="00295B27"/>
    <w:rsid w:val="00296334"/>
    <w:rsid w:val="0029639D"/>
    <w:rsid w:val="00296560"/>
    <w:rsid w:val="00296B1D"/>
    <w:rsid w:val="00296D9A"/>
    <w:rsid w:val="00296DCD"/>
    <w:rsid w:val="00296F40"/>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A33"/>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A2B"/>
    <w:rsid w:val="002A7B62"/>
    <w:rsid w:val="002A7F5B"/>
    <w:rsid w:val="002B00E2"/>
    <w:rsid w:val="002B02F2"/>
    <w:rsid w:val="002B04FD"/>
    <w:rsid w:val="002B05CF"/>
    <w:rsid w:val="002B0621"/>
    <w:rsid w:val="002B06F7"/>
    <w:rsid w:val="002B073A"/>
    <w:rsid w:val="002B087D"/>
    <w:rsid w:val="002B0D06"/>
    <w:rsid w:val="002B0FF8"/>
    <w:rsid w:val="002B105C"/>
    <w:rsid w:val="002B10CA"/>
    <w:rsid w:val="002B1700"/>
    <w:rsid w:val="002B1AAB"/>
    <w:rsid w:val="002B1D23"/>
    <w:rsid w:val="002B1EAA"/>
    <w:rsid w:val="002B1EF8"/>
    <w:rsid w:val="002B20CC"/>
    <w:rsid w:val="002B21C7"/>
    <w:rsid w:val="002B25DB"/>
    <w:rsid w:val="002B284E"/>
    <w:rsid w:val="002B285A"/>
    <w:rsid w:val="002B28F7"/>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AE8"/>
    <w:rsid w:val="002B4CAF"/>
    <w:rsid w:val="002B4CB5"/>
    <w:rsid w:val="002B4CC2"/>
    <w:rsid w:val="002B4DE1"/>
    <w:rsid w:val="002B502D"/>
    <w:rsid w:val="002B5166"/>
    <w:rsid w:val="002B518F"/>
    <w:rsid w:val="002B531C"/>
    <w:rsid w:val="002B5632"/>
    <w:rsid w:val="002B597F"/>
    <w:rsid w:val="002B59FD"/>
    <w:rsid w:val="002B5ACA"/>
    <w:rsid w:val="002B5CEC"/>
    <w:rsid w:val="002B5D2F"/>
    <w:rsid w:val="002B6164"/>
    <w:rsid w:val="002B6176"/>
    <w:rsid w:val="002B646E"/>
    <w:rsid w:val="002B6520"/>
    <w:rsid w:val="002B67FB"/>
    <w:rsid w:val="002B6876"/>
    <w:rsid w:val="002B6923"/>
    <w:rsid w:val="002B6A46"/>
    <w:rsid w:val="002B6AE5"/>
    <w:rsid w:val="002B6C9C"/>
    <w:rsid w:val="002B6D50"/>
    <w:rsid w:val="002B6D6E"/>
    <w:rsid w:val="002B6F8C"/>
    <w:rsid w:val="002B7216"/>
    <w:rsid w:val="002B752F"/>
    <w:rsid w:val="002B75F9"/>
    <w:rsid w:val="002B76C6"/>
    <w:rsid w:val="002B779B"/>
    <w:rsid w:val="002B7903"/>
    <w:rsid w:val="002B79C4"/>
    <w:rsid w:val="002B7A47"/>
    <w:rsid w:val="002B7B00"/>
    <w:rsid w:val="002B7B0E"/>
    <w:rsid w:val="002B7BF3"/>
    <w:rsid w:val="002B7C9A"/>
    <w:rsid w:val="002B7CFD"/>
    <w:rsid w:val="002B7F68"/>
    <w:rsid w:val="002C0062"/>
    <w:rsid w:val="002C0257"/>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764"/>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1C1"/>
    <w:rsid w:val="002E0993"/>
    <w:rsid w:val="002E0A10"/>
    <w:rsid w:val="002E0B22"/>
    <w:rsid w:val="002E0C91"/>
    <w:rsid w:val="002E0D1D"/>
    <w:rsid w:val="002E0FE5"/>
    <w:rsid w:val="002E13CE"/>
    <w:rsid w:val="002E1429"/>
    <w:rsid w:val="002E14F4"/>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4E9E"/>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17D"/>
    <w:rsid w:val="002F71F7"/>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4A"/>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C64"/>
    <w:rsid w:val="00306DA5"/>
    <w:rsid w:val="00306E6D"/>
    <w:rsid w:val="00306F7B"/>
    <w:rsid w:val="00306FC9"/>
    <w:rsid w:val="0030730A"/>
    <w:rsid w:val="00307877"/>
    <w:rsid w:val="0030792F"/>
    <w:rsid w:val="00307A94"/>
    <w:rsid w:val="00307B6B"/>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50B"/>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9F"/>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657"/>
    <w:rsid w:val="00330B18"/>
    <w:rsid w:val="00330D71"/>
    <w:rsid w:val="00330E85"/>
    <w:rsid w:val="003315DC"/>
    <w:rsid w:val="00331758"/>
    <w:rsid w:val="00331C19"/>
    <w:rsid w:val="00331F7B"/>
    <w:rsid w:val="00332228"/>
    <w:rsid w:val="003322B4"/>
    <w:rsid w:val="003322E8"/>
    <w:rsid w:val="003325BF"/>
    <w:rsid w:val="003325EB"/>
    <w:rsid w:val="003325F4"/>
    <w:rsid w:val="003326EF"/>
    <w:rsid w:val="003327DF"/>
    <w:rsid w:val="00332908"/>
    <w:rsid w:val="00332A0B"/>
    <w:rsid w:val="00332B3E"/>
    <w:rsid w:val="00332B90"/>
    <w:rsid w:val="00332FB2"/>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89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B7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684"/>
    <w:rsid w:val="00346850"/>
    <w:rsid w:val="003469F1"/>
    <w:rsid w:val="00346B0C"/>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4CC"/>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4FCC"/>
    <w:rsid w:val="003550AC"/>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A25"/>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8E2"/>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559"/>
    <w:rsid w:val="003818E3"/>
    <w:rsid w:val="00381AF0"/>
    <w:rsid w:val="00381F0C"/>
    <w:rsid w:val="00381F85"/>
    <w:rsid w:val="003822BF"/>
    <w:rsid w:val="003823AA"/>
    <w:rsid w:val="0038240E"/>
    <w:rsid w:val="00382746"/>
    <w:rsid w:val="003827DA"/>
    <w:rsid w:val="0038296E"/>
    <w:rsid w:val="003829B4"/>
    <w:rsid w:val="00382B44"/>
    <w:rsid w:val="00382C3E"/>
    <w:rsid w:val="00382C85"/>
    <w:rsid w:val="00382E18"/>
    <w:rsid w:val="00382F72"/>
    <w:rsid w:val="0038369C"/>
    <w:rsid w:val="0038388B"/>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C6E"/>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3C02"/>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81"/>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1EE2"/>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21"/>
    <w:rsid w:val="003A3E85"/>
    <w:rsid w:val="003A40D2"/>
    <w:rsid w:val="003A41EF"/>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5A0"/>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24"/>
    <w:rsid w:val="003B4AA6"/>
    <w:rsid w:val="003B4C86"/>
    <w:rsid w:val="003B4E1F"/>
    <w:rsid w:val="003B4E60"/>
    <w:rsid w:val="003B5128"/>
    <w:rsid w:val="003B5268"/>
    <w:rsid w:val="003B5445"/>
    <w:rsid w:val="003B5675"/>
    <w:rsid w:val="003B58A1"/>
    <w:rsid w:val="003B5B4D"/>
    <w:rsid w:val="003B60FB"/>
    <w:rsid w:val="003B6E0F"/>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184"/>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2E"/>
    <w:rsid w:val="003C67CC"/>
    <w:rsid w:val="003C6A20"/>
    <w:rsid w:val="003C6B21"/>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2C"/>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77C"/>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2E2"/>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227"/>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0D5"/>
    <w:rsid w:val="003E21A8"/>
    <w:rsid w:val="003E22EF"/>
    <w:rsid w:val="003E281C"/>
    <w:rsid w:val="003E292E"/>
    <w:rsid w:val="003E2A2E"/>
    <w:rsid w:val="003E2AFC"/>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BCF"/>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4D"/>
    <w:rsid w:val="003F31C1"/>
    <w:rsid w:val="003F3204"/>
    <w:rsid w:val="003F32EA"/>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61"/>
    <w:rsid w:val="004004FE"/>
    <w:rsid w:val="004005F9"/>
    <w:rsid w:val="00400856"/>
    <w:rsid w:val="00400E91"/>
    <w:rsid w:val="00400EFC"/>
    <w:rsid w:val="00401033"/>
    <w:rsid w:val="00401045"/>
    <w:rsid w:val="00401293"/>
    <w:rsid w:val="004012CB"/>
    <w:rsid w:val="00401340"/>
    <w:rsid w:val="00401613"/>
    <w:rsid w:val="004017EC"/>
    <w:rsid w:val="00401BF6"/>
    <w:rsid w:val="00401C78"/>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CF5"/>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07FAE"/>
    <w:rsid w:val="004100CC"/>
    <w:rsid w:val="004100F9"/>
    <w:rsid w:val="00410544"/>
    <w:rsid w:val="0041085A"/>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50"/>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48B"/>
    <w:rsid w:val="0041661F"/>
    <w:rsid w:val="00416640"/>
    <w:rsid w:val="00416669"/>
    <w:rsid w:val="004167EC"/>
    <w:rsid w:val="004167F8"/>
    <w:rsid w:val="0041689B"/>
    <w:rsid w:val="00416BA2"/>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66"/>
    <w:rsid w:val="00420FE6"/>
    <w:rsid w:val="0042128D"/>
    <w:rsid w:val="00421484"/>
    <w:rsid w:val="004214DB"/>
    <w:rsid w:val="004215B8"/>
    <w:rsid w:val="00421BFB"/>
    <w:rsid w:val="00421D0A"/>
    <w:rsid w:val="00421D59"/>
    <w:rsid w:val="00421EB3"/>
    <w:rsid w:val="00422424"/>
    <w:rsid w:val="004226C2"/>
    <w:rsid w:val="004226E7"/>
    <w:rsid w:val="0042301A"/>
    <w:rsid w:val="00423170"/>
    <w:rsid w:val="004232CD"/>
    <w:rsid w:val="00423597"/>
    <w:rsid w:val="00423600"/>
    <w:rsid w:val="0042374E"/>
    <w:rsid w:val="004237FD"/>
    <w:rsid w:val="00423886"/>
    <w:rsid w:val="004238D7"/>
    <w:rsid w:val="00423917"/>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5E45"/>
    <w:rsid w:val="00425F3A"/>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558"/>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3E47"/>
    <w:rsid w:val="0043405B"/>
    <w:rsid w:val="004340E0"/>
    <w:rsid w:val="00434475"/>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1E"/>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9C8"/>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B0E"/>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259"/>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711"/>
    <w:rsid w:val="00462C10"/>
    <w:rsid w:val="00462F1C"/>
    <w:rsid w:val="00462F92"/>
    <w:rsid w:val="004632F6"/>
    <w:rsid w:val="0046349B"/>
    <w:rsid w:val="00463507"/>
    <w:rsid w:val="004635E0"/>
    <w:rsid w:val="0046375D"/>
    <w:rsid w:val="004637A0"/>
    <w:rsid w:val="004638F4"/>
    <w:rsid w:val="00463A6B"/>
    <w:rsid w:val="00463A75"/>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75"/>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45C"/>
    <w:rsid w:val="0047162A"/>
    <w:rsid w:val="00471738"/>
    <w:rsid w:val="0047187B"/>
    <w:rsid w:val="00471B19"/>
    <w:rsid w:val="00471BD1"/>
    <w:rsid w:val="00471C4C"/>
    <w:rsid w:val="00471C5A"/>
    <w:rsid w:val="00471D2D"/>
    <w:rsid w:val="00471DCF"/>
    <w:rsid w:val="00471DD9"/>
    <w:rsid w:val="00472016"/>
    <w:rsid w:val="00472039"/>
    <w:rsid w:val="0047209C"/>
    <w:rsid w:val="004720C4"/>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5F1B"/>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45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93F"/>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291"/>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439"/>
    <w:rsid w:val="004A56B5"/>
    <w:rsid w:val="004A5D47"/>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BE8"/>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2EA"/>
    <w:rsid w:val="004C0452"/>
    <w:rsid w:val="004C0490"/>
    <w:rsid w:val="004C0721"/>
    <w:rsid w:val="004C100B"/>
    <w:rsid w:val="004C130F"/>
    <w:rsid w:val="004C1409"/>
    <w:rsid w:val="004C147D"/>
    <w:rsid w:val="004C153A"/>
    <w:rsid w:val="004C16AA"/>
    <w:rsid w:val="004C19F0"/>
    <w:rsid w:val="004C1D42"/>
    <w:rsid w:val="004C2112"/>
    <w:rsid w:val="004C2120"/>
    <w:rsid w:val="004C21CC"/>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0D4"/>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8FE"/>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5E8"/>
    <w:rsid w:val="004E567F"/>
    <w:rsid w:val="004E5719"/>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8A6"/>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AB"/>
    <w:rsid w:val="004F54BD"/>
    <w:rsid w:val="004F599C"/>
    <w:rsid w:val="004F6066"/>
    <w:rsid w:val="004F6349"/>
    <w:rsid w:val="004F639C"/>
    <w:rsid w:val="004F6435"/>
    <w:rsid w:val="004F66C8"/>
    <w:rsid w:val="004F670B"/>
    <w:rsid w:val="004F68E3"/>
    <w:rsid w:val="004F6B36"/>
    <w:rsid w:val="004F6DC6"/>
    <w:rsid w:val="004F6DEB"/>
    <w:rsid w:val="004F6E67"/>
    <w:rsid w:val="004F70B5"/>
    <w:rsid w:val="004F75F7"/>
    <w:rsid w:val="004F7691"/>
    <w:rsid w:val="004F78C8"/>
    <w:rsid w:val="004F79A5"/>
    <w:rsid w:val="004F7A5D"/>
    <w:rsid w:val="004F7B83"/>
    <w:rsid w:val="004F7D30"/>
    <w:rsid w:val="004F7DAE"/>
    <w:rsid w:val="0050023C"/>
    <w:rsid w:val="00500AA0"/>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26E"/>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13C"/>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A5B"/>
    <w:rsid w:val="00524CBD"/>
    <w:rsid w:val="005251CE"/>
    <w:rsid w:val="005251EB"/>
    <w:rsid w:val="005253DB"/>
    <w:rsid w:val="005259A9"/>
    <w:rsid w:val="00525C6E"/>
    <w:rsid w:val="00525D60"/>
    <w:rsid w:val="005262A1"/>
    <w:rsid w:val="0052632E"/>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0BE4"/>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B52"/>
    <w:rsid w:val="00536DA3"/>
    <w:rsid w:val="00536F86"/>
    <w:rsid w:val="005375E9"/>
    <w:rsid w:val="005378E0"/>
    <w:rsid w:val="00537AD7"/>
    <w:rsid w:val="00537EEA"/>
    <w:rsid w:val="00537FDC"/>
    <w:rsid w:val="00540049"/>
    <w:rsid w:val="00540256"/>
    <w:rsid w:val="00540400"/>
    <w:rsid w:val="005404EB"/>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4D91"/>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B5"/>
    <w:rsid w:val="005507E7"/>
    <w:rsid w:val="0055095F"/>
    <w:rsid w:val="0055098E"/>
    <w:rsid w:val="005509B9"/>
    <w:rsid w:val="005509D8"/>
    <w:rsid w:val="00550CCA"/>
    <w:rsid w:val="00550D2B"/>
    <w:rsid w:val="00550D55"/>
    <w:rsid w:val="00550DE2"/>
    <w:rsid w:val="00551159"/>
    <w:rsid w:val="00551501"/>
    <w:rsid w:val="005518BE"/>
    <w:rsid w:val="00551941"/>
    <w:rsid w:val="00551A02"/>
    <w:rsid w:val="00551AC0"/>
    <w:rsid w:val="00551B4D"/>
    <w:rsid w:val="00551C85"/>
    <w:rsid w:val="00551F80"/>
    <w:rsid w:val="00551FF2"/>
    <w:rsid w:val="00552036"/>
    <w:rsid w:val="005520ED"/>
    <w:rsid w:val="005522D2"/>
    <w:rsid w:val="005525B7"/>
    <w:rsid w:val="005526FA"/>
    <w:rsid w:val="00552768"/>
    <w:rsid w:val="005527FF"/>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9CE"/>
    <w:rsid w:val="00557D30"/>
    <w:rsid w:val="00560344"/>
    <w:rsid w:val="005603D9"/>
    <w:rsid w:val="00560420"/>
    <w:rsid w:val="0056044E"/>
    <w:rsid w:val="005604F8"/>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C32"/>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761"/>
    <w:rsid w:val="005668B5"/>
    <w:rsid w:val="00566ADD"/>
    <w:rsid w:val="00566CB0"/>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4C6"/>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70"/>
    <w:rsid w:val="005744BF"/>
    <w:rsid w:val="0057456B"/>
    <w:rsid w:val="00574C88"/>
    <w:rsid w:val="00574DC8"/>
    <w:rsid w:val="00574F21"/>
    <w:rsid w:val="0057512E"/>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7BF"/>
    <w:rsid w:val="005828E1"/>
    <w:rsid w:val="00582932"/>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1CC"/>
    <w:rsid w:val="005A03CE"/>
    <w:rsid w:val="005A0659"/>
    <w:rsid w:val="005A092C"/>
    <w:rsid w:val="005A0C11"/>
    <w:rsid w:val="005A0DE5"/>
    <w:rsid w:val="005A0E16"/>
    <w:rsid w:val="005A107C"/>
    <w:rsid w:val="005A1087"/>
    <w:rsid w:val="005A10F1"/>
    <w:rsid w:val="005A1190"/>
    <w:rsid w:val="005A1355"/>
    <w:rsid w:val="005A13ED"/>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0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36"/>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9FB"/>
    <w:rsid w:val="005B1BBF"/>
    <w:rsid w:val="005B1ECB"/>
    <w:rsid w:val="005B20D5"/>
    <w:rsid w:val="005B225B"/>
    <w:rsid w:val="005B2331"/>
    <w:rsid w:val="005B2F67"/>
    <w:rsid w:val="005B2FB3"/>
    <w:rsid w:val="005B3152"/>
    <w:rsid w:val="005B3155"/>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32"/>
    <w:rsid w:val="005B69B6"/>
    <w:rsid w:val="005B6A92"/>
    <w:rsid w:val="005B6B20"/>
    <w:rsid w:val="005B6BD4"/>
    <w:rsid w:val="005B6C58"/>
    <w:rsid w:val="005B6DDD"/>
    <w:rsid w:val="005B6E54"/>
    <w:rsid w:val="005B7074"/>
    <w:rsid w:val="005B71B7"/>
    <w:rsid w:val="005B7328"/>
    <w:rsid w:val="005B752E"/>
    <w:rsid w:val="005B7BBC"/>
    <w:rsid w:val="005B7F66"/>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EB2"/>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13"/>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87"/>
    <w:rsid w:val="005D7DA9"/>
    <w:rsid w:val="005E00A6"/>
    <w:rsid w:val="005E019B"/>
    <w:rsid w:val="005E0B26"/>
    <w:rsid w:val="005E0DE8"/>
    <w:rsid w:val="005E1749"/>
    <w:rsid w:val="005E1C8A"/>
    <w:rsid w:val="005E1DA5"/>
    <w:rsid w:val="005E222A"/>
    <w:rsid w:val="005E23E1"/>
    <w:rsid w:val="005E28CD"/>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889"/>
    <w:rsid w:val="005F0DBD"/>
    <w:rsid w:val="005F0F57"/>
    <w:rsid w:val="005F0FC1"/>
    <w:rsid w:val="005F0FD2"/>
    <w:rsid w:val="005F10F4"/>
    <w:rsid w:val="005F173C"/>
    <w:rsid w:val="005F18D0"/>
    <w:rsid w:val="005F1AED"/>
    <w:rsid w:val="005F1E61"/>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79C"/>
    <w:rsid w:val="005F7CBF"/>
    <w:rsid w:val="005F7E87"/>
    <w:rsid w:val="005F7E9E"/>
    <w:rsid w:val="005F7ED5"/>
    <w:rsid w:val="005F7FB9"/>
    <w:rsid w:val="00600076"/>
    <w:rsid w:val="00600132"/>
    <w:rsid w:val="006002C0"/>
    <w:rsid w:val="00600305"/>
    <w:rsid w:val="0060056B"/>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CBB"/>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43"/>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B3"/>
    <w:rsid w:val="0062330E"/>
    <w:rsid w:val="00623327"/>
    <w:rsid w:val="0062335C"/>
    <w:rsid w:val="006236F1"/>
    <w:rsid w:val="00623A42"/>
    <w:rsid w:val="00623B86"/>
    <w:rsid w:val="00623E9D"/>
    <w:rsid w:val="00624010"/>
    <w:rsid w:val="006242E3"/>
    <w:rsid w:val="006247DF"/>
    <w:rsid w:val="00624804"/>
    <w:rsid w:val="00624919"/>
    <w:rsid w:val="006249AF"/>
    <w:rsid w:val="006249BA"/>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6CA2"/>
    <w:rsid w:val="00627051"/>
    <w:rsid w:val="0062711B"/>
    <w:rsid w:val="0062717A"/>
    <w:rsid w:val="006274B7"/>
    <w:rsid w:val="0062759C"/>
    <w:rsid w:val="00627D8F"/>
    <w:rsid w:val="00627E6B"/>
    <w:rsid w:val="00627E72"/>
    <w:rsid w:val="00627EA6"/>
    <w:rsid w:val="00630146"/>
    <w:rsid w:val="0063019B"/>
    <w:rsid w:val="00630254"/>
    <w:rsid w:val="00630272"/>
    <w:rsid w:val="006302A9"/>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0C6"/>
    <w:rsid w:val="00635331"/>
    <w:rsid w:val="00635674"/>
    <w:rsid w:val="00635835"/>
    <w:rsid w:val="00635B2B"/>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2E8"/>
    <w:rsid w:val="00641492"/>
    <w:rsid w:val="006414CC"/>
    <w:rsid w:val="0064151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92"/>
    <w:rsid w:val="00654BFE"/>
    <w:rsid w:val="00654F6E"/>
    <w:rsid w:val="00655003"/>
    <w:rsid w:val="00655022"/>
    <w:rsid w:val="00655198"/>
    <w:rsid w:val="00655622"/>
    <w:rsid w:val="0065577D"/>
    <w:rsid w:val="006559E7"/>
    <w:rsid w:val="00655F67"/>
    <w:rsid w:val="00656011"/>
    <w:rsid w:val="006563B4"/>
    <w:rsid w:val="006567CE"/>
    <w:rsid w:val="0065696D"/>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53C"/>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3F24"/>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781"/>
    <w:rsid w:val="00682C75"/>
    <w:rsid w:val="00683044"/>
    <w:rsid w:val="00683238"/>
    <w:rsid w:val="00683471"/>
    <w:rsid w:val="006834FA"/>
    <w:rsid w:val="006835A5"/>
    <w:rsid w:val="0068374C"/>
    <w:rsid w:val="006839F5"/>
    <w:rsid w:val="00683C9D"/>
    <w:rsid w:val="006842A6"/>
    <w:rsid w:val="0068454A"/>
    <w:rsid w:val="00684ACD"/>
    <w:rsid w:val="00684B8F"/>
    <w:rsid w:val="00685062"/>
    <w:rsid w:val="006853DA"/>
    <w:rsid w:val="00685632"/>
    <w:rsid w:val="00685A09"/>
    <w:rsid w:val="00685D81"/>
    <w:rsid w:val="00685DB2"/>
    <w:rsid w:val="00685E50"/>
    <w:rsid w:val="00685EE4"/>
    <w:rsid w:val="00685F1A"/>
    <w:rsid w:val="00685F3C"/>
    <w:rsid w:val="00685F5D"/>
    <w:rsid w:val="006862E8"/>
    <w:rsid w:val="00686668"/>
    <w:rsid w:val="006866DA"/>
    <w:rsid w:val="0068688C"/>
    <w:rsid w:val="00686A1D"/>
    <w:rsid w:val="00686B66"/>
    <w:rsid w:val="00686DAF"/>
    <w:rsid w:val="00686E91"/>
    <w:rsid w:val="00687145"/>
    <w:rsid w:val="006873E0"/>
    <w:rsid w:val="006875FB"/>
    <w:rsid w:val="0068768A"/>
    <w:rsid w:val="00687AFD"/>
    <w:rsid w:val="00687C7A"/>
    <w:rsid w:val="00687D0D"/>
    <w:rsid w:val="00687D9F"/>
    <w:rsid w:val="00687F12"/>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A4"/>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4A8"/>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4F"/>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DE6"/>
    <w:rsid w:val="006A6E50"/>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5AC"/>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1F"/>
    <w:rsid w:val="006B6D74"/>
    <w:rsid w:val="006B728E"/>
    <w:rsid w:val="006B75B7"/>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B0"/>
    <w:rsid w:val="006C2AF2"/>
    <w:rsid w:val="006C2CE2"/>
    <w:rsid w:val="006C2D2F"/>
    <w:rsid w:val="006C32F8"/>
    <w:rsid w:val="006C335A"/>
    <w:rsid w:val="006C3523"/>
    <w:rsid w:val="006C363F"/>
    <w:rsid w:val="006C3ACC"/>
    <w:rsid w:val="006C3D37"/>
    <w:rsid w:val="006C3ED5"/>
    <w:rsid w:val="006C4171"/>
    <w:rsid w:val="006C42C2"/>
    <w:rsid w:val="006C44AB"/>
    <w:rsid w:val="006C44F0"/>
    <w:rsid w:val="006C453E"/>
    <w:rsid w:val="006C475C"/>
    <w:rsid w:val="006C4872"/>
    <w:rsid w:val="006C4980"/>
    <w:rsid w:val="006C4C23"/>
    <w:rsid w:val="006C4E64"/>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8F"/>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0C"/>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E7F7F"/>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26B"/>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65"/>
    <w:rsid w:val="006F55DB"/>
    <w:rsid w:val="006F57CB"/>
    <w:rsid w:val="006F5823"/>
    <w:rsid w:val="006F59FC"/>
    <w:rsid w:val="006F5B06"/>
    <w:rsid w:val="006F5BFA"/>
    <w:rsid w:val="006F5EAC"/>
    <w:rsid w:val="006F5ED8"/>
    <w:rsid w:val="006F5F73"/>
    <w:rsid w:val="006F6221"/>
    <w:rsid w:val="006F6549"/>
    <w:rsid w:val="006F68B9"/>
    <w:rsid w:val="006F69AA"/>
    <w:rsid w:val="006F6A8C"/>
    <w:rsid w:val="006F6BA8"/>
    <w:rsid w:val="006F6CD0"/>
    <w:rsid w:val="006F6EFC"/>
    <w:rsid w:val="006F7365"/>
    <w:rsid w:val="006F7423"/>
    <w:rsid w:val="006F7586"/>
    <w:rsid w:val="006F7678"/>
    <w:rsid w:val="006F772D"/>
    <w:rsid w:val="006F78B8"/>
    <w:rsid w:val="006F7B25"/>
    <w:rsid w:val="006F7F88"/>
    <w:rsid w:val="007001F0"/>
    <w:rsid w:val="0070021B"/>
    <w:rsid w:val="00700261"/>
    <w:rsid w:val="007003B6"/>
    <w:rsid w:val="00700474"/>
    <w:rsid w:val="00700477"/>
    <w:rsid w:val="007004F7"/>
    <w:rsid w:val="00700514"/>
    <w:rsid w:val="00700567"/>
    <w:rsid w:val="00700788"/>
    <w:rsid w:val="007007DB"/>
    <w:rsid w:val="00700E2A"/>
    <w:rsid w:val="00700E53"/>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4A"/>
    <w:rsid w:val="0070435F"/>
    <w:rsid w:val="00704407"/>
    <w:rsid w:val="00704550"/>
    <w:rsid w:val="00704656"/>
    <w:rsid w:val="007049F8"/>
    <w:rsid w:val="00704A5A"/>
    <w:rsid w:val="00704D75"/>
    <w:rsid w:val="00704FDF"/>
    <w:rsid w:val="007051B9"/>
    <w:rsid w:val="007052A4"/>
    <w:rsid w:val="0070538F"/>
    <w:rsid w:val="00705549"/>
    <w:rsid w:val="00705693"/>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ABE"/>
    <w:rsid w:val="00715B58"/>
    <w:rsid w:val="00715D9F"/>
    <w:rsid w:val="007160C7"/>
    <w:rsid w:val="007163C0"/>
    <w:rsid w:val="007165AC"/>
    <w:rsid w:val="00716709"/>
    <w:rsid w:val="00716724"/>
    <w:rsid w:val="00716A0C"/>
    <w:rsid w:val="00716A79"/>
    <w:rsid w:val="00716D37"/>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3B4"/>
    <w:rsid w:val="00722838"/>
    <w:rsid w:val="00722864"/>
    <w:rsid w:val="007229CD"/>
    <w:rsid w:val="00722BBD"/>
    <w:rsid w:val="00723202"/>
    <w:rsid w:val="0072323C"/>
    <w:rsid w:val="007237B7"/>
    <w:rsid w:val="007237EB"/>
    <w:rsid w:val="0072380C"/>
    <w:rsid w:val="007239F9"/>
    <w:rsid w:val="00723A0F"/>
    <w:rsid w:val="00723A31"/>
    <w:rsid w:val="00723A54"/>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E5"/>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6DB"/>
    <w:rsid w:val="0072777F"/>
    <w:rsid w:val="007279B8"/>
    <w:rsid w:val="007279F9"/>
    <w:rsid w:val="007279FC"/>
    <w:rsid w:val="00727AE6"/>
    <w:rsid w:val="00727BEE"/>
    <w:rsid w:val="0073000A"/>
    <w:rsid w:val="007300F6"/>
    <w:rsid w:val="0073016A"/>
    <w:rsid w:val="007301A7"/>
    <w:rsid w:val="007308CF"/>
    <w:rsid w:val="00730A14"/>
    <w:rsid w:val="00730BB1"/>
    <w:rsid w:val="00730C9A"/>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485"/>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BF6"/>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2CA"/>
    <w:rsid w:val="00740308"/>
    <w:rsid w:val="007405E1"/>
    <w:rsid w:val="007407DC"/>
    <w:rsid w:val="0074088B"/>
    <w:rsid w:val="0074096D"/>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7FB"/>
    <w:rsid w:val="0074495E"/>
    <w:rsid w:val="00744AD6"/>
    <w:rsid w:val="00744B85"/>
    <w:rsid w:val="00744CEA"/>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74B"/>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3FE6"/>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DF0"/>
    <w:rsid w:val="00760FB1"/>
    <w:rsid w:val="007612CA"/>
    <w:rsid w:val="00761924"/>
    <w:rsid w:val="00761A15"/>
    <w:rsid w:val="00761A4D"/>
    <w:rsid w:val="00761ADD"/>
    <w:rsid w:val="00761DFA"/>
    <w:rsid w:val="00761E2D"/>
    <w:rsid w:val="00761EA7"/>
    <w:rsid w:val="0076215A"/>
    <w:rsid w:val="00762333"/>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28D"/>
    <w:rsid w:val="007643DD"/>
    <w:rsid w:val="0076449B"/>
    <w:rsid w:val="007648C5"/>
    <w:rsid w:val="00764A39"/>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34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A81"/>
    <w:rsid w:val="00773C34"/>
    <w:rsid w:val="00773E05"/>
    <w:rsid w:val="00773F38"/>
    <w:rsid w:val="007742C6"/>
    <w:rsid w:val="0077433D"/>
    <w:rsid w:val="0077449C"/>
    <w:rsid w:val="007744B2"/>
    <w:rsid w:val="0077455A"/>
    <w:rsid w:val="0077459A"/>
    <w:rsid w:val="007745FD"/>
    <w:rsid w:val="007749EF"/>
    <w:rsid w:val="00774D8F"/>
    <w:rsid w:val="00775263"/>
    <w:rsid w:val="007755D1"/>
    <w:rsid w:val="00775605"/>
    <w:rsid w:val="0077569F"/>
    <w:rsid w:val="007757AC"/>
    <w:rsid w:val="007759A0"/>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16F"/>
    <w:rsid w:val="0078131D"/>
    <w:rsid w:val="007813C8"/>
    <w:rsid w:val="00781582"/>
    <w:rsid w:val="00781860"/>
    <w:rsid w:val="00781AEB"/>
    <w:rsid w:val="00781CF8"/>
    <w:rsid w:val="00781DDE"/>
    <w:rsid w:val="00782139"/>
    <w:rsid w:val="007824B9"/>
    <w:rsid w:val="007824CD"/>
    <w:rsid w:val="0078291C"/>
    <w:rsid w:val="0078296E"/>
    <w:rsid w:val="00782B9E"/>
    <w:rsid w:val="00782DA3"/>
    <w:rsid w:val="00782F60"/>
    <w:rsid w:val="00782FD8"/>
    <w:rsid w:val="00783091"/>
    <w:rsid w:val="007831A8"/>
    <w:rsid w:val="00783302"/>
    <w:rsid w:val="0078339C"/>
    <w:rsid w:val="00783429"/>
    <w:rsid w:val="007835CC"/>
    <w:rsid w:val="00783869"/>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5B73"/>
    <w:rsid w:val="007860AA"/>
    <w:rsid w:val="007867C5"/>
    <w:rsid w:val="00786805"/>
    <w:rsid w:val="007869C7"/>
    <w:rsid w:val="00786D45"/>
    <w:rsid w:val="00786F79"/>
    <w:rsid w:val="00787357"/>
    <w:rsid w:val="007873C1"/>
    <w:rsid w:val="007873C3"/>
    <w:rsid w:val="007873E3"/>
    <w:rsid w:val="0078751C"/>
    <w:rsid w:val="007877A9"/>
    <w:rsid w:val="00787886"/>
    <w:rsid w:val="007878F3"/>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BD"/>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22"/>
    <w:rsid w:val="007958CE"/>
    <w:rsid w:val="00795905"/>
    <w:rsid w:val="007959D6"/>
    <w:rsid w:val="00795EE5"/>
    <w:rsid w:val="00795F87"/>
    <w:rsid w:val="007961C9"/>
    <w:rsid w:val="00796337"/>
    <w:rsid w:val="00796442"/>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BA2"/>
    <w:rsid w:val="007A3DE6"/>
    <w:rsid w:val="007A3F2B"/>
    <w:rsid w:val="007A447C"/>
    <w:rsid w:val="007A46FC"/>
    <w:rsid w:val="007A48E8"/>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4F4"/>
    <w:rsid w:val="007B0564"/>
    <w:rsid w:val="007B05F1"/>
    <w:rsid w:val="007B07C4"/>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9C1"/>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7B"/>
    <w:rsid w:val="007C0DC3"/>
    <w:rsid w:val="007C1117"/>
    <w:rsid w:val="007C1443"/>
    <w:rsid w:val="007C156D"/>
    <w:rsid w:val="007C1608"/>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8F3"/>
    <w:rsid w:val="007C59E7"/>
    <w:rsid w:val="007C5B04"/>
    <w:rsid w:val="007C5DE1"/>
    <w:rsid w:val="007C5F5F"/>
    <w:rsid w:val="007C6407"/>
    <w:rsid w:val="007C6835"/>
    <w:rsid w:val="007C688F"/>
    <w:rsid w:val="007C6D2A"/>
    <w:rsid w:val="007C723D"/>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101"/>
    <w:rsid w:val="007D76B6"/>
    <w:rsid w:val="007D7717"/>
    <w:rsid w:val="007D7940"/>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2AC"/>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A1D"/>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775"/>
    <w:rsid w:val="007F4A41"/>
    <w:rsid w:val="007F4AC6"/>
    <w:rsid w:val="007F4B3B"/>
    <w:rsid w:val="007F4B5E"/>
    <w:rsid w:val="007F4E0E"/>
    <w:rsid w:val="007F4E9D"/>
    <w:rsid w:val="007F5150"/>
    <w:rsid w:val="007F51F7"/>
    <w:rsid w:val="007F536E"/>
    <w:rsid w:val="007F55B1"/>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73"/>
    <w:rsid w:val="00803CC7"/>
    <w:rsid w:val="00803D9B"/>
    <w:rsid w:val="00803E48"/>
    <w:rsid w:val="00804306"/>
    <w:rsid w:val="0080435F"/>
    <w:rsid w:val="008044AF"/>
    <w:rsid w:val="008044C1"/>
    <w:rsid w:val="008044FA"/>
    <w:rsid w:val="008047E4"/>
    <w:rsid w:val="008048EF"/>
    <w:rsid w:val="00804B9A"/>
    <w:rsid w:val="00804C23"/>
    <w:rsid w:val="00804D33"/>
    <w:rsid w:val="00804F05"/>
    <w:rsid w:val="008052FD"/>
    <w:rsid w:val="00805538"/>
    <w:rsid w:val="00805763"/>
    <w:rsid w:val="00805C03"/>
    <w:rsid w:val="00805D99"/>
    <w:rsid w:val="008061D6"/>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5C"/>
    <w:rsid w:val="008135FE"/>
    <w:rsid w:val="00813756"/>
    <w:rsid w:val="00813BE7"/>
    <w:rsid w:val="00813C24"/>
    <w:rsid w:val="00813F08"/>
    <w:rsid w:val="008142FD"/>
    <w:rsid w:val="008145E2"/>
    <w:rsid w:val="0081462B"/>
    <w:rsid w:val="00814660"/>
    <w:rsid w:val="008146C5"/>
    <w:rsid w:val="0081475E"/>
    <w:rsid w:val="00814A73"/>
    <w:rsid w:val="00814C38"/>
    <w:rsid w:val="00815213"/>
    <w:rsid w:val="008152B7"/>
    <w:rsid w:val="008152DA"/>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AA5"/>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8BE"/>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5F2F"/>
    <w:rsid w:val="0082602B"/>
    <w:rsid w:val="008260AB"/>
    <w:rsid w:val="008263C1"/>
    <w:rsid w:val="008263E1"/>
    <w:rsid w:val="00826907"/>
    <w:rsid w:val="00826C10"/>
    <w:rsid w:val="00826C87"/>
    <w:rsid w:val="00826CB3"/>
    <w:rsid w:val="00826EB9"/>
    <w:rsid w:val="00827007"/>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10F"/>
    <w:rsid w:val="008323B0"/>
    <w:rsid w:val="008324E0"/>
    <w:rsid w:val="008326FC"/>
    <w:rsid w:val="00832890"/>
    <w:rsid w:val="0083290A"/>
    <w:rsid w:val="00832F7A"/>
    <w:rsid w:val="008337A3"/>
    <w:rsid w:val="0083395D"/>
    <w:rsid w:val="00833A00"/>
    <w:rsid w:val="00833DC5"/>
    <w:rsid w:val="00834EE2"/>
    <w:rsid w:val="00834F3A"/>
    <w:rsid w:val="0083530C"/>
    <w:rsid w:val="00835420"/>
    <w:rsid w:val="00835645"/>
    <w:rsid w:val="0083566F"/>
    <w:rsid w:val="00835753"/>
    <w:rsid w:val="00835A5F"/>
    <w:rsid w:val="00835B7E"/>
    <w:rsid w:val="00835BE3"/>
    <w:rsid w:val="00835ECD"/>
    <w:rsid w:val="00835F94"/>
    <w:rsid w:val="008366B0"/>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DD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696"/>
    <w:rsid w:val="00845C18"/>
    <w:rsid w:val="00845D51"/>
    <w:rsid w:val="00845D5A"/>
    <w:rsid w:val="008462D7"/>
    <w:rsid w:val="0084663C"/>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46"/>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B87"/>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55"/>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CE3"/>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84F"/>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7BD"/>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AB"/>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AAE"/>
    <w:rsid w:val="00884F12"/>
    <w:rsid w:val="00884FD7"/>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7B"/>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9F0"/>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4E00"/>
    <w:rsid w:val="00895094"/>
    <w:rsid w:val="00895161"/>
    <w:rsid w:val="008951E2"/>
    <w:rsid w:val="008952ED"/>
    <w:rsid w:val="008955B1"/>
    <w:rsid w:val="00895B87"/>
    <w:rsid w:val="00896127"/>
    <w:rsid w:val="00896206"/>
    <w:rsid w:val="008968C2"/>
    <w:rsid w:val="00896BFE"/>
    <w:rsid w:val="00896C9E"/>
    <w:rsid w:val="00896D12"/>
    <w:rsid w:val="00897023"/>
    <w:rsid w:val="008972B0"/>
    <w:rsid w:val="0089762D"/>
    <w:rsid w:val="008978F0"/>
    <w:rsid w:val="008979A2"/>
    <w:rsid w:val="00897CD7"/>
    <w:rsid w:val="008A0463"/>
    <w:rsid w:val="008A069D"/>
    <w:rsid w:val="008A0767"/>
    <w:rsid w:val="008A0B3C"/>
    <w:rsid w:val="008A0F40"/>
    <w:rsid w:val="008A198E"/>
    <w:rsid w:val="008A1BAB"/>
    <w:rsid w:val="008A1C88"/>
    <w:rsid w:val="008A1E23"/>
    <w:rsid w:val="008A237E"/>
    <w:rsid w:val="008A2407"/>
    <w:rsid w:val="008A242B"/>
    <w:rsid w:val="008A2730"/>
    <w:rsid w:val="008A282E"/>
    <w:rsid w:val="008A29FD"/>
    <w:rsid w:val="008A2CBB"/>
    <w:rsid w:val="008A2E7C"/>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23"/>
    <w:rsid w:val="008A613D"/>
    <w:rsid w:val="008A632B"/>
    <w:rsid w:val="008A6693"/>
    <w:rsid w:val="008A66CE"/>
    <w:rsid w:val="008A6703"/>
    <w:rsid w:val="008A678E"/>
    <w:rsid w:val="008A6B15"/>
    <w:rsid w:val="008A6DC9"/>
    <w:rsid w:val="008A6E91"/>
    <w:rsid w:val="008A7036"/>
    <w:rsid w:val="008A7407"/>
    <w:rsid w:val="008A7410"/>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8E9"/>
    <w:rsid w:val="008B2A93"/>
    <w:rsid w:val="008B2B7A"/>
    <w:rsid w:val="008B2F50"/>
    <w:rsid w:val="008B3113"/>
    <w:rsid w:val="008B350D"/>
    <w:rsid w:val="008B3586"/>
    <w:rsid w:val="008B3CD3"/>
    <w:rsid w:val="008B3EB4"/>
    <w:rsid w:val="008B3EE8"/>
    <w:rsid w:val="008B400F"/>
    <w:rsid w:val="008B40AC"/>
    <w:rsid w:val="008B4139"/>
    <w:rsid w:val="008B41F0"/>
    <w:rsid w:val="008B42B2"/>
    <w:rsid w:val="008B43DD"/>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9A8"/>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4AF"/>
    <w:rsid w:val="008C4837"/>
    <w:rsid w:val="008C48F3"/>
    <w:rsid w:val="008C4953"/>
    <w:rsid w:val="008C4AD1"/>
    <w:rsid w:val="008C4B33"/>
    <w:rsid w:val="008C4C4E"/>
    <w:rsid w:val="008C4E7A"/>
    <w:rsid w:val="008C4FA1"/>
    <w:rsid w:val="008C50A1"/>
    <w:rsid w:val="008C52AB"/>
    <w:rsid w:val="008C5429"/>
    <w:rsid w:val="008C5754"/>
    <w:rsid w:val="008C5959"/>
    <w:rsid w:val="008C5960"/>
    <w:rsid w:val="008C5A5A"/>
    <w:rsid w:val="008C5B95"/>
    <w:rsid w:val="008C5F93"/>
    <w:rsid w:val="008C5FC0"/>
    <w:rsid w:val="008C6104"/>
    <w:rsid w:val="008C6220"/>
    <w:rsid w:val="008C6423"/>
    <w:rsid w:val="008C6473"/>
    <w:rsid w:val="008C65A7"/>
    <w:rsid w:val="008C6918"/>
    <w:rsid w:val="008C6947"/>
    <w:rsid w:val="008C6953"/>
    <w:rsid w:val="008C6C96"/>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DA1"/>
    <w:rsid w:val="008D2E4C"/>
    <w:rsid w:val="008D2F10"/>
    <w:rsid w:val="008D33F2"/>
    <w:rsid w:val="008D3421"/>
    <w:rsid w:val="008D365B"/>
    <w:rsid w:val="008D373D"/>
    <w:rsid w:val="008D3761"/>
    <w:rsid w:val="008D37EB"/>
    <w:rsid w:val="008D3907"/>
    <w:rsid w:val="008D3E2A"/>
    <w:rsid w:val="008D3FD5"/>
    <w:rsid w:val="008D4060"/>
    <w:rsid w:val="008D41A9"/>
    <w:rsid w:val="008D41EF"/>
    <w:rsid w:val="008D42AA"/>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1B7"/>
    <w:rsid w:val="008D74A9"/>
    <w:rsid w:val="008D7582"/>
    <w:rsid w:val="008D7609"/>
    <w:rsid w:val="008D7A32"/>
    <w:rsid w:val="008D7BAB"/>
    <w:rsid w:val="008D7BD6"/>
    <w:rsid w:val="008D7D28"/>
    <w:rsid w:val="008D7E45"/>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2FD0"/>
    <w:rsid w:val="008E308B"/>
    <w:rsid w:val="008E3292"/>
    <w:rsid w:val="008E35C5"/>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A90"/>
    <w:rsid w:val="008F3CB2"/>
    <w:rsid w:val="008F3DCB"/>
    <w:rsid w:val="008F40F9"/>
    <w:rsid w:val="008F475C"/>
    <w:rsid w:val="008F47BE"/>
    <w:rsid w:val="008F50AC"/>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1E7F"/>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997"/>
    <w:rsid w:val="00904AF3"/>
    <w:rsid w:val="00904DCE"/>
    <w:rsid w:val="0090517C"/>
    <w:rsid w:val="009053CC"/>
    <w:rsid w:val="009053FA"/>
    <w:rsid w:val="00905737"/>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65A"/>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2F8"/>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A3"/>
    <w:rsid w:val="0092642B"/>
    <w:rsid w:val="00926670"/>
    <w:rsid w:val="00926964"/>
    <w:rsid w:val="0092697A"/>
    <w:rsid w:val="00926D1D"/>
    <w:rsid w:val="00926F9E"/>
    <w:rsid w:val="0092726F"/>
    <w:rsid w:val="00927294"/>
    <w:rsid w:val="009273E6"/>
    <w:rsid w:val="009276BC"/>
    <w:rsid w:val="009278D9"/>
    <w:rsid w:val="00927A66"/>
    <w:rsid w:val="00927A88"/>
    <w:rsid w:val="00927B6F"/>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97E"/>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CC7"/>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7BB"/>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2A70"/>
    <w:rsid w:val="00942EE7"/>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5FC9"/>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240"/>
    <w:rsid w:val="0095068D"/>
    <w:rsid w:val="00950706"/>
    <w:rsid w:val="0095081B"/>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C5C"/>
    <w:rsid w:val="00953EB0"/>
    <w:rsid w:val="00954128"/>
    <w:rsid w:val="009542D9"/>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6FB"/>
    <w:rsid w:val="00962995"/>
    <w:rsid w:val="0096299A"/>
    <w:rsid w:val="00962B1A"/>
    <w:rsid w:val="00962B51"/>
    <w:rsid w:val="009632EE"/>
    <w:rsid w:val="009634DD"/>
    <w:rsid w:val="009636E9"/>
    <w:rsid w:val="00963710"/>
    <w:rsid w:val="009637A9"/>
    <w:rsid w:val="00963872"/>
    <w:rsid w:val="00963C5A"/>
    <w:rsid w:val="00963F36"/>
    <w:rsid w:val="00964179"/>
    <w:rsid w:val="00964293"/>
    <w:rsid w:val="00964A43"/>
    <w:rsid w:val="00964C01"/>
    <w:rsid w:val="00964C79"/>
    <w:rsid w:val="00964CA6"/>
    <w:rsid w:val="00964CEF"/>
    <w:rsid w:val="00964DC8"/>
    <w:rsid w:val="00964E93"/>
    <w:rsid w:val="00964F8C"/>
    <w:rsid w:val="00965536"/>
    <w:rsid w:val="0096555E"/>
    <w:rsid w:val="0096572F"/>
    <w:rsid w:val="0096573E"/>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088"/>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3FB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476"/>
    <w:rsid w:val="00981D34"/>
    <w:rsid w:val="00981DCC"/>
    <w:rsid w:val="00981F70"/>
    <w:rsid w:val="009820D0"/>
    <w:rsid w:val="0098229E"/>
    <w:rsid w:val="00982649"/>
    <w:rsid w:val="009827AE"/>
    <w:rsid w:val="009828C1"/>
    <w:rsid w:val="00982A9F"/>
    <w:rsid w:val="00982AB7"/>
    <w:rsid w:val="00982C2F"/>
    <w:rsid w:val="00982E88"/>
    <w:rsid w:val="00982EBF"/>
    <w:rsid w:val="009836AB"/>
    <w:rsid w:val="009836F3"/>
    <w:rsid w:val="009839ED"/>
    <w:rsid w:val="00983DF4"/>
    <w:rsid w:val="009840B2"/>
    <w:rsid w:val="009841EB"/>
    <w:rsid w:val="0098446D"/>
    <w:rsid w:val="00984B72"/>
    <w:rsid w:val="00984D78"/>
    <w:rsid w:val="00984DB4"/>
    <w:rsid w:val="0098561D"/>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BEF"/>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AE1"/>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42"/>
    <w:rsid w:val="009969CA"/>
    <w:rsid w:val="0099735C"/>
    <w:rsid w:val="00997395"/>
    <w:rsid w:val="00997495"/>
    <w:rsid w:val="0099762E"/>
    <w:rsid w:val="0099780B"/>
    <w:rsid w:val="0099785E"/>
    <w:rsid w:val="00997B61"/>
    <w:rsid w:val="00997E5D"/>
    <w:rsid w:val="009A00FA"/>
    <w:rsid w:val="009A021D"/>
    <w:rsid w:val="009A0292"/>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89D"/>
    <w:rsid w:val="009B2981"/>
    <w:rsid w:val="009B2A33"/>
    <w:rsid w:val="009B2B9B"/>
    <w:rsid w:val="009B2F2F"/>
    <w:rsid w:val="009B33F8"/>
    <w:rsid w:val="009B3411"/>
    <w:rsid w:val="009B34FF"/>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85"/>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E1A"/>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BD"/>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8B"/>
    <w:rsid w:val="009E1097"/>
    <w:rsid w:val="009E1130"/>
    <w:rsid w:val="009E12DF"/>
    <w:rsid w:val="009E143A"/>
    <w:rsid w:val="009E154F"/>
    <w:rsid w:val="009E17A4"/>
    <w:rsid w:val="009E1AC7"/>
    <w:rsid w:val="009E1ACA"/>
    <w:rsid w:val="009E1B56"/>
    <w:rsid w:val="009E1B9F"/>
    <w:rsid w:val="009E1DFD"/>
    <w:rsid w:val="009E1E0B"/>
    <w:rsid w:val="009E25AA"/>
    <w:rsid w:val="009E267A"/>
    <w:rsid w:val="009E2709"/>
    <w:rsid w:val="009E271E"/>
    <w:rsid w:val="009E28FB"/>
    <w:rsid w:val="009E2C03"/>
    <w:rsid w:val="009E2E2C"/>
    <w:rsid w:val="009E302B"/>
    <w:rsid w:val="009E32C6"/>
    <w:rsid w:val="009E3533"/>
    <w:rsid w:val="009E398D"/>
    <w:rsid w:val="009E39AA"/>
    <w:rsid w:val="009E3F29"/>
    <w:rsid w:val="009E4776"/>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068"/>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5A37"/>
    <w:rsid w:val="009F60B3"/>
    <w:rsid w:val="009F6157"/>
    <w:rsid w:val="009F6158"/>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D6B"/>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3E2A"/>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48"/>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531"/>
    <w:rsid w:val="00A225DD"/>
    <w:rsid w:val="00A22866"/>
    <w:rsid w:val="00A22DDE"/>
    <w:rsid w:val="00A23076"/>
    <w:rsid w:val="00A238DC"/>
    <w:rsid w:val="00A239B8"/>
    <w:rsid w:val="00A23CA3"/>
    <w:rsid w:val="00A23E58"/>
    <w:rsid w:val="00A23E66"/>
    <w:rsid w:val="00A24052"/>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C26"/>
    <w:rsid w:val="00A34F3B"/>
    <w:rsid w:val="00A353E5"/>
    <w:rsid w:val="00A35417"/>
    <w:rsid w:val="00A35578"/>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110"/>
    <w:rsid w:val="00A4013B"/>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39"/>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412"/>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29"/>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1C"/>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79B"/>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18"/>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2A4"/>
    <w:rsid w:val="00A734A2"/>
    <w:rsid w:val="00A736EA"/>
    <w:rsid w:val="00A739BB"/>
    <w:rsid w:val="00A73CF3"/>
    <w:rsid w:val="00A73D67"/>
    <w:rsid w:val="00A73D79"/>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AC4"/>
    <w:rsid w:val="00A83CF5"/>
    <w:rsid w:val="00A83D99"/>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960"/>
    <w:rsid w:val="00A87AF8"/>
    <w:rsid w:val="00A87B7D"/>
    <w:rsid w:val="00A87D56"/>
    <w:rsid w:val="00A9014B"/>
    <w:rsid w:val="00A90794"/>
    <w:rsid w:val="00A90795"/>
    <w:rsid w:val="00A908CD"/>
    <w:rsid w:val="00A90DEA"/>
    <w:rsid w:val="00A90E6B"/>
    <w:rsid w:val="00A90E85"/>
    <w:rsid w:val="00A90FA1"/>
    <w:rsid w:val="00A90FA4"/>
    <w:rsid w:val="00A91174"/>
    <w:rsid w:val="00A91189"/>
    <w:rsid w:val="00A9149C"/>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B1D"/>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54"/>
    <w:rsid w:val="00A97E78"/>
    <w:rsid w:val="00A97FF2"/>
    <w:rsid w:val="00AA003E"/>
    <w:rsid w:val="00AA007C"/>
    <w:rsid w:val="00AA00EC"/>
    <w:rsid w:val="00AA02B1"/>
    <w:rsid w:val="00AA0746"/>
    <w:rsid w:val="00AA089A"/>
    <w:rsid w:val="00AA09A4"/>
    <w:rsid w:val="00AA0A27"/>
    <w:rsid w:val="00AA0AA9"/>
    <w:rsid w:val="00AA0E35"/>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25C"/>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659"/>
    <w:rsid w:val="00AA7944"/>
    <w:rsid w:val="00AA7B1B"/>
    <w:rsid w:val="00AA7BC6"/>
    <w:rsid w:val="00AB01F4"/>
    <w:rsid w:val="00AB02E6"/>
    <w:rsid w:val="00AB05B1"/>
    <w:rsid w:val="00AB0645"/>
    <w:rsid w:val="00AB0869"/>
    <w:rsid w:val="00AB0990"/>
    <w:rsid w:val="00AB0A9D"/>
    <w:rsid w:val="00AB0B8A"/>
    <w:rsid w:val="00AB0C17"/>
    <w:rsid w:val="00AB1678"/>
    <w:rsid w:val="00AB16D4"/>
    <w:rsid w:val="00AB1FCB"/>
    <w:rsid w:val="00AB26B5"/>
    <w:rsid w:val="00AB2E6E"/>
    <w:rsid w:val="00AB2EC7"/>
    <w:rsid w:val="00AB2FA7"/>
    <w:rsid w:val="00AB303F"/>
    <w:rsid w:val="00AB3097"/>
    <w:rsid w:val="00AB3197"/>
    <w:rsid w:val="00AB3226"/>
    <w:rsid w:val="00AB32D3"/>
    <w:rsid w:val="00AB338F"/>
    <w:rsid w:val="00AB348C"/>
    <w:rsid w:val="00AB34BD"/>
    <w:rsid w:val="00AB3566"/>
    <w:rsid w:val="00AB38F7"/>
    <w:rsid w:val="00AB3957"/>
    <w:rsid w:val="00AB39F9"/>
    <w:rsid w:val="00AB3A06"/>
    <w:rsid w:val="00AB3AAE"/>
    <w:rsid w:val="00AB3B39"/>
    <w:rsid w:val="00AB3B93"/>
    <w:rsid w:val="00AB3D53"/>
    <w:rsid w:val="00AB3E6E"/>
    <w:rsid w:val="00AB4283"/>
    <w:rsid w:val="00AB4292"/>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559"/>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57A"/>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E4B"/>
    <w:rsid w:val="00AD3ED8"/>
    <w:rsid w:val="00AD3F83"/>
    <w:rsid w:val="00AD3FF3"/>
    <w:rsid w:val="00AD411D"/>
    <w:rsid w:val="00AD416B"/>
    <w:rsid w:val="00AD4193"/>
    <w:rsid w:val="00AD41EE"/>
    <w:rsid w:val="00AD4420"/>
    <w:rsid w:val="00AD450E"/>
    <w:rsid w:val="00AD47EF"/>
    <w:rsid w:val="00AD486A"/>
    <w:rsid w:val="00AD498D"/>
    <w:rsid w:val="00AD4CA9"/>
    <w:rsid w:val="00AD4DDC"/>
    <w:rsid w:val="00AD4E56"/>
    <w:rsid w:val="00AD4EC7"/>
    <w:rsid w:val="00AD50EA"/>
    <w:rsid w:val="00AD50FB"/>
    <w:rsid w:val="00AD5777"/>
    <w:rsid w:val="00AD5813"/>
    <w:rsid w:val="00AD59EB"/>
    <w:rsid w:val="00AD5A0B"/>
    <w:rsid w:val="00AD5A3D"/>
    <w:rsid w:val="00AD5AE7"/>
    <w:rsid w:val="00AD5BCC"/>
    <w:rsid w:val="00AD5BFF"/>
    <w:rsid w:val="00AD5C59"/>
    <w:rsid w:val="00AD5FF8"/>
    <w:rsid w:val="00AD600F"/>
    <w:rsid w:val="00AD63B1"/>
    <w:rsid w:val="00AD63B5"/>
    <w:rsid w:val="00AD65A4"/>
    <w:rsid w:val="00AD678D"/>
    <w:rsid w:val="00AD67CF"/>
    <w:rsid w:val="00AD6BDF"/>
    <w:rsid w:val="00AD6E7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5C1"/>
    <w:rsid w:val="00AE7709"/>
    <w:rsid w:val="00AE77E1"/>
    <w:rsid w:val="00AE78B0"/>
    <w:rsid w:val="00AE79B5"/>
    <w:rsid w:val="00AE79C3"/>
    <w:rsid w:val="00AE7A57"/>
    <w:rsid w:val="00AE7ABD"/>
    <w:rsid w:val="00AE7B54"/>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47A"/>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88D"/>
    <w:rsid w:val="00AF6A8A"/>
    <w:rsid w:val="00AF6B26"/>
    <w:rsid w:val="00AF6BDB"/>
    <w:rsid w:val="00AF6DB3"/>
    <w:rsid w:val="00AF6DD6"/>
    <w:rsid w:val="00AF6F80"/>
    <w:rsid w:val="00AF707A"/>
    <w:rsid w:val="00AF70CB"/>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50"/>
    <w:rsid w:val="00B1246F"/>
    <w:rsid w:val="00B12702"/>
    <w:rsid w:val="00B12729"/>
    <w:rsid w:val="00B12B30"/>
    <w:rsid w:val="00B13222"/>
    <w:rsid w:val="00B1388B"/>
    <w:rsid w:val="00B138BE"/>
    <w:rsid w:val="00B13AB7"/>
    <w:rsid w:val="00B13BCC"/>
    <w:rsid w:val="00B13D36"/>
    <w:rsid w:val="00B13DDF"/>
    <w:rsid w:val="00B14018"/>
    <w:rsid w:val="00B1410B"/>
    <w:rsid w:val="00B14381"/>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46"/>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1F7A"/>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990"/>
    <w:rsid w:val="00B32BB0"/>
    <w:rsid w:val="00B33185"/>
    <w:rsid w:val="00B33196"/>
    <w:rsid w:val="00B331B4"/>
    <w:rsid w:val="00B33295"/>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4FB"/>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B76"/>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0BC"/>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0D95"/>
    <w:rsid w:val="00B60EFD"/>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1F1"/>
    <w:rsid w:val="00B663DD"/>
    <w:rsid w:val="00B6643A"/>
    <w:rsid w:val="00B6647A"/>
    <w:rsid w:val="00B6687A"/>
    <w:rsid w:val="00B66C15"/>
    <w:rsid w:val="00B66F68"/>
    <w:rsid w:val="00B67187"/>
    <w:rsid w:val="00B6733A"/>
    <w:rsid w:val="00B6766B"/>
    <w:rsid w:val="00B67681"/>
    <w:rsid w:val="00B67741"/>
    <w:rsid w:val="00B6789A"/>
    <w:rsid w:val="00B678A6"/>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873"/>
    <w:rsid w:val="00B72948"/>
    <w:rsid w:val="00B72C26"/>
    <w:rsid w:val="00B72E2A"/>
    <w:rsid w:val="00B72F6D"/>
    <w:rsid w:val="00B72FA9"/>
    <w:rsid w:val="00B73062"/>
    <w:rsid w:val="00B7372C"/>
    <w:rsid w:val="00B737E0"/>
    <w:rsid w:val="00B738DB"/>
    <w:rsid w:val="00B73B96"/>
    <w:rsid w:val="00B73D9B"/>
    <w:rsid w:val="00B742AD"/>
    <w:rsid w:val="00B7430C"/>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803"/>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208"/>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038"/>
    <w:rsid w:val="00BA40F1"/>
    <w:rsid w:val="00BA424C"/>
    <w:rsid w:val="00BA43C9"/>
    <w:rsid w:val="00BA48DE"/>
    <w:rsid w:val="00BA4950"/>
    <w:rsid w:val="00BA4A43"/>
    <w:rsid w:val="00BA4AC6"/>
    <w:rsid w:val="00BA4CD6"/>
    <w:rsid w:val="00BA4CFB"/>
    <w:rsid w:val="00BA4D1B"/>
    <w:rsid w:val="00BA5729"/>
    <w:rsid w:val="00BA578E"/>
    <w:rsid w:val="00BA5CD2"/>
    <w:rsid w:val="00BA5CF4"/>
    <w:rsid w:val="00BA5DB2"/>
    <w:rsid w:val="00BA5E0C"/>
    <w:rsid w:val="00BA5EA4"/>
    <w:rsid w:val="00BA5F47"/>
    <w:rsid w:val="00BA615C"/>
    <w:rsid w:val="00BA62AC"/>
    <w:rsid w:val="00BA650B"/>
    <w:rsid w:val="00BA6B0A"/>
    <w:rsid w:val="00BA6BD6"/>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688"/>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244"/>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4E7"/>
    <w:rsid w:val="00BD5BC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E8F"/>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0A"/>
    <w:rsid w:val="00BE3FAB"/>
    <w:rsid w:val="00BE4A40"/>
    <w:rsid w:val="00BE53DF"/>
    <w:rsid w:val="00BE53E1"/>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2A"/>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9A0"/>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0F42"/>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B5D"/>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D2"/>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BF5"/>
    <w:rsid w:val="00C12C47"/>
    <w:rsid w:val="00C12C7C"/>
    <w:rsid w:val="00C12DE2"/>
    <w:rsid w:val="00C12E59"/>
    <w:rsid w:val="00C12E7E"/>
    <w:rsid w:val="00C12FEB"/>
    <w:rsid w:val="00C13236"/>
    <w:rsid w:val="00C1356E"/>
    <w:rsid w:val="00C136F8"/>
    <w:rsid w:val="00C138B0"/>
    <w:rsid w:val="00C138F3"/>
    <w:rsid w:val="00C13C45"/>
    <w:rsid w:val="00C13CAC"/>
    <w:rsid w:val="00C13D24"/>
    <w:rsid w:val="00C13F6C"/>
    <w:rsid w:val="00C13F9E"/>
    <w:rsid w:val="00C14014"/>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8E7"/>
    <w:rsid w:val="00C15B14"/>
    <w:rsid w:val="00C15D1E"/>
    <w:rsid w:val="00C15F1E"/>
    <w:rsid w:val="00C15F6F"/>
    <w:rsid w:val="00C16276"/>
    <w:rsid w:val="00C1649C"/>
    <w:rsid w:val="00C16745"/>
    <w:rsid w:val="00C16AAA"/>
    <w:rsid w:val="00C16CBF"/>
    <w:rsid w:val="00C176E9"/>
    <w:rsid w:val="00C178E6"/>
    <w:rsid w:val="00C179EB"/>
    <w:rsid w:val="00C17EA5"/>
    <w:rsid w:val="00C17FC3"/>
    <w:rsid w:val="00C2012B"/>
    <w:rsid w:val="00C206A9"/>
    <w:rsid w:val="00C206DD"/>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6F2"/>
    <w:rsid w:val="00C247C0"/>
    <w:rsid w:val="00C248A8"/>
    <w:rsid w:val="00C250CC"/>
    <w:rsid w:val="00C253D2"/>
    <w:rsid w:val="00C2567D"/>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385"/>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851"/>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AE3"/>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AF4"/>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096C"/>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1C1"/>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35"/>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A8B"/>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489"/>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95F"/>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93"/>
    <w:rsid w:val="00C73CEC"/>
    <w:rsid w:val="00C73DCD"/>
    <w:rsid w:val="00C73EA6"/>
    <w:rsid w:val="00C74CEC"/>
    <w:rsid w:val="00C74EBE"/>
    <w:rsid w:val="00C751DF"/>
    <w:rsid w:val="00C753CF"/>
    <w:rsid w:val="00C75555"/>
    <w:rsid w:val="00C75657"/>
    <w:rsid w:val="00C75782"/>
    <w:rsid w:val="00C759D3"/>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92"/>
    <w:rsid w:val="00C77EAA"/>
    <w:rsid w:val="00C80530"/>
    <w:rsid w:val="00C8053D"/>
    <w:rsid w:val="00C805B9"/>
    <w:rsid w:val="00C80612"/>
    <w:rsid w:val="00C80766"/>
    <w:rsid w:val="00C80A18"/>
    <w:rsid w:val="00C80A98"/>
    <w:rsid w:val="00C80CD2"/>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29E"/>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3CF"/>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DAD"/>
    <w:rsid w:val="00CA6E0A"/>
    <w:rsid w:val="00CA6EC9"/>
    <w:rsid w:val="00CA6ED4"/>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1BE"/>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4B"/>
    <w:rsid w:val="00CC0EB8"/>
    <w:rsid w:val="00CC102B"/>
    <w:rsid w:val="00CC11C7"/>
    <w:rsid w:val="00CC11D8"/>
    <w:rsid w:val="00CC1212"/>
    <w:rsid w:val="00CC1293"/>
    <w:rsid w:val="00CC13EB"/>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5AC"/>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80"/>
    <w:rsid w:val="00CC5CA1"/>
    <w:rsid w:val="00CC5CDE"/>
    <w:rsid w:val="00CC5E9D"/>
    <w:rsid w:val="00CC6025"/>
    <w:rsid w:val="00CC607F"/>
    <w:rsid w:val="00CC620D"/>
    <w:rsid w:val="00CC64AC"/>
    <w:rsid w:val="00CC64D4"/>
    <w:rsid w:val="00CC6ABE"/>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0E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3C9"/>
    <w:rsid w:val="00CD34ED"/>
    <w:rsid w:val="00CD3612"/>
    <w:rsid w:val="00CD3689"/>
    <w:rsid w:val="00CD3813"/>
    <w:rsid w:val="00CD3A83"/>
    <w:rsid w:val="00CD3AAD"/>
    <w:rsid w:val="00CD3BD5"/>
    <w:rsid w:val="00CD3D33"/>
    <w:rsid w:val="00CD446D"/>
    <w:rsid w:val="00CD4587"/>
    <w:rsid w:val="00CD4664"/>
    <w:rsid w:val="00CD47D4"/>
    <w:rsid w:val="00CD47FA"/>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1CA"/>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6D8"/>
    <w:rsid w:val="00CE4747"/>
    <w:rsid w:val="00CE4793"/>
    <w:rsid w:val="00CE4A80"/>
    <w:rsid w:val="00CE4B35"/>
    <w:rsid w:val="00CE4FB1"/>
    <w:rsid w:val="00CE4FDC"/>
    <w:rsid w:val="00CE51F2"/>
    <w:rsid w:val="00CE5425"/>
    <w:rsid w:val="00CE569B"/>
    <w:rsid w:val="00CE56E7"/>
    <w:rsid w:val="00CE5824"/>
    <w:rsid w:val="00CE58B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8C6"/>
    <w:rsid w:val="00CE7A7D"/>
    <w:rsid w:val="00CE7B20"/>
    <w:rsid w:val="00CF020F"/>
    <w:rsid w:val="00CF0422"/>
    <w:rsid w:val="00CF0505"/>
    <w:rsid w:val="00CF088D"/>
    <w:rsid w:val="00CF130A"/>
    <w:rsid w:val="00CF13AF"/>
    <w:rsid w:val="00CF1441"/>
    <w:rsid w:val="00CF16E0"/>
    <w:rsid w:val="00CF1B11"/>
    <w:rsid w:val="00CF1BDA"/>
    <w:rsid w:val="00CF1D86"/>
    <w:rsid w:val="00CF1DB3"/>
    <w:rsid w:val="00CF2564"/>
    <w:rsid w:val="00CF2AE6"/>
    <w:rsid w:val="00CF304C"/>
    <w:rsid w:val="00CF393C"/>
    <w:rsid w:val="00CF3C43"/>
    <w:rsid w:val="00CF3C57"/>
    <w:rsid w:val="00CF404F"/>
    <w:rsid w:val="00CF414C"/>
    <w:rsid w:val="00CF4656"/>
    <w:rsid w:val="00CF48BA"/>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A1"/>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026"/>
    <w:rsid w:val="00D03384"/>
    <w:rsid w:val="00D036AA"/>
    <w:rsid w:val="00D03C34"/>
    <w:rsid w:val="00D03E4B"/>
    <w:rsid w:val="00D03F84"/>
    <w:rsid w:val="00D044A7"/>
    <w:rsid w:val="00D04958"/>
    <w:rsid w:val="00D049A7"/>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C88"/>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BF2"/>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BC0"/>
    <w:rsid w:val="00D17F1B"/>
    <w:rsid w:val="00D200DF"/>
    <w:rsid w:val="00D201F4"/>
    <w:rsid w:val="00D2024B"/>
    <w:rsid w:val="00D20497"/>
    <w:rsid w:val="00D205E9"/>
    <w:rsid w:val="00D2088D"/>
    <w:rsid w:val="00D20B6B"/>
    <w:rsid w:val="00D20DEF"/>
    <w:rsid w:val="00D20E49"/>
    <w:rsid w:val="00D20F98"/>
    <w:rsid w:val="00D2119C"/>
    <w:rsid w:val="00D21543"/>
    <w:rsid w:val="00D21602"/>
    <w:rsid w:val="00D2162E"/>
    <w:rsid w:val="00D2196D"/>
    <w:rsid w:val="00D219EC"/>
    <w:rsid w:val="00D21B2C"/>
    <w:rsid w:val="00D21F98"/>
    <w:rsid w:val="00D220D9"/>
    <w:rsid w:val="00D2266D"/>
    <w:rsid w:val="00D226E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5EF1"/>
    <w:rsid w:val="00D3648B"/>
    <w:rsid w:val="00D36624"/>
    <w:rsid w:val="00D36DF4"/>
    <w:rsid w:val="00D36E5C"/>
    <w:rsid w:val="00D36F82"/>
    <w:rsid w:val="00D3727B"/>
    <w:rsid w:val="00D373F2"/>
    <w:rsid w:val="00D376B7"/>
    <w:rsid w:val="00D3793B"/>
    <w:rsid w:val="00D379A6"/>
    <w:rsid w:val="00D37B7C"/>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B"/>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6A4"/>
    <w:rsid w:val="00D45949"/>
    <w:rsid w:val="00D45979"/>
    <w:rsid w:val="00D45A6D"/>
    <w:rsid w:val="00D45A7A"/>
    <w:rsid w:val="00D45A89"/>
    <w:rsid w:val="00D45AED"/>
    <w:rsid w:val="00D45EC8"/>
    <w:rsid w:val="00D464F3"/>
    <w:rsid w:val="00D4661C"/>
    <w:rsid w:val="00D466C6"/>
    <w:rsid w:val="00D46875"/>
    <w:rsid w:val="00D46AF0"/>
    <w:rsid w:val="00D46C89"/>
    <w:rsid w:val="00D4703F"/>
    <w:rsid w:val="00D47101"/>
    <w:rsid w:val="00D47579"/>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86"/>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1E4"/>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4C7"/>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1D6"/>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6F8F"/>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19E8"/>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40F"/>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2F99"/>
    <w:rsid w:val="00D931E2"/>
    <w:rsid w:val="00D93719"/>
    <w:rsid w:val="00D939FD"/>
    <w:rsid w:val="00D93A3A"/>
    <w:rsid w:val="00D93B11"/>
    <w:rsid w:val="00D93C24"/>
    <w:rsid w:val="00D94689"/>
    <w:rsid w:val="00D948A2"/>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92"/>
    <w:rsid w:val="00D968CE"/>
    <w:rsid w:val="00D969E8"/>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88"/>
    <w:rsid w:val="00DA2B9E"/>
    <w:rsid w:val="00DA2D8E"/>
    <w:rsid w:val="00DA2E17"/>
    <w:rsid w:val="00DA2E2C"/>
    <w:rsid w:val="00DA2FA4"/>
    <w:rsid w:val="00DA304D"/>
    <w:rsid w:val="00DA3065"/>
    <w:rsid w:val="00DA3095"/>
    <w:rsid w:val="00DA3264"/>
    <w:rsid w:val="00DA3359"/>
    <w:rsid w:val="00DA3397"/>
    <w:rsid w:val="00DA34D6"/>
    <w:rsid w:val="00DA38D5"/>
    <w:rsid w:val="00DA3FD4"/>
    <w:rsid w:val="00DA4506"/>
    <w:rsid w:val="00DA4620"/>
    <w:rsid w:val="00DA4784"/>
    <w:rsid w:val="00DA49A0"/>
    <w:rsid w:val="00DA4B10"/>
    <w:rsid w:val="00DA4D04"/>
    <w:rsid w:val="00DA4E8A"/>
    <w:rsid w:val="00DA517E"/>
    <w:rsid w:val="00DA531C"/>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0"/>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F49"/>
    <w:rsid w:val="00DB7116"/>
    <w:rsid w:val="00DB7125"/>
    <w:rsid w:val="00DB71A1"/>
    <w:rsid w:val="00DB7447"/>
    <w:rsid w:val="00DB745A"/>
    <w:rsid w:val="00DB7597"/>
    <w:rsid w:val="00DB765A"/>
    <w:rsid w:val="00DB77DD"/>
    <w:rsid w:val="00DB790E"/>
    <w:rsid w:val="00DB79C5"/>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3B"/>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45F"/>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815"/>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7E7"/>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08D"/>
    <w:rsid w:val="00DF52B2"/>
    <w:rsid w:val="00DF53D0"/>
    <w:rsid w:val="00DF5519"/>
    <w:rsid w:val="00DF554B"/>
    <w:rsid w:val="00DF58A8"/>
    <w:rsid w:val="00DF5BD7"/>
    <w:rsid w:val="00DF64CA"/>
    <w:rsid w:val="00DF659E"/>
    <w:rsid w:val="00DF697A"/>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1B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5E2"/>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486"/>
    <w:rsid w:val="00E135F8"/>
    <w:rsid w:val="00E13A86"/>
    <w:rsid w:val="00E13C9E"/>
    <w:rsid w:val="00E13DFD"/>
    <w:rsid w:val="00E13E06"/>
    <w:rsid w:val="00E13EEF"/>
    <w:rsid w:val="00E140C2"/>
    <w:rsid w:val="00E14237"/>
    <w:rsid w:val="00E1428C"/>
    <w:rsid w:val="00E14756"/>
    <w:rsid w:val="00E148F8"/>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55"/>
    <w:rsid w:val="00E206C6"/>
    <w:rsid w:val="00E20D0A"/>
    <w:rsid w:val="00E210A3"/>
    <w:rsid w:val="00E211FB"/>
    <w:rsid w:val="00E21467"/>
    <w:rsid w:val="00E2162E"/>
    <w:rsid w:val="00E219AB"/>
    <w:rsid w:val="00E21BB5"/>
    <w:rsid w:val="00E21D2F"/>
    <w:rsid w:val="00E21DA1"/>
    <w:rsid w:val="00E21E78"/>
    <w:rsid w:val="00E222A0"/>
    <w:rsid w:val="00E222FD"/>
    <w:rsid w:val="00E22487"/>
    <w:rsid w:val="00E225C4"/>
    <w:rsid w:val="00E22624"/>
    <w:rsid w:val="00E22E16"/>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4DA"/>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355"/>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D5B"/>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1FFB"/>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A12"/>
    <w:rsid w:val="00E43BE1"/>
    <w:rsid w:val="00E43D20"/>
    <w:rsid w:val="00E44540"/>
    <w:rsid w:val="00E447EA"/>
    <w:rsid w:val="00E44869"/>
    <w:rsid w:val="00E448D9"/>
    <w:rsid w:val="00E44986"/>
    <w:rsid w:val="00E449A7"/>
    <w:rsid w:val="00E44A19"/>
    <w:rsid w:val="00E44BB5"/>
    <w:rsid w:val="00E44D0C"/>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D38"/>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047"/>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2F9"/>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7AB"/>
    <w:rsid w:val="00E54809"/>
    <w:rsid w:val="00E54A9B"/>
    <w:rsid w:val="00E54E0A"/>
    <w:rsid w:val="00E55056"/>
    <w:rsid w:val="00E55079"/>
    <w:rsid w:val="00E5569D"/>
    <w:rsid w:val="00E556E9"/>
    <w:rsid w:val="00E557A0"/>
    <w:rsid w:val="00E557B2"/>
    <w:rsid w:val="00E5589A"/>
    <w:rsid w:val="00E55AA5"/>
    <w:rsid w:val="00E562E2"/>
    <w:rsid w:val="00E5659C"/>
    <w:rsid w:val="00E568D0"/>
    <w:rsid w:val="00E56965"/>
    <w:rsid w:val="00E56C80"/>
    <w:rsid w:val="00E56D16"/>
    <w:rsid w:val="00E57172"/>
    <w:rsid w:val="00E572AA"/>
    <w:rsid w:val="00E5730B"/>
    <w:rsid w:val="00E5774E"/>
    <w:rsid w:val="00E57914"/>
    <w:rsid w:val="00E579CB"/>
    <w:rsid w:val="00E57A50"/>
    <w:rsid w:val="00E57B75"/>
    <w:rsid w:val="00E57CEE"/>
    <w:rsid w:val="00E57D8C"/>
    <w:rsid w:val="00E57E19"/>
    <w:rsid w:val="00E57E25"/>
    <w:rsid w:val="00E57FE1"/>
    <w:rsid w:val="00E6004D"/>
    <w:rsid w:val="00E60417"/>
    <w:rsid w:val="00E6053D"/>
    <w:rsid w:val="00E60804"/>
    <w:rsid w:val="00E60810"/>
    <w:rsid w:val="00E6088E"/>
    <w:rsid w:val="00E60942"/>
    <w:rsid w:val="00E60C7D"/>
    <w:rsid w:val="00E60F5A"/>
    <w:rsid w:val="00E60F8F"/>
    <w:rsid w:val="00E611E1"/>
    <w:rsid w:val="00E6138E"/>
    <w:rsid w:val="00E61419"/>
    <w:rsid w:val="00E61658"/>
    <w:rsid w:val="00E61B72"/>
    <w:rsid w:val="00E61DC9"/>
    <w:rsid w:val="00E62006"/>
    <w:rsid w:val="00E62015"/>
    <w:rsid w:val="00E6236B"/>
    <w:rsid w:val="00E624C5"/>
    <w:rsid w:val="00E6257B"/>
    <w:rsid w:val="00E625B8"/>
    <w:rsid w:val="00E626ED"/>
    <w:rsid w:val="00E62885"/>
    <w:rsid w:val="00E628F4"/>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985"/>
    <w:rsid w:val="00E64A4A"/>
    <w:rsid w:val="00E64D54"/>
    <w:rsid w:val="00E64FEE"/>
    <w:rsid w:val="00E65208"/>
    <w:rsid w:val="00E65220"/>
    <w:rsid w:val="00E6537E"/>
    <w:rsid w:val="00E65702"/>
    <w:rsid w:val="00E65E3D"/>
    <w:rsid w:val="00E65EF6"/>
    <w:rsid w:val="00E65EFA"/>
    <w:rsid w:val="00E65EFE"/>
    <w:rsid w:val="00E65FFE"/>
    <w:rsid w:val="00E66293"/>
    <w:rsid w:val="00E66479"/>
    <w:rsid w:val="00E667E3"/>
    <w:rsid w:val="00E669C1"/>
    <w:rsid w:val="00E66CC8"/>
    <w:rsid w:val="00E66E5F"/>
    <w:rsid w:val="00E670A6"/>
    <w:rsid w:val="00E673CC"/>
    <w:rsid w:val="00E674AE"/>
    <w:rsid w:val="00E67716"/>
    <w:rsid w:val="00E67893"/>
    <w:rsid w:val="00E67AD0"/>
    <w:rsid w:val="00E67C1F"/>
    <w:rsid w:val="00E67D1E"/>
    <w:rsid w:val="00E70276"/>
    <w:rsid w:val="00E703A4"/>
    <w:rsid w:val="00E705CB"/>
    <w:rsid w:val="00E705F0"/>
    <w:rsid w:val="00E706C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3A0"/>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DE9"/>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3C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587"/>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6F1E"/>
    <w:rsid w:val="00EA72EA"/>
    <w:rsid w:val="00EA736E"/>
    <w:rsid w:val="00EA7934"/>
    <w:rsid w:val="00EA7F07"/>
    <w:rsid w:val="00EA7FC3"/>
    <w:rsid w:val="00EB0190"/>
    <w:rsid w:val="00EB02A1"/>
    <w:rsid w:val="00EB0500"/>
    <w:rsid w:val="00EB07BC"/>
    <w:rsid w:val="00EB0A07"/>
    <w:rsid w:val="00EB0BD6"/>
    <w:rsid w:val="00EB0DFC"/>
    <w:rsid w:val="00EB13BB"/>
    <w:rsid w:val="00EB14AD"/>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7C"/>
    <w:rsid w:val="00EB3EE3"/>
    <w:rsid w:val="00EB3F9F"/>
    <w:rsid w:val="00EB41BE"/>
    <w:rsid w:val="00EB4365"/>
    <w:rsid w:val="00EB4559"/>
    <w:rsid w:val="00EB4670"/>
    <w:rsid w:val="00EB46A4"/>
    <w:rsid w:val="00EB4851"/>
    <w:rsid w:val="00EB4B88"/>
    <w:rsid w:val="00EB4C17"/>
    <w:rsid w:val="00EB4E41"/>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0D2E"/>
    <w:rsid w:val="00EC1046"/>
    <w:rsid w:val="00EC10C6"/>
    <w:rsid w:val="00EC10E0"/>
    <w:rsid w:val="00EC1494"/>
    <w:rsid w:val="00EC1572"/>
    <w:rsid w:val="00EC158A"/>
    <w:rsid w:val="00EC1743"/>
    <w:rsid w:val="00EC17D1"/>
    <w:rsid w:val="00EC1993"/>
    <w:rsid w:val="00EC19AE"/>
    <w:rsid w:val="00EC1BC6"/>
    <w:rsid w:val="00EC1EE6"/>
    <w:rsid w:val="00EC1F24"/>
    <w:rsid w:val="00EC2123"/>
    <w:rsid w:val="00EC2364"/>
    <w:rsid w:val="00EC25F1"/>
    <w:rsid w:val="00EC266E"/>
    <w:rsid w:val="00EC26F5"/>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860"/>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15"/>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3B3"/>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515"/>
    <w:rsid w:val="00EF1626"/>
    <w:rsid w:val="00EF162A"/>
    <w:rsid w:val="00EF16D4"/>
    <w:rsid w:val="00EF1B04"/>
    <w:rsid w:val="00EF1B14"/>
    <w:rsid w:val="00EF1C9B"/>
    <w:rsid w:val="00EF1FD6"/>
    <w:rsid w:val="00EF2956"/>
    <w:rsid w:val="00EF2EEA"/>
    <w:rsid w:val="00EF2FF5"/>
    <w:rsid w:val="00EF32EF"/>
    <w:rsid w:val="00EF3821"/>
    <w:rsid w:val="00EF3AFF"/>
    <w:rsid w:val="00EF3C24"/>
    <w:rsid w:val="00EF3F75"/>
    <w:rsid w:val="00EF3FAA"/>
    <w:rsid w:val="00EF4185"/>
    <w:rsid w:val="00EF421E"/>
    <w:rsid w:val="00EF4329"/>
    <w:rsid w:val="00EF4511"/>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0"/>
    <w:rsid w:val="00F001AC"/>
    <w:rsid w:val="00F0045D"/>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EFB"/>
    <w:rsid w:val="00F020E4"/>
    <w:rsid w:val="00F02245"/>
    <w:rsid w:val="00F025AA"/>
    <w:rsid w:val="00F026AE"/>
    <w:rsid w:val="00F02AB2"/>
    <w:rsid w:val="00F0318A"/>
    <w:rsid w:val="00F031B7"/>
    <w:rsid w:val="00F031C4"/>
    <w:rsid w:val="00F03216"/>
    <w:rsid w:val="00F033CD"/>
    <w:rsid w:val="00F0341A"/>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1EE"/>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0CAB"/>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6A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0F68"/>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1BB"/>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5F9"/>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5B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AB0"/>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029"/>
    <w:rsid w:val="00F474D3"/>
    <w:rsid w:val="00F47C76"/>
    <w:rsid w:val="00F47DA7"/>
    <w:rsid w:val="00F47EE0"/>
    <w:rsid w:val="00F47F65"/>
    <w:rsid w:val="00F500DE"/>
    <w:rsid w:val="00F50264"/>
    <w:rsid w:val="00F50293"/>
    <w:rsid w:val="00F5092B"/>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7D5"/>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A39"/>
    <w:rsid w:val="00F54BDE"/>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ACB"/>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AB8"/>
    <w:rsid w:val="00F66C9D"/>
    <w:rsid w:val="00F66E0F"/>
    <w:rsid w:val="00F66ED4"/>
    <w:rsid w:val="00F66FB8"/>
    <w:rsid w:val="00F670C8"/>
    <w:rsid w:val="00F67256"/>
    <w:rsid w:val="00F674DB"/>
    <w:rsid w:val="00F67590"/>
    <w:rsid w:val="00F6772B"/>
    <w:rsid w:val="00F67A31"/>
    <w:rsid w:val="00F67D86"/>
    <w:rsid w:val="00F67E1F"/>
    <w:rsid w:val="00F67EDB"/>
    <w:rsid w:val="00F702E8"/>
    <w:rsid w:val="00F7090E"/>
    <w:rsid w:val="00F70A18"/>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CA9"/>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B7C"/>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BA9"/>
    <w:rsid w:val="00F81C01"/>
    <w:rsid w:val="00F81DE1"/>
    <w:rsid w:val="00F81E1A"/>
    <w:rsid w:val="00F82160"/>
    <w:rsid w:val="00F826F3"/>
    <w:rsid w:val="00F82788"/>
    <w:rsid w:val="00F82807"/>
    <w:rsid w:val="00F82DFD"/>
    <w:rsid w:val="00F82E66"/>
    <w:rsid w:val="00F82EE8"/>
    <w:rsid w:val="00F82F6B"/>
    <w:rsid w:val="00F83620"/>
    <w:rsid w:val="00F83AE1"/>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32"/>
    <w:rsid w:val="00F91F72"/>
    <w:rsid w:val="00F923AD"/>
    <w:rsid w:val="00F92A28"/>
    <w:rsid w:val="00F92B4C"/>
    <w:rsid w:val="00F92E24"/>
    <w:rsid w:val="00F93281"/>
    <w:rsid w:val="00F934CB"/>
    <w:rsid w:val="00F93541"/>
    <w:rsid w:val="00F9354E"/>
    <w:rsid w:val="00F936A7"/>
    <w:rsid w:val="00F937B9"/>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A1A"/>
    <w:rsid w:val="00FA1B4D"/>
    <w:rsid w:val="00FA1BDF"/>
    <w:rsid w:val="00FA1E10"/>
    <w:rsid w:val="00FA1FB6"/>
    <w:rsid w:val="00FA214F"/>
    <w:rsid w:val="00FA2254"/>
    <w:rsid w:val="00FA2333"/>
    <w:rsid w:val="00FA272F"/>
    <w:rsid w:val="00FA277C"/>
    <w:rsid w:val="00FA28DA"/>
    <w:rsid w:val="00FA3090"/>
    <w:rsid w:val="00FA30B6"/>
    <w:rsid w:val="00FA3264"/>
    <w:rsid w:val="00FA329E"/>
    <w:rsid w:val="00FA3306"/>
    <w:rsid w:val="00FA386C"/>
    <w:rsid w:val="00FA388F"/>
    <w:rsid w:val="00FA39DD"/>
    <w:rsid w:val="00FA3BD2"/>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356"/>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717"/>
    <w:rsid w:val="00FB7816"/>
    <w:rsid w:val="00FB7A2B"/>
    <w:rsid w:val="00FC02BF"/>
    <w:rsid w:val="00FC051D"/>
    <w:rsid w:val="00FC05D7"/>
    <w:rsid w:val="00FC0B40"/>
    <w:rsid w:val="00FC0C08"/>
    <w:rsid w:val="00FC0D68"/>
    <w:rsid w:val="00FC0F8E"/>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8D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0E"/>
    <w:rsid w:val="00FC619D"/>
    <w:rsid w:val="00FC61C8"/>
    <w:rsid w:val="00FC639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2A3"/>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8A7"/>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A3C"/>
    <w:rsid w:val="00FE1D57"/>
    <w:rsid w:val="00FE20A2"/>
    <w:rsid w:val="00FE2201"/>
    <w:rsid w:val="00FE2392"/>
    <w:rsid w:val="00FE26C1"/>
    <w:rsid w:val="00FE2842"/>
    <w:rsid w:val="00FE2F5A"/>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88D"/>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04"/>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1F8"/>
    <w:rsid w:val="00FF658F"/>
    <w:rsid w:val="00FF677B"/>
    <w:rsid w:val="00FF6916"/>
    <w:rsid w:val="00FF6982"/>
    <w:rsid w:val="00FF6A2B"/>
    <w:rsid w:val="00FF6C1C"/>
    <w:rsid w:val="00FF6C35"/>
    <w:rsid w:val="00FF7060"/>
    <w:rsid w:val="00FF7636"/>
    <w:rsid w:val="00FF765F"/>
    <w:rsid w:val="00FF7989"/>
    <w:rsid w:val="00FF7B38"/>
    <w:rsid w:val="00FF7D03"/>
    <w:rsid w:val="01062085"/>
    <w:rsid w:val="01063F82"/>
    <w:rsid w:val="010B22B0"/>
    <w:rsid w:val="01192C1F"/>
    <w:rsid w:val="011949CD"/>
    <w:rsid w:val="01303AC5"/>
    <w:rsid w:val="01374E54"/>
    <w:rsid w:val="014632E9"/>
    <w:rsid w:val="0168325F"/>
    <w:rsid w:val="01792A16"/>
    <w:rsid w:val="01981D96"/>
    <w:rsid w:val="019B53E2"/>
    <w:rsid w:val="019F652F"/>
    <w:rsid w:val="01C0753F"/>
    <w:rsid w:val="01C7267B"/>
    <w:rsid w:val="01DD1E9F"/>
    <w:rsid w:val="01EB45BC"/>
    <w:rsid w:val="01EF5AE3"/>
    <w:rsid w:val="01FD609D"/>
    <w:rsid w:val="021D04ED"/>
    <w:rsid w:val="022F1363"/>
    <w:rsid w:val="024E68F9"/>
    <w:rsid w:val="025034E1"/>
    <w:rsid w:val="027F4D04"/>
    <w:rsid w:val="0284231A"/>
    <w:rsid w:val="028572C9"/>
    <w:rsid w:val="028F7950"/>
    <w:rsid w:val="02916D6E"/>
    <w:rsid w:val="029C58B6"/>
    <w:rsid w:val="02A12ECC"/>
    <w:rsid w:val="02B96468"/>
    <w:rsid w:val="02D037B2"/>
    <w:rsid w:val="02D05560"/>
    <w:rsid w:val="02DE2926"/>
    <w:rsid w:val="02E35293"/>
    <w:rsid w:val="02FA438B"/>
    <w:rsid w:val="02FA559D"/>
    <w:rsid w:val="03045209"/>
    <w:rsid w:val="031511C4"/>
    <w:rsid w:val="03157416"/>
    <w:rsid w:val="03165668"/>
    <w:rsid w:val="033F6241"/>
    <w:rsid w:val="03424F55"/>
    <w:rsid w:val="034C72DC"/>
    <w:rsid w:val="03535B3A"/>
    <w:rsid w:val="036208AE"/>
    <w:rsid w:val="036B4EE3"/>
    <w:rsid w:val="037D56E7"/>
    <w:rsid w:val="03824AAC"/>
    <w:rsid w:val="039C4395"/>
    <w:rsid w:val="039C54A9"/>
    <w:rsid w:val="03A2514E"/>
    <w:rsid w:val="03CD1A9F"/>
    <w:rsid w:val="03E70DB3"/>
    <w:rsid w:val="03EA2651"/>
    <w:rsid w:val="03EF5EB9"/>
    <w:rsid w:val="03F86B1C"/>
    <w:rsid w:val="03FD4143"/>
    <w:rsid w:val="041117EE"/>
    <w:rsid w:val="041B0A5C"/>
    <w:rsid w:val="04385BE5"/>
    <w:rsid w:val="04610B65"/>
    <w:rsid w:val="046373FC"/>
    <w:rsid w:val="04695C6C"/>
    <w:rsid w:val="047A1540"/>
    <w:rsid w:val="04854128"/>
    <w:rsid w:val="049031F8"/>
    <w:rsid w:val="049A4077"/>
    <w:rsid w:val="04A00388"/>
    <w:rsid w:val="04A10F62"/>
    <w:rsid w:val="04A73F6E"/>
    <w:rsid w:val="04AA1264"/>
    <w:rsid w:val="04BD38C2"/>
    <w:rsid w:val="04C2712A"/>
    <w:rsid w:val="04C3537C"/>
    <w:rsid w:val="04C44C50"/>
    <w:rsid w:val="04CA5B23"/>
    <w:rsid w:val="04D23811"/>
    <w:rsid w:val="04EA451D"/>
    <w:rsid w:val="04F14F29"/>
    <w:rsid w:val="04FA4B16"/>
    <w:rsid w:val="05035AFC"/>
    <w:rsid w:val="052B4CCF"/>
    <w:rsid w:val="05322502"/>
    <w:rsid w:val="053C6EDC"/>
    <w:rsid w:val="0560706F"/>
    <w:rsid w:val="05654685"/>
    <w:rsid w:val="05687F3F"/>
    <w:rsid w:val="05742194"/>
    <w:rsid w:val="05746676"/>
    <w:rsid w:val="05790131"/>
    <w:rsid w:val="05884B67"/>
    <w:rsid w:val="058F3F11"/>
    <w:rsid w:val="05934B2F"/>
    <w:rsid w:val="05B922DB"/>
    <w:rsid w:val="05BC2F2E"/>
    <w:rsid w:val="05D435B9"/>
    <w:rsid w:val="05E05ABA"/>
    <w:rsid w:val="05F257ED"/>
    <w:rsid w:val="05F6352F"/>
    <w:rsid w:val="05FB0B46"/>
    <w:rsid w:val="06111B2C"/>
    <w:rsid w:val="06127C3D"/>
    <w:rsid w:val="06163BD1"/>
    <w:rsid w:val="061D0ABC"/>
    <w:rsid w:val="06357EA7"/>
    <w:rsid w:val="064249C6"/>
    <w:rsid w:val="065B7836"/>
    <w:rsid w:val="06624721"/>
    <w:rsid w:val="068C65AB"/>
    <w:rsid w:val="068F1DC4"/>
    <w:rsid w:val="06935222"/>
    <w:rsid w:val="069F3BC7"/>
    <w:rsid w:val="06A42F8B"/>
    <w:rsid w:val="06B07B82"/>
    <w:rsid w:val="06B56F46"/>
    <w:rsid w:val="06B87E0F"/>
    <w:rsid w:val="06BF1B73"/>
    <w:rsid w:val="06DD024B"/>
    <w:rsid w:val="06E34967"/>
    <w:rsid w:val="06FC6923"/>
    <w:rsid w:val="07044413"/>
    <w:rsid w:val="071023CF"/>
    <w:rsid w:val="07153E89"/>
    <w:rsid w:val="071874D5"/>
    <w:rsid w:val="071A4FFB"/>
    <w:rsid w:val="07267E44"/>
    <w:rsid w:val="072F4F4B"/>
    <w:rsid w:val="07302A71"/>
    <w:rsid w:val="07487DBA"/>
    <w:rsid w:val="075D7207"/>
    <w:rsid w:val="07854B6B"/>
    <w:rsid w:val="078A03D3"/>
    <w:rsid w:val="07AA2823"/>
    <w:rsid w:val="07D41B9B"/>
    <w:rsid w:val="07D433FC"/>
    <w:rsid w:val="07E01DA1"/>
    <w:rsid w:val="07E154C8"/>
    <w:rsid w:val="07EA7730"/>
    <w:rsid w:val="07F615C4"/>
    <w:rsid w:val="08097F59"/>
    <w:rsid w:val="081726F6"/>
    <w:rsid w:val="081952B3"/>
    <w:rsid w:val="08202AE5"/>
    <w:rsid w:val="08244886"/>
    <w:rsid w:val="08292EF9"/>
    <w:rsid w:val="083D71F3"/>
    <w:rsid w:val="08514A4D"/>
    <w:rsid w:val="08536A17"/>
    <w:rsid w:val="08582A98"/>
    <w:rsid w:val="08670714"/>
    <w:rsid w:val="087921F6"/>
    <w:rsid w:val="08907C6B"/>
    <w:rsid w:val="08986B20"/>
    <w:rsid w:val="089C542D"/>
    <w:rsid w:val="08AD79FF"/>
    <w:rsid w:val="08BB280E"/>
    <w:rsid w:val="08BC0A60"/>
    <w:rsid w:val="08D05C89"/>
    <w:rsid w:val="08D35DAA"/>
    <w:rsid w:val="08D5567E"/>
    <w:rsid w:val="08E81855"/>
    <w:rsid w:val="08FD6983"/>
    <w:rsid w:val="091268D2"/>
    <w:rsid w:val="09167A44"/>
    <w:rsid w:val="09267C87"/>
    <w:rsid w:val="092C7268"/>
    <w:rsid w:val="092D370C"/>
    <w:rsid w:val="09476961"/>
    <w:rsid w:val="095B106C"/>
    <w:rsid w:val="09635565"/>
    <w:rsid w:val="09646A02"/>
    <w:rsid w:val="096A04BC"/>
    <w:rsid w:val="097D1872"/>
    <w:rsid w:val="097FE647"/>
    <w:rsid w:val="09880942"/>
    <w:rsid w:val="09910E9D"/>
    <w:rsid w:val="09970B85"/>
    <w:rsid w:val="09992B4F"/>
    <w:rsid w:val="099E1F14"/>
    <w:rsid w:val="09A53B82"/>
    <w:rsid w:val="09BC166C"/>
    <w:rsid w:val="09C9041E"/>
    <w:rsid w:val="09CF031F"/>
    <w:rsid w:val="09E57B43"/>
    <w:rsid w:val="09EF276F"/>
    <w:rsid w:val="09EF451D"/>
    <w:rsid w:val="09F204B1"/>
    <w:rsid w:val="0A03621B"/>
    <w:rsid w:val="0A1E12A6"/>
    <w:rsid w:val="0A312D88"/>
    <w:rsid w:val="0A410AF1"/>
    <w:rsid w:val="0A426D43"/>
    <w:rsid w:val="0A482BA2"/>
    <w:rsid w:val="0A5A6B78"/>
    <w:rsid w:val="0A6F565E"/>
    <w:rsid w:val="0A744757"/>
    <w:rsid w:val="0A8A5D79"/>
    <w:rsid w:val="0A92134D"/>
    <w:rsid w:val="0A943317"/>
    <w:rsid w:val="0AA3355A"/>
    <w:rsid w:val="0AA7129C"/>
    <w:rsid w:val="0AB6328D"/>
    <w:rsid w:val="0AC51722"/>
    <w:rsid w:val="0AC668A3"/>
    <w:rsid w:val="0ACB31DC"/>
    <w:rsid w:val="0ACB4F8A"/>
    <w:rsid w:val="0ADA51CD"/>
    <w:rsid w:val="0AE65BFC"/>
    <w:rsid w:val="0AEA1B50"/>
    <w:rsid w:val="0AF76D50"/>
    <w:rsid w:val="0B016BFE"/>
    <w:rsid w:val="0B13248D"/>
    <w:rsid w:val="0B136931"/>
    <w:rsid w:val="0B2428ED"/>
    <w:rsid w:val="0B275F39"/>
    <w:rsid w:val="0B4E7969"/>
    <w:rsid w:val="0B582596"/>
    <w:rsid w:val="0B660C1A"/>
    <w:rsid w:val="0B7D3DAB"/>
    <w:rsid w:val="0B860EB1"/>
    <w:rsid w:val="0B923CFA"/>
    <w:rsid w:val="0BA31A63"/>
    <w:rsid w:val="0BB05F2E"/>
    <w:rsid w:val="0BCB0FBA"/>
    <w:rsid w:val="0BCD088E"/>
    <w:rsid w:val="0BD7529C"/>
    <w:rsid w:val="0BE502CE"/>
    <w:rsid w:val="0BEF6A57"/>
    <w:rsid w:val="0BF7FA91"/>
    <w:rsid w:val="0C060244"/>
    <w:rsid w:val="0C2801BA"/>
    <w:rsid w:val="0C2D757F"/>
    <w:rsid w:val="0C4F1BEB"/>
    <w:rsid w:val="0C5C1C12"/>
    <w:rsid w:val="0C7156BE"/>
    <w:rsid w:val="0C790A16"/>
    <w:rsid w:val="0C85560D"/>
    <w:rsid w:val="0C9C64B3"/>
    <w:rsid w:val="0CB16402"/>
    <w:rsid w:val="0CBB4B8B"/>
    <w:rsid w:val="0CC53C5B"/>
    <w:rsid w:val="0CC807DA"/>
    <w:rsid w:val="0CCD5DC7"/>
    <w:rsid w:val="0CD619C5"/>
    <w:rsid w:val="0CD8398F"/>
    <w:rsid w:val="0CE51C08"/>
    <w:rsid w:val="0CF167FE"/>
    <w:rsid w:val="0D0C4E28"/>
    <w:rsid w:val="0D136775"/>
    <w:rsid w:val="0D2564A8"/>
    <w:rsid w:val="0D3559F5"/>
    <w:rsid w:val="0D3C216F"/>
    <w:rsid w:val="0D410D63"/>
    <w:rsid w:val="0D4A5F0F"/>
    <w:rsid w:val="0D5079C9"/>
    <w:rsid w:val="0D5C45C0"/>
    <w:rsid w:val="0D605732"/>
    <w:rsid w:val="0D674D12"/>
    <w:rsid w:val="0D8145D3"/>
    <w:rsid w:val="0D8853B5"/>
    <w:rsid w:val="0D8B6C53"/>
    <w:rsid w:val="0D913B3D"/>
    <w:rsid w:val="0D927FE1"/>
    <w:rsid w:val="0D9773A6"/>
    <w:rsid w:val="0DA63A8D"/>
    <w:rsid w:val="0DCB704F"/>
    <w:rsid w:val="0DD203DE"/>
    <w:rsid w:val="0DE13BD3"/>
    <w:rsid w:val="0DE34399"/>
    <w:rsid w:val="0DE400B5"/>
    <w:rsid w:val="0DFC6ECD"/>
    <w:rsid w:val="0E082052"/>
    <w:rsid w:val="0E230983"/>
    <w:rsid w:val="0E2F5830"/>
    <w:rsid w:val="0E3E5A73"/>
    <w:rsid w:val="0E590AFF"/>
    <w:rsid w:val="0E5C414B"/>
    <w:rsid w:val="0E770F85"/>
    <w:rsid w:val="0E7C47EE"/>
    <w:rsid w:val="0E8B67DF"/>
    <w:rsid w:val="0E947667"/>
    <w:rsid w:val="0E9658AF"/>
    <w:rsid w:val="0EAD2BF9"/>
    <w:rsid w:val="0EB157CD"/>
    <w:rsid w:val="0EB36461"/>
    <w:rsid w:val="0EC73CBB"/>
    <w:rsid w:val="0EC817E1"/>
    <w:rsid w:val="0EEA79A9"/>
    <w:rsid w:val="0EF820C6"/>
    <w:rsid w:val="0F056591"/>
    <w:rsid w:val="0F3A1A89"/>
    <w:rsid w:val="0F5F2145"/>
    <w:rsid w:val="0F616357"/>
    <w:rsid w:val="0F67724C"/>
    <w:rsid w:val="0F79431E"/>
    <w:rsid w:val="0F7B6853"/>
    <w:rsid w:val="0F7F6343"/>
    <w:rsid w:val="0F8751F8"/>
    <w:rsid w:val="0F8971C2"/>
    <w:rsid w:val="0F8B6022"/>
    <w:rsid w:val="0F8C280E"/>
    <w:rsid w:val="0F930041"/>
    <w:rsid w:val="0FA20284"/>
    <w:rsid w:val="0FB104C7"/>
    <w:rsid w:val="0FB71F81"/>
    <w:rsid w:val="0FCC70AF"/>
    <w:rsid w:val="0FE61C33"/>
    <w:rsid w:val="0FEF3814"/>
    <w:rsid w:val="0FF847FA"/>
    <w:rsid w:val="1008458B"/>
    <w:rsid w:val="10125409"/>
    <w:rsid w:val="10376C1E"/>
    <w:rsid w:val="103C5FE2"/>
    <w:rsid w:val="10457972"/>
    <w:rsid w:val="1061051D"/>
    <w:rsid w:val="10611EED"/>
    <w:rsid w:val="10615A49"/>
    <w:rsid w:val="1068327B"/>
    <w:rsid w:val="106C2D6C"/>
    <w:rsid w:val="107C0AD5"/>
    <w:rsid w:val="108A31F2"/>
    <w:rsid w:val="1090632E"/>
    <w:rsid w:val="10B93AD7"/>
    <w:rsid w:val="10BE2E9B"/>
    <w:rsid w:val="10C36704"/>
    <w:rsid w:val="10CA1840"/>
    <w:rsid w:val="10D53C54"/>
    <w:rsid w:val="10D97CD5"/>
    <w:rsid w:val="10DE52EC"/>
    <w:rsid w:val="10F36FE9"/>
    <w:rsid w:val="10F44B0F"/>
    <w:rsid w:val="10FF1EB7"/>
    <w:rsid w:val="110411F6"/>
    <w:rsid w:val="110E3E23"/>
    <w:rsid w:val="111807FE"/>
    <w:rsid w:val="114415F3"/>
    <w:rsid w:val="1145536B"/>
    <w:rsid w:val="115B06EA"/>
    <w:rsid w:val="116972AB"/>
    <w:rsid w:val="117479FE"/>
    <w:rsid w:val="117A3266"/>
    <w:rsid w:val="117A5014"/>
    <w:rsid w:val="11847C41"/>
    <w:rsid w:val="11A6405B"/>
    <w:rsid w:val="11AB1672"/>
    <w:rsid w:val="11CA4826"/>
    <w:rsid w:val="11D00A48"/>
    <w:rsid w:val="11F06A97"/>
    <w:rsid w:val="11FA01ED"/>
    <w:rsid w:val="12031173"/>
    <w:rsid w:val="120E1C01"/>
    <w:rsid w:val="121C431D"/>
    <w:rsid w:val="121C60CC"/>
    <w:rsid w:val="1222745A"/>
    <w:rsid w:val="122B630F"/>
    <w:rsid w:val="123A47A4"/>
    <w:rsid w:val="124B3D54"/>
    <w:rsid w:val="12535865"/>
    <w:rsid w:val="125515DD"/>
    <w:rsid w:val="12800054"/>
    <w:rsid w:val="12902616"/>
    <w:rsid w:val="129465AA"/>
    <w:rsid w:val="12966605"/>
    <w:rsid w:val="12AD766B"/>
    <w:rsid w:val="12AF0CEE"/>
    <w:rsid w:val="12B502CE"/>
    <w:rsid w:val="12B52D1C"/>
    <w:rsid w:val="12CD73C6"/>
    <w:rsid w:val="12CF313E"/>
    <w:rsid w:val="12D13C56"/>
    <w:rsid w:val="12E07935"/>
    <w:rsid w:val="12F47048"/>
    <w:rsid w:val="12F9465F"/>
    <w:rsid w:val="12FE7EC7"/>
    <w:rsid w:val="130C6140"/>
    <w:rsid w:val="130F5C30"/>
    <w:rsid w:val="132A4818"/>
    <w:rsid w:val="13491142"/>
    <w:rsid w:val="135D2E40"/>
    <w:rsid w:val="135D4BEE"/>
    <w:rsid w:val="136046DE"/>
    <w:rsid w:val="13785584"/>
    <w:rsid w:val="137D0DEC"/>
    <w:rsid w:val="138076CE"/>
    <w:rsid w:val="138253D6"/>
    <w:rsid w:val="1384217A"/>
    <w:rsid w:val="138E4DA7"/>
    <w:rsid w:val="13906D71"/>
    <w:rsid w:val="139525D9"/>
    <w:rsid w:val="139B2C71"/>
    <w:rsid w:val="13A02D2C"/>
    <w:rsid w:val="13A22600"/>
    <w:rsid w:val="13A75E69"/>
    <w:rsid w:val="13AB5326"/>
    <w:rsid w:val="13C62793"/>
    <w:rsid w:val="13E175CD"/>
    <w:rsid w:val="13EA360C"/>
    <w:rsid w:val="13F217DA"/>
    <w:rsid w:val="13FC61B5"/>
    <w:rsid w:val="140B464A"/>
    <w:rsid w:val="14184FB8"/>
    <w:rsid w:val="14223741"/>
    <w:rsid w:val="1432607A"/>
    <w:rsid w:val="14397B89"/>
    <w:rsid w:val="144B0EEA"/>
    <w:rsid w:val="145853B5"/>
    <w:rsid w:val="14623C39"/>
    <w:rsid w:val="146B50E8"/>
    <w:rsid w:val="1487316F"/>
    <w:rsid w:val="149D3294"/>
    <w:rsid w:val="14D013EF"/>
    <w:rsid w:val="14D902A4"/>
    <w:rsid w:val="14EF57E6"/>
    <w:rsid w:val="14EF5D19"/>
    <w:rsid w:val="14FB2910"/>
    <w:rsid w:val="154A2F50"/>
    <w:rsid w:val="154B0A80"/>
    <w:rsid w:val="154C4F1A"/>
    <w:rsid w:val="15512530"/>
    <w:rsid w:val="155344FA"/>
    <w:rsid w:val="155777F8"/>
    <w:rsid w:val="1562473D"/>
    <w:rsid w:val="156264EB"/>
    <w:rsid w:val="15753698"/>
    <w:rsid w:val="15763D45"/>
    <w:rsid w:val="15A53199"/>
    <w:rsid w:val="15A92197"/>
    <w:rsid w:val="15B17473"/>
    <w:rsid w:val="15B909DB"/>
    <w:rsid w:val="15BB209F"/>
    <w:rsid w:val="15C251DC"/>
    <w:rsid w:val="15C54CCC"/>
    <w:rsid w:val="15E038B4"/>
    <w:rsid w:val="15EA64E1"/>
    <w:rsid w:val="15F50F44"/>
    <w:rsid w:val="15F6718A"/>
    <w:rsid w:val="1605308F"/>
    <w:rsid w:val="160C46A9"/>
    <w:rsid w:val="16113A6D"/>
    <w:rsid w:val="161D2412"/>
    <w:rsid w:val="162639BD"/>
    <w:rsid w:val="16297009"/>
    <w:rsid w:val="162A303D"/>
    <w:rsid w:val="162C6AF9"/>
    <w:rsid w:val="163A2FC4"/>
    <w:rsid w:val="164936C2"/>
    <w:rsid w:val="164D0524"/>
    <w:rsid w:val="16584EE2"/>
    <w:rsid w:val="165A5414"/>
    <w:rsid w:val="1672275E"/>
    <w:rsid w:val="16781D3E"/>
    <w:rsid w:val="169721C5"/>
    <w:rsid w:val="16992EF2"/>
    <w:rsid w:val="16A42B33"/>
    <w:rsid w:val="16AA05E1"/>
    <w:rsid w:val="16AE1C29"/>
    <w:rsid w:val="16B25250"/>
    <w:rsid w:val="16B40FC8"/>
    <w:rsid w:val="16BC60CF"/>
    <w:rsid w:val="16D451C7"/>
    <w:rsid w:val="16E725CA"/>
    <w:rsid w:val="16E80942"/>
    <w:rsid w:val="16F47617"/>
    <w:rsid w:val="17052A3A"/>
    <w:rsid w:val="17116459"/>
    <w:rsid w:val="172123D6"/>
    <w:rsid w:val="172779EC"/>
    <w:rsid w:val="172872C1"/>
    <w:rsid w:val="172A3039"/>
    <w:rsid w:val="173C4B1A"/>
    <w:rsid w:val="17451C21"/>
    <w:rsid w:val="17544559"/>
    <w:rsid w:val="17575DF8"/>
    <w:rsid w:val="1759391E"/>
    <w:rsid w:val="17710C68"/>
    <w:rsid w:val="17743D08"/>
    <w:rsid w:val="17832749"/>
    <w:rsid w:val="1787048B"/>
    <w:rsid w:val="17A032FB"/>
    <w:rsid w:val="17BB1EE3"/>
    <w:rsid w:val="17C23271"/>
    <w:rsid w:val="17CA481C"/>
    <w:rsid w:val="17DF1C59"/>
    <w:rsid w:val="17F93E0B"/>
    <w:rsid w:val="1818263E"/>
    <w:rsid w:val="181B6E25"/>
    <w:rsid w:val="183B3024"/>
    <w:rsid w:val="18510A99"/>
    <w:rsid w:val="185A794E"/>
    <w:rsid w:val="185D11EC"/>
    <w:rsid w:val="18616F2E"/>
    <w:rsid w:val="186228BD"/>
    <w:rsid w:val="18624A54"/>
    <w:rsid w:val="186C142F"/>
    <w:rsid w:val="18797CA9"/>
    <w:rsid w:val="187D6142"/>
    <w:rsid w:val="187F490C"/>
    <w:rsid w:val="18CE20EA"/>
    <w:rsid w:val="18D05E62"/>
    <w:rsid w:val="18E611E1"/>
    <w:rsid w:val="18FB4688"/>
    <w:rsid w:val="1901426D"/>
    <w:rsid w:val="1901601B"/>
    <w:rsid w:val="192623ED"/>
    <w:rsid w:val="19314B52"/>
    <w:rsid w:val="19521F72"/>
    <w:rsid w:val="19595E57"/>
    <w:rsid w:val="195B1BCF"/>
    <w:rsid w:val="195F2D42"/>
    <w:rsid w:val="196F567B"/>
    <w:rsid w:val="19742C91"/>
    <w:rsid w:val="19846CBF"/>
    <w:rsid w:val="19866520"/>
    <w:rsid w:val="198D1D7C"/>
    <w:rsid w:val="19B27315"/>
    <w:rsid w:val="19B94B48"/>
    <w:rsid w:val="19BE5CBA"/>
    <w:rsid w:val="19C257AA"/>
    <w:rsid w:val="19C9211E"/>
    <w:rsid w:val="19D76D7C"/>
    <w:rsid w:val="19DC4392"/>
    <w:rsid w:val="19F85670"/>
    <w:rsid w:val="19FB6F0E"/>
    <w:rsid w:val="1A051B3B"/>
    <w:rsid w:val="1A2438AB"/>
    <w:rsid w:val="1A27385F"/>
    <w:rsid w:val="1A2C356C"/>
    <w:rsid w:val="1A393593"/>
    <w:rsid w:val="1A442663"/>
    <w:rsid w:val="1A55661F"/>
    <w:rsid w:val="1A58610F"/>
    <w:rsid w:val="1A7867B1"/>
    <w:rsid w:val="1A7C2067"/>
    <w:rsid w:val="1AB23A71"/>
    <w:rsid w:val="1ABD5F72"/>
    <w:rsid w:val="1AC10D3C"/>
    <w:rsid w:val="1AC21DA6"/>
    <w:rsid w:val="1ACD5111"/>
    <w:rsid w:val="1AE14356"/>
    <w:rsid w:val="1AE259D8"/>
    <w:rsid w:val="1B0552F6"/>
    <w:rsid w:val="1B1A1616"/>
    <w:rsid w:val="1B397CEE"/>
    <w:rsid w:val="1B3A75C2"/>
    <w:rsid w:val="1B43291B"/>
    <w:rsid w:val="1B442FFC"/>
    <w:rsid w:val="1B4F7512"/>
    <w:rsid w:val="1B50328A"/>
    <w:rsid w:val="1B6D1746"/>
    <w:rsid w:val="1B80591D"/>
    <w:rsid w:val="1B844C31"/>
    <w:rsid w:val="1B8D3B96"/>
    <w:rsid w:val="1B8F3DB2"/>
    <w:rsid w:val="1B8F5B60"/>
    <w:rsid w:val="1B970EB9"/>
    <w:rsid w:val="1B9B2757"/>
    <w:rsid w:val="1B9E3FF5"/>
    <w:rsid w:val="1B9E5DA3"/>
    <w:rsid w:val="1BB13D28"/>
    <w:rsid w:val="1BB76E65"/>
    <w:rsid w:val="1BC021BE"/>
    <w:rsid w:val="1BD6432D"/>
    <w:rsid w:val="1BDE0896"/>
    <w:rsid w:val="1BF105C9"/>
    <w:rsid w:val="1BFE4A94"/>
    <w:rsid w:val="1BFE6842"/>
    <w:rsid w:val="1BFFBEC5"/>
    <w:rsid w:val="1C1C0DAE"/>
    <w:rsid w:val="1C2A5889"/>
    <w:rsid w:val="1C3B29CB"/>
    <w:rsid w:val="1C427076"/>
    <w:rsid w:val="1C455CA5"/>
    <w:rsid w:val="1C4972F3"/>
    <w:rsid w:val="1C4A7CD9"/>
    <w:rsid w:val="1C512E16"/>
    <w:rsid w:val="1C6C40F3"/>
    <w:rsid w:val="1C821221"/>
    <w:rsid w:val="1C9176B6"/>
    <w:rsid w:val="1C962F1E"/>
    <w:rsid w:val="1C997BE2"/>
    <w:rsid w:val="1CA6768D"/>
    <w:rsid w:val="1CB11B06"/>
    <w:rsid w:val="1CBD04AB"/>
    <w:rsid w:val="1CBE6109"/>
    <w:rsid w:val="1CC950A2"/>
    <w:rsid w:val="1CD53A47"/>
    <w:rsid w:val="1CDB6B83"/>
    <w:rsid w:val="1CF2284B"/>
    <w:rsid w:val="1D012A8E"/>
    <w:rsid w:val="1D0B56BA"/>
    <w:rsid w:val="1D1F1166"/>
    <w:rsid w:val="1D2C69D2"/>
    <w:rsid w:val="1D320E99"/>
    <w:rsid w:val="1D3C1D18"/>
    <w:rsid w:val="1D412E8A"/>
    <w:rsid w:val="1D41732E"/>
    <w:rsid w:val="1D5232E9"/>
    <w:rsid w:val="1D5E1C8E"/>
    <w:rsid w:val="1D6E7CD3"/>
    <w:rsid w:val="1D7414B2"/>
    <w:rsid w:val="1D7A639C"/>
    <w:rsid w:val="1D87721C"/>
    <w:rsid w:val="1DA00540"/>
    <w:rsid w:val="1DAA4ED3"/>
    <w:rsid w:val="1DB418AE"/>
    <w:rsid w:val="1DC55869"/>
    <w:rsid w:val="1DD5066D"/>
    <w:rsid w:val="1DD67A76"/>
    <w:rsid w:val="1DFE521F"/>
    <w:rsid w:val="1E0C16EA"/>
    <w:rsid w:val="1E197963"/>
    <w:rsid w:val="1E311151"/>
    <w:rsid w:val="1E4744D0"/>
    <w:rsid w:val="1E601A36"/>
    <w:rsid w:val="1E636E30"/>
    <w:rsid w:val="1E687A48"/>
    <w:rsid w:val="1E6908EA"/>
    <w:rsid w:val="1E6C03DB"/>
    <w:rsid w:val="1E6C3F37"/>
    <w:rsid w:val="1E71779F"/>
    <w:rsid w:val="1E780B2E"/>
    <w:rsid w:val="1E90231B"/>
    <w:rsid w:val="1E9300E9"/>
    <w:rsid w:val="1E957931"/>
    <w:rsid w:val="1E9830FC"/>
    <w:rsid w:val="1EA3650A"/>
    <w:rsid w:val="1EB458DE"/>
    <w:rsid w:val="1EB4768C"/>
    <w:rsid w:val="1EB51D82"/>
    <w:rsid w:val="1EBD0C36"/>
    <w:rsid w:val="1ECB5101"/>
    <w:rsid w:val="1ED02718"/>
    <w:rsid w:val="1ED675D2"/>
    <w:rsid w:val="1EDA3596"/>
    <w:rsid w:val="1EE7180F"/>
    <w:rsid w:val="1EEC32CA"/>
    <w:rsid w:val="1EFC5F4A"/>
    <w:rsid w:val="1F066139"/>
    <w:rsid w:val="1F332CA6"/>
    <w:rsid w:val="1F3A5DE3"/>
    <w:rsid w:val="1F3D58D3"/>
    <w:rsid w:val="1F552C1D"/>
    <w:rsid w:val="1F5C21FD"/>
    <w:rsid w:val="1F5C3FAB"/>
    <w:rsid w:val="1F5E41C7"/>
    <w:rsid w:val="1F6410B2"/>
    <w:rsid w:val="1F6FDD01"/>
    <w:rsid w:val="1F861028"/>
    <w:rsid w:val="1F8B3D41"/>
    <w:rsid w:val="1F901EA7"/>
    <w:rsid w:val="1F9E2816"/>
    <w:rsid w:val="1FA616CA"/>
    <w:rsid w:val="1FB060A5"/>
    <w:rsid w:val="1FB5597B"/>
    <w:rsid w:val="1FB61240"/>
    <w:rsid w:val="1FB6316D"/>
    <w:rsid w:val="1FBA6F24"/>
    <w:rsid w:val="1FC57DA2"/>
    <w:rsid w:val="1FC97167"/>
    <w:rsid w:val="1FD91AA0"/>
    <w:rsid w:val="1FDC6E9A"/>
    <w:rsid w:val="1FDE2C12"/>
    <w:rsid w:val="1FDFD736"/>
    <w:rsid w:val="1FE521F3"/>
    <w:rsid w:val="20012DA5"/>
    <w:rsid w:val="201B3B20"/>
    <w:rsid w:val="201E6FC3"/>
    <w:rsid w:val="20213376"/>
    <w:rsid w:val="20340A84"/>
    <w:rsid w:val="20436F19"/>
    <w:rsid w:val="20511636"/>
    <w:rsid w:val="20514FBF"/>
    <w:rsid w:val="20547378"/>
    <w:rsid w:val="206E043A"/>
    <w:rsid w:val="20A43E5C"/>
    <w:rsid w:val="20A55238"/>
    <w:rsid w:val="20AC4ABE"/>
    <w:rsid w:val="20C0056A"/>
    <w:rsid w:val="20D12777"/>
    <w:rsid w:val="20DB35F6"/>
    <w:rsid w:val="20E406FC"/>
    <w:rsid w:val="20F12E19"/>
    <w:rsid w:val="20F621DE"/>
    <w:rsid w:val="210743EB"/>
    <w:rsid w:val="210C37AF"/>
    <w:rsid w:val="2110329F"/>
    <w:rsid w:val="21134B3E"/>
    <w:rsid w:val="212D35BA"/>
    <w:rsid w:val="212E3725"/>
    <w:rsid w:val="21336F8E"/>
    <w:rsid w:val="21354AB4"/>
    <w:rsid w:val="213571AA"/>
    <w:rsid w:val="213A031C"/>
    <w:rsid w:val="213D1BBA"/>
    <w:rsid w:val="21584C46"/>
    <w:rsid w:val="216238D5"/>
    <w:rsid w:val="217001E2"/>
    <w:rsid w:val="2173382E"/>
    <w:rsid w:val="217E28FF"/>
    <w:rsid w:val="21823A71"/>
    <w:rsid w:val="21867A05"/>
    <w:rsid w:val="218A1494"/>
    <w:rsid w:val="219263AA"/>
    <w:rsid w:val="21937A2C"/>
    <w:rsid w:val="219F2875"/>
    <w:rsid w:val="21A10D23"/>
    <w:rsid w:val="21A61FC4"/>
    <w:rsid w:val="21B93937"/>
    <w:rsid w:val="21C30312"/>
    <w:rsid w:val="21C978F2"/>
    <w:rsid w:val="21CB71C6"/>
    <w:rsid w:val="21E23B1F"/>
    <w:rsid w:val="220B1CB9"/>
    <w:rsid w:val="221B63A0"/>
    <w:rsid w:val="221F7512"/>
    <w:rsid w:val="223E3E3C"/>
    <w:rsid w:val="22450A1F"/>
    <w:rsid w:val="224C6559"/>
    <w:rsid w:val="22727213"/>
    <w:rsid w:val="22813D29"/>
    <w:rsid w:val="228710B6"/>
    <w:rsid w:val="229B4DEB"/>
    <w:rsid w:val="22A273FF"/>
    <w:rsid w:val="22AF6AE8"/>
    <w:rsid w:val="22B365D8"/>
    <w:rsid w:val="22B64134"/>
    <w:rsid w:val="22CF2CE6"/>
    <w:rsid w:val="22DB78DD"/>
    <w:rsid w:val="22DE117B"/>
    <w:rsid w:val="22E744D4"/>
    <w:rsid w:val="23066015"/>
    <w:rsid w:val="231F5A1C"/>
    <w:rsid w:val="2322550C"/>
    <w:rsid w:val="2329689A"/>
    <w:rsid w:val="23362D65"/>
    <w:rsid w:val="233E6D38"/>
    <w:rsid w:val="2342170A"/>
    <w:rsid w:val="2346744C"/>
    <w:rsid w:val="23515DF1"/>
    <w:rsid w:val="235C5307"/>
    <w:rsid w:val="236D3293"/>
    <w:rsid w:val="236E0751"/>
    <w:rsid w:val="236E69A3"/>
    <w:rsid w:val="237B69CA"/>
    <w:rsid w:val="238E494F"/>
    <w:rsid w:val="23971A56"/>
    <w:rsid w:val="239E00B4"/>
    <w:rsid w:val="23AD1279"/>
    <w:rsid w:val="23BD5235"/>
    <w:rsid w:val="23C87E61"/>
    <w:rsid w:val="23CB7951"/>
    <w:rsid w:val="23CE18C6"/>
    <w:rsid w:val="23DD028C"/>
    <w:rsid w:val="23EA427B"/>
    <w:rsid w:val="23ED5B1A"/>
    <w:rsid w:val="23F21382"/>
    <w:rsid w:val="24045981"/>
    <w:rsid w:val="240B2444"/>
    <w:rsid w:val="240E4546"/>
    <w:rsid w:val="24134E54"/>
    <w:rsid w:val="2435126F"/>
    <w:rsid w:val="244871F4"/>
    <w:rsid w:val="246B6A3F"/>
    <w:rsid w:val="24857B00"/>
    <w:rsid w:val="24865D69"/>
    <w:rsid w:val="24973CD7"/>
    <w:rsid w:val="24977834"/>
    <w:rsid w:val="24A7216D"/>
    <w:rsid w:val="24AF2DCF"/>
    <w:rsid w:val="24B228BF"/>
    <w:rsid w:val="24D82326"/>
    <w:rsid w:val="24E52C95"/>
    <w:rsid w:val="24E52CA3"/>
    <w:rsid w:val="24E707BB"/>
    <w:rsid w:val="24EC5DD1"/>
    <w:rsid w:val="24EF58C2"/>
    <w:rsid w:val="24F15196"/>
    <w:rsid w:val="24FD3B3B"/>
    <w:rsid w:val="251E74A4"/>
    <w:rsid w:val="25341526"/>
    <w:rsid w:val="25461985"/>
    <w:rsid w:val="2547299E"/>
    <w:rsid w:val="25496D80"/>
    <w:rsid w:val="254F010E"/>
    <w:rsid w:val="25535E50"/>
    <w:rsid w:val="255F65A3"/>
    <w:rsid w:val="25695674"/>
    <w:rsid w:val="257638ED"/>
    <w:rsid w:val="257D4C7B"/>
    <w:rsid w:val="25AB7A3A"/>
    <w:rsid w:val="25C64874"/>
    <w:rsid w:val="25C7239A"/>
    <w:rsid w:val="25DD396C"/>
    <w:rsid w:val="25E92311"/>
    <w:rsid w:val="25F76FBD"/>
    <w:rsid w:val="25FD70F8"/>
    <w:rsid w:val="26086C3B"/>
    <w:rsid w:val="261455E0"/>
    <w:rsid w:val="261A696E"/>
    <w:rsid w:val="26467763"/>
    <w:rsid w:val="264A561E"/>
    <w:rsid w:val="26534C43"/>
    <w:rsid w:val="267A740D"/>
    <w:rsid w:val="26802C75"/>
    <w:rsid w:val="26887D7C"/>
    <w:rsid w:val="26914E82"/>
    <w:rsid w:val="26A76454"/>
    <w:rsid w:val="26A821CC"/>
    <w:rsid w:val="26D0702D"/>
    <w:rsid w:val="26D46B1D"/>
    <w:rsid w:val="26D66D39"/>
    <w:rsid w:val="26EF3957"/>
    <w:rsid w:val="26EF7DFB"/>
    <w:rsid w:val="26F367CC"/>
    <w:rsid w:val="270C275B"/>
    <w:rsid w:val="271909D4"/>
    <w:rsid w:val="27196C26"/>
    <w:rsid w:val="271C2272"/>
    <w:rsid w:val="273B6B9C"/>
    <w:rsid w:val="27451C7A"/>
    <w:rsid w:val="27455C6D"/>
    <w:rsid w:val="27470EF2"/>
    <w:rsid w:val="27532294"/>
    <w:rsid w:val="275F6D2E"/>
    <w:rsid w:val="277300A1"/>
    <w:rsid w:val="27787DF0"/>
    <w:rsid w:val="277B343D"/>
    <w:rsid w:val="277D5407"/>
    <w:rsid w:val="277F2F2D"/>
    <w:rsid w:val="27803804"/>
    <w:rsid w:val="27843CE5"/>
    <w:rsid w:val="2787548C"/>
    <w:rsid w:val="278B7205"/>
    <w:rsid w:val="27A209C9"/>
    <w:rsid w:val="27AF71ED"/>
    <w:rsid w:val="27B33C90"/>
    <w:rsid w:val="27D8263D"/>
    <w:rsid w:val="27F23097"/>
    <w:rsid w:val="27F76F67"/>
    <w:rsid w:val="27FD20A3"/>
    <w:rsid w:val="280451E0"/>
    <w:rsid w:val="283D7E81"/>
    <w:rsid w:val="28500425"/>
    <w:rsid w:val="285C14C0"/>
    <w:rsid w:val="28620159"/>
    <w:rsid w:val="286E6AFD"/>
    <w:rsid w:val="288D78CB"/>
    <w:rsid w:val="2894174F"/>
    <w:rsid w:val="2895052E"/>
    <w:rsid w:val="289B1FE8"/>
    <w:rsid w:val="289E73E3"/>
    <w:rsid w:val="28A30E9D"/>
    <w:rsid w:val="28A569C3"/>
    <w:rsid w:val="28AB1AFF"/>
    <w:rsid w:val="28B16480"/>
    <w:rsid w:val="28B409B4"/>
    <w:rsid w:val="28B704A4"/>
    <w:rsid w:val="28B74948"/>
    <w:rsid w:val="28BC3D0D"/>
    <w:rsid w:val="28C05AC0"/>
    <w:rsid w:val="28D177B8"/>
    <w:rsid w:val="28D63020"/>
    <w:rsid w:val="28ED036A"/>
    <w:rsid w:val="28F25980"/>
    <w:rsid w:val="28F434A6"/>
    <w:rsid w:val="28F811E9"/>
    <w:rsid w:val="29037B8D"/>
    <w:rsid w:val="29053906"/>
    <w:rsid w:val="29177195"/>
    <w:rsid w:val="291B1D32"/>
    <w:rsid w:val="291C47AB"/>
    <w:rsid w:val="291D0C4F"/>
    <w:rsid w:val="292813A2"/>
    <w:rsid w:val="29361D11"/>
    <w:rsid w:val="29385A89"/>
    <w:rsid w:val="294A30C6"/>
    <w:rsid w:val="296412B8"/>
    <w:rsid w:val="2970706E"/>
    <w:rsid w:val="297D16EE"/>
    <w:rsid w:val="29946A38"/>
    <w:rsid w:val="299B1B74"/>
    <w:rsid w:val="29A24CB1"/>
    <w:rsid w:val="29A749BD"/>
    <w:rsid w:val="29D84B76"/>
    <w:rsid w:val="29E940EF"/>
    <w:rsid w:val="29F179E6"/>
    <w:rsid w:val="29F87933"/>
    <w:rsid w:val="29FB0865"/>
    <w:rsid w:val="29FD282F"/>
    <w:rsid w:val="2A092F82"/>
    <w:rsid w:val="2A0B6CFA"/>
    <w:rsid w:val="2A0E2346"/>
    <w:rsid w:val="2A3F0751"/>
    <w:rsid w:val="2A5E151F"/>
    <w:rsid w:val="2A6C52BE"/>
    <w:rsid w:val="2A7F1496"/>
    <w:rsid w:val="2A853E23"/>
    <w:rsid w:val="2A8D770F"/>
    <w:rsid w:val="2A8E16D9"/>
    <w:rsid w:val="2AA8279A"/>
    <w:rsid w:val="2AB63109"/>
    <w:rsid w:val="2AC84BEB"/>
    <w:rsid w:val="2AD01CF1"/>
    <w:rsid w:val="2ADE61BC"/>
    <w:rsid w:val="2AE82B97"/>
    <w:rsid w:val="2AEF2177"/>
    <w:rsid w:val="2B004385"/>
    <w:rsid w:val="2B053749"/>
    <w:rsid w:val="2B073965"/>
    <w:rsid w:val="2B0F45C8"/>
    <w:rsid w:val="2B1C0A93"/>
    <w:rsid w:val="2B2A31B0"/>
    <w:rsid w:val="2B2D2CA0"/>
    <w:rsid w:val="2B361B54"/>
    <w:rsid w:val="2B3B360F"/>
    <w:rsid w:val="2B4F0B33"/>
    <w:rsid w:val="2B703EF5"/>
    <w:rsid w:val="2B8F5708"/>
    <w:rsid w:val="2B911481"/>
    <w:rsid w:val="2BA55EB9"/>
    <w:rsid w:val="2BAA613D"/>
    <w:rsid w:val="2BBB02AC"/>
    <w:rsid w:val="2BCDE579"/>
    <w:rsid w:val="2BD61589"/>
    <w:rsid w:val="2BE941F2"/>
    <w:rsid w:val="2C0F23A5"/>
    <w:rsid w:val="2C26606D"/>
    <w:rsid w:val="2C4B162F"/>
    <w:rsid w:val="2C4B5AD3"/>
    <w:rsid w:val="2C5524AE"/>
    <w:rsid w:val="2C574478"/>
    <w:rsid w:val="2C777084"/>
    <w:rsid w:val="2C7C7A3B"/>
    <w:rsid w:val="2C884632"/>
    <w:rsid w:val="2C921E2C"/>
    <w:rsid w:val="2C92725E"/>
    <w:rsid w:val="2C9A4365"/>
    <w:rsid w:val="2CB5119F"/>
    <w:rsid w:val="2CC969F8"/>
    <w:rsid w:val="2CCE400E"/>
    <w:rsid w:val="2CD051D7"/>
    <w:rsid w:val="2CDC672B"/>
    <w:rsid w:val="2CE86F98"/>
    <w:rsid w:val="2CF73565"/>
    <w:rsid w:val="2D0A7F39"/>
    <w:rsid w:val="2D173C07"/>
    <w:rsid w:val="2D1759B5"/>
    <w:rsid w:val="2D1B54A6"/>
    <w:rsid w:val="2D2E5344"/>
    <w:rsid w:val="2D3258BF"/>
    <w:rsid w:val="2D366F55"/>
    <w:rsid w:val="2D376058"/>
    <w:rsid w:val="2D4349FC"/>
    <w:rsid w:val="2D510EC7"/>
    <w:rsid w:val="2D524C40"/>
    <w:rsid w:val="2D662499"/>
    <w:rsid w:val="2D6B7AAF"/>
    <w:rsid w:val="2D6D1A79"/>
    <w:rsid w:val="2D6F134E"/>
    <w:rsid w:val="2D8A5DED"/>
    <w:rsid w:val="2D8A6187"/>
    <w:rsid w:val="2D9708A4"/>
    <w:rsid w:val="2DA21723"/>
    <w:rsid w:val="2DA37249"/>
    <w:rsid w:val="2DA60AE7"/>
    <w:rsid w:val="2DB256DE"/>
    <w:rsid w:val="2DB31B82"/>
    <w:rsid w:val="2DC01BA9"/>
    <w:rsid w:val="2DC07DFB"/>
    <w:rsid w:val="2DD12008"/>
    <w:rsid w:val="2DD92C6B"/>
    <w:rsid w:val="2DDB2E87"/>
    <w:rsid w:val="2DDF4725"/>
    <w:rsid w:val="2DF33D2D"/>
    <w:rsid w:val="2DF67716"/>
    <w:rsid w:val="2DF81343"/>
    <w:rsid w:val="2DFE0923"/>
    <w:rsid w:val="2E0D003D"/>
    <w:rsid w:val="2E0F2B31"/>
    <w:rsid w:val="2E35102B"/>
    <w:rsid w:val="2E5B7B24"/>
    <w:rsid w:val="2E734E6D"/>
    <w:rsid w:val="2E9C43C4"/>
    <w:rsid w:val="2EA63495"/>
    <w:rsid w:val="2EA9088F"/>
    <w:rsid w:val="2EB84F76"/>
    <w:rsid w:val="2EC35DF5"/>
    <w:rsid w:val="2EC800DD"/>
    <w:rsid w:val="2EC92CDF"/>
    <w:rsid w:val="2ED753FC"/>
    <w:rsid w:val="2EDE36EB"/>
    <w:rsid w:val="2EE55093"/>
    <w:rsid w:val="2EEA7978"/>
    <w:rsid w:val="2F10090E"/>
    <w:rsid w:val="2F176141"/>
    <w:rsid w:val="2F193C67"/>
    <w:rsid w:val="2F287E07"/>
    <w:rsid w:val="2F3B1E2F"/>
    <w:rsid w:val="2F3E191F"/>
    <w:rsid w:val="2F3E7229"/>
    <w:rsid w:val="2F3F2FA2"/>
    <w:rsid w:val="2F4405B8"/>
    <w:rsid w:val="2F4A3E20"/>
    <w:rsid w:val="2F5C1DA5"/>
    <w:rsid w:val="2F5C3B54"/>
    <w:rsid w:val="2F5C7FF7"/>
    <w:rsid w:val="2F6B545A"/>
    <w:rsid w:val="2F6F27F3"/>
    <w:rsid w:val="2F777C91"/>
    <w:rsid w:val="2F94153F"/>
    <w:rsid w:val="2FA33530"/>
    <w:rsid w:val="2FAD0853"/>
    <w:rsid w:val="2FB4573E"/>
    <w:rsid w:val="2FC17E5A"/>
    <w:rsid w:val="2FD0186C"/>
    <w:rsid w:val="2FDE0A0C"/>
    <w:rsid w:val="2FEF6548"/>
    <w:rsid w:val="30360848"/>
    <w:rsid w:val="30395C43"/>
    <w:rsid w:val="303D3985"/>
    <w:rsid w:val="306D0A4D"/>
    <w:rsid w:val="307D0225"/>
    <w:rsid w:val="30823A8E"/>
    <w:rsid w:val="30872E52"/>
    <w:rsid w:val="308B0E6C"/>
    <w:rsid w:val="309F1F4A"/>
    <w:rsid w:val="30A532D8"/>
    <w:rsid w:val="30B67293"/>
    <w:rsid w:val="30BA3228"/>
    <w:rsid w:val="30C3310C"/>
    <w:rsid w:val="30D047F9"/>
    <w:rsid w:val="30EB22DA"/>
    <w:rsid w:val="30FD5F23"/>
    <w:rsid w:val="311961A0"/>
    <w:rsid w:val="312406A1"/>
    <w:rsid w:val="31295CB7"/>
    <w:rsid w:val="312B7C81"/>
    <w:rsid w:val="31330BF0"/>
    <w:rsid w:val="313C3C3D"/>
    <w:rsid w:val="314F1BC2"/>
    <w:rsid w:val="31554CFE"/>
    <w:rsid w:val="31596E79"/>
    <w:rsid w:val="31653193"/>
    <w:rsid w:val="31741628"/>
    <w:rsid w:val="317C49E3"/>
    <w:rsid w:val="31857392"/>
    <w:rsid w:val="318F0210"/>
    <w:rsid w:val="31921AAF"/>
    <w:rsid w:val="31A43590"/>
    <w:rsid w:val="31BE4652"/>
    <w:rsid w:val="31C83722"/>
    <w:rsid w:val="31D2634F"/>
    <w:rsid w:val="31DD71CE"/>
    <w:rsid w:val="31E11A37"/>
    <w:rsid w:val="31E71DFA"/>
    <w:rsid w:val="31F43311"/>
    <w:rsid w:val="31F97D80"/>
    <w:rsid w:val="31FB58A6"/>
    <w:rsid w:val="320F75A3"/>
    <w:rsid w:val="3212499D"/>
    <w:rsid w:val="321921D0"/>
    <w:rsid w:val="322841C1"/>
    <w:rsid w:val="322E7A29"/>
    <w:rsid w:val="323112C7"/>
    <w:rsid w:val="3253123E"/>
    <w:rsid w:val="32700042"/>
    <w:rsid w:val="3273368E"/>
    <w:rsid w:val="327627AB"/>
    <w:rsid w:val="32870EE7"/>
    <w:rsid w:val="32892EB1"/>
    <w:rsid w:val="328E2276"/>
    <w:rsid w:val="329C7909"/>
    <w:rsid w:val="32AB72CC"/>
    <w:rsid w:val="32AC6BA0"/>
    <w:rsid w:val="32DD4FAB"/>
    <w:rsid w:val="32EB653A"/>
    <w:rsid w:val="32EC51EE"/>
    <w:rsid w:val="32ED1692"/>
    <w:rsid w:val="32F3657D"/>
    <w:rsid w:val="32F522F5"/>
    <w:rsid w:val="32FD564D"/>
    <w:rsid w:val="33092244"/>
    <w:rsid w:val="331210F9"/>
    <w:rsid w:val="331A1D5C"/>
    <w:rsid w:val="33492641"/>
    <w:rsid w:val="334F4C77"/>
    <w:rsid w:val="3351256F"/>
    <w:rsid w:val="33745910"/>
    <w:rsid w:val="33884F17"/>
    <w:rsid w:val="339E0BDF"/>
    <w:rsid w:val="33A06705"/>
    <w:rsid w:val="33A15FD9"/>
    <w:rsid w:val="33A50BCE"/>
    <w:rsid w:val="33BC29FD"/>
    <w:rsid w:val="33CE3E20"/>
    <w:rsid w:val="33DB43A2"/>
    <w:rsid w:val="33E5680D"/>
    <w:rsid w:val="33EA7980"/>
    <w:rsid w:val="34030A42"/>
    <w:rsid w:val="3411315F"/>
    <w:rsid w:val="34140EA1"/>
    <w:rsid w:val="342A2472"/>
    <w:rsid w:val="343F56A0"/>
    <w:rsid w:val="34401C96"/>
    <w:rsid w:val="345419E8"/>
    <w:rsid w:val="345968B4"/>
    <w:rsid w:val="34605E94"/>
    <w:rsid w:val="34637732"/>
    <w:rsid w:val="34711E4F"/>
    <w:rsid w:val="34825E0A"/>
    <w:rsid w:val="348558FB"/>
    <w:rsid w:val="34873421"/>
    <w:rsid w:val="34880F47"/>
    <w:rsid w:val="3491429F"/>
    <w:rsid w:val="34A94F8C"/>
    <w:rsid w:val="34AE6BFF"/>
    <w:rsid w:val="34D83C7C"/>
    <w:rsid w:val="34DB19BE"/>
    <w:rsid w:val="350825B2"/>
    <w:rsid w:val="350C3926"/>
    <w:rsid w:val="35327830"/>
    <w:rsid w:val="35527407"/>
    <w:rsid w:val="355A2F26"/>
    <w:rsid w:val="356C2617"/>
    <w:rsid w:val="357C27E9"/>
    <w:rsid w:val="358311A1"/>
    <w:rsid w:val="35942299"/>
    <w:rsid w:val="35AE2C2F"/>
    <w:rsid w:val="35B53FBD"/>
    <w:rsid w:val="35BC534C"/>
    <w:rsid w:val="35C661CB"/>
    <w:rsid w:val="35E11256"/>
    <w:rsid w:val="35ED7BFB"/>
    <w:rsid w:val="35EF74CF"/>
    <w:rsid w:val="35F40F8A"/>
    <w:rsid w:val="35F8212F"/>
    <w:rsid w:val="360B0081"/>
    <w:rsid w:val="36213401"/>
    <w:rsid w:val="36280C33"/>
    <w:rsid w:val="3639699D"/>
    <w:rsid w:val="36486BE0"/>
    <w:rsid w:val="3651053A"/>
    <w:rsid w:val="366003CD"/>
    <w:rsid w:val="366559E4"/>
    <w:rsid w:val="366B28CE"/>
    <w:rsid w:val="367774C5"/>
    <w:rsid w:val="369260AD"/>
    <w:rsid w:val="36A54032"/>
    <w:rsid w:val="36C46BAE"/>
    <w:rsid w:val="36D05553"/>
    <w:rsid w:val="36E56B24"/>
    <w:rsid w:val="36FB00F6"/>
    <w:rsid w:val="370945C1"/>
    <w:rsid w:val="371B368C"/>
    <w:rsid w:val="3724764D"/>
    <w:rsid w:val="372E0EA9"/>
    <w:rsid w:val="37490E61"/>
    <w:rsid w:val="37535C5B"/>
    <w:rsid w:val="376E08C8"/>
    <w:rsid w:val="378B6E55"/>
    <w:rsid w:val="37955E55"/>
    <w:rsid w:val="37971BCD"/>
    <w:rsid w:val="37A8202C"/>
    <w:rsid w:val="37A83DDA"/>
    <w:rsid w:val="37BC1633"/>
    <w:rsid w:val="37BE35FD"/>
    <w:rsid w:val="37C16C4A"/>
    <w:rsid w:val="37C33383"/>
    <w:rsid w:val="37C60704"/>
    <w:rsid w:val="37C87FD8"/>
    <w:rsid w:val="37CD55EE"/>
    <w:rsid w:val="37CF580A"/>
    <w:rsid w:val="37D050DF"/>
    <w:rsid w:val="37D921E5"/>
    <w:rsid w:val="37DB6547"/>
    <w:rsid w:val="380A4A95"/>
    <w:rsid w:val="3825367C"/>
    <w:rsid w:val="382A0269"/>
    <w:rsid w:val="3834566E"/>
    <w:rsid w:val="38402264"/>
    <w:rsid w:val="384D672F"/>
    <w:rsid w:val="38593326"/>
    <w:rsid w:val="386C3059"/>
    <w:rsid w:val="38735A0D"/>
    <w:rsid w:val="38770C9E"/>
    <w:rsid w:val="38787C50"/>
    <w:rsid w:val="38802BCA"/>
    <w:rsid w:val="388E7474"/>
    <w:rsid w:val="38961E84"/>
    <w:rsid w:val="389A7E19"/>
    <w:rsid w:val="38B10C3B"/>
    <w:rsid w:val="38B7004D"/>
    <w:rsid w:val="38CE5AC2"/>
    <w:rsid w:val="38FF3ECD"/>
    <w:rsid w:val="390414E4"/>
    <w:rsid w:val="391A0D07"/>
    <w:rsid w:val="391D4354"/>
    <w:rsid w:val="392A77B7"/>
    <w:rsid w:val="392F4087"/>
    <w:rsid w:val="393618B9"/>
    <w:rsid w:val="39363667"/>
    <w:rsid w:val="39493BF4"/>
    <w:rsid w:val="3950297B"/>
    <w:rsid w:val="395A55A8"/>
    <w:rsid w:val="398E0DAD"/>
    <w:rsid w:val="39924D42"/>
    <w:rsid w:val="399565E0"/>
    <w:rsid w:val="39B34CB8"/>
    <w:rsid w:val="39BC1DBE"/>
    <w:rsid w:val="39CC441C"/>
    <w:rsid w:val="39DA7253"/>
    <w:rsid w:val="39DF5AAD"/>
    <w:rsid w:val="39F41558"/>
    <w:rsid w:val="39F74BA5"/>
    <w:rsid w:val="39FE49EE"/>
    <w:rsid w:val="3A2A4F7A"/>
    <w:rsid w:val="3A2F07E2"/>
    <w:rsid w:val="3A322808"/>
    <w:rsid w:val="3A791429"/>
    <w:rsid w:val="3A7A7584"/>
    <w:rsid w:val="3A8328DC"/>
    <w:rsid w:val="3A947B69"/>
    <w:rsid w:val="3A970136"/>
    <w:rsid w:val="3A971EE4"/>
    <w:rsid w:val="3A995C5C"/>
    <w:rsid w:val="3AB81CD7"/>
    <w:rsid w:val="3AC4132D"/>
    <w:rsid w:val="3AD96070"/>
    <w:rsid w:val="3AD969A0"/>
    <w:rsid w:val="3ADB0022"/>
    <w:rsid w:val="3ADB0D4E"/>
    <w:rsid w:val="3ADD1FEC"/>
    <w:rsid w:val="3AE01ADD"/>
    <w:rsid w:val="3AE50EA1"/>
    <w:rsid w:val="3AEF3ACE"/>
    <w:rsid w:val="3AF17846"/>
    <w:rsid w:val="3B051543"/>
    <w:rsid w:val="3B0E664A"/>
    <w:rsid w:val="3B1D063B"/>
    <w:rsid w:val="3B3140E6"/>
    <w:rsid w:val="3B3836C7"/>
    <w:rsid w:val="3B392F9B"/>
    <w:rsid w:val="3B3E6803"/>
    <w:rsid w:val="3B40257B"/>
    <w:rsid w:val="3B44206B"/>
    <w:rsid w:val="3B4C2CCE"/>
    <w:rsid w:val="3B556027"/>
    <w:rsid w:val="3B694A1D"/>
    <w:rsid w:val="3B8561E0"/>
    <w:rsid w:val="3B893F22"/>
    <w:rsid w:val="3B8C3A12"/>
    <w:rsid w:val="3B8C57C0"/>
    <w:rsid w:val="3B9C1EA7"/>
    <w:rsid w:val="3B9D352A"/>
    <w:rsid w:val="3BAC7C11"/>
    <w:rsid w:val="3BB6283D"/>
    <w:rsid w:val="3BB84807"/>
    <w:rsid w:val="3BBB75D3"/>
    <w:rsid w:val="3BCB6780"/>
    <w:rsid w:val="3BDFE19D"/>
    <w:rsid w:val="3BEB698B"/>
    <w:rsid w:val="3BF70E8C"/>
    <w:rsid w:val="3BFC3BDC"/>
    <w:rsid w:val="3C027831"/>
    <w:rsid w:val="3C0435A9"/>
    <w:rsid w:val="3C0E61D6"/>
    <w:rsid w:val="3C177780"/>
    <w:rsid w:val="3C1E28BD"/>
    <w:rsid w:val="3C53008C"/>
    <w:rsid w:val="3C620528"/>
    <w:rsid w:val="3C6B7ACC"/>
    <w:rsid w:val="3C7626F9"/>
    <w:rsid w:val="3C795D45"/>
    <w:rsid w:val="3C926E07"/>
    <w:rsid w:val="3C9809F4"/>
    <w:rsid w:val="3C997F29"/>
    <w:rsid w:val="3CB44FCF"/>
    <w:rsid w:val="3CC33464"/>
    <w:rsid w:val="3CD45671"/>
    <w:rsid w:val="3CDD2778"/>
    <w:rsid w:val="3CE31410"/>
    <w:rsid w:val="3CE650D2"/>
    <w:rsid w:val="3CFB0E50"/>
    <w:rsid w:val="3D1413C8"/>
    <w:rsid w:val="3D172303"/>
    <w:rsid w:val="3D196ED2"/>
    <w:rsid w:val="3D197489"/>
    <w:rsid w:val="3D233F03"/>
    <w:rsid w:val="3D3D6D72"/>
    <w:rsid w:val="3D510A70"/>
    <w:rsid w:val="3D532A3A"/>
    <w:rsid w:val="3D5567B2"/>
    <w:rsid w:val="3D5B18EE"/>
    <w:rsid w:val="3D697CC1"/>
    <w:rsid w:val="3D7A6218"/>
    <w:rsid w:val="3D7D8B88"/>
    <w:rsid w:val="3D8A5D30"/>
    <w:rsid w:val="3D8C0E2E"/>
    <w:rsid w:val="3D956BAE"/>
    <w:rsid w:val="3DA037A5"/>
    <w:rsid w:val="3DC56D68"/>
    <w:rsid w:val="3DCE0312"/>
    <w:rsid w:val="3DE96EFA"/>
    <w:rsid w:val="3DF355EA"/>
    <w:rsid w:val="3E18158D"/>
    <w:rsid w:val="3E1B3D00"/>
    <w:rsid w:val="3E2E0DB1"/>
    <w:rsid w:val="3E344619"/>
    <w:rsid w:val="3E432AAE"/>
    <w:rsid w:val="3E4D7489"/>
    <w:rsid w:val="3E5500EC"/>
    <w:rsid w:val="3E587BDC"/>
    <w:rsid w:val="3E691DE9"/>
    <w:rsid w:val="3E6B5B61"/>
    <w:rsid w:val="3E7E7642"/>
    <w:rsid w:val="3E920427"/>
    <w:rsid w:val="3E974BA8"/>
    <w:rsid w:val="3EA162A9"/>
    <w:rsid w:val="3EAD617A"/>
    <w:rsid w:val="3EB945A6"/>
    <w:rsid w:val="3EC3599D"/>
    <w:rsid w:val="3ED92ACB"/>
    <w:rsid w:val="3ED951C1"/>
    <w:rsid w:val="3EF30213"/>
    <w:rsid w:val="3EF942F4"/>
    <w:rsid w:val="3F11495A"/>
    <w:rsid w:val="3F303D46"/>
    <w:rsid w:val="3F3E6DD2"/>
    <w:rsid w:val="3F600A24"/>
    <w:rsid w:val="3F60143E"/>
    <w:rsid w:val="3F634A8A"/>
    <w:rsid w:val="3F732B39"/>
    <w:rsid w:val="3F7BA153"/>
    <w:rsid w:val="3F8769CB"/>
    <w:rsid w:val="3F8A3A39"/>
    <w:rsid w:val="3F8E7D59"/>
    <w:rsid w:val="3F966C0E"/>
    <w:rsid w:val="3FA70E1B"/>
    <w:rsid w:val="3FA96941"/>
    <w:rsid w:val="3FC96FE3"/>
    <w:rsid w:val="3FCC262F"/>
    <w:rsid w:val="3FD85478"/>
    <w:rsid w:val="3FE060DB"/>
    <w:rsid w:val="3FE07E89"/>
    <w:rsid w:val="3FE67568"/>
    <w:rsid w:val="3FE945AF"/>
    <w:rsid w:val="3FEB51AC"/>
    <w:rsid w:val="3FF322B2"/>
    <w:rsid w:val="3FFB901E"/>
    <w:rsid w:val="3FFBC8E5"/>
    <w:rsid w:val="3FFF2A05"/>
    <w:rsid w:val="4013200C"/>
    <w:rsid w:val="40153FD6"/>
    <w:rsid w:val="40183AC7"/>
    <w:rsid w:val="402C30CE"/>
    <w:rsid w:val="403A57EB"/>
    <w:rsid w:val="404B3E9C"/>
    <w:rsid w:val="40534AFF"/>
    <w:rsid w:val="408353E4"/>
    <w:rsid w:val="4084115C"/>
    <w:rsid w:val="408B24EB"/>
    <w:rsid w:val="408F1FDB"/>
    <w:rsid w:val="40BE3E5D"/>
    <w:rsid w:val="40D43E92"/>
    <w:rsid w:val="40DE086C"/>
    <w:rsid w:val="40E63BC5"/>
    <w:rsid w:val="40E85247"/>
    <w:rsid w:val="40F938F8"/>
    <w:rsid w:val="40FE0F0E"/>
    <w:rsid w:val="411029F0"/>
    <w:rsid w:val="4114428E"/>
    <w:rsid w:val="41260BCC"/>
    <w:rsid w:val="412F10C8"/>
    <w:rsid w:val="412F2E76"/>
    <w:rsid w:val="41353FFF"/>
    <w:rsid w:val="41526B64"/>
    <w:rsid w:val="416845DA"/>
    <w:rsid w:val="416F5968"/>
    <w:rsid w:val="417B430D"/>
    <w:rsid w:val="4182569C"/>
    <w:rsid w:val="418331C2"/>
    <w:rsid w:val="418732F8"/>
    <w:rsid w:val="41883F20"/>
    <w:rsid w:val="41951205"/>
    <w:rsid w:val="419D24D5"/>
    <w:rsid w:val="41A01FC6"/>
    <w:rsid w:val="41AC44C7"/>
    <w:rsid w:val="41BB6E00"/>
    <w:rsid w:val="41BD2B78"/>
    <w:rsid w:val="41C23CEA"/>
    <w:rsid w:val="41C37A62"/>
    <w:rsid w:val="41D57EC1"/>
    <w:rsid w:val="41DB1250"/>
    <w:rsid w:val="41DB2D2B"/>
    <w:rsid w:val="41DD28D2"/>
    <w:rsid w:val="41E40104"/>
    <w:rsid w:val="41E81277"/>
    <w:rsid w:val="41EE0F83"/>
    <w:rsid w:val="41F67E38"/>
    <w:rsid w:val="42091919"/>
    <w:rsid w:val="420C1409"/>
    <w:rsid w:val="42186000"/>
    <w:rsid w:val="421B33FA"/>
    <w:rsid w:val="422E5823"/>
    <w:rsid w:val="423B584A"/>
    <w:rsid w:val="424F2CAA"/>
    <w:rsid w:val="4250579A"/>
    <w:rsid w:val="4258464E"/>
    <w:rsid w:val="426111F5"/>
    <w:rsid w:val="42613503"/>
    <w:rsid w:val="42626774"/>
    <w:rsid w:val="426B4382"/>
    <w:rsid w:val="427D180C"/>
    <w:rsid w:val="42870A90"/>
    <w:rsid w:val="428C60A6"/>
    <w:rsid w:val="429733C9"/>
    <w:rsid w:val="42997141"/>
    <w:rsid w:val="429F5DD9"/>
    <w:rsid w:val="42B23D5F"/>
    <w:rsid w:val="42C35F6C"/>
    <w:rsid w:val="42CD0A98"/>
    <w:rsid w:val="42CE66BF"/>
    <w:rsid w:val="42D57A4D"/>
    <w:rsid w:val="42EA174A"/>
    <w:rsid w:val="42FC147E"/>
    <w:rsid w:val="431A0C09"/>
    <w:rsid w:val="4326474D"/>
    <w:rsid w:val="432F56E3"/>
    <w:rsid w:val="43340C18"/>
    <w:rsid w:val="433724B6"/>
    <w:rsid w:val="4348021F"/>
    <w:rsid w:val="434D7F2B"/>
    <w:rsid w:val="43505326"/>
    <w:rsid w:val="43543068"/>
    <w:rsid w:val="436112E1"/>
    <w:rsid w:val="43670FED"/>
    <w:rsid w:val="436A4639"/>
    <w:rsid w:val="4383394D"/>
    <w:rsid w:val="438B2560"/>
    <w:rsid w:val="43931DE2"/>
    <w:rsid w:val="439C056B"/>
    <w:rsid w:val="43A044FF"/>
    <w:rsid w:val="43A538C3"/>
    <w:rsid w:val="43AD2778"/>
    <w:rsid w:val="43B9111D"/>
    <w:rsid w:val="43BC29BB"/>
    <w:rsid w:val="43C04259"/>
    <w:rsid w:val="43E443EC"/>
    <w:rsid w:val="43EF0FE2"/>
    <w:rsid w:val="4420119C"/>
    <w:rsid w:val="443469F5"/>
    <w:rsid w:val="443864E5"/>
    <w:rsid w:val="443F1622"/>
    <w:rsid w:val="443F5452"/>
    <w:rsid w:val="44427364"/>
    <w:rsid w:val="44472BCC"/>
    <w:rsid w:val="446413C5"/>
    <w:rsid w:val="446472DA"/>
    <w:rsid w:val="44781ACB"/>
    <w:rsid w:val="447B4624"/>
    <w:rsid w:val="447C2876"/>
    <w:rsid w:val="448160DE"/>
    <w:rsid w:val="44894F93"/>
    <w:rsid w:val="44937BC0"/>
    <w:rsid w:val="449D0A3E"/>
    <w:rsid w:val="44A65B45"/>
    <w:rsid w:val="44AD0C81"/>
    <w:rsid w:val="44BA15F0"/>
    <w:rsid w:val="44C37CDE"/>
    <w:rsid w:val="44CE6E4A"/>
    <w:rsid w:val="44D92D67"/>
    <w:rsid w:val="44EB79FC"/>
    <w:rsid w:val="44EE129A"/>
    <w:rsid w:val="44F248E6"/>
    <w:rsid w:val="44F763A1"/>
    <w:rsid w:val="44FF5255"/>
    <w:rsid w:val="45034D45"/>
    <w:rsid w:val="451505D5"/>
    <w:rsid w:val="45240818"/>
    <w:rsid w:val="45246A6A"/>
    <w:rsid w:val="45260A34"/>
    <w:rsid w:val="45344EFF"/>
    <w:rsid w:val="453677FF"/>
    <w:rsid w:val="453A628D"/>
    <w:rsid w:val="4543553B"/>
    <w:rsid w:val="45486BFC"/>
    <w:rsid w:val="454D7D6F"/>
    <w:rsid w:val="454F3AE7"/>
    <w:rsid w:val="454F7F8B"/>
    <w:rsid w:val="45912351"/>
    <w:rsid w:val="45927E77"/>
    <w:rsid w:val="45961716"/>
    <w:rsid w:val="45992FB4"/>
    <w:rsid w:val="45A63DD0"/>
    <w:rsid w:val="45A92444"/>
    <w:rsid w:val="45DC10F2"/>
    <w:rsid w:val="45E25A82"/>
    <w:rsid w:val="46157AA7"/>
    <w:rsid w:val="46164604"/>
    <w:rsid w:val="462A6302"/>
    <w:rsid w:val="46340F2E"/>
    <w:rsid w:val="4642364B"/>
    <w:rsid w:val="46456C98"/>
    <w:rsid w:val="465005B9"/>
    <w:rsid w:val="4654512D"/>
    <w:rsid w:val="465F41FD"/>
    <w:rsid w:val="46737CA9"/>
    <w:rsid w:val="467D160E"/>
    <w:rsid w:val="468974CC"/>
    <w:rsid w:val="4690085B"/>
    <w:rsid w:val="46937F77"/>
    <w:rsid w:val="46AC4F69"/>
    <w:rsid w:val="46AE0CE1"/>
    <w:rsid w:val="46B72648"/>
    <w:rsid w:val="46BA7686"/>
    <w:rsid w:val="46BF4C9C"/>
    <w:rsid w:val="46CE4EDF"/>
    <w:rsid w:val="46D02A05"/>
    <w:rsid w:val="46D544C0"/>
    <w:rsid w:val="471274C2"/>
    <w:rsid w:val="471F573B"/>
    <w:rsid w:val="47240FA3"/>
    <w:rsid w:val="473311E6"/>
    <w:rsid w:val="473F5DDD"/>
    <w:rsid w:val="47490A0A"/>
    <w:rsid w:val="474E7DCE"/>
    <w:rsid w:val="47637D1D"/>
    <w:rsid w:val="478728D9"/>
    <w:rsid w:val="479E48B1"/>
    <w:rsid w:val="47C00CCC"/>
    <w:rsid w:val="47C36A0E"/>
    <w:rsid w:val="47CF0F0F"/>
    <w:rsid w:val="47D227AD"/>
    <w:rsid w:val="47E732D5"/>
    <w:rsid w:val="47F866B8"/>
    <w:rsid w:val="47FB61A8"/>
    <w:rsid w:val="47FB7F56"/>
    <w:rsid w:val="47FC782A"/>
    <w:rsid w:val="480A1F47"/>
    <w:rsid w:val="480E2158"/>
    <w:rsid w:val="48217291"/>
    <w:rsid w:val="482A083B"/>
    <w:rsid w:val="482C010F"/>
    <w:rsid w:val="483B65A4"/>
    <w:rsid w:val="48555522"/>
    <w:rsid w:val="48656947"/>
    <w:rsid w:val="48733DA7"/>
    <w:rsid w:val="48735D3E"/>
    <w:rsid w:val="487A3570"/>
    <w:rsid w:val="488241D3"/>
    <w:rsid w:val="48873598"/>
    <w:rsid w:val="48897310"/>
    <w:rsid w:val="48934632"/>
    <w:rsid w:val="489D2DBB"/>
    <w:rsid w:val="48B325DE"/>
    <w:rsid w:val="48B819A3"/>
    <w:rsid w:val="48B9571B"/>
    <w:rsid w:val="48BB1493"/>
    <w:rsid w:val="48BD345D"/>
    <w:rsid w:val="48C06AA9"/>
    <w:rsid w:val="48CD4DD9"/>
    <w:rsid w:val="48D6451F"/>
    <w:rsid w:val="48D662CD"/>
    <w:rsid w:val="48DC7D87"/>
    <w:rsid w:val="48E94252"/>
    <w:rsid w:val="490177EE"/>
    <w:rsid w:val="490D6193"/>
    <w:rsid w:val="49154341"/>
    <w:rsid w:val="491C0184"/>
    <w:rsid w:val="491C4628"/>
    <w:rsid w:val="49583186"/>
    <w:rsid w:val="495D022C"/>
    <w:rsid w:val="496E6505"/>
    <w:rsid w:val="49852229"/>
    <w:rsid w:val="498D1081"/>
    <w:rsid w:val="498D72D3"/>
    <w:rsid w:val="499A72FA"/>
    <w:rsid w:val="49AD702E"/>
    <w:rsid w:val="49B26D3A"/>
    <w:rsid w:val="49C64593"/>
    <w:rsid w:val="49C820BA"/>
    <w:rsid w:val="49CD76D0"/>
    <w:rsid w:val="49D46CB0"/>
    <w:rsid w:val="49D97E23"/>
    <w:rsid w:val="49E05A49"/>
    <w:rsid w:val="49E1317B"/>
    <w:rsid w:val="49FC7FB5"/>
    <w:rsid w:val="4A0F7CE8"/>
    <w:rsid w:val="4A113A61"/>
    <w:rsid w:val="4A1946C3"/>
    <w:rsid w:val="4A201EF6"/>
    <w:rsid w:val="4A267EAB"/>
    <w:rsid w:val="4A275032"/>
    <w:rsid w:val="4A280DAA"/>
    <w:rsid w:val="4A286FFC"/>
    <w:rsid w:val="4A2C089A"/>
    <w:rsid w:val="4A361719"/>
    <w:rsid w:val="4A370FED"/>
    <w:rsid w:val="4A3F507F"/>
    <w:rsid w:val="4A453A41"/>
    <w:rsid w:val="4A5676C5"/>
    <w:rsid w:val="4A62250E"/>
    <w:rsid w:val="4A834233"/>
    <w:rsid w:val="4A8C1339"/>
    <w:rsid w:val="4A8E50B1"/>
    <w:rsid w:val="4A9326C8"/>
    <w:rsid w:val="4AA2681A"/>
    <w:rsid w:val="4AA523FB"/>
    <w:rsid w:val="4AA8337A"/>
    <w:rsid w:val="4AAF6DD6"/>
    <w:rsid w:val="4AC66D46"/>
    <w:rsid w:val="4AD73FE7"/>
    <w:rsid w:val="4AD8632C"/>
    <w:rsid w:val="4AE03433"/>
    <w:rsid w:val="4AE66C9B"/>
    <w:rsid w:val="4AF76568"/>
    <w:rsid w:val="4AFE1776"/>
    <w:rsid w:val="4B076C12"/>
    <w:rsid w:val="4B0E1D4E"/>
    <w:rsid w:val="4B106111"/>
    <w:rsid w:val="4B180E1F"/>
    <w:rsid w:val="4B201A81"/>
    <w:rsid w:val="4B221C9D"/>
    <w:rsid w:val="4B2257F9"/>
    <w:rsid w:val="4B3A0407"/>
    <w:rsid w:val="4B5F07FC"/>
    <w:rsid w:val="4B65373A"/>
    <w:rsid w:val="4B69167A"/>
    <w:rsid w:val="4B7778F3"/>
    <w:rsid w:val="4B9009B5"/>
    <w:rsid w:val="4BA3693A"/>
    <w:rsid w:val="4BA6467C"/>
    <w:rsid w:val="4BA95F1B"/>
    <w:rsid w:val="4BC44B03"/>
    <w:rsid w:val="4BD00B03"/>
    <w:rsid w:val="4BD3032E"/>
    <w:rsid w:val="4BDA0212"/>
    <w:rsid w:val="4BDC009E"/>
    <w:rsid w:val="4BE60F1D"/>
    <w:rsid w:val="4BE807F1"/>
    <w:rsid w:val="4BEA27BB"/>
    <w:rsid w:val="4C0118B3"/>
    <w:rsid w:val="4C0419A7"/>
    <w:rsid w:val="4C0D2006"/>
    <w:rsid w:val="4C15710C"/>
    <w:rsid w:val="4C196BFC"/>
    <w:rsid w:val="4C251A45"/>
    <w:rsid w:val="4C2D4456"/>
    <w:rsid w:val="4C3677AE"/>
    <w:rsid w:val="4C4F6AC2"/>
    <w:rsid w:val="4C523EBC"/>
    <w:rsid w:val="4C5B5467"/>
    <w:rsid w:val="4C72455F"/>
    <w:rsid w:val="4C7B7237"/>
    <w:rsid w:val="4C8229F4"/>
    <w:rsid w:val="4C991AEB"/>
    <w:rsid w:val="4CA3296A"/>
    <w:rsid w:val="4CA961D2"/>
    <w:rsid w:val="4CAA1F4A"/>
    <w:rsid w:val="4CC27294"/>
    <w:rsid w:val="4CC82DB7"/>
    <w:rsid w:val="4CC86C60"/>
    <w:rsid w:val="4CDF1BF4"/>
    <w:rsid w:val="4CE0596C"/>
    <w:rsid w:val="4CE369A3"/>
    <w:rsid w:val="4CE511D4"/>
    <w:rsid w:val="4CF959FC"/>
    <w:rsid w:val="4D00163A"/>
    <w:rsid w:val="4D1C3AC2"/>
    <w:rsid w:val="4D1D44CD"/>
    <w:rsid w:val="4D265A75"/>
    <w:rsid w:val="4D2E0486"/>
    <w:rsid w:val="4D3B2BA3"/>
    <w:rsid w:val="4D403020"/>
    <w:rsid w:val="4D493511"/>
    <w:rsid w:val="4D6245D3"/>
    <w:rsid w:val="4D700A9E"/>
    <w:rsid w:val="4D73233C"/>
    <w:rsid w:val="4D7F0CE1"/>
    <w:rsid w:val="4D814A59"/>
    <w:rsid w:val="4D825C2E"/>
    <w:rsid w:val="4D875DE8"/>
    <w:rsid w:val="4D902EEE"/>
    <w:rsid w:val="4D9C1893"/>
    <w:rsid w:val="4DAE7818"/>
    <w:rsid w:val="4DC86B2C"/>
    <w:rsid w:val="4DD059E1"/>
    <w:rsid w:val="4DDC2EE4"/>
    <w:rsid w:val="4DF80A94"/>
    <w:rsid w:val="4DF90484"/>
    <w:rsid w:val="4DFC0584"/>
    <w:rsid w:val="4E0566F8"/>
    <w:rsid w:val="4E061402"/>
    <w:rsid w:val="4E0833CC"/>
    <w:rsid w:val="4E235B10"/>
    <w:rsid w:val="4E241889"/>
    <w:rsid w:val="4E265601"/>
    <w:rsid w:val="4E3C6D19"/>
    <w:rsid w:val="4E45017D"/>
    <w:rsid w:val="4E4D2FFF"/>
    <w:rsid w:val="4E4F4B57"/>
    <w:rsid w:val="4E555EE6"/>
    <w:rsid w:val="4E6879C7"/>
    <w:rsid w:val="4E6F6FA8"/>
    <w:rsid w:val="4E742810"/>
    <w:rsid w:val="4E7B3B9E"/>
    <w:rsid w:val="4E807407"/>
    <w:rsid w:val="4E9162F7"/>
    <w:rsid w:val="4E9B5FEF"/>
    <w:rsid w:val="4E9E163B"/>
    <w:rsid w:val="4EA34EA3"/>
    <w:rsid w:val="4EB3158A"/>
    <w:rsid w:val="4EB64BD7"/>
    <w:rsid w:val="4EB735C3"/>
    <w:rsid w:val="4EB8094F"/>
    <w:rsid w:val="4EB86BA1"/>
    <w:rsid w:val="4ED41501"/>
    <w:rsid w:val="4EDB288F"/>
    <w:rsid w:val="4EEF633A"/>
    <w:rsid w:val="4EF162D8"/>
    <w:rsid w:val="4F075432"/>
    <w:rsid w:val="4F0A6CD0"/>
    <w:rsid w:val="4F0F5BE3"/>
    <w:rsid w:val="4F11005F"/>
    <w:rsid w:val="4F351F9F"/>
    <w:rsid w:val="4F3F0C4A"/>
    <w:rsid w:val="4F72344E"/>
    <w:rsid w:val="4F7725B8"/>
    <w:rsid w:val="4F7C5E20"/>
    <w:rsid w:val="4F7F146C"/>
    <w:rsid w:val="4F7F321A"/>
    <w:rsid w:val="4F844CD5"/>
    <w:rsid w:val="4F934F18"/>
    <w:rsid w:val="4F987631"/>
    <w:rsid w:val="4F9F38BD"/>
    <w:rsid w:val="4FA42C81"/>
    <w:rsid w:val="4FB1539E"/>
    <w:rsid w:val="4FB4565C"/>
    <w:rsid w:val="4FB54E8E"/>
    <w:rsid w:val="4FC6709B"/>
    <w:rsid w:val="4FC7696F"/>
    <w:rsid w:val="4FD80B7D"/>
    <w:rsid w:val="4FDC68BF"/>
    <w:rsid w:val="4FDD6193"/>
    <w:rsid w:val="4FF10826"/>
    <w:rsid w:val="50041972"/>
    <w:rsid w:val="50096F88"/>
    <w:rsid w:val="50175B49"/>
    <w:rsid w:val="503D7A6F"/>
    <w:rsid w:val="504A1A7A"/>
    <w:rsid w:val="50591CBD"/>
    <w:rsid w:val="505A5A36"/>
    <w:rsid w:val="50630D8E"/>
    <w:rsid w:val="506D7517"/>
    <w:rsid w:val="507765E7"/>
    <w:rsid w:val="507F724A"/>
    <w:rsid w:val="50874A7C"/>
    <w:rsid w:val="509E3B74"/>
    <w:rsid w:val="50A849F3"/>
    <w:rsid w:val="50BB2978"/>
    <w:rsid w:val="50CC1360"/>
    <w:rsid w:val="50CC4B65"/>
    <w:rsid w:val="50D6330E"/>
    <w:rsid w:val="50DE7239"/>
    <w:rsid w:val="50F957C4"/>
    <w:rsid w:val="51145BE4"/>
    <w:rsid w:val="514A7D90"/>
    <w:rsid w:val="515801C7"/>
    <w:rsid w:val="515A72EE"/>
    <w:rsid w:val="515B7CB7"/>
    <w:rsid w:val="51694182"/>
    <w:rsid w:val="51705511"/>
    <w:rsid w:val="51764AF1"/>
    <w:rsid w:val="517E7B17"/>
    <w:rsid w:val="5180327A"/>
    <w:rsid w:val="51B74128"/>
    <w:rsid w:val="51CB0999"/>
    <w:rsid w:val="51D35A9F"/>
    <w:rsid w:val="51D51818"/>
    <w:rsid w:val="51D57A6A"/>
    <w:rsid w:val="51D81D83"/>
    <w:rsid w:val="51DF4444"/>
    <w:rsid w:val="51E11F6A"/>
    <w:rsid w:val="51EB4B97"/>
    <w:rsid w:val="51F85CBF"/>
    <w:rsid w:val="51FA127E"/>
    <w:rsid w:val="51FD2B1C"/>
    <w:rsid w:val="52081BED"/>
    <w:rsid w:val="520B6FE7"/>
    <w:rsid w:val="521D51BC"/>
    <w:rsid w:val="521F2A93"/>
    <w:rsid w:val="522105B9"/>
    <w:rsid w:val="522E2CD6"/>
    <w:rsid w:val="52422029"/>
    <w:rsid w:val="524E5126"/>
    <w:rsid w:val="52505342"/>
    <w:rsid w:val="52524C16"/>
    <w:rsid w:val="526C1345"/>
    <w:rsid w:val="527903F5"/>
    <w:rsid w:val="527E3C5D"/>
    <w:rsid w:val="52833022"/>
    <w:rsid w:val="528B637A"/>
    <w:rsid w:val="528F5E6A"/>
    <w:rsid w:val="52923265"/>
    <w:rsid w:val="52B07B8F"/>
    <w:rsid w:val="52BD424C"/>
    <w:rsid w:val="52D01FDF"/>
    <w:rsid w:val="52D23FA9"/>
    <w:rsid w:val="52F43F1F"/>
    <w:rsid w:val="5302663C"/>
    <w:rsid w:val="53057EDB"/>
    <w:rsid w:val="531620E8"/>
    <w:rsid w:val="53206AC2"/>
    <w:rsid w:val="53332C9A"/>
    <w:rsid w:val="533802B0"/>
    <w:rsid w:val="533B56AA"/>
    <w:rsid w:val="53430A03"/>
    <w:rsid w:val="535449BE"/>
    <w:rsid w:val="53672943"/>
    <w:rsid w:val="536B7B95"/>
    <w:rsid w:val="536C1D08"/>
    <w:rsid w:val="536F626D"/>
    <w:rsid w:val="537D2167"/>
    <w:rsid w:val="537D5CC3"/>
    <w:rsid w:val="537D824F"/>
    <w:rsid w:val="538F59F6"/>
    <w:rsid w:val="53901E9A"/>
    <w:rsid w:val="53964FD7"/>
    <w:rsid w:val="53A5521A"/>
    <w:rsid w:val="53A70F92"/>
    <w:rsid w:val="53B11E10"/>
    <w:rsid w:val="53BF0089"/>
    <w:rsid w:val="53C438F2"/>
    <w:rsid w:val="53C90F08"/>
    <w:rsid w:val="53D03D7B"/>
    <w:rsid w:val="53DE177D"/>
    <w:rsid w:val="53FF0DCE"/>
    <w:rsid w:val="5402441A"/>
    <w:rsid w:val="540E2DBF"/>
    <w:rsid w:val="54245FB8"/>
    <w:rsid w:val="5426635A"/>
    <w:rsid w:val="54322F51"/>
    <w:rsid w:val="54444A33"/>
    <w:rsid w:val="544D7D8B"/>
    <w:rsid w:val="545F45A8"/>
    <w:rsid w:val="545F7ABE"/>
    <w:rsid w:val="54684BC5"/>
    <w:rsid w:val="54815C87"/>
    <w:rsid w:val="54874B3C"/>
    <w:rsid w:val="54907C78"/>
    <w:rsid w:val="549C03CB"/>
    <w:rsid w:val="549F7EBB"/>
    <w:rsid w:val="54AD082A"/>
    <w:rsid w:val="54BE47E5"/>
    <w:rsid w:val="54CDFD4F"/>
    <w:rsid w:val="54E104D3"/>
    <w:rsid w:val="54E3249D"/>
    <w:rsid w:val="54EC75A4"/>
    <w:rsid w:val="54F16968"/>
    <w:rsid w:val="54F40207"/>
    <w:rsid w:val="54F75F49"/>
    <w:rsid w:val="55040901"/>
    <w:rsid w:val="551408A9"/>
    <w:rsid w:val="551E7032"/>
    <w:rsid w:val="551F51C1"/>
    <w:rsid w:val="55344AA7"/>
    <w:rsid w:val="553700F3"/>
    <w:rsid w:val="553D2390"/>
    <w:rsid w:val="55481443"/>
    <w:rsid w:val="555B0286"/>
    <w:rsid w:val="5560589C"/>
    <w:rsid w:val="55630EE8"/>
    <w:rsid w:val="55774994"/>
    <w:rsid w:val="557A6371"/>
    <w:rsid w:val="55807CEC"/>
    <w:rsid w:val="558477DD"/>
    <w:rsid w:val="5588094F"/>
    <w:rsid w:val="559D43FA"/>
    <w:rsid w:val="55A439DB"/>
    <w:rsid w:val="55A57753"/>
    <w:rsid w:val="55AC288F"/>
    <w:rsid w:val="55B711B8"/>
    <w:rsid w:val="55BF0815"/>
    <w:rsid w:val="55C0251B"/>
    <w:rsid w:val="55E53FF3"/>
    <w:rsid w:val="55EE10FA"/>
    <w:rsid w:val="55F14746"/>
    <w:rsid w:val="560501F2"/>
    <w:rsid w:val="56064695"/>
    <w:rsid w:val="56091A90"/>
    <w:rsid w:val="560C332E"/>
    <w:rsid w:val="561F12B3"/>
    <w:rsid w:val="562B7C58"/>
    <w:rsid w:val="564B3E56"/>
    <w:rsid w:val="56530F5D"/>
    <w:rsid w:val="565704F6"/>
    <w:rsid w:val="565F7902"/>
    <w:rsid w:val="566040EB"/>
    <w:rsid w:val="56837A94"/>
    <w:rsid w:val="56903F5F"/>
    <w:rsid w:val="56905D0D"/>
    <w:rsid w:val="56933A4F"/>
    <w:rsid w:val="569644F9"/>
    <w:rsid w:val="5697709C"/>
    <w:rsid w:val="56A65531"/>
    <w:rsid w:val="56AF0889"/>
    <w:rsid w:val="56BC1D83"/>
    <w:rsid w:val="56C1236A"/>
    <w:rsid w:val="56C232D8"/>
    <w:rsid w:val="56C43C09"/>
    <w:rsid w:val="56C854A7"/>
    <w:rsid w:val="56CB143B"/>
    <w:rsid w:val="56CF0F2B"/>
    <w:rsid w:val="56D007FF"/>
    <w:rsid w:val="56D402F0"/>
    <w:rsid w:val="56DC0F52"/>
    <w:rsid w:val="56DF05DE"/>
    <w:rsid w:val="56E147BB"/>
    <w:rsid w:val="56E20B7B"/>
    <w:rsid w:val="56F70118"/>
    <w:rsid w:val="56F95FA8"/>
    <w:rsid w:val="570D3802"/>
    <w:rsid w:val="571903F8"/>
    <w:rsid w:val="572332D3"/>
    <w:rsid w:val="57272B15"/>
    <w:rsid w:val="57392849"/>
    <w:rsid w:val="574014E1"/>
    <w:rsid w:val="574351F9"/>
    <w:rsid w:val="574B60D8"/>
    <w:rsid w:val="575B456D"/>
    <w:rsid w:val="576D098E"/>
    <w:rsid w:val="57767611"/>
    <w:rsid w:val="57835872"/>
    <w:rsid w:val="578F06BB"/>
    <w:rsid w:val="5797131D"/>
    <w:rsid w:val="57A819F6"/>
    <w:rsid w:val="57AC6B77"/>
    <w:rsid w:val="57AF2B0B"/>
    <w:rsid w:val="57B10631"/>
    <w:rsid w:val="57B1418D"/>
    <w:rsid w:val="57B65C47"/>
    <w:rsid w:val="57B819BF"/>
    <w:rsid w:val="57BD0D84"/>
    <w:rsid w:val="57C00874"/>
    <w:rsid w:val="57D61E46"/>
    <w:rsid w:val="57DD4F82"/>
    <w:rsid w:val="57ED208B"/>
    <w:rsid w:val="57FC6189"/>
    <w:rsid w:val="5805272B"/>
    <w:rsid w:val="580544D9"/>
    <w:rsid w:val="58134E48"/>
    <w:rsid w:val="581B1F4E"/>
    <w:rsid w:val="5828108E"/>
    <w:rsid w:val="5829466B"/>
    <w:rsid w:val="582F3781"/>
    <w:rsid w:val="583354EA"/>
    <w:rsid w:val="5847689F"/>
    <w:rsid w:val="584C035A"/>
    <w:rsid w:val="5858730C"/>
    <w:rsid w:val="58607553"/>
    <w:rsid w:val="5862192B"/>
    <w:rsid w:val="58627B7D"/>
    <w:rsid w:val="587578B0"/>
    <w:rsid w:val="588673C8"/>
    <w:rsid w:val="588E0972"/>
    <w:rsid w:val="588F1015"/>
    <w:rsid w:val="58A106A5"/>
    <w:rsid w:val="58A65CBC"/>
    <w:rsid w:val="58AE691E"/>
    <w:rsid w:val="58AF19CA"/>
    <w:rsid w:val="58BE3005"/>
    <w:rsid w:val="58E65F25"/>
    <w:rsid w:val="58EB1921"/>
    <w:rsid w:val="590F1AB3"/>
    <w:rsid w:val="591B0458"/>
    <w:rsid w:val="592117E6"/>
    <w:rsid w:val="59372DB8"/>
    <w:rsid w:val="593F3A1A"/>
    <w:rsid w:val="594218B0"/>
    <w:rsid w:val="59441031"/>
    <w:rsid w:val="5952374E"/>
    <w:rsid w:val="597162CE"/>
    <w:rsid w:val="59750523"/>
    <w:rsid w:val="59780479"/>
    <w:rsid w:val="597E4543"/>
    <w:rsid w:val="5987789B"/>
    <w:rsid w:val="59926240"/>
    <w:rsid w:val="5999137D"/>
    <w:rsid w:val="59995821"/>
    <w:rsid w:val="599D70BF"/>
    <w:rsid w:val="599E4BE5"/>
    <w:rsid w:val="59AA17DC"/>
    <w:rsid w:val="59B61F2F"/>
    <w:rsid w:val="59CC52AE"/>
    <w:rsid w:val="59D52950"/>
    <w:rsid w:val="59D6437F"/>
    <w:rsid w:val="59E24AD2"/>
    <w:rsid w:val="59FD7B5D"/>
    <w:rsid w:val="5A1D1FAE"/>
    <w:rsid w:val="5A1F5D26"/>
    <w:rsid w:val="5A4237C2"/>
    <w:rsid w:val="5A451B2A"/>
    <w:rsid w:val="5A4732C2"/>
    <w:rsid w:val="5A533C21"/>
    <w:rsid w:val="5A625C12"/>
    <w:rsid w:val="5A673229"/>
    <w:rsid w:val="5A725CDE"/>
    <w:rsid w:val="5A785436"/>
    <w:rsid w:val="5A7B0A82"/>
    <w:rsid w:val="5A7D3F6E"/>
    <w:rsid w:val="5A902780"/>
    <w:rsid w:val="5A9102A6"/>
    <w:rsid w:val="5AB521E6"/>
    <w:rsid w:val="5ABB5323"/>
    <w:rsid w:val="5AD00DCE"/>
    <w:rsid w:val="5AD07020"/>
    <w:rsid w:val="5AD563E4"/>
    <w:rsid w:val="5AD76600"/>
    <w:rsid w:val="5AF54482"/>
    <w:rsid w:val="5AF54CD9"/>
    <w:rsid w:val="5AF727FF"/>
    <w:rsid w:val="5B231846"/>
    <w:rsid w:val="5B264E92"/>
    <w:rsid w:val="5B595267"/>
    <w:rsid w:val="5B5E462C"/>
    <w:rsid w:val="5B604953"/>
    <w:rsid w:val="5B6B0AF7"/>
    <w:rsid w:val="5B757B54"/>
    <w:rsid w:val="5B7B51DE"/>
    <w:rsid w:val="5B7D11B9"/>
    <w:rsid w:val="5B8147BE"/>
    <w:rsid w:val="5B863B83"/>
    <w:rsid w:val="5B8D6CBF"/>
    <w:rsid w:val="5B9067AF"/>
    <w:rsid w:val="5B914A01"/>
    <w:rsid w:val="5B9C0969"/>
    <w:rsid w:val="5BBE331C"/>
    <w:rsid w:val="5BD743DE"/>
    <w:rsid w:val="5BE82147"/>
    <w:rsid w:val="5BEC60DC"/>
    <w:rsid w:val="5BF1724E"/>
    <w:rsid w:val="5BF94355"/>
    <w:rsid w:val="5C097DDA"/>
    <w:rsid w:val="5C0A0310"/>
    <w:rsid w:val="5C0D7E00"/>
    <w:rsid w:val="5C1C655D"/>
    <w:rsid w:val="5C3A6E47"/>
    <w:rsid w:val="5C3D2493"/>
    <w:rsid w:val="5C3F26AF"/>
    <w:rsid w:val="5C471564"/>
    <w:rsid w:val="5C5030D5"/>
    <w:rsid w:val="5C5144CF"/>
    <w:rsid w:val="5C5872CD"/>
    <w:rsid w:val="5C683FEB"/>
    <w:rsid w:val="5C6914DA"/>
    <w:rsid w:val="5C7165E1"/>
    <w:rsid w:val="5C741C2D"/>
    <w:rsid w:val="5C7B2FBB"/>
    <w:rsid w:val="5C875E04"/>
    <w:rsid w:val="5C91458D"/>
    <w:rsid w:val="5C930305"/>
    <w:rsid w:val="5CAA564F"/>
    <w:rsid w:val="5CC2508E"/>
    <w:rsid w:val="5CC6692D"/>
    <w:rsid w:val="5CF52D6E"/>
    <w:rsid w:val="5D0134C1"/>
    <w:rsid w:val="5D017965"/>
    <w:rsid w:val="5D027239"/>
    <w:rsid w:val="5D0E3E30"/>
    <w:rsid w:val="5D1A27D4"/>
    <w:rsid w:val="5D284EF1"/>
    <w:rsid w:val="5D467A6D"/>
    <w:rsid w:val="5D6A7657"/>
    <w:rsid w:val="5D6E585A"/>
    <w:rsid w:val="5D757D5A"/>
    <w:rsid w:val="5D9702C9"/>
    <w:rsid w:val="5D997B9D"/>
    <w:rsid w:val="5DB76275"/>
    <w:rsid w:val="5DD99CAE"/>
    <w:rsid w:val="5DDDF0CD"/>
    <w:rsid w:val="5DF254FF"/>
    <w:rsid w:val="5E056FE1"/>
    <w:rsid w:val="5E0E69E5"/>
    <w:rsid w:val="5E0F1C0D"/>
    <w:rsid w:val="5E133CFA"/>
    <w:rsid w:val="5E196F30"/>
    <w:rsid w:val="5E1B2CA8"/>
    <w:rsid w:val="5E1B6804"/>
    <w:rsid w:val="5E265DE7"/>
    <w:rsid w:val="5E59557E"/>
    <w:rsid w:val="5E6737F7"/>
    <w:rsid w:val="5E6D4B86"/>
    <w:rsid w:val="5E87563B"/>
    <w:rsid w:val="5E8C5954"/>
    <w:rsid w:val="5E940365"/>
    <w:rsid w:val="5EA20CD3"/>
    <w:rsid w:val="5EA30896"/>
    <w:rsid w:val="5EA467FA"/>
    <w:rsid w:val="5EBF1885"/>
    <w:rsid w:val="5EC073AC"/>
    <w:rsid w:val="5EC92704"/>
    <w:rsid w:val="5ECA1FD8"/>
    <w:rsid w:val="5ED05841"/>
    <w:rsid w:val="5ED2780B"/>
    <w:rsid w:val="5EDB4B07"/>
    <w:rsid w:val="5EDF7832"/>
    <w:rsid w:val="5EE87F1A"/>
    <w:rsid w:val="5F073306"/>
    <w:rsid w:val="5F3F29C6"/>
    <w:rsid w:val="5F3F6522"/>
    <w:rsid w:val="5F472640"/>
    <w:rsid w:val="5F49114F"/>
    <w:rsid w:val="5F530220"/>
    <w:rsid w:val="5F553F98"/>
    <w:rsid w:val="5F5D4BFA"/>
    <w:rsid w:val="5F5F73B9"/>
    <w:rsid w:val="5F6441DB"/>
    <w:rsid w:val="5F6D308F"/>
    <w:rsid w:val="5F824661"/>
    <w:rsid w:val="5F904FD0"/>
    <w:rsid w:val="5F922AF6"/>
    <w:rsid w:val="5FB28423"/>
    <w:rsid w:val="5FCC68F2"/>
    <w:rsid w:val="5FCE450D"/>
    <w:rsid w:val="5FD4310E"/>
    <w:rsid w:val="5FD96977"/>
    <w:rsid w:val="5FFC08B7"/>
    <w:rsid w:val="6005776C"/>
    <w:rsid w:val="60067040"/>
    <w:rsid w:val="60114363"/>
    <w:rsid w:val="60152E22"/>
    <w:rsid w:val="6017749F"/>
    <w:rsid w:val="603F7A37"/>
    <w:rsid w:val="60402552"/>
    <w:rsid w:val="60487659"/>
    <w:rsid w:val="604C7149"/>
    <w:rsid w:val="604D2EC1"/>
    <w:rsid w:val="605204D7"/>
    <w:rsid w:val="6054424F"/>
    <w:rsid w:val="60567FC7"/>
    <w:rsid w:val="605C018E"/>
    <w:rsid w:val="60600E46"/>
    <w:rsid w:val="60636240"/>
    <w:rsid w:val="608D150F"/>
    <w:rsid w:val="60A722EC"/>
    <w:rsid w:val="60B62814"/>
    <w:rsid w:val="60B62D38"/>
    <w:rsid w:val="60C50CA9"/>
    <w:rsid w:val="60D17419"/>
    <w:rsid w:val="60D31618"/>
    <w:rsid w:val="60D448CC"/>
    <w:rsid w:val="60EF5D26"/>
    <w:rsid w:val="60F11A9E"/>
    <w:rsid w:val="60FB46CB"/>
    <w:rsid w:val="610572F8"/>
    <w:rsid w:val="61073070"/>
    <w:rsid w:val="6109328C"/>
    <w:rsid w:val="61120392"/>
    <w:rsid w:val="612B1454"/>
    <w:rsid w:val="612B4FB0"/>
    <w:rsid w:val="6142158E"/>
    <w:rsid w:val="61497B2C"/>
    <w:rsid w:val="61596301"/>
    <w:rsid w:val="61646DB2"/>
    <w:rsid w:val="616D122D"/>
    <w:rsid w:val="61897F29"/>
    <w:rsid w:val="61A86601"/>
    <w:rsid w:val="61B01959"/>
    <w:rsid w:val="61B2747F"/>
    <w:rsid w:val="61BE4076"/>
    <w:rsid w:val="61BF1B9C"/>
    <w:rsid w:val="61D94A0C"/>
    <w:rsid w:val="61E11B13"/>
    <w:rsid w:val="61F51F86"/>
    <w:rsid w:val="61F555BE"/>
    <w:rsid w:val="61FC694D"/>
    <w:rsid w:val="6202355B"/>
    <w:rsid w:val="62062DB6"/>
    <w:rsid w:val="620852F1"/>
    <w:rsid w:val="621719D8"/>
    <w:rsid w:val="622540F5"/>
    <w:rsid w:val="62373E29"/>
    <w:rsid w:val="625B7B17"/>
    <w:rsid w:val="626E3DCB"/>
    <w:rsid w:val="627209BD"/>
    <w:rsid w:val="62742987"/>
    <w:rsid w:val="6277638F"/>
    <w:rsid w:val="6279293E"/>
    <w:rsid w:val="629E7A04"/>
    <w:rsid w:val="62AC0373"/>
    <w:rsid w:val="62AF39BF"/>
    <w:rsid w:val="62C92CD3"/>
    <w:rsid w:val="62CA25A7"/>
    <w:rsid w:val="62CE19F0"/>
    <w:rsid w:val="62D358FF"/>
    <w:rsid w:val="62D84CC4"/>
    <w:rsid w:val="62DC1139"/>
    <w:rsid w:val="62E53885"/>
    <w:rsid w:val="62E573E1"/>
    <w:rsid w:val="62F22332"/>
    <w:rsid w:val="62F835B8"/>
    <w:rsid w:val="62FB30A8"/>
    <w:rsid w:val="630F645C"/>
    <w:rsid w:val="63184AA0"/>
    <w:rsid w:val="631C2BC5"/>
    <w:rsid w:val="6320666B"/>
    <w:rsid w:val="632F4BDE"/>
    <w:rsid w:val="63493E13"/>
    <w:rsid w:val="634B193A"/>
    <w:rsid w:val="635527B8"/>
    <w:rsid w:val="6356208C"/>
    <w:rsid w:val="6370314E"/>
    <w:rsid w:val="63846BFA"/>
    <w:rsid w:val="63862972"/>
    <w:rsid w:val="63901A42"/>
    <w:rsid w:val="639B44B7"/>
    <w:rsid w:val="63AB4186"/>
    <w:rsid w:val="63B53257"/>
    <w:rsid w:val="63C65464"/>
    <w:rsid w:val="63C74D38"/>
    <w:rsid w:val="63C96D02"/>
    <w:rsid w:val="63D611D0"/>
    <w:rsid w:val="63D80CF3"/>
    <w:rsid w:val="63E47698"/>
    <w:rsid w:val="63ED0C43"/>
    <w:rsid w:val="63F85802"/>
    <w:rsid w:val="63F91396"/>
    <w:rsid w:val="64063AB3"/>
    <w:rsid w:val="64097097"/>
    <w:rsid w:val="640B10C9"/>
    <w:rsid w:val="64144421"/>
    <w:rsid w:val="641937E6"/>
    <w:rsid w:val="64287ECD"/>
    <w:rsid w:val="64340620"/>
    <w:rsid w:val="64416899"/>
    <w:rsid w:val="64597BB0"/>
    <w:rsid w:val="645F3B8E"/>
    <w:rsid w:val="646507D9"/>
    <w:rsid w:val="646F78AA"/>
    <w:rsid w:val="6470717E"/>
    <w:rsid w:val="649D6276"/>
    <w:rsid w:val="649F6789"/>
    <w:rsid w:val="64A15589"/>
    <w:rsid w:val="64A5151D"/>
    <w:rsid w:val="64B23B40"/>
    <w:rsid w:val="64C02ADC"/>
    <w:rsid w:val="64C3145D"/>
    <w:rsid w:val="64C5396E"/>
    <w:rsid w:val="64E04304"/>
    <w:rsid w:val="64E9765C"/>
    <w:rsid w:val="65071890"/>
    <w:rsid w:val="65107A63"/>
    <w:rsid w:val="65123962"/>
    <w:rsid w:val="651D7306"/>
    <w:rsid w:val="65286D54"/>
    <w:rsid w:val="653B59DE"/>
    <w:rsid w:val="65476131"/>
    <w:rsid w:val="656211BC"/>
    <w:rsid w:val="656767D3"/>
    <w:rsid w:val="65752C9E"/>
    <w:rsid w:val="65841133"/>
    <w:rsid w:val="65856C59"/>
    <w:rsid w:val="658E30A7"/>
    <w:rsid w:val="65AB4911"/>
    <w:rsid w:val="65B71508"/>
    <w:rsid w:val="65B85280"/>
    <w:rsid w:val="65C61C23"/>
    <w:rsid w:val="65CB4FB4"/>
    <w:rsid w:val="65CE0600"/>
    <w:rsid w:val="65D11E9E"/>
    <w:rsid w:val="65DA51F7"/>
    <w:rsid w:val="65FF07B9"/>
    <w:rsid w:val="662446C4"/>
    <w:rsid w:val="662D5327"/>
    <w:rsid w:val="663C7C5F"/>
    <w:rsid w:val="663F505A"/>
    <w:rsid w:val="664F7993"/>
    <w:rsid w:val="66512D1B"/>
    <w:rsid w:val="6659436D"/>
    <w:rsid w:val="665C16B7"/>
    <w:rsid w:val="665F74AA"/>
    <w:rsid w:val="66613222"/>
    <w:rsid w:val="66642BCD"/>
    <w:rsid w:val="668F4233"/>
    <w:rsid w:val="669427D9"/>
    <w:rsid w:val="66A7157D"/>
    <w:rsid w:val="66AF21DF"/>
    <w:rsid w:val="66B1448A"/>
    <w:rsid w:val="66C128BD"/>
    <w:rsid w:val="66C7577B"/>
    <w:rsid w:val="66F66060"/>
    <w:rsid w:val="670C13E0"/>
    <w:rsid w:val="671B5AC7"/>
    <w:rsid w:val="674072DB"/>
    <w:rsid w:val="674C5C80"/>
    <w:rsid w:val="674F751F"/>
    <w:rsid w:val="6759214B"/>
    <w:rsid w:val="67627252"/>
    <w:rsid w:val="676B07FC"/>
    <w:rsid w:val="67717495"/>
    <w:rsid w:val="6773145F"/>
    <w:rsid w:val="677E1BB2"/>
    <w:rsid w:val="677F3740"/>
    <w:rsid w:val="678F3DBF"/>
    <w:rsid w:val="67992086"/>
    <w:rsid w:val="679F2254"/>
    <w:rsid w:val="67A25B5A"/>
    <w:rsid w:val="67AA53C7"/>
    <w:rsid w:val="67DC6A7A"/>
    <w:rsid w:val="67E4235D"/>
    <w:rsid w:val="67FA1B80"/>
    <w:rsid w:val="67FF2CF3"/>
    <w:rsid w:val="68012F0F"/>
    <w:rsid w:val="68082B3C"/>
    <w:rsid w:val="68144385"/>
    <w:rsid w:val="681F24B3"/>
    <w:rsid w:val="6821710D"/>
    <w:rsid w:val="68253747"/>
    <w:rsid w:val="6838144E"/>
    <w:rsid w:val="6841330B"/>
    <w:rsid w:val="68437083"/>
    <w:rsid w:val="6861368C"/>
    <w:rsid w:val="686368B5"/>
    <w:rsid w:val="686A0AB4"/>
    <w:rsid w:val="686D5EAE"/>
    <w:rsid w:val="687A05CB"/>
    <w:rsid w:val="688D6550"/>
    <w:rsid w:val="688F6149"/>
    <w:rsid w:val="68914293"/>
    <w:rsid w:val="68A13DAA"/>
    <w:rsid w:val="68AA7398"/>
    <w:rsid w:val="68AF64C7"/>
    <w:rsid w:val="68B42463"/>
    <w:rsid w:val="68C06926"/>
    <w:rsid w:val="68C42F08"/>
    <w:rsid w:val="68E24AEE"/>
    <w:rsid w:val="68F0088D"/>
    <w:rsid w:val="68F640F6"/>
    <w:rsid w:val="68F6643C"/>
    <w:rsid w:val="68F95994"/>
    <w:rsid w:val="68FB170C"/>
    <w:rsid w:val="69076303"/>
    <w:rsid w:val="690A6589"/>
    <w:rsid w:val="690B3B0C"/>
    <w:rsid w:val="69164A76"/>
    <w:rsid w:val="691E364C"/>
    <w:rsid w:val="69257F55"/>
    <w:rsid w:val="69313380"/>
    <w:rsid w:val="693D7F76"/>
    <w:rsid w:val="6942033D"/>
    <w:rsid w:val="694A0EF8"/>
    <w:rsid w:val="6958090C"/>
    <w:rsid w:val="697B0A9F"/>
    <w:rsid w:val="69992CD3"/>
    <w:rsid w:val="69AF24F6"/>
    <w:rsid w:val="69B813AB"/>
    <w:rsid w:val="69BE661D"/>
    <w:rsid w:val="69C266CE"/>
    <w:rsid w:val="69C33A46"/>
    <w:rsid w:val="69CB37D4"/>
    <w:rsid w:val="69D837FB"/>
    <w:rsid w:val="69EC54F9"/>
    <w:rsid w:val="69F22AA0"/>
    <w:rsid w:val="6A086DE1"/>
    <w:rsid w:val="6A211FF2"/>
    <w:rsid w:val="6A2720C1"/>
    <w:rsid w:val="6A425119"/>
    <w:rsid w:val="6A4315BC"/>
    <w:rsid w:val="6A462612"/>
    <w:rsid w:val="6A462E5B"/>
    <w:rsid w:val="6A486BD3"/>
    <w:rsid w:val="6A4C5C9E"/>
    <w:rsid w:val="6A505A87"/>
    <w:rsid w:val="6A682DD1"/>
    <w:rsid w:val="6A8219B9"/>
    <w:rsid w:val="6A84443A"/>
    <w:rsid w:val="6A90057A"/>
    <w:rsid w:val="6A94006A"/>
    <w:rsid w:val="6AA10091"/>
    <w:rsid w:val="6AA656A7"/>
    <w:rsid w:val="6AB97AD1"/>
    <w:rsid w:val="6ABC311D"/>
    <w:rsid w:val="6ABE6E95"/>
    <w:rsid w:val="6AD93CCF"/>
    <w:rsid w:val="6ADA35A3"/>
    <w:rsid w:val="6AE83F12"/>
    <w:rsid w:val="6AE85CC0"/>
    <w:rsid w:val="6AFC5C0F"/>
    <w:rsid w:val="6B001234"/>
    <w:rsid w:val="6B1271E1"/>
    <w:rsid w:val="6B19231D"/>
    <w:rsid w:val="6B301415"/>
    <w:rsid w:val="6B403D4E"/>
    <w:rsid w:val="6B70712B"/>
    <w:rsid w:val="6B8A4FC9"/>
    <w:rsid w:val="6BA934F4"/>
    <w:rsid w:val="6BAF2C82"/>
    <w:rsid w:val="6BB65DBE"/>
    <w:rsid w:val="6BCC2D3B"/>
    <w:rsid w:val="6BD6020E"/>
    <w:rsid w:val="6BD60A39"/>
    <w:rsid w:val="6BF95CAB"/>
    <w:rsid w:val="6BFF7765"/>
    <w:rsid w:val="6C044D7B"/>
    <w:rsid w:val="6C256AA0"/>
    <w:rsid w:val="6C3C31AB"/>
    <w:rsid w:val="6C472EBA"/>
    <w:rsid w:val="6C643A6C"/>
    <w:rsid w:val="6C691082"/>
    <w:rsid w:val="6C7F2654"/>
    <w:rsid w:val="6C823EF2"/>
    <w:rsid w:val="6C924394"/>
    <w:rsid w:val="6C962237"/>
    <w:rsid w:val="6C9F6852"/>
    <w:rsid w:val="6CC60283"/>
    <w:rsid w:val="6CD81D64"/>
    <w:rsid w:val="6CD97FB6"/>
    <w:rsid w:val="6D1014FE"/>
    <w:rsid w:val="6D17288C"/>
    <w:rsid w:val="6D21370B"/>
    <w:rsid w:val="6D25144D"/>
    <w:rsid w:val="6D262AD0"/>
    <w:rsid w:val="6D2D3E5E"/>
    <w:rsid w:val="6D357DB9"/>
    <w:rsid w:val="6D3F3B91"/>
    <w:rsid w:val="6D415B5B"/>
    <w:rsid w:val="6D4F0278"/>
    <w:rsid w:val="6D501108"/>
    <w:rsid w:val="6D5533B5"/>
    <w:rsid w:val="6D611D5A"/>
    <w:rsid w:val="6D652B07"/>
    <w:rsid w:val="6D6B4986"/>
    <w:rsid w:val="6D77332B"/>
    <w:rsid w:val="6D8F4B19"/>
    <w:rsid w:val="6DC9002B"/>
    <w:rsid w:val="6DEF499F"/>
    <w:rsid w:val="6E0E5A3E"/>
    <w:rsid w:val="6E26547D"/>
    <w:rsid w:val="6E2D66B8"/>
    <w:rsid w:val="6E4771A1"/>
    <w:rsid w:val="6E4B6C92"/>
    <w:rsid w:val="6E4C2A0A"/>
    <w:rsid w:val="6E62222D"/>
    <w:rsid w:val="6E873A42"/>
    <w:rsid w:val="6E963C85"/>
    <w:rsid w:val="6E9C60F6"/>
    <w:rsid w:val="6EA0666A"/>
    <w:rsid w:val="6ECD4657"/>
    <w:rsid w:val="6ECE341F"/>
    <w:rsid w:val="6EE13152"/>
    <w:rsid w:val="6EE36ECA"/>
    <w:rsid w:val="6EF32E85"/>
    <w:rsid w:val="6EFA06B8"/>
    <w:rsid w:val="6EFF2710"/>
    <w:rsid w:val="6F1572A0"/>
    <w:rsid w:val="6F2814E0"/>
    <w:rsid w:val="6F2F210F"/>
    <w:rsid w:val="6F345978"/>
    <w:rsid w:val="6F5B73A8"/>
    <w:rsid w:val="6F5C6C7D"/>
    <w:rsid w:val="6F63000B"/>
    <w:rsid w:val="6F765F90"/>
    <w:rsid w:val="6F8F2BAE"/>
    <w:rsid w:val="6F914B78"/>
    <w:rsid w:val="6F97D24A"/>
    <w:rsid w:val="6FA10B33"/>
    <w:rsid w:val="6FB1521A"/>
    <w:rsid w:val="6FBB39A3"/>
    <w:rsid w:val="6FC36CFC"/>
    <w:rsid w:val="6FCD1928"/>
    <w:rsid w:val="6FCE2201"/>
    <w:rsid w:val="6FDDE9F7"/>
    <w:rsid w:val="6FE725FD"/>
    <w:rsid w:val="6FF13869"/>
    <w:rsid w:val="6FF15617"/>
    <w:rsid w:val="6FFE421E"/>
    <w:rsid w:val="6FFE5F86"/>
    <w:rsid w:val="70076BE8"/>
    <w:rsid w:val="700D3C8D"/>
    <w:rsid w:val="702E417C"/>
    <w:rsid w:val="703025E3"/>
    <w:rsid w:val="703E6382"/>
    <w:rsid w:val="703F2826"/>
    <w:rsid w:val="70447E3C"/>
    <w:rsid w:val="70525DCC"/>
    <w:rsid w:val="70567B70"/>
    <w:rsid w:val="706109EE"/>
    <w:rsid w:val="706758D9"/>
    <w:rsid w:val="70730722"/>
    <w:rsid w:val="707F2C23"/>
    <w:rsid w:val="70814BED"/>
    <w:rsid w:val="70A66401"/>
    <w:rsid w:val="70AB7EBB"/>
    <w:rsid w:val="70AC7790"/>
    <w:rsid w:val="70B52AE8"/>
    <w:rsid w:val="70B948D2"/>
    <w:rsid w:val="70C60851"/>
    <w:rsid w:val="70DC0CFB"/>
    <w:rsid w:val="70DC1675"/>
    <w:rsid w:val="70E470C7"/>
    <w:rsid w:val="70EC5DDE"/>
    <w:rsid w:val="70F21646"/>
    <w:rsid w:val="70F7175E"/>
    <w:rsid w:val="70F80C27"/>
    <w:rsid w:val="71063344"/>
    <w:rsid w:val="71080E6A"/>
    <w:rsid w:val="71186BD3"/>
    <w:rsid w:val="711F61B4"/>
    <w:rsid w:val="71290DE0"/>
    <w:rsid w:val="712D2441"/>
    <w:rsid w:val="71576AD5"/>
    <w:rsid w:val="715C2F64"/>
    <w:rsid w:val="71662034"/>
    <w:rsid w:val="71692A90"/>
    <w:rsid w:val="716B31A7"/>
    <w:rsid w:val="716D5171"/>
    <w:rsid w:val="719C15B2"/>
    <w:rsid w:val="71A16BC9"/>
    <w:rsid w:val="71A30B93"/>
    <w:rsid w:val="71BB2380"/>
    <w:rsid w:val="71C102C4"/>
    <w:rsid w:val="71C56D5B"/>
    <w:rsid w:val="71C64881"/>
    <w:rsid w:val="71CB1E97"/>
    <w:rsid w:val="71E2790D"/>
    <w:rsid w:val="71E73175"/>
    <w:rsid w:val="71E909FE"/>
    <w:rsid w:val="71E91A3A"/>
    <w:rsid w:val="71FF482D"/>
    <w:rsid w:val="722026A5"/>
    <w:rsid w:val="722C2936"/>
    <w:rsid w:val="722F65E0"/>
    <w:rsid w:val="7236758B"/>
    <w:rsid w:val="723D3A8D"/>
    <w:rsid w:val="72514A93"/>
    <w:rsid w:val="7251779C"/>
    <w:rsid w:val="72524823"/>
    <w:rsid w:val="72563E57"/>
    <w:rsid w:val="726E1CE5"/>
    <w:rsid w:val="728E1843"/>
    <w:rsid w:val="729D55E2"/>
    <w:rsid w:val="72AF5315"/>
    <w:rsid w:val="72B15531"/>
    <w:rsid w:val="72B92643"/>
    <w:rsid w:val="72C94629"/>
    <w:rsid w:val="72CC704F"/>
    <w:rsid w:val="72E27499"/>
    <w:rsid w:val="731D4975"/>
    <w:rsid w:val="73247AB1"/>
    <w:rsid w:val="73410663"/>
    <w:rsid w:val="734E2D80"/>
    <w:rsid w:val="73575DA0"/>
    <w:rsid w:val="736425A4"/>
    <w:rsid w:val="736507F6"/>
    <w:rsid w:val="7386076C"/>
    <w:rsid w:val="738A21A0"/>
    <w:rsid w:val="73903399"/>
    <w:rsid w:val="739C2F1A"/>
    <w:rsid w:val="73A6496A"/>
    <w:rsid w:val="73C45DCD"/>
    <w:rsid w:val="73DC038C"/>
    <w:rsid w:val="73EB6821"/>
    <w:rsid w:val="73ED2599"/>
    <w:rsid w:val="7407365B"/>
    <w:rsid w:val="74212243"/>
    <w:rsid w:val="742A7349"/>
    <w:rsid w:val="742C597A"/>
    <w:rsid w:val="742E508B"/>
    <w:rsid w:val="744C5512"/>
    <w:rsid w:val="744F0B5E"/>
    <w:rsid w:val="745B7503"/>
    <w:rsid w:val="74835983"/>
    <w:rsid w:val="74842EFD"/>
    <w:rsid w:val="74856C75"/>
    <w:rsid w:val="748C3B60"/>
    <w:rsid w:val="749C1354"/>
    <w:rsid w:val="74B15375"/>
    <w:rsid w:val="74B35591"/>
    <w:rsid w:val="74BA691F"/>
    <w:rsid w:val="74C257D4"/>
    <w:rsid w:val="74D472B5"/>
    <w:rsid w:val="74DD3606"/>
    <w:rsid w:val="74F636CF"/>
    <w:rsid w:val="74F6722B"/>
    <w:rsid w:val="74FA0ACC"/>
    <w:rsid w:val="75063912"/>
    <w:rsid w:val="75096F5F"/>
    <w:rsid w:val="750C5B34"/>
    <w:rsid w:val="750D245B"/>
    <w:rsid w:val="750E27C7"/>
    <w:rsid w:val="75183646"/>
    <w:rsid w:val="75357D54"/>
    <w:rsid w:val="753C37D8"/>
    <w:rsid w:val="75473313"/>
    <w:rsid w:val="754E350B"/>
    <w:rsid w:val="755A4626"/>
    <w:rsid w:val="755A763E"/>
    <w:rsid w:val="757743C6"/>
    <w:rsid w:val="75840CDB"/>
    <w:rsid w:val="758D4034"/>
    <w:rsid w:val="75994786"/>
    <w:rsid w:val="75A44ED9"/>
    <w:rsid w:val="75AF26A1"/>
    <w:rsid w:val="75C4732A"/>
    <w:rsid w:val="75D25EEA"/>
    <w:rsid w:val="75E17EDC"/>
    <w:rsid w:val="75E8126A"/>
    <w:rsid w:val="75EF43A6"/>
    <w:rsid w:val="75F25C45"/>
    <w:rsid w:val="760065B4"/>
    <w:rsid w:val="76143E0D"/>
    <w:rsid w:val="761C0F14"/>
    <w:rsid w:val="761C7166"/>
    <w:rsid w:val="762878B8"/>
    <w:rsid w:val="76297AAD"/>
    <w:rsid w:val="7641097A"/>
    <w:rsid w:val="76487F5B"/>
    <w:rsid w:val="764D7561"/>
    <w:rsid w:val="764F3097"/>
    <w:rsid w:val="76593F16"/>
    <w:rsid w:val="765E2DAA"/>
    <w:rsid w:val="767B20DE"/>
    <w:rsid w:val="767D0208"/>
    <w:rsid w:val="76830F93"/>
    <w:rsid w:val="76852F5D"/>
    <w:rsid w:val="76876225"/>
    <w:rsid w:val="769604E1"/>
    <w:rsid w:val="76A96C4B"/>
    <w:rsid w:val="76BA6BA9"/>
    <w:rsid w:val="76C73713"/>
    <w:rsid w:val="76F105F2"/>
    <w:rsid w:val="77194826"/>
    <w:rsid w:val="774A385E"/>
    <w:rsid w:val="774B7D02"/>
    <w:rsid w:val="774E334F"/>
    <w:rsid w:val="7755292F"/>
    <w:rsid w:val="77613082"/>
    <w:rsid w:val="777B1AF7"/>
    <w:rsid w:val="777C4360"/>
    <w:rsid w:val="777C74E4"/>
    <w:rsid w:val="7780031A"/>
    <w:rsid w:val="77804029"/>
    <w:rsid w:val="77862AE9"/>
    <w:rsid w:val="778E4093"/>
    <w:rsid w:val="77903967"/>
    <w:rsid w:val="77A613DD"/>
    <w:rsid w:val="77AE3DED"/>
    <w:rsid w:val="77C332E2"/>
    <w:rsid w:val="77C41863"/>
    <w:rsid w:val="77D221D2"/>
    <w:rsid w:val="77E65C7D"/>
    <w:rsid w:val="77EB14F6"/>
    <w:rsid w:val="77EF4B32"/>
    <w:rsid w:val="77F2017E"/>
    <w:rsid w:val="77FD16F1"/>
    <w:rsid w:val="77FE4D75"/>
    <w:rsid w:val="780C028E"/>
    <w:rsid w:val="78165BF2"/>
    <w:rsid w:val="7824435D"/>
    <w:rsid w:val="78320EC2"/>
    <w:rsid w:val="78372663"/>
    <w:rsid w:val="78393FFF"/>
    <w:rsid w:val="78414C61"/>
    <w:rsid w:val="784E3ABE"/>
    <w:rsid w:val="78564BB1"/>
    <w:rsid w:val="785E1CB7"/>
    <w:rsid w:val="786A240A"/>
    <w:rsid w:val="78911745"/>
    <w:rsid w:val="789B6A68"/>
    <w:rsid w:val="78C31CAF"/>
    <w:rsid w:val="78C733B9"/>
    <w:rsid w:val="78D635FC"/>
    <w:rsid w:val="78D855C6"/>
    <w:rsid w:val="78D859C6"/>
    <w:rsid w:val="78D9133E"/>
    <w:rsid w:val="78E421BD"/>
    <w:rsid w:val="78EA52F9"/>
    <w:rsid w:val="78FA19E0"/>
    <w:rsid w:val="790A7749"/>
    <w:rsid w:val="79144124"/>
    <w:rsid w:val="79181EDA"/>
    <w:rsid w:val="791A5BDE"/>
    <w:rsid w:val="791F31F5"/>
    <w:rsid w:val="79281B49"/>
    <w:rsid w:val="7931117A"/>
    <w:rsid w:val="79312F28"/>
    <w:rsid w:val="79554E68"/>
    <w:rsid w:val="79586707"/>
    <w:rsid w:val="79607369"/>
    <w:rsid w:val="7965129C"/>
    <w:rsid w:val="79654980"/>
    <w:rsid w:val="797C0647"/>
    <w:rsid w:val="79996B3F"/>
    <w:rsid w:val="799A6D1F"/>
    <w:rsid w:val="79A11E5C"/>
    <w:rsid w:val="79B002F1"/>
    <w:rsid w:val="79B23B36"/>
    <w:rsid w:val="79BF6786"/>
    <w:rsid w:val="79C97604"/>
    <w:rsid w:val="79CA30C6"/>
    <w:rsid w:val="79DD2C62"/>
    <w:rsid w:val="79E1494E"/>
    <w:rsid w:val="79FA4EFD"/>
    <w:rsid w:val="79FA77BE"/>
    <w:rsid w:val="79FD2E0A"/>
    <w:rsid w:val="7A0A5C53"/>
    <w:rsid w:val="7A0F3269"/>
    <w:rsid w:val="7A1A1C0E"/>
    <w:rsid w:val="7A230AC3"/>
    <w:rsid w:val="7A301431"/>
    <w:rsid w:val="7A3251AA"/>
    <w:rsid w:val="7A5A200A"/>
    <w:rsid w:val="7A7051EE"/>
    <w:rsid w:val="7A85352B"/>
    <w:rsid w:val="7AA31C03"/>
    <w:rsid w:val="7AAF67FA"/>
    <w:rsid w:val="7ADC3AA4"/>
    <w:rsid w:val="7AE209AC"/>
    <w:rsid w:val="7AE83ABA"/>
    <w:rsid w:val="7AEA7832"/>
    <w:rsid w:val="7AEF309B"/>
    <w:rsid w:val="7AF72E69"/>
    <w:rsid w:val="7AF97A75"/>
    <w:rsid w:val="7AFD9AC2"/>
    <w:rsid w:val="7B055127"/>
    <w:rsid w:val="7B187EFC"/>
    <w:rsid w:val="7B2B6543"/>
    <w:rsid w:val="7B2F16E9"/>
    <w:rsid w:val="7B3759AD"/>
    <w:rsid w:val="7B3A2568"/>
    <w:rsid w:val="7B4909FD"/>
    <w:rsid w:val="7B51165F"/>
    <w:rsid w:val="7B5353D8"/>
    <w:rsid w:val="7B566C76"/>
    <w:rsid w:val="7B5B428C"/>
    <w:rsid w:val="7B601B5B"/>
    <w:rsid w:val="7B95154C"/>
    <w:rsid w:val="7B956BCC"/>
    <w:rsid w:val="7BC41E31"/>
    <w:rsid w:val="7BC506FF"/>
    <w:rsid w:val="7BC5E21C"/>
    <w:rsid w:val="7BC77B74"/>
    <w:rsid w:val="7BDF4EBD"/>
    <w:rsid w:val="7BE43E09"/>
    <w:rsid w:val="7BE81FC4"/>
    <w:rsid w:val="7C06069C"/>
    <w:rsid w:val="7C0E7550"/>
    <w:rsid w:val="7C1D1542"/>
    <w:rsid w:val="7C211032"/>
    <w:rsid w:val="7C236BB6"/>
    <w:rsid w:val="7C321491"/>
    <w:rsid w:val="7C3915A8"/>
    <w:rsid w:val="7C4116D4"/>
    <w:rsid w:val="7C417926"/>
    <w:rsid w:val="7C55517F"/>
    <w:rsid w:val="7C5C650E"/>
    <w:rsid w:val="7C5D37F3"/>
    <w:rsid w:val="7C605FFE"/>
    <w:rsid w:val="7C635AEE"/>
    <w:rsid w:val="7C705B15"/>
    <w:rsid w:val="7C8141C6"/>
    <w:rsid w:val="7C8F0A6B"/>
    <w:rsid w:val="7C920181"/>
    <w:rsid w:val="7C95557C"/>
    <w:rsid w:val="7CA13F21"/>
    <w:rsid w:val="7CAD269F"/>
    <w:rsid w:val="7CAD6D69"/>
    <w:rsid w:val="7CBE2D25"/>
    <w:rsid w:val="7CC82B85"/>
    <w:rsid w:val="7CD2057E"/>
    <w:rsid w:val="7CD442F6"/>
    <w:rsid w:val="7CD67CB3"/>
    <w:rsid w:val="7CDE33C7"/>
    <w:rsid w:val="7CE64029"/>
    <w:rsid w:val="7CEE6659"/>
    <w:rsid w:val="7D0B583E"/>
    <w:rsid w:val="7D0D15B6"/>
    <w:rsid w:val="7D341239"/>
    <w:rsid w:val="7D39684F"/>
    <w:rsid w:val="7D3D00ED"/>
    <w:rsid w:val="7D44147C"/>
    <w:rsid w:val="7D496A92"/>
    <w:rsid w:val="7D580A83"/>
    <w:rsid w:val="7D6954C8"/>
    <w:rsid w:val="7D6C09D3"/>
    <w:rsid w:val="7D755AD9"/>
    <w:rsid w:val="7D771B3E"/>
    <w:rsid w:val="7D787377"/>
    <w:rsid w:val="7D7FEE6A"/>
    <w:rsid w:val="7D80622C"/>
    <w:rsid w:val="7D910387"/>
    <w:rsid w:val="7D957F29"/>
    <w:rsid w:val="7D9D6DDE"/>
    <w:rsid w:val="7D9F4904"/>
    <w:rsid w:val="7DA43CC8"/>
    <w:rsid w:val="7DA912DF"/>
    <w:rsid w:val="7DAC7021"/>
    <w:rsid w:val="7DC223A1"/>
    <w:rsid w:val="7DC91981"/>
    <w:rsid w:val="7DE89F39"/>
    <w:rsid w:val="7DF033B2"/>
    <w:rsid w:val="7DF69491"/>
    <w:rsid w:val="7DF804B8"/>
    <w:rsid w:val="7DF84014"/>
    <w:rsid w:val="7DFF1847"/>
    <w:rsid w:val="7DFFD29D"/>
    <w:rsid w:val="7E0B1F99"/>
    <w:rsid w:val="7E0D5D12"/>
    <w:rsid w:val="7E2968C4"/>
    <w:rsid w:val="7E2C3CBE"/>
    <w:rsid w:val="7E357016"/>
    <w:rsid w:val="7E5971A9"/>
    <w:rsid w:val="7E5D031B"/>
    <w:rsid w:val="7E6C15F6"/>
    <w:rsid w:val="7E7DF6F1"/>
    <w:rsid w:val="7E837D82"/>
    <w:rsid w:val="7E8B30DA"/>
    <w:rsid w:val="7E97382D"/>
    <w:rsid w:val="7EAF501B"/>
    <w:rsid w:val="7EAF6DC9"/>
    <w:rsid w:val="7EC02D84"/>
    <w:rsid w:val="7EC57770"/>
    <w:rsid w:val="7ED22AB7"/>
    <w:rsid w:val="7EE03426"/>
    <w:rsid w:val="7EF85896"/>
    <w:rsid w:val="7F007B04"/>
    <w:rsid w:val="7F0709B3"/>
    <w:rsid w:val="7F0C5FC9"/>
    <w:rsid w:val="7F192494"/>
    <w:rsid w:val="7F1B7844"/>
    <w:rsid w:val="7F1B78B7"/>
    <w:rsid w:val="7F253C46"/>
    <w:rsid w:val="7F272E03"/>
    <w:rsid w:val="7F315A30"/>
    <w:rsid w:val="7F3D2627"/>
    <w:rsid w:val="7F403EC5"/>
    <w:rsid w:val="7F4E2B3D"/>
    <w:rsid w:val="7F4F4108"/>
    <w:rsid w:val="7F5931D8"/>
    <w:rsid w:val="7F674439"/>
    <w:rsid w:val="7F6A7194"/>
    <w:rsid w:val="7F71407E"/>
    <w:rsid w:val="7F7F2C3F"/>
    <w:rsid w:val="7F7FFB92"/>
    <w:rsid w:val="7F912972"/>
    <w:rsid w:val="7F97D7F2"/>
    <w:rsid w:val="7F985AAF"/>
    <w:rsid w:val="7F995383"/>
    <w:rsid w:val="7F9F508F"/>
    <w:rsid w:val="7FA51C53"/>
    <w:rsid w:val="7FA53D28"/>
    <w:rsid w:val="7FAC155A"/>
    <w:rsid w:val="7FB65F35"/>
    <w:rsid w:val="7FBC6F75"/>
    <w:rsid w:val="7FCFB755"/>
    <w:rsid w:val="7FD74C2C"/>
    <w:rsid w:val="7FDD5BB8"/>
    <w:rsid w:val="7FE707E4"/>
    <w:rsid w:val="7FE74340"/>
    <w:rsid w:val="7FEE7CCD"/>
    <w:rsid w:val="7FEFACE1"/>
    <w:rsid w:val="7FF37189"/>
    <w:rsid w:val="7FF802FC"/>
    <w:rsid w:val="9DFBC230"/>
    <w:rsid w:val="A6FEB8E8"/>
    <w:rsid w:val="AFD3A174"/>
    <w:rsid w:val="AFFD5B6C"/>
    <w:rsid w:val="B70E3CF7"/>
    <w:rsid w:val="B85FDB83"/>
    <w:rsid w:val="BB732744"/>
    <w:rsid w:val="BD58F9E6"/>
    <w:rsid w:val="BEFB46E4"/>
    <w:rsid w:val="BFEB2C81"/>
    <w:rsid w:val="C1BF7C39"/>
    <w:rsid w:val="C4BD4666"/>
    <w:rsid w:val="CFF721BE"/>
    <w:rsid w:val="CFF9EF1A"/>
    <w:rsid w:val="D3DD30D0"/>
    <w:rsid w:val="D66F629D"/>
    <w:rsid w:val="D7BEB085"/>
    <w:rsid w:val="D7FE5680"/>
    <w:rsid w:val="DAF67373"/>
    <w:rsid w:val="DBB7193F"/>
    <w:rsid w:val="DBFD6098"/>
    <w:rsid w:val="DC7C6527"/>
    <w:rsid w:val="DCBFD73A"/>
    <w:rsid w:val="DCFF76EB"/>
    <w:rsid w:val="DEE73C2B"/>
    <w:rsid w:val="DF79F1E7"/>
    <w:rsid w:val="DFF912AC"/>
    <w:rsid w:val="EB9F8E96"/>
    <w:rsid w:val="EBA7250A"/>
    <w:rsid w:val="EBDF6AEB"/>
    <w:rsid w:val="EDB65023"/>
    <w:rsid w:val="EDFF1E69"/>
    <w:rsid w:val="EF7CB3D9"/>
    <w:rsid w:val="EFBFA592"/>
    <w:rsid w:val="F2EB76D3"/>
    <w:rsid w:val="F36D27AF"/>
    <w:rsid w:val="F3FE646D"/>
    <w:rsid w:val="F5EF4595"/>
    <w:rsid w:val="F5F1EC17"/>
    <w:rsid w:val="F73CE427"/>
    <w:rsid w:val="F73FEA01"/>
    <w:rsid w:val="F77EB7AE"/>
    <w:rsid w:val="F7FF6D1A"/>
    <w:rsid w:val="F9B9D0AE"/>
    <w:rsid w:val="F9F3A651"/>
    <w:rsid w:val="FB5DD5FE"/>
    <w:rsid w:val="FBAEB333"/>
    <w:rsid w:val="FBBE0FE4"/>
    <w:rsid w:val="FBFF7B20"/>
    <w:rsid w:val="FCFDD98C"/>
    <w:rsid w:val="FDD5D7C5"/>
    <w:rsid w:val="FE3D0466"/>
    <w:rsid w:val="FE4E2289"/>
    <w:rsid w:val="FE7AC370"/>
    <w:rsid w:val="FF1BAA71"/>
    <w:rsid w:val="FF73F51F"/>
    <w:rsid w:val="FFD79927"/>
    <w:rsid w:val="FFFBA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qFormat="1" w:unhideWhenUsed="0" w:uiPriority="0" w:semiHidden="0" w:name="HTML Acronym"/>
    <w:lsdException w:unhideWhenUsed="0" w:uiPriority="0" w:semiHidden="0" w:name="HTML Address"/>
    <w:lsdException w:qFormat="1" w:unhideWhenUsed="0" w:uiPriority="99"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8"/>
    <w:qFormat/>
    <w:uiPriority w:val="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69"/>
    <w:qFormat/>
    <w:uiPriority w:val="9"/>
    <w:pPr>
      <w:keepNext/>
      <w:keepLines/>
      <w:autoSpaceDE w:val="0"/>
      <w:autoSpaceDN w:val="0"/>
      <w:adjustRightInd w:val="0"/>
      <w:spacing w:line="360" w:lineRule="auto"/>
      <w:ind w:firstLine="420" w:firstLineChars="200"/>
      <w:jc w:val="left"/>
      <w:outlineLvl w:val="1"/>
    </w:pPr>
    <w:rPr>
      <w:rFonts w:ascii="Arial" w:hAnsi="Arial"/>
      <w:b/>
      <w:kern w:val="0"/>
      <w:sz w:val="24"/>
      <w:szCs w:val="20"/>
    </w:rPr>
  </w:style>
  <w:style w:type="paragraph" w:styleId="4">
    <w:name w:val="heading 3"/>
    <w:basedOn w:val="1"/>
    <w:next w:val="1"/>
    <w:link w:val="70"/>
    <w:qFormat/>
    <w:uiPriority w:val="9"/>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link w:val="71"/>
    <w:qFormat/>
    <w:uiPriority w:val="9"/>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6">
    <w:name w:val="heading 5"/>
    <w:basedOn w:val="5"/>
    <w:next w:val="1"/>
    <w:link w:val="72"/>
    <w:qFormat/>
    <w:uiPriority w:val="9"/>
    <w:pPr>
      <w:outlineLvl w:val="4"/>
    </w:pPr>
  </w:style>
  <w:style w:type="paragraph" w:styleId="7">
    <w:name w:val="heading 6"/>
    <w:basedOn w:val="1"/>
    <w:next w:val="1"/>
    <w:link w:val="73"/>
    <w:qFormat/>
    <w:uiPriority w:val="9"/>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8">
    <w:name w:val="heading 7"/>
    <w:basedOn w:val="1"/>
    <w:next w:val="1"/>
    <w:link w:val="74"/>
    <w:qFormat/>
    <w:uiPriority w:val="9"/>
    <w:pPr>
      <w:keepNext/>
      <w:keepLines/>
      <w:adjustRightInd w:val="0"/>
      <w:spacing w:before="240" w:after="64" w:line="320" w:lineRule="atLeast"/>
      <w:textAlignment w:val="baseline"/>
      <w:outlineLvl w:val="6"/>
    </w:pPr>
    <w:rPr>
      <w:b/>
      <w:kern w:val="0"/>
      <w:sz w:val="24"/>
      <w:szCs w:val="20"/>
    </w:rPr>
  </w:style>
  <w:style w:type="paragraph" w:styleId="9">
    <w:name w:val="heading 8"/>
    <w:basedOn w:val="1"/>
    <w:next w:val="1"/>
    <w:link w:val="75"/>
    <w:qFormat/>
    <w:uiPriority w:val="9"/>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link w:val="76"/>
    <w:qFormat/>
    <w:uiPriority w:val="9"/>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51">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style>
  <w:style w:type="paragraph" w:styleId="12">
    <w:name w:val="table of authorities"/>
    <w:basedOn w:val="1"/>
    <w:next w:val="1"/>
    <w:unhideWhenUsed/>
    <w:qFormat/>
    <w:uiPriority w:val="99"/>
    <w:pPr>
      <w:ind w:left="420" w:leftChars="200"/>
    </w:pPr>
    <w:rPr>
      <w:rFonts w:ascii="Calibri" w:hAnsi="Calibri"/>
      <w:szCs w:val="22"/>
    </w:rPr>
  </w:style>
  <w:style w:type="paragraph" w:styleId="13">
    <w:name w:val="Normal Indent"/>
    <w:basedOn w:val="1"/>
    <w:link w:val="67"/>
    <w:qFormat/>
    <w:uiPriority w:val="0"/>
    <w:pPr>
      <w:autoSpaceDE w:val="0"/>
      <w:autoSpaceDN w:val="0"/>
      <w:adjustRightInd w:val="0"/>
      <w:ind w:firstLine="420"/>
      <w:jc w:val="left"/>
    </w:pPr>
    <w:rPr>
      <w:rFonts w:ascii="宋体"/>
      <w:sz w:val="24"/>
    </w:rPr>
  </w:style>
  <w:style w:type="paragraph" w:styleId="14">
    <w:name w:val="caption"/>
    <w:basedOn w:val="1"/>
    <w:next w:val="1"/>
    <w:link w:val="349"/>
    <w:qFormat/>
    <w:uiPriority w:val="0"/>
    <w:pPr>
      <w:spacing w:line="480" w:lineRule="auto"/>
    </w:pPr>
    <w:rPr>
      <w:rFonts w:ascii="华文中宋" w:hAnsi="华文中宋" w:eastAsia="华文中宋"/>
      <w:sz w:val="36"/>
      <w:szCs w:val="20"/>
    </w:rPr>
  </w:style>
  <w:style w:type="paragraph" w:styleId="15">
    <w:name w:val="Document Map"/>
    <w:basedOn w:val="1"/>
    <w:link w:val="77"/>
    <w:qFormat/>
    <w:uiPriority w:val="0"/>
    <w:pPr>
      <w:shd w:val="clear" w:color="auto" w:fill="000080"/>
    </w:pPr>
  </w:style>
  <w:style w:type="paragraph" w:styleId="16">
    <w:name w:val="annotation text"/>
    <w:basedOn w:val="1"/>
    <w:link w:val="78"/>
    <w:qFormat/>
    <w:uiPriority w:val="99"/>
    <w:pPr>
      <w:jc w:val="left"/>
    </w:pPr>
  </w:style>
  <w:style w:type="paragraph" w:styleId="17">
    <w:name w:val="Body Text 3"/>
    <w:basedOn w:val="1"/>
    <w:link w:val="79"/>
    <w:qFormat/>
    <w:uiPriority w:val="0"/>
    <w:pPr>
      <w:spacing w:after="120"/>
    </w:pPr>
    <w:rPr>
      <w:sz w:val="16"/>
      <w:szCs w:val="16"/>
    </w:rPr>
  </w:style>
  <w:style w:type="paragraph" w:styleId="18">
    <w:name w:val="Body Text"/>
    <w:basedOn w:val="1"/>
    <w:next w:val="19"/>
    <w:link w:val="80"/>
    <w:qFormat/>
    <w:uiPriority w:val="0"/>
    <w:pPr>
      <w:tabs>
        <w:tab w:val="left" w:pos="567"/>
      </w:tabs>
      <w:spacing w:before="120" w:line="22" w:lineRule="atLeast"/>
    </w:pPr>
    <w:rPr>
      <w:rFonts w:ascii="宋体" w:hAnsi="宋体"/>
      <w:sz w:val="24"/>
    </w:rPr>
  </w:style>
  <w:style w:type="paragraph" w:styleId="19">
    <w:name w:val="Intense Quote"/>
    <w:next w:val="1"/>
    <w:qFormat/>
    <w:uiPriority w:val="0"/>
    <w:pPr>
      <w:wordWrap w:val="0"/>
      <w:spacing w:before="360" w:after="360" w:line="278" w:lineRule="auto"/>
      <w:ind w:left="950" w:right="950"/>
      <w:jc w:val="center"/>
    </w:pPr>
    <w:rPr>
      <w:rFonts w:ascii="宋体" w:hAnsi="宋体" w:eastAsia="Times New Roman" w:cs="Times New Roman"/>
      <w:i/>
      <w:sz w:val="21"/>
      <w:lang w:val="en-US" w:eastAsia="zh-CN" w:bidi="ar-SA"/>
    </w:rPr>
  </w:style>
  <w:style w:type="paragraph" w:styleId="20">
    <w:name w:val="Body Text Indent"/>
    <w:basedOn w:val="1"/>
    <w:link w:val="81"/>
    <w:qFormat/>
    <w:uiPriority w:val="0"/>
    <w:pPr>
      <w:spacing w:line="360" w:lineRule="auto"/>
      <w:ind w:firstLine="570"/>
    </w:pPr>
    <w:rPr>
      <w:sz w:val="24"/>
    </w:rPr>
  </w:style>
  <w:style w:type="paragraph" w:styleId="21">
    <w:name w:val="List 2"/>
    <w:basedOn w:val="1"/>
    <w:qFormat/>
    <w:uiPriority w:val="0"/>
    <w:pPr>
      <w:ind w:left="100" w:leftChars="200" w:hanging="200" w:hangingChars="200"/>
    </w:pPr>
  </w:style>
  <w:style w:type="paragraph" w:styleId="22">
    <w:name w:val="Block Text"/>
    <w:basedOn w:val="1"/>
    <w:qFormat/>
    <w:uiPriority w:val="0"/>
    <w:pPr>
      <w:widowControl/>
      <w:ind w:left="480" w:right="-341" w:firstLine="513"/>
    </w:pPr>
    <w:rPr>
      <w:kern w:val="0"/>
      <w:sz w:val="24"/>
      <w:szCs w:val="20"/>
    </w:rPr>
  </w:style>
  <w:style w:type="paragraph" w:styleId="23">
    <w:name w:val="toc 5"/>
    <w:basedOn w:val="1"/>
    <w:next w:val="1"/>
    <w:qFormat/>
    <w:uiPriority w:val="39"/>
    <w:pPr>
      <w:ind w:left="1680" w:leftChars="800"/>
    </w:pPr>
  </w:style>
  <w:style w:type="paragraph" w:styleId="24">
    <w:name w:val="toc 3"/>
    <w:basedOn w:val="1"/>
    <w:next w:val="1"/>
    <w:qFormat/>
    <w:uiPriority w:val="39"/>
    <w:pPr>
      <w:ind w:left="840" w:leftChars="400"/>
    </w:pPr>
  </w:style>
  <w:style w:type="paragraph" w:styleId="25">
    <w:name w:val="Plain Text"/>
    <w:basedOn w:val="1"/>
    <w:link w:val="82"/>
    <w:qFormat/>
    <w:uiPriority w:val="0"/>
    <w:rPr>
      <w:rFonts w:hint="eastAsia" w:ascii="宋体" w:hAnsi="Courier New"/>
      <w:szCs w:val="20"/>
    </w:rPr>
  </w:style>
  <w:style w:type="paragraph" w:styleId="26">
    <w:name w:val="toc 8"/>
    <w:basedOn w:val="1"/>
    <w:next w:val="1"/>
    <w:qFormat/>
    <w:uiPriority w:val="39"/>
    <w:pPr>
      <w:ind w:left="2940" w:leftChars="1400"/>
    </w:pPr>
  </w:style>
  <w:style w:type="paragraph" w:styleId="27">
    <w:name w:val="Date"/>
    <w:basedOn w:val="1"/>
    <w:next w:val="1"/>
    <w:link w:val="83"/>
    <w:qFormat/>
    <w:uiPriority w:val="0"/>
    <w:pPr>
      <w:ind w:left="100" w:leftChars="2500"/>
    </w:pPr>
    <w:rPr>
      <w:rFonts w:ascii="仿宋_GB2312" w:hAnsi="宋体" w:eastAsia="仿宋_GB2312"/>
      <w:color w:val="000000"/>
      <w:sz w:val="24"/>
    </w:rPr>
  </w:style>
  <w:style w:type="paragraph" w:styleId="28">
    <w:name w:val="Body Text Indent 2"/>
    <w:basedOn w:val="1"/>
    <w:link w:val="84"/>
    <w:qFormat/>
    <w:uiPriority w:val="0"/>
    <w:pPr>
      <w:ind w:firstLine="480" w:firstLineChars="200"/>
    </w:pPr>
    <w:rPr>
      <w:rFonts w:ascii="仿宋_GB2312" w:eastAsia="仿宋_GB2312"/>
      <w:sz w:val="24"/>
    </w:rPr>
  </w:style>
  <w:style w:type="paragraph" w:styleId="29">
    <w:name w:val="Balloon Text"/>
    <w:basedOn w:val="1"/>
    <w:link w:val="85"/>
    <w:qFormat/>
    <w:uiPriority w:val="0"/>
    <w:rPr>
      <w:sz w:val="18"/>
      <w:szCs w:val="18"/>
    </w:rPr>
  </w:style>
  <w:style w:type="paragraph" w:styleId="30">
    <w:name w:val="footer"/>
    <w:basedOn w:val="1"/>
    <w:link w:val="86"/>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1">
    <w:name w:val="header"/>
    <w:basedOn w:val="1"/>
    <w:link w:val="87"/>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3">
    <w:name w:val="toc 4"/>
    <w:basedOn w:val="1"/>
    <w:next w:val="1"/>
    <w:qFormat/>
    <w:uiPriority w:val="39"/>
    <w:pPr>
      <w:ind w:left="1260" w:leftChars="600"/>
    </w:pPr>
  </w:style>
  <w:style w:type="paragraph" w:styleId="34">
    <w:name w:val="Subtitle"/>
    <w:basedOn w:val="1"/>
    <w:next w:val="1"/>
    <w:link w:val="291"/>
    <w:qFormat/>
    <w:uiPriority w:val="11"/>
    <w:pPr>
      <w:jc w:val="center"/>
    </w:pPr>
    <w:rPr>
      <w:bCs/>
      <w:kern w:val="28"/>
      <w:szCs w:val="32"/>
    </w:rPr>
  </w:style>
  <w:style w:type="paragraph" w:styleId="35">
    <w:name w:val="toc 6"/>
    <w:basedOn w:val="1"/>
    <w:next w:val="1"/>
    <w:qFormat/>
    <w:uiPriority w:val="39"/>
    <w:pPr>
      <w:ind w:left="2100" w:leftChars="1000"/>
    </w:pPr>
  </w:style>
  <w:style w:type="paragraph" w:styleId="36">
    <w:name w:val="Body Text Indent 3"/>
    <w:basedOn w:val="1"/>
    <w:link w:val="88"/>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7">
    <w:name w:val="toc 2"/>
    <w:basedOn w:val="1"/>
    <w:next w:val="1"/>
    <w:qFormat/>
    <w:uiPriority w:val="39"/>
    <w:pPr>
      <w:tabs>
        <w:tab w:val="right" w:leader="dot" w:pos="8937"/>
      </w:tabs>
      <w:spacing w:line="312" w:lineRule="auto"/>
      <w:ind w:left="420" w:leftChars="200"/>
    </w:pPr>
  </w:style>
  <w:style w:type="paragraph" w:styleId="38">
    <w:name w:val="toc 9"/>
    <w:basedOn w:val="1"/>
    <w:next w:val="1"/>
    <w:qFormat/>
    <w:uiPriority w:val="39"/>
    <w:pPr>
      <w:ind w:left="3360" w:leftChars="1600"/>
    </w:pPr>
  </w:style>
  <w:style w:type="paragraph" w:styleId="39">
    <w:name w:val="HTML Preformatted"/>
    <w:basedOn w:val="1"/>
    <w:link w:val="8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0">
    <w:name w:val="Normal (Web)"/>
    <w:basedOn w:val="1"/>
    <w:link w:val="300"/>
    <w:unhideWhenUsed/>
    <w:qFormat/>
    <w:uiPriority w:val="0"/>
    <w:pPr>
      <w:widowControl/>
      <w:spacing w:before="100" w:beforeAutospacing="1" w:after="100" w:afterAutospacing="1"/>
      <w:jc w:val="left"/>
    </w:pPr>
    <w:rPr>
      <w:rFonts w:ascii="宋体" w:hAnsi="宋体" w:cs="宋体"/>
      <w:kern w:val="0"/>
      <w:sz w:val="24"/>
    </w:rPr>
  </w:style>
  <w:style w:type="paragraph" w:styleId="41">
    <w:name w:val="index 1"/>
    <w:basedOn w:val="1"/>
    <w:next w:val="1"/>
    <w:qFormat/>
    <w:uiPriority w:val="0"/>
    <w:rPr>
      <w:szCs w:val="20"/>
    </w:rPr>
  </w:style>
  <w:style w:type="paragraph" w:styleId="42">
    <w:name w:val="Title"/>
    <w:basedOn w:val="1"/>
    <w:link w:val="90"/>
    <w:qFormat/>
    <w:uiPriority w:val="10"/>
    <w:pPr>
      <w:jc w:val="center"/>
      <w:outlineLvl w:val="0"/>
    </w:pPr>
    <w:rPr>
      <w:b/>
      <w:sz w:val="32"/>
      <w:szCs w:val="20"/>
    </w:rPr>
  </w:style>
  <w:style w:type="paragraph" w:styleId="43">
    <w:name w:val="annotation subject"/>
    <w:basedOn w:val="16"/>
    <w:next w:val="16"/>
    <w:link w:val="91"/>
    <w:qFormat/>
    <w:uiPriority w:val="0"/>
    <w:rPr>
      <w:b/>
      <w:bCs/>
    </w:rPr>
  </w:style>
  <w:style w:type="paragraph" w:styleId="44">
    <w:name w:val="Body Text First Indent"/>
    <w:basedOn w:val="1"/>
    <w:next w:val="45"/>
    <w:link w:val="92"/>
    <w:qFormat/>
    <w:uiPriority w:val="0"/>
    <w:pPr>
      <w:spacing w:after="120"/>
      <w:ind w:firstLine="420" w:firstLineChars="100"/>
    </w:pPr>
  </w:style>
  <w:style w:type="paragraph" w:customStyle="1" w:styleId="45">
    <w:name w:val="样式 正文首行缩进 + 宋体 小四 首行缩进:  1 字符"/>
    <w:basedOn w:val="1"/>
    <w:next w:val="1"/>
    <w:qFormat/>
    <w:uiPriority w:val="0"/>
    <w:pPr>
      <w:spacing w:after="120" w:line="360" w:lineRule="auto"/>
      <w:ind w:firstLine="150" w:firstLineChars="150"/>
    </w:pPr>
    <w:rPr>
      <w:rFonts w:ascii="宋体" w:hAnsi="宋体"/>
      <w:sz w:val="24"/>
      <w:szCs w:val="20"/>
    </w:rPr>
  </w:style>
  <w:style w:type="paragraph" w:styleId="46">
    <w:name w:val="Body Text First Indent 2"/>
    <w:basedOn w:val="20"/>
    <w:link w:val="93"/>
    <w:qFormat/>
    <w:uiPriority w:val="0"/>
    <w:pPr>
      <w:spacing w:after="120" w:line="480" w:lineRule="exact"/>
      <w:ind w:left="420" w:leftChars="200" w:firstLine="420" w:firstLineChars="200"/>
    </w:pPr>
  </w:style>
  <w:style w:type="table" w:styleId="48">
    <w:name w:val="Table Grid"/>
    <w:basedOn w:val="4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9">
    <w:name w:val="Table Theme"/>
    <w:basedOn w:val="47"/>
    <w:qFormat/>
    <w:uiPriority w:val="0"/>
    <w:pPr>
      <w:wordWrap w:val="0"/>
      <w:spacing w:line="600" w:lineRule="exact"/>
      <w:ind w:firstLine="200" w:firstLineChars="20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0">
    <w:name w:val="Medium Grid 1 Accent 2"/>
    <w:basedOn w:val="47"/>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52">
    <w:name w:val="Strong"/>
    <w:qFormat/>
    <w:uiPriority w:val="22"/>
    <w:rPr>
      <w:b/>
      <w:bCs/>
    </w:rPr>
  </w:style>
  <w:style w:type="character" w:styleId="53">
    <w:name w:val="page number"/>
    <w:basedOn w:val="51"/>
    <w:qFormat/>
    <w:uiPriority w:val="0"/>
  </w:style>
  <w:style w:type="character" w:styleId="54">
    <w:name w:val="FollowedHyperlink"/>
    <w:qFormat/>
    <w:uiPriority w:val="99"/>
    <w:rPr>
      <w:color w:val="800080"/>
      <w:u w:val="single"/>
    </w:rPr>
  </w:style>
  <w:style w:type="character" w:styleId="55">
    <w:name w:val="Emphasis"/>
    <w:qFormat/>
    <w:uiPriority w:val="0"/>
    <w:rPr>
      <w:color w:val="CC0033"/>
    </w:rPr>
  </w:style>
  <w:style w:type="character" w:styleId="56">
    <w:name w:val="HTML Definition"/>
    <w:basedOn w:val="51"/>
    <w:qFormat/>
    <w:uiPriority w:val="0"/>
  </w:style>
  <w:style w:type="character" w:styleId="57">
    <w:name w:val="HTML Acronym"/>
    <w:basedOn w:val="51"/>
    <w:qFormat/>
    <w:uiPriority w:val="0"/>
  </w:style>
  <w:style w:type="character" w:styleId="58">
    <w:name w:val="HTML Variable"/>
    <w:basedOn w:val="51"/>
    <w:qFormat/>
    <w:uiPriority w:val="0"/>
  </w:style>
  <w:style w:type="character" w:styleId="59">
    <w:name w:val="Hyperlink"/>
    <w:qFormat/>
    <w:uiPriority w:val="99"/>
    <w:rPr>
      <w:color w:val="0000FF"/>
      <w:u w:val="single"/>
    </w:rPr>
  </w:style>
  <w:style w:type="character" w:styleId="60">
    <w:name w:val="HTML Code"/>
    <w:basedOn w:val="51"/>
    <w:qFormat/>
    <w:uiPriority w:val="0"/>
    <w:rPr>
      <w:rFonts w:ascii="Courier New" w:hAnsi="Courier New"/>
      <w:sz w:val="20"/>
    </w:rPr>
  </w:style>
  <w:style w:type="character" w:styleId="61">
    <w:name w:val="annotation reference"/>
    <w:qFormat/>
    <w:uiPriority w:val="0"/>
    <w:rPr>
      <w:sz w:val="21"/>
      <w:szCs w:val="21"/>
    </w:rPr>
  </w:style>
  <w:style w:type="character" w:styleId="62">
    <w:name w:val="HTML Cite"/>
    <w:qFormat/>
    <w:uiPriority w:val="99"/>
    <w:rPr>
      <w:i/>
      <w:iCs/>
    </w:rPr>
  </w:style>
  <w:style w:type="paragraph" w:customStyle="1" w:styleId="63">
    <w:name w:val="BodyText1I2"/>
    <w:basedOn w:val="64"/>
    <w:qFormat/>
    <w:uiPriority w:val="0"/>
    <w:pPr>
      <w:ind w:firstLine="420" w:firstLineChars="200"/>
    </w:pPr>
    <w:rPr>
      <w:rFonts w:ascii="Calibri" w:hAnsi="Calibri" w:eastAsia="宋体" w:cs="黑体"/>
      <w:szCs w:val="22"/>
    </w:rPr>
  </w:style>
  <w:style w:type="paragraph" w:customStyle="1" w:styleId="64">
    <w:name w:val="BodyTextIndent"/>
    <w:basedOn w:val="1"/>
    <w:qFormat/>
    <w:uiPriority w:val="0"/>
    <w:pPr>
      <w:ind w:firstLine="642" w:firstLineChars="198"/>
    </w:pPr>
    <w:rPr>
      <w:rFonts w:eastAsia="仿宋_GB2312"/>
      <w:sz w:val="32"/>
    </w:rPr>
  </w:style>
  <w:style w:type="paragraph" w:customStyle="1" w:styleId="65">
    <w:name w:val="顶格，顶格********************************************************************************************************************************************************************************************************************************************************"/>
    <w:basedOn w:val="1"/>
    <w:next w:val="1"/>
    <w:qFormat/>
    <w:uiPriority w:val="0"/>
    <w:pPr>
      <w:widowControl/>
      <w:wordWrap w:val="0"/>
      <w:spacing w:line="600" w:lineRule="exact"/>
      <w:jc w:val="left"/>
    </w:pPr>
    <w:rPr>
      <w:rFonts w:ascii="仿宋" w:hAnsi="仿宋" w:eastAsia="仿宋"/>
      <w:sz w:val="32"/>
      <w:szCs w:val="21"/>
    </w:rPr>
  </w:style>
  <w:style w:type="paragraph" w:customStyle="1" w:styleId="66">
    <w:name w:val="Default"/>
    <w:qFormat/>
    <w:uiPriority w:val="0"/>
    <w:pPr>
      <w:widowControl w:val="0"/>
      <w:autoSpaceDE w:val="0"/>
      <w:autoSpaceDN w:val="0"/>
      <w:adjustRightInd w:val="0"/>
      <w:spacing w:after="160" w:line="278" w:lineRule="auto"/>
    </w:pPr>
    <w:rPr>
      <w:rFonts w:ascii="Symbol" w:hAnsi="Symbol" w:eastAsia="宋体" w:cs="Symbol"/>
      <w:color w:val="000000"/>
      <w:sz w:val="24"/>
      <w:szCs w:val="24"/>
      <w:lang w:val="en-US" w:eastAsia="zh-CN" w:bidi="ar-SA"/>
    </w:rPr>
  </w:style>
  <w:style w:type="character" w:customStyle="1" w:styleId="67">
    <w:name w:val="正文缩进 字符"/>
    <w:link w:val="13"/>
    <w:qFormat/>
    <w:uiPriority w:val="99"/>
    <w:rPr>
      <w:rFonts w:ascii="宋体" w:eastAsia="宋体"/>
      <w:kern w:val="2"/>
      <w:sz w:val="24"/>
      <w:szCs w:val="24"/>
      <w:lang w:val="en-US" w:eastAsia="zh-CN" w:bidi="ar-SA"/>
    </w:rPr>
  </w:style>
  <w:style w:type="character" w:customStyle="1" w:styleId="68">
    <w:name w:val="标题 1 字符"/>
    <w:link w:val="2"/>
    <w:qFormat/>
    <w:uiPriority w:val="9"/>
    <w:rPr>
      <w:rFonts w:ascii="宋体"/>
      <w:b/>
      <w:kern w:val="44"/>
      <w:sz w:val="32"/>
    </w:rPr>
  </w:style>
  <w:style w:type="character" w:customStyle="1" w:styleId="69">
    <w:name w:val="标题 2 字符"/>
    <w:link w:val="3"/>
    <w:qFormat/>
    <w:uiPriority w:val="9"/>
    <w:rPr>
      <w:rFonts w:ascii="Arial" w:hAnsi="Arial" w:eastAsia="宋体"/>
      <w:b/>
      <w:sz w:val="24"/>
      <w:lang w:val="en-US" w:eastAsia="zh-CN" w:bidi="ar-SA"/>
    </w:rPr>
  </w:style>
  <w:style w:type="character" w:customStyle="1" w:styleId="70">
    <w:name w:val="标题 3 字符"/>
    <w:link w:val="4"/>
    <w:qFormat/>
    <w:uiPriority w:val="9"/>
    <w:rPr>
      <w:rFonts w:ascii="宋体" w:eastAsia="宋体"/>
      <w:b/>
      <w:sz w:val="24"/>
      <w:u w:val="single"/>
      <w:lang w:val="en-US" w:eastAsia="zh-CN" w:bidi="ar-SA"/>
    </w:rPr>
  </w:style>
  <w:style w:type="character" w:customStyle="1" w:styleId="71">
    <w:name w:val="标题 4 字符"/>
    <w:link w:val="5"/>
    <w:qFormat/>
    <w:uiPriority w:val="9"/>
    <w:rPr>
      <w:rFonts w:ascii="Arial" w:hAnsi="Arial" w:eastAsia="黑体"/>
      <w:b/>
      <w:sz w:val="28"/>
    </w:rPr>
  </w:style>
  <w:style w:type="character" w:customStyle="1" w:styleId="72">
    <w:name w:val="标题 5 字符"/>
    <w:link w:val="6"/>
    <w:qFormat/>
    <w:uiPriority w:val="9"/>
    <w:rPr>
      <w:b/>
      <w:sz w:val="28"/>
    </w:rPr>
  </w:style>
  <w:style w:type="character" w:customStyle="1" w:styleId="73">
    <w:name w:val="标题 6 字符"/>
    <w:link w:val="7"/>
    <w:qFormat/>
    <w:uiPriority w:val="9"/>
    <w:rPr>
      <w:rFonts w:ascii="Arial" w:hAnsi="Arial" w:eastAsia="黑体"/>
      <w:b/>
      <w:sz w:val="24"/>
    </w:rPr>
  </w:style>
  <w:style w:type="character" w:customStyle="1" w:styleId="74">
    <w:name w:val="标题 7 字符"/>
    <w:link w:val="8"/>
    <w:qFormat/>
    <w:uiPriority w:val="9"/>
    <w:rPr>
      <w:b/>
      <w:sz w:val="24"/>
    </w:rPr>
  </w:style>
  <w:style w:type="character" w:customStyle="1" w:styleId="75">
    <w:name w:val="标题 8 字符"/>
    <w:link w:val="9"/>
    <w:qFormat/>
    <w:uiPriority w:val="9"/>
    <w:rPr>
      <w:rFonts w:ascii="Arial" w:hAnsi="Arial" w:eastAsia="黑体"/>
      <w:sz w:val="24"/>
    </w:rPr>
  </w:style>
  <w:style w:type="character" w:customStyle="1" w:styleId="76">
    <w:name w:val="标题 9 字符"/>
    <w:link w:val="10"/>
    <w:qFormat/>
    <w:uiPriority w:val="9"/>
    <w:rPr>
      <w:rFonts w:ascii="Arial" w:hAnsi="Arial" w:eastAsia="黑体"/>
      <w:sz w:val="21"/>
    </w:rPr>
  </w:style>
  <w:style w:type="character" w:customStyle="1" w:styleId="77">
    <w:name w:val="文档结构图 字符"/>
    <w:link w:val="15"/>
    <w:qFormat/>
    <w:uiPriority w:val="0"/>
    <w:rPr>
      <w:kern w:val="2"/>
      <w:sz w:val="21"/>
      <w:szCs w:val="24"/>
      <w:shd w:val="clear" w:color="auto" w:fill="000080"/>
    </w:rPr>
  </w:style>
  <w:style w:type="character" w:customStyle="1" w:styleId="78">
    <w:name w:val="批注文字 字符1"/>
    <w:link w:val="16"/>
    <w:qFormat/>
    <w:uiPriority w:val="0"/>
    <w:rPr>
      <w:kern w:val="2"/>
      <w:sz w:val="21"/>
      <w:szCs w:val="24"/>
    </w:rPr>
  </w:style>
  <w:style w:type="character" w:customStyle="1" w:styleId="79">
    <w:name w:val="正文文本 3 字符"/>
    <w:link w:val="17"/>
    <w:qFormat/>
    <w:uiPriority w:val="0"/>
    <w:rPr>
      <w:kern w:val="2"/>
      <w:sz w:val="16"/>
      <w:szCs w:val="16"/>
    </w:rPr>
  </w:style>
  <w:style w:type="character" w:customStyle="1" w:styleId="80">
    <w:name w:val="正文文本 字符"/>
    <w:link w:val="18"/>
    <w:qFormat/>
    <w:uiPriority w:val="0"/>
    <w:rPr>
      <w:rFonts w:ascii="宋体" w:hAnsi="宋体"/>
      <w:kern w:val="2"/>
      <w:sz w:val="24"/>
      <w:szCs w:val="24"/>
    </w:rPr>
  </w:style>
  <w:style w:type="character" w:customStyle="1" w:styleId="81">
    <w:name w:val="正文文本缩进 字符"/>
    <w:link w:val="20"/>
    <w:qFormat/>
    <w:uiPriority w:val="0"/>
    <w:rPr>
      <w:rFonts w:eastAsia="宋体"/>
      <w:kern w:val="2"/>
      <w:sz w:val="24"/>
      <w:szCs w:val="24"/>
      <w:lang w:val="en-US" w:eastAsia="zh-CN" w:bidi="ar-SA"/>
    </w:rPr>
  </w:style>
  <w:style w:type="character" w:customStyle="1" w:styleId="82">
    <w:name w:val="纯文本 字符2"/>
    <w:link w:val="25"/>
    <w:qFormat/>
    <w:uiPriority w:val="0"/>
    <w:rPr>
      <w:rFonts w:hint="eastAsia" w:ascii="宋体" w:hAnsi="Courier New" w:eastAsia="宋体" w:cs="宋体"/>
      <w:kern w:val="2"/>
      <w:sz w:val="21"/>
    </w:rPr>
  </w:style>
  <w:style w:type="character" w:customStyle="1" w:styleId="83">
    <w:name w:val="日期 字符"/>
    <w:link w:val="27"/>
    <w:qFormat/>
    <w:uiPriority w:val="0"/>
    <w:rPr>
      <w:rFonts w:ascii="仿宋_GB2312" w:hAnsi="宋体" w:eastAsia="仿宋_GB2312"/>
      <w:color w:val="000000"/>
      <w:kern w:val="2"/>
      <w:sz w:val="24"/>
      <w:szCs w:val="24"/>
    </w:rPr>
  </w:style>
  <w:style w:type="character" w:customStyle="1" w:styleId="84">
    <w:name w:val="正文文本缩进 2 字符"/>
    <w:link w:val="28"/>
    <w:qFormat/>
    <w:uiPriority w:val="0"/>
    <w:rPr>
      <w:rFonts w:ascii="仿宋_GB2312" w:eastAsia="仿宋_GB2312"/>
      <w:kern w:val="2"/>
      <w:sz w:val="24"/>
      <w:szCs w:val="24"/>
    </w:rPr>
  </w:style>
  <w:style w:type="character" w:customStyle="1" w:styleId="85">
    <w:name w:val="批注框文本 字符"/>
    <w:link w:val="29"/>
    <w:qFormat/>
    <w:uiPriority w:val="0"/>
    <w:rPr>
      <w:kern w:val="2"/>
      <w:sz w:val="18"/>
      <w:szCs w:val="18"/>
    </w:rPr>
  </w:style>
  <w:style w:type="character" w:customStyle="1" w:styleId="86">
    <w:name w:val="页脚 字符"/>
    <w:link w:val="30"/>
    <w:qFormat/>
    <w:uiPriority w:val="99"/>
    <w:rPr>
      <w:rFonts w:ascii="宋体" w:eastAsia="宋体"/>
      <w:sz w:val="18"/>
      <w:lang w:val="en-US" w:eastAsia="zh-CN" w:bidi="ar-SA"/>
    </w:rPr>
  </w:style>
  <w:style w:type="character" w:customStyle="1" w:styleId="87">
    <w:name w:val="页眉 字符"/>
    <w:link w:val="31"/>
    <w:qFormat/>
    <w:uiPriority w:val="99"/>
    <w:rPr>
      <w:rFonts w:eastAsia="宋体"/>
      <w:kern w:val="2"/>
      <w:sz w:val="18"/>
      <w:szCs w:val="18"/>
      <w:lang w:val="en-US" w:eastAsia="zh-CN" w:bidi="ar-SA"/>
    </w:rPr>
  </w:style>
  <w:style w:type="character" w:customStyle="1" w:styleId="88">
    <w:name w:val="正文文本缩进 3 字符"/>
    <w:link w:val="36"/>
    <w:qFormat/>
    <w:uiPriority w:val="0"/>
    <w:rPr>
      <w:rFonts w:ascii="宋体"/>
      <w:sz w:val="24"/>
    </w:rPr>
  </w:style>
  <w:style w:type="character" w:customStyle="1" w:styleId="89">
    <w:name w:val="HTML 预设格式 字符"/>
    <w:link w:val="39"/>
    <w:qFormat/>
    <w:uiPriority w:val="0"/>
    <w:rPr>
      <w:rFonts w:ascii="宋体" w:hAnsi="宋体" w:cs="宋体"/>
      <w:sz w:val="24"/>
      <w:szCs w:val="24"/>
    </w:rPr>
  </w:style>
  <w:style w:type="character" w:customStyle="1" w:styleId="90">
    <w:name w:val="标题 字符"/>
    <w:link w:val="42"/>
    <w:qFormat/>
    <w:uiPriority w:val="10"/>
    <w:rPr>
      <w:b/>
      <w:kern w:val="2"/>
      <w:sz w:val="32"/>
    </w:rPr>
  </w:style>
  <w:style w:type="character" w:customStyle="1" w:styleId="91">
    <w:name w:val="批注主题 字符"/>
    <w:link w:val="43"/>
    <w:qFormat/>
    <w:uiPriority w:val="0"/>
    <w:rPr>
      <w:rFonts w:ascii="Times New Roman" w:hAnsi="Times New Roman" w:eastAsia="宋体" w:cs="Times New Roman"/>
      <w:b/>
      <w:bCs/>
      <w:kern w:val="2"/>
      <w:sz w:val="21"/>
      <w:szCs w:val="24"/>
      <w:lang w:val="en-US" w:eastAsia="zh-CN" w:bidi="ar-SA"/>
    </w:rPr>
  </w:style>
  <w:style w:type="character" w:customStyle="1" w:styleId="92">
    <w:name w:val="正文文本首行缩进 字符"/>
    <w:link w:val="44"/>
    <w:qFormat/>
    <w:uiPriority w:val="0"/>
    <w:rPr>
      <w:rFonts w:ascii="宋体" w:hAnsi="宋体"/>
      <w:kern w:val="2"/>
      <w:sz w:val="21"/>
      <w:szCs w:val="24"/>
    </w:rPr>
  </w:style>
  <w:style w:type="character" w:customStyle="1" w:styleId="93">
    <w:name w:val="正文文本首行缩进 2 字符"/>
    <w:link w:val="46"/>
    <w:qFormat/>
    <w:uiPriority w:val="0"/>
    <w:rPr>
      <w:rFonts w:eastAsia="宋体"/>
      <w:kern w:val="2"/>
      <w:sz w:val="24"/>
      <w:szCs w:val="24"/>
      <w:lang w:val="en-US" w:eastAsia="zh-CN" w:bidi="ar-SA"/>
    </w:rPr>
  </w:style>
  <w:style w:type="character" w:customStyle="1" w:styleId="94">
    <w:name w:val="批注文字 字符"/>
    <w:qFormat/>
    <w:uiPriority w:val="99"/>
    <w:rPr>
      <w:rFonts w:ascii="Times New Roman" w:hAnsi="Times New Roman" w:eastAsia="宋体" w:cs="Times New Roman"/>
      <w:sz w:val="24"/>
      <w:lang w:val="en-US" w:eastAsia="zh-CN" w:bidi="ar-SA"/>
    </w:rPr>
  </w:style>
  <w:style w:type="character" w:customStyle="1" w:styleId="95">
    <w:name w:val="c21"/>
    <w:qFormat/>
    <w:uiPriority w:val="0"/>
    <w:rPr>
      <w:rFonts w:hint="default" w:ascii="ˎ̥" w:hAnsi="ˎ̥"/>
      <w:color w:val="000000"/>
      <w:sz w:val="20"/>
      <w:szCs w:val="20"/>
      <w:u w:val="none"/>
    </w:rPr>
  </w:style>
  <w:style w:type="character" w:customStyle="1" w:styleId="96">
    <w:name w:val="title4"/>
    <w:qFormat/>
    <w:uiPriority w:val="0"/>
    <w:rPr>
      <w:b/>
      <w:bCs/>
      <w:color w:val="1D87B3"/>
      <w:sz w:val="15"/>
      <w:szCs w:val="15"/>
    </w:rPr>
  </w:style>
  <w:style w:type="character" w:customStyle="1" w:styleId="97">
    <w:name w:val="标题 2 Char Char"/>
    <w:qFormat/>
    <w:uiPriority w:val="0"/>
    <w:rPr>
      <w:rFonts w:ascii="Arial" w:hAnsi="Arial" w:eastAsia="黑体"/>
      <w:b/>
      <w:bCs/>
      <w:kern w:val="2"/>
      <w:sz w:val="32"/>
      <w:szCs w:val="32"/>
      <w:lang w:val="en-US" w:eastAsia="zh-CN" w:bidi="ar-SA"/>
    </w:rPr>
  </w:style>
  <w:style w:type="character" w:customStyle="1" w:styleId="98">
    <w:name w:val="black1"/>
    <w:qFormat/>
    <w:uiPriority w:val="0"/>
    <w:rPr>
      <w:color w:val="000000"/>
    </w:rPr>
  </w:style>
  <w:style w:type="character" w:customStyle="1" w:styleId="99">
    <w:name w:val="street-address"/>
    <w:qFormat/>
    <w:uiPriority w:val="0"/>
  </w:style>
  <w:style w:type="character" w:customStyle="1" w:styleId="100">
    <w:name w:val="locality"/>
    <w:qFormat/>
    <w:uiPriority w:val="0"/>
  </w:style>
  <w:style w:type="character" w:customStyle="1" w:styleId="101">
    <w:name w:val="正文文本缩进 Char1"/>
    <w:link w:val="102"/>
    <w:qFormat/>
    <w:uiPriority w:val="0"/>
    <w:rPr>
      <w:rFonts w:ascii="宋体" w:hAnsi="宋体" w:eastAsia="宋体"/>
      <w:sz w:val="24"/>
      <w:szCs w:val="24"/>
      <w:lang w:bidi="ar-SA"/>
    </w:rPr>
  </w:style>
  <w:style w:type="paragraph" w:customStyle="1" w:styleId="102">
    <w:name w:val="正文文本缩进1"/>
    <w:basedOn w:val="1"/>
    <w:link w:val="101"/>
    <w:qFormat/>
    <w:uiPriority w:val="0"/>
    <w:pPr>
      <w:spacing w:line="480" w:lineRule="exact"/>
      <w:ind w:firstLine="480" w:firstLineChars="200"/>
    </w:pPr>
    <w:rPr>
      <w:rFonts w:ascii="宋体" w:hAnsi="宋体"/>
      <w:kern w:val="0"/>
      <w:sz w:val="24"/>
    </w:rPr>
  </w:style>
  <w:style w:type="character" w:customStyle="1" w:styleId="103">
    <w:name w:val="Char Char11"/>
    <w:qFormat/>
    <w:uiPriority w:val="0"/>
    <w:rPr>
      <w:rFonts w:ascii="宋体" w:eastAsia="宋体"/>
      <w:b/>
      <w:sz w:val="24"/>
      <w:u w:val="single"/>
      <w:lang w:val="en-US" w:eastAsia="zh-CN" w:bidi="ar-SA"/>
    </w:rPr>
  </w:style>
  <w:style w:type="character" w:customStyle="1" w:styleId="104">
    <w:name w:val="txt"/>
    <w:qFormat/>
    <w:uiPriority w:val="0"/>
  </w:style>
  <w:style w:type="character" w:customStyle="1" w:styleId="105">
    <w:name w:val="正文缩进 Char Char"/>
    <w:link w:val="106"/>
    <w:qFormat/>
    <w:uiPriority w:val="0"/>
    <w:rPr>
      <w:rFonts w:ascii="宋体" w:eastAsia="宋体"/>
      <w:snapToGrid w:val="0"/>
      <w:color w:val="000000"/>
      <w:kern w:val="28"/>
      <w:sz w:val="28"/>
      <w:lang w:bidi="ar-SA"/>
    </w:rPr>
  </w:style>
  <w:style w:type="paragraph" w:customStyle="1" w:styleId="106">
    <w:name w:val="正文缩进1"/>
    <w:basedOn w:val="1"/>
    <w:link w:val="105"/>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107">
    <w:name w:val="普通文字1 Char1"/>
    <w:qFormat/>
    <w:uiPriority w:val="0"/>
    <w:rPr>
      <w:rFonts w:ascii="宋体" w:hAnsi="Courier New" w:eastAsia="宋体"/>
      <w:kern w:val="2"/>
      <w:sz w:val="21"/>
      <w:lang w:val="en-US" w:eastAsia="zh-CN" w:bidi="ar-SA"/>
    </w:rPr>
  </w:style>
  <w:style w:type="character" w:customStyle="1" w:styleId="108">
    <w:name w:val="chanpin1"/>
    <w:qFormat/>
    <w:uiPriority w:val="0"/>
    <w:rPr>
      <w:rFonts w:hint="default" w:ascii="ˎ̥" w:hAnsi="ˎ̥"/>
      <w:color w:val="000000"/>
      <w:sz w:val="20"/>
      <w:szCs w:val="20"/>
      <w:u w:val="none"/>
    </w:rPr>
  </w:style>
  <w:style w:type="character" w:customStyle="1" w:styleId="109">
    <w:name w:val="列表段落 字符"/>
    <w:link w:val="110"/>
    <w:qFormat/>
    <w:uiPriority w:val="34"/>
    <w:rPr>
      <w:rFonts w:ascii="Calibri" w:hAnsi="Calibri" w:eastAsia="宋体"/>
      <w:kern w:val="2"/>
      <w:sz w:val="21"/>
      <w:szCs w:val="22"/>
      <w:lang w:val="en-US" w:eastAsia="zh-CN" w:bidi="ar-SA"/>
    </w:rPr>
  </w:style>
  <w:style w:type="paragraph" w:styleId="110">
    <w:name w:val="List Paragraph"/>
    <w:basedOn w:val="1"/>
    <w:link w:val="109"/>
    <w:qFormat/>
    <w:uiPriority w:val="34"/>
    <w:pPr>
      <w:ind w:firstLine="420" w:firstLineChars="200"/>
    </w:pPr>
    <w:rPr>
      <w:rFonts w:ascii="Calibri" w:hAnsi="Calibri"/>
      <w:szCs w:val="22"/>
    </w:rPr>
  </w:style>
  <w:style w:type="character" w:customStyle="1" w:styleId="111">
    <w:name w:val="标题 3 Char Char"/>
    <w:qFormat/>
    <w:uiPriority w:val="0"/>
    <w:rPr>
      <w:rFonts w:eastAsia="宋体"/>
      <w:b/>
      <w:bCs/>
      <w:kern w:val="2"/>
      <w:sz w:val="32"/>
      <w:szCs w:val="32"/>
      <w:lang w:val="en-US" w:eastAsia="zh-CN" w:bidi="ar-SA"/>
    </w:rPr>
  </w:style>
  <w:style w:type="character" w:customStyle="1" w:styleId="112">
    <w:name w:val="段1 Char"/>
    <w:qFormat/>
    <w:uiPriority w:val="0"/>
    <w:rPr>
      <w:rFonts w:ascii="宋体" w:eastAsia="宋体"/>
      <w:sz w:val="24"/>
      <w:lang w:val="en-US" w:eastAsia="zh-CN" w:bidi="ar-SA"/>
    </w:rPr>
  </w:style>
  <w:style w:type="character" w:customStyle="1" w:styleId="113">
    <w:name w:val="chanpin拷贝"/>
    <w:qFormat/>
    <w:uiPriority w:val="0"/>
  </w:style>
  <w:style w:type="character" w:customStyle="1" w:styleId="114">
    <w:name w:val="纯文本 Char1"/>
    <w:qFormat/>
    <w:uiPriority w:val="0"/>
    <w:rPr>
      <w:rFonts w:ascii="宋体" w:hAnsi="Courier New" w:eastAsia="宋体"/>
      <w:kern w:val="2"/>
      <w:sz w:val="21"/>
      <w:lang w:val="en-US" w:eastAsia="zh-CN" w:bidi="ar-SA"/>
    </w:rPr>
  </w:style>
  <w:style w:type="character" w:customStyle="1" w:styleId="115">
    <w:name w:val="apple-style-span"/>
    <w:qFormat/>
    <w:uiPriority w:val="0"/>
    <w:rPr>
      <w:rFonts w:cs="Times New Roman"/>
    </w:rPr>
  </w:style>
  <w:style w:type="paragraph" w:customStyle="1" w:styleId="116">
    <w:name w:val="二级条标题"/>
    <w:basedOn w:val="117"/>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17">
    <w:name w:val="一级条标题"/>
    <w:basedOn w:val="118"/>
    <w:next w:val="119"/>
    <w:qFormat/>
    <w:uiPriority w:val="0"/>
    <w:pPr>
      <w:numPr>
        <w:ilvl w:val="1"/>
      </w:numPr>
      <w:tabs>
        <w:tab w:val="left" w:pos="360"/>
        <w:tab w:val="left" w:pos="840"/>
      </w:tabs>
      <w:ind w:left="0" w:hanging="840"/>
      <w:outlineLvl w:val="1"/>
    </w:pPr>
  </w:style>
  <w:style w:type="paragraph" w:customStyle="1" w:styleId="118">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19">
    <w:name w:val="段"/>
    <w:next w:val="120"/>
    <w:qFormat/>
    <w:uiPriority w:val="0"/>
    <w:pPr>
      <w:widowControl w:val="0"/>
      <w:spacing w:after="160" w:line="278" w:lineRule="auto"/>
      <w:ind w:firstLine="200"/>
      <w:jc w:val="both"/>
    </w:pPr>
    <w:rPr>
      <w:rFonts w:ascii="宋体" w:hAnsi="宋体" w:eastAsia="宋体" w:cs="宋体"/>
      <w:color w:val="000000"/>
      <w:sz w:val="21"/>
      <w:szCs w:val="21"/>
      <w:lang w:val="en-US" w:eastAsia="zh-CN" w:bidi="ar-SA"/>
    </w:rPr>
  </w:style>
  <w:style w:type="paragraph" w:customStyle="1" w:styleId="120">
    <w:name w:val="正文 A"/>
    <w:next w:val="119"/>
    <w:qFormat/>
    <w:uiPriority w:val="99"/>
    <w:pPr>
      <w:widowControl w:val="0"/>
      <w:pBdr>
        <w:top w:val="none" w:color="FFFFFF" w:sz="0" w:space="31"/>
        <w:left w:val="none" w:color="FFFFFF" w:sz="0" w:space="31"/>
        <w:bottom w:val="none" w:color="FFFFFF" w:sz="0" w:space="31"/>
        <w:right w:val="none" w:color="FFFFFF" w:sz="0" w:space="31"/>
      </w:pBdr>
      <w:spacing w:after="200" w:line="276" w:lineRule="auto"/>
      <w:jc w:val="both"/>
    </w:pPr>
    <w:rPr>
      <w:rFonts w:ascii="Times New Roman" w:hAnsi="Times New Roman" w:eastAsia="宋体" w:cs="Arial Unicode MS"/>
      <w:color w:val="000000"/>
      <w:sz w:val="21"/>
      <w:szCs w:val="21"/>
      <w:lang w:val="en-US" w:eastAsia="en-US" w:bidi="en-US"/>
    </w:rPr>
  </w:style>
  <w:style w:type="paragraph" w:customStyle="1" w:styleId="121">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22">
    <w:name w:val="字元 字元"/>
    <w:basedOn w:val="1"/>
    <w:qFormat/>
    <w:uiPriority w:val="0"/>
    <w:rPr>
      <w:rFonts w:ascii="Tahoma" w:hAnsi="Tahoma"/>
      <w:sz w:val="24"/>
      <w:szCs w:val="20"/>
    </w:rPr>
  </w:style>
  <w:style w:type="paragraph" w:customStyle="1" w:styleId="123">
    <w:name w:val="Char3 Char Char Char"/>
    <w:basedOn w:val="1"/>
    <w:qFormat/>
    <w:uiPriority w:val="0"/>
    <w:rPr>
      <w:rFonts w:ascii="Tahoma" w:hAnsi="Tahoma"/>
      <w:sz w:val="24"/>
      <w:szCs w:val="20"/>
    </w:rPr>
  </w:style>
  <w:style w:type="paragraph" w:customStyle="1" w:styleId="124">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25">
    <w:name w:val="项目编号2"/>
    <w:basedOn w:val="126"/>
    <w:qFormat/>
    <w:uiPriority w:val="0"/>
    <w:pPr>
      <w:numPr>
        <w:numId w:val="2"/>
      </w:numPr>
    </w:pPr>
  </w:style>
  <w:style w:type="paragraph" w:customStyle="1" w:styleId="126">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27">
    <w:name w:val="图中文字"/>
    <w:basedOn w:val="1"/>
    <w:qFormat/>
    <w:uiPriority w:val="0"/>
    <w:pPr>
      <w:adjustRightInd w:val="0"/>
      <w:snapToGrid w:val="0"/>
      <w:spacing w:line="0" w:lineRule="atLeast"/>
      <w:jc w:val="center"/>
    </w:pPr>
    <w:rPr>
      <w:sz w:val="24"/>
      <w:szCs w:val="20"/>
    </w:rPr>
  </w:style>
  <w:style w:type="paragraph" w:customStyle="1" w:styleId="128">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2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30">
    <w:name w:val="Char2"/>
    <w:basedOn w:val="1"/>
    <w:qFormat/>
    <w:uiPriority w:val="0"/>
    <w:rPr>
      <w:rFonts w:ascii="Tahoma" w:hAnsi="Tahoma"/>
      <w:sz w:val="24"/>
      <w:szCs w:val="20"/>
    </w:rPr>
  </w:style>
  <w:style w:type="paragraph" w:customStyle="1" w:styleId="131">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3">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34">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5">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36">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3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38">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9">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40">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4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2">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43">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44">
    <w:name w:val="font8"/>
    <w:basedOn w:val="1"/>
    <w:qFormat/>
    <w:uiPriority w:val="0"/>
    <w:pPr>
      <w:widowControl/>
      <w:spacing w:before="100" w:beforeAutospacing="1" w:after="100" w:afterAutospacing="1"/>
      <w:jc w:val="left"/>
    </w:pPr>
    <w:rPr>
      <w:kern w:val="0"/>
      <w:sz w:val="36"/>
      <w:szCs w:val="36"/>
    </w:rPr>
  </w:style>
  <w:style w:type="paragraph" w:customStyle="1" w:styleId="145">
    <w:name w:val="Char"/>
    <w:basedOn w:val="1"/>
    <w:qFormat/>
    <w:uiPriority w:val="0"/>
    <w:pPr>
      <w:tabs>
        <w:tab w:val="left" w:pos="360"/>
      </w:tabs>
    </w:pPr>
    <w:rPr>
      <w:sz w:val="24"/>
    </w:rPr>
  </w:style>
  <w:style w:type="paragraph" w:customStyle="1" w:styleId="146">
    <w:name w:val="Char Char Char Char Char Char Char Char Char Char Char Char Char Char Char Char"/>
    <w:basedOn w:val="1"/>
    <w:qFormat/>
    <w:uiPriority w:val="0"/>
    <w:pPr>
      <w:widowControl/>
      <w:spacing w:line="240" w:lineRule="exact"/>
      <w:jc w:val="center"/>
    </w:pPr>
    <w:rPr>
      <w:rFonts w:ascii="宋体" w:hAnsi="宋体"/>
      <w:b/>
      <w:kern w:val="0"/>
      <w:sz w:val="30"/>
      <w:szCs w:val="30"/>
      <w:lang w:eastAsia="en-US"/>
    </w:rPr>
  </w:style>
  <w:style w:type="paragraph" w:customStyle="1" w:styleId="147">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8">
    <w:name w:val="Char Char1 Char Char Char Char Char Char"/>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149">
    <w:name w:val="Char Char1"/>
    <w:basedOn w:val="15"/>
    <w:qFormat/>
    <w:uiPriority w:val="0"/>
    <w:rPr>
      <w:rFonts w:ascii="Tahoma" w:hAnsi="Tahoma"/>
      <w:sz w:val="24"/>
    </w:rPr>
  </w:style>
  <w:style w:type="paragraph" w:customStyle="1" w:styleId="15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51">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52">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53">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54">
    <w:name w:val="Char1 Char Char Char1"/>
    <w:basedOn w:val="1"/>
    <w:qFormat/>
    <w:uiPriority w:val="0"/>
    <w:rPr>
      <w:rFonts w:ascii="Tahoma" w:hAnsi="Tahoma" w:cs="仿宋_GB2312"/>
      <w:sz w:val="24"/>
      <w:szCs w:val="28"/>
    </w:rPr>
  </w:style>
  <w:style w:type="paragraph" w:customStyle="1" w:styleId="155">
    <w:name w:val="四级条标题"/>
    <w:basedOn w:val="156"/>
    <w:next w:val="1"/>
    <w:qFormat/>
    <w:uiPriority w:val="0"/>
    <w:pPr>
      <w:numPr>
        <w:ilvl w:val="4"/>
      </w:numPr>
      <w:tabs>
        <w:tab w:val="left" w:pos="360"/>
        <w:tab w:val="left" w:pos="840"/>
      </w:tabs>
      <w:ind w:left="0" w:hanging="840"/>
      <w:outlineLvl w:val="4"/>
    </w:pPr>
  </w:style>
  <w:style w:type="paragraph" w:customStyle="1" w:styleId="156">
    <w:name w:val="三级条标题"/>
    <w:basedOn w:val="116"/>
    <w:next w:val="1"/>
    <w:qFormat/>
    <w:uiPriority w:val="0"/>
    <w:pPr>
      <w:numPr>
        <w:ilvl w:val="3"/>
        <w:numId w:val="1"/>
      </w:numPr>
      <w:ind w:left="0" w:hanging="840"/>
      <w:outlineLvl w:val="3"/>
    </w:pPr>
  </w:style>
  <w:style w:type="paragraph" w:customStyle="1" w:styleId="157">
    <w:name w:val="??"/>
    <w:qFormat/>
    <w:uiPriority w:val="0"/>
    <w:pPr>
      <w:widowControl w:val="0"/>
      <w:overflowPunct w:val="0"/>
      <w:autoSpaceDE w:val="0"/>
      <w:autoSpaceDN w:val="0"/>
      <w:adjustRightInd w:val="0"/>
      <w:spacing w:after="160" w:line="278" w:lineRule="auto"/>
      <w:jc w:val="both"/>
    </w:pPr>
    <w:rPr>
      <w:rFonts w:ascii="Times New Roman" w:hAnsi="Times New Roman" w:eastAsia="宋体" w:cs="Times New Roman"/>
      <w:kern w:val="2"/>
      <w:sz w:val="21"/>
      <w:lang w:val="en-US" w:eastAsia="en-US" w:bidi="ar-SA"/>
    </w:rPr>
  </w:style>
  <w:style w:type="paragraph" w:customStyle="1" w:styleId="158">
    <w:name w:val="样式 标题 2 + 宋体 五号 行距: 单倍行距"/>
    <w:basedOn w:val="3"/>
    <w:qFormat/>
    <w:uiPriority w:val="0"/>
    <w:pPr>
      <w:numPr>
        <w:ilvl w:val="1"/>
        <w:numId w:val="4"/>
      </w:numPr>
      <w:autoSpaceDE/>
      <w:autoSpaceDN/>
      <w:spacing w:before="260" w:after="260" w:line="240" w:lineRule="auto"/>
      <w:textAlignment w:val="baseline"/>
    </w:pPr>
    <w:rPr>
      <w:rFonts w:ascii="宋体" w:hAnsi="宋体"/>
      <w:bCs/>
      <w:sz w:val="21"/>
    </w:rPr>
  </w:style>
  <w:style w:type="paragraph" w:customStyle="1" w:styleId="159">
    <w:name w:val="List Paragraph1"/>
    <w:basedOn w:val="1"/>
    <w:qFormat/>
    <w:uiPriority w:val="0"/>
    <w:pPr>
      <w:ind w:firstLine="420" w:firstLineChars="200"/>
    </w:pPr>
    <w:rPr>
      <w:rFonts w:ascii="Calibri" w:hAnsi="Calibri"/>
      <w:szCs w:val="22"/>
    </w:rPr>
  </w:style>
  <w:style w:type="paragraph" w:customStyle="1" w:styleId="160">
    <w:name w:val="项目符号1"/>
    <w:basedOn w:val="161"/>
    <w:qFormat/>
    <w:uiPriority w:val="0"/>
    <w:pPr>
      <w:ind w:left="-25" w:firstLine="0"/>
    </w:pPr>
  </w:style>
  <w:style w:type="paragraph" w:customStyle="1" w:styleId="161">
    <w:name w:val="正文文本样式"/>
    <w:basedOn w:val="1"/>
    <w:link w:val="314"/>
    <w:qFormat/>
    <w:uiPriority w:val="0"/>
    <w:pPr>
      <w:spacing w:line="360" w:lineRule="auto"/>
      <w:ind w:firstLine="482"/>
    </w:pPr>
    <w:rPr>
      <w:rFonts w:cs="宋体"/>
      <w:sz w:val="24"/>
      <w:szCs w:val="20"/>
    </w:rPr>
  </w:style>
  <w:style w:type="paragraph" w:customStyle="1" w:styleId="16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6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4">
    <w:name w:val="五级条标题"/>
    <w:basedOn w:val="155"/>
    <w:next w:val="1"/>
    <w:qFormat/>
    <w:uiPriority w:val="0"/>
    <w:pPr>
      <w:numPr>
        <w:ilvl w:val="5"/>
      </w:numPr>
      <w:ind w:left="0" w:hanging="840"/>
      <w:outlineLvl w:val="5"/>
    </w:pPr>
  </w:style>
  <w:style w:type="paragraph" w:customStyle="1" w:styleId="165">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66">
    <w:name w:val="文档正文"/>
    <w:basedOn w:val="1"/>
    <w:qFormat/>
    <w:uiPriority w:val="0"/>
    <w:pPr>
      <w:snapToGrid w:val="0"/>
      <w:spacing w:before="120" w:after="120" w:line="180" w:lineRule="auto"/>
    </w:pPr>
    <w:rPr>
      <w:rFonts w:ascii="Arial" w:hAnsi="Arial"/>
      <w:szCs w:val="20"/>
    </w:rPr>
  </w:style>
  <w:style w:type="paragraph" w:customStyle="1" w:styleId="16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6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69">
    <w:name w:val="Char Char Char1 Char"/>
    <w:basedOn w:val="1"/>
    <w:qFormat/>
    <w:uiPriority w:val="0"/>
    <w:rPr>
      <w:rFonts w:ascii="Tahoma" w:hAnsi="Tahoma"/>
      <w:sz w:val="24"/>
      <w:szCs w:val="20"/>
    </w:rPr>
  </w:style>
  <w:style w:type="paragraph" w:customStyle="1" w:styleId="170">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71">
    <w:name w:val="1名"/>
    <w:basedOn w:val="1"/>
    <w:qFormat/>
    <w:uiPriority w:val="0"/>
    <w:pPr>
      <w:numPr>
        <w:ilvl w:val="0"/>
        <w:numId w:val="5"/>
      </w:numPr>
      <w:spacing w:before="120"/>
    </w:pPr>
    <w:rPr>
      <w:rFonts w:ascii="宋体"/>
      <w:sz w:val="28"/>
      <w:szCs w:val="20"/>
    </w:rPr>
  </w:style>
  <w:style w:type="paragraph" w:customStyle="1" w:styleId="172">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73">
    <w:name w:val="Char Char Char1 Char1"/>
    <w:basedOn w:val="1"/>
    <w:qFormat/>
    <w:uiPriority w:val="0"/>
    <w:rPr>
      <w:rFonts w:ascii="Tahoma" w:hAnsi="Tahoma"/>
      <w:sz w:val="24"/>
      <w:szCs w:val="20"/>
    </w:rPr>
  </w:style>
  <w:style w:type="paragraph" w:customStyle="1" w:styleId="174">
    <w:name w:val="Char Char Char Char Char Char Char Char Char Char"/>
    <w:basedOn w:val="1"/>
    <w:qFormat/>
    <w:uiPriority w:val="0"/>
  </w:style>
  <w:style w:type="paragraph" w:customStyle="1" w:styleId="175">
    <w:name w:val="Char Char1 Char Char Char Char Char 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176">
    <w:name w:val="Char1"/>
    <w:basedOn w:val="1"/>
    <w:qFormat/>
    <w:uiPriority w:val="0"/>
    <w:pPr>
      <w:tabs>
        <w:tab w:val="left" w:pos="360"/>
      </w:tabs>
    </w:pPr>
    <w:rPr>
      <w:sz w:val="24"/>
    </w:rPr>
  </w:style>
  <w:style w:type="paragraph" w:customStyle="1" w:styleId="177">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7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79">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80">
    <w:name w:val="默认段落字体 Para Char Char Char Char"/>
    <w:basedOn w:val="1"/>
    <w:qFormat/>
    <w:uiPriority w:val="0"/>
    <w:rPr>
      <w:rFonts w:ascii="Arial" w:hAnsi="Arial" w:cs="Arial"/>
      <w:szCs w:val="21"/>
    </w:rPr>
  </w:style>
  <w:style w:type="paragraph" w:customStyle="1" w:styleId="181">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8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83">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84">
    <w:name w:val="Char Char Char"/>
    <w:basedOn w:val="1"/>
    <w:qFormat/>
    <w:uiPriority w:val="0"/>
    <w:rPr>
      <w:rFonts w:ascii="Tahoma" w:hAnsi="Tahoma"/>
      <w:sz w:val="24"/>
      <w:szCs w:val="20"/>
    </w:rPr>
  </w:style>
  <w:style w:type="paragraph" w:customStyle="1" w:styleId="185">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86">
    <w:name w:val="缺省文本"/>
    <w:basedOn w:val="1"/>
    <w:qFormat/>
    <w:uiPriority w:val="0"/>
    <w:pPr>
      <w:autoSpaceDE w:val="0"/>
      <w:autoSpaceDN w:val="0"/>
      <w:adjustRightInd w:val="0"/>
      <w:jc w:val="left"/>
    </w:pPr>
    <w:rPr>
      <w:kern w:val="0"/>
      <w:sz w:val="24"/>
    </w:rPr>
  </w:style>
  <w:style w:type="paragraph" w:customStyle="1" w:styleId="187">
    <w:name w:val="Char Char Char1"/>
    <w:basedOn w:val="1"/>
    <w:qFormat/>
    <w:uiPriority w:val="0"/>
    <w:rPr>
      <w:rFonts w:ascii="Tahoma" w:hAnsi="Tahoma"/>
      <w:sz w:val="24"/>
      <w:szCs w:val="20"/>
    </w:rPr>
  </w:style>
  <w:style w:type="paragraph" w:customStyle="1" w:styleId="188">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89">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90">
    <w:name w:val="样式2"/>
    <w:basedOn w:val="41"/>
    <w:qFormat/>
    <w:uiPriority w:val="0"/>
    <w:pPr>
      <w:spacing w:line="360" w:lineRule="auto"/>
      <w:jc w:val="center"/>
    </w:pPr>
    <w:rPr>
      <w:sz w:val="24"/>
    </w:rPr>
  </w:style>
  <w:style w:type="paragraph" w:customStyle="1" w:styleId="19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9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93">
    <w:name w:val="正文 + 楷体_GB2312"/>
    <w:basedOn w:val="1"/>
    <w:qFormat/>
    <w:uiPriority w:val="0"/>
    <w:pPr>
      <w:widowControl/>
      <w:jc w:val="left"/>
    </w:pPr>
    <w:rPr>
      <w:rFonts w:ascii="楷体_GB2312" w:eastAsia="楷体_GB2312" w:cs="Arial"/>
      <w:kern w:val="0"/>
      <w:sz w:val="24"/>
    </w:rPr>
  </w:style>
  <w:style w:type="paragraph" w:customStyle="1" w:styleId="19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95">
    <w:name w:val="1 Char Char Char Char"/>
    <w:basedOn w:val="1"/>
    <w:qFormat/>
    <w:uiPriority w:val="0"/>
    <w:rPr>
      <w:rFonts w:ascii="Tahoma" w:hAnsi="Tahoma"/>
      <w:sz w:val="24"/>
      <w:szCs w:val="20"/>
    </w:rPr>
  </w:style>
  <w:style w:type="paragraph" w:customStyle="1" w:styleId="196">
    <w:name w:val="列出段落1"/>
    <w:basedOn w:val="1"/>
    <w:qFormat/>
    <w:uiPriority w:val="99"/>
    <w:pPr>
      <w:ind w:firstLine="420" w:firstLineChars="200"/>
    </w:pPr>
    <w:rPr>
      <w:rFonts w:ascii="Calibri" w:hAnsi="Calibri"/>
      <w:szCs w:val="22"/>
    </w:rPr>
  </w:style>
  <w:style w:type="paragraph" w:customStyle="1" w:styleId="197">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98">
    <w:name w:val="字元 字元1"/>
    <w:basedOn w:val="1"/>
    <w:qFormat/>
    <w:uiPriority w:val="0"/>
    <w:rPr>
      <w:rFonts w:ascii="Tahoma" w:hAnsi="Tahoma"/>
      <w:sz w:val="24"/>
      <w:szCs w:val="20"/>
    </w:rPr>
  </w:style>
  <w:style w:type="paragraph" w:customStyle="1" w:styleId="199">
    <w:name w:val="_Style 160"/>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200">
    <w:name w:val="项目编号3"/>
    <w:basedOn w:val="161"/>
    <w:qFormat/>
    <w:uiPriority w:val="0"/>
    <w:pPr>
      <w:numPr>
        <w:ilvl w:val="0"/>
        <w:numId w:val="6"/>
      </w:numPr>
    </w:pPr>
  </w:style>
  <w:style w:type="paragraph" w:customStyle="1" w:styleId="201">
    <w:name w:val="Char21"/>
    <w:basedOn w:val="1"/>
    <w:qFormat/>
    <w:uiPriority w:val="0"/>
    <w:rPr>
      <w:rFonts w:ascii="Tahoma" w:hAnsi="Tahoma"/>
      <w:sz w:val="24"/>
      <w:szCs w:val="20"/>
    </w:rPr>
  </w:style>
  <w:style w:type="paragraph" w:customStyle="1" w:styleId="202">
    <w:name w:val="表格文字"/>
    <w:basedOn w:val="20"/>
    <w:qFormat/>
    <w:uiPriority w:val="0"/>
    <w:pPr>
      <w:spacing w:before="20" w:after="20" w:line="240" w:lineRule="auto"/>
      <w:ind w:firstLine="0"/>
    </w:pPr>
    <w:rPr>
      <w:rFonts w:ascii="Century Gothic" w:hAnsi="Century Gothic"/>
      <w:sz w:val="20"/>
      <w:szCs w:val="20"/>
    </w:rPr>
  </w:style>
  <w:style w:type="paragraph" w:customStyle="1" w:styleId="203">
    <w:name w:val="Char Char Char Char Char Char Char Char Char Char1"/>
    <w:basedOn w:val="1"/>
    <w:qFormat/>
    <w:uiPriority w:val="0"/>
    <w:rPr>
      <w:rFonts w:ascii="宋体" w:hAnsi="宋体" w:cs="Courier New"/>
      <w:sz w:val="32"/>
      <w:szCs w:val="32"/>
    </w:rPr>
  </w:style>
  <w:style w:type="paragraph" w:customStyle="1" w:styleId="204">
    <w:name w:val="正文文本样式 加粗"/>
    <w:basedOn w:val="161"/>
    <w:qFormat/>
    <w:uiPriority w:val="0"/>
    <w:rPr>
      <w:b/>
    </w:rPr>
  </w:style>
  <w:style w:type="paragraph" w:customStyle="1" w:styleId="205">
    <w:name w:val="Char2 Char Char Char Char Char Char"/>
    <w:basedOn w:val="1"/>
    <w:qFormat/>
    <w:uiPriority w:val="0"/>
    <w:pPr>
      <w:widowControl/>
      <w:spacing w:line="400" w:lineRule="exact"/>
      <w:jc w:val="center"/>
    </w:pPr>
  </w:style>
  <w:style w:type="paragraph" w:customStyle="1" w:styleId="206">
    <w:name w:val="Char Char4"/>
    <w:basedOn w:val="1"/>
    <w:qFormat/>
    <w:uiPriority w:val="0"/>
    <w:pPr>
      <w:widowControl/>
      <w:spacing w:line="400" w:lineRule="exact"/>
      <w:jc w:val="center"/>
    </w:pPr>
  </w:style>
  <w:style w:type="paragraph" w:customStyle="1" w:styleId="207">
    <w:name w:val="Char3 Char Char Char1"/>
    <w:basedOn w:val="1"/>
    <w:qFormat/>
    <w:uiPriority w:val="0"/>
    <w:rPr>
      <w:rFonts w:ascii="Tahoma" w:hAnsi="Tahoma"/>
      <w:sz w:val="24"/>
      <w:szCs w:val="20"/>
    </w:rPr>
  </w:style>
  <w:style w:type="paragraph" w:styleId="208">
    <w:name w:val="No Spacing"/>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209">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210">
    <w:name w:val="中等深浅网格 1 - 强调文字颜色 2 Char"/>
    <w:link w:val="211"/>
    <w:qFormat/>
    <w:uiPriority w:val="0"/>
    <w:rPr>
      <w:kern w:val="2"/>
      <w:sz w:val="21"/>
      <w:szCs w:val="24"/>
      <w:lang w:val="zh-CN" w:eastAsia="zh-CN" w:bidi="ar-SA"/>
    </w:rPr>
  </w:style>
  <w:style w:type="paragraph" w:customStyle="1" w:styleId="211">
    <w:name w:val="1"/>
    <w:link w:val="210"/>
    <w:qFormat/>
    <w:uiPriority w:val="0"/>
    <w:pPr>
      <w:spacing w:after="160" w:line="278" w:lineRule="auto"/>
    </w:pPr>
    <w:rPr>
      <w:rFonts w:ascii="Times New Roman" w:hAnsi="Times New Roman" w:eastAsia="宋体" w:cs="Times New Roman"/>
      <w:kern w:val="2"/>
      <w:sz w:val="21"/>
      <w:szCs w:val="24"/>
      <w:lang w:val="zh-CN" w:eastAsia="zh-CN" w:bidi="ar-SA"/>
    </w:rPr>
  </w:style>
  <w:style w:type="paragraph" w:customStyle="1" w:styleId="212">
    <w:name w:val="图文"/>
    <w:basedOn w:val="1"/>
    <w:qFormat/>
    <w:uiPriority w:val="0"/>
    <w:pPr>
      <w:adjustRightInd w:val="0"/>
      <w:snapToGrid w:val="0"/>
      <w:spacing w:after="50" w:line="360" w:lineRule="auto"/>
    </w:pPr>
    <w:rPr>
      <w:sz w:val="24"/>
    </w:rPr>
  </w:style>
  <w:style w:type="paragraph" w:customStyle="1" w:styleId="213">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14">
    <w:name w:val="正文表格"/>
    <w:basedOn w:val="1"/>
    <w:link w:val="215"/>
    <w:qFormat/>
    <w:uiPriority w:val="0"/>
    <w:pPr>
      <w:adjustRightInd w:val="0"/>
      <w:snapToGrid w:val="0"/>
      <w:jc w:val="left"/>
    </w:pPr>
    <w:rPr>
      <w:rFonts w:ascii="宋体" w:hAnsi="宋体"/>
      <w:color w:val="000000"/>
      <w:szCs w:val="21"/>
    </w:rPr>
  </w:style>
  <w:style w:type="character" w:customStyle="1" w:styleId="215">
    <w:name w:val="正文表格 Char"/>
    <w:link w:val="214"/>
    <w:qFormat/>
    <w:uiPriority w:val="0"/>
    <w:rPr>
      <w:rFonts w:ascii="宋体" w:hAnsi="宋体"/>
      <w:color w:val="000000"/>
      <w:kern w:val="2"/>
      <w:sz w:val="21"/>
      <w:szCs w:val="21"/>
    </w:rPr>
  </w:style>
  <w:style w:type="paragraph" w:customStyle="1" w:styleId="216">
    <w:name w:val="正文重点"/>
    <w:basedOn w:val="1"/>
    <w:link w:val="217"/>
    <w:qFormat/>
    <w:uiPriority w:val="0"/>
    <w:pPr>
      <w:adjustRightInd w:val="0"/>
      <w:spacing w:line="360" w:lineRule="auto"/>
      <w:ind w:firstLine="482" w:firstLineChars="200"/>
      <w:jc w:val="left"/>
      <w:textAlignment w:val="baseline"/>
    </w:pPr>
    <w:rPr>
      <w:b/>
      <w:kern w:val="0"/>
      <w:sz w:val="24"/>
      <w:szCs w:val="20"/>
    </w:rPr>
  </w:style>
  <w:style w:type="character" w:customStyle="1" w:styleId="217">
    <w:name w:val="正文重点 Char"/>
    <w:link w:val="216"/>
    <w:qFormat/>
    <w:uiPriority w:val="0"/>
    <w:rPr>
      <w:b/>
      <w:sz w:val="24"/>
    </w:rPr>
  </w:style>
  <w:style w:type="paragraph" w:customStyle="1" w:styleId="218">
    <w:name w:val="标题1-附件"/>
    <w:basedOn w:val="2"/>
    <w:qFormat/>
    <w:uiPriority w:val="0"/>
    <w:pPr>
      <w:jc w:val="left"/>
    </w:pPr>
    <w:rPr>
      <w:sz w:val="24"/>
      <w:szCs w:val="24"/>
    </w:rPr>
  </w:style>
  <w:style w:type="paragraph" w:customStyle="1" w:styleId="219">
    <w:name w:val="正文小标题"/>
    <w:basedOn w:val="1"/>
    <w:next w:val="13"/>
    <w:link w:val="220"/>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20">
    <w:name w:val="正文小标题 Char"/>
    <w:link w:val="219"/>
    <w:qFormat/>
    <w:uiPriority w:val="0"/>
    <w:rPr>
      <w:rFonts w:ascii="宋体" w:hAnsi="宋体"/>
      <w:b/>
      <w:i/>
      <w:color w:val="FF0000"/>
      <w:kern w:val="2"/>
      <w:sz w:val="24"/>
    </w:rPr>
  </w:style>
  <w:style w:type="paragraph" w:customStyle="1" w:styleId="221">
    <w:name w:val="正文大标题"/>
    <w:basedOn w:val="219"/>
    <w:next w:val="13"/>
    <w:link w:val="222"/>
    <w:qFormat/>
    <w:uiPriority w:val="0"/>
    <w:pPr>
      <w:jc w:val="center"/>
    </w:pPr>
    <w:rPr>
      <w:i w:val="0"/>
      <w:color w:val="000000"/>
      <w:sz w:val="28"/>
      <w:szCs w:val="21"/>
    </w:rPr>
  </w:style>
  <w:style w:type="character" w:customStyle="1" w:styleId="222">
    <w:name w:val="正文大标题 Char"/>
    <w:link w:val="221"/>
    <w:qFormat/>
    <w:uiPriority w:val="0"/>
    <w:rPr>
      <w:rFonts w:ascii="宋体" w:hAnsi="宋体"/>
      <w:b/>
      <w:color w:val="000000"/>
      <w:kern w:val="2"/>
      <w:sz w:val="28"/>
      <w:szCs w:val="21"/>
    </w:rPr>
  </w:style>
  <w:style w:type="paragraph" w:customStyle="1" w:styleId="223">
    <w:name w:val="注释"/>
    <w:basedOn w:val="1"/>
    <w:link w:val="224"/>
    <w:qFormat/>
    <w:uiPriority w:val="0"/>
    <w:pPr>
      <w:adjustRightInd w:val="0"/>
      <w:snapToGrid w:val="0"/>
      <w:ind w:left="420" w:hanging="420" w:hangingChars="200"/>
      <w:jc w:val="left"/>
    </w:pPr>
    <w:rPr>
      <w:rFonts w:ascii="宋体" w:hAnsi="宋体"/>
      <w:szCs w:val="21"/>
    </w:rPr>
  </w:style>
  <w:style w:type="character" w:customStyle="1" w:styleId="224">
    <w:name w:val="注释 Char"/>
    <w:link w:val="223"/>
    <w:qFormat/>
    <w:uiPriority w:val="0"/>
    <w:rPr>
      <w:rFonts w:ascii="宋体" w:hAnsi="宋体"/>
      <w:kern w:val="2"/>
      <w:sz w:val="21"/>
      <w:szCs w:val="21"/>
    </w:rPr>
  </w:style>
  <w:style w:type="paragraph" w:customStyle="1" w:styleId="225">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26">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27">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28">
    <w:name w:val="纯文本 字符"/>
    <w:qFormat/>
    <w:uiPriority w:val="0"/>
    <w:rPr>
      <w:rFonts w:ascii="宋体" w:hAnsi="Courier New" w:eastAsia="宋体" w:cs="Times New Roman"/>
      <w:kern w:val="2"/>
      <w:sz w:val="21"/>
      <w:szCs w:val="21"/>
      <w:lang w:val="en-US" w:eastAsia="zh-CN" w:bidi="ar-SA"/>
    </w:rPr>
  </w:style>
  <w:style w:type="paragraph" w:customStyle="1" w:styleId="229">
    <w:name w:val="表格1"/>
    <w:basedOn w:val="1"/>
    <w:qFormat/>
    <w:uiPriority w:val="0"/>
    <w:pPr>
      <w:ind w:firstLine="480" w:firstLineChars="200"/>
      <w:jc w:val="center"/>
    </w:pPr>
    <w:rPr>
      <w:sz w:val="24"/>
      <w:szCs w:val="20"/>
    </w:rPr>
  </w:style>
  <w:style w:type="character" w:customStyle="1" w:styleId="230">
    <w:name w:val="纯文本 字符1"/>
    <w:qFormat/>
    <w:uiPriority w:val="0"/>
    <w:rPr>
      <w:rFonts w:ascii="宋体" w:hAnsi="Courier New"/>
    </w:rPr>
  </w:style>
  <w:style w:type="character" w:customStyle="1" w:styleId="231">
    <w:name w:val="bjh-p"/>
    <w:qFormat/>
    <w:uiPriority w:val="0"/>
  </w:style>
  <w:style w:type="paragraph" w:customStyle="1" w:styleId="232">
    <w:name w:val="无标题条"/>
    <w:next w:val="1"/>
    <w:qFormat/>
    <w:uiPriority w:val="0"/>
    <w:pPr>
      <w:spacing w:after="160" w:line="278" w:lineRule="auto"/>
      <w:jc w:val="both"/>
    </w:pPr>
    <w:rPr>
      <w:rFonts w:ascii="Times New Roman" w:hAnsi="Times New Roman" w:eastAsia="宋体" w:cs="Times New Roman"/>
      <w:sz w:val="21"/>
      <w:lang w:val="en-US" w:eastAsia="zh-CN" w:bidi="ar-SA"/>
    </w:rPr>
  </w:style>
  <w:style w:type="character" w:customStyle="1" w:styleId="233">
    <w:name w:val="正文格式 Char"/>
    <w:link w:val="234"/>
    <w:qFormat/>
    <w:locked/>
    <w:uiPriority w:val="0"/>
    <w:rPr>
      <w:rFonts w:ascii="宋体" w:hAnsi="宋体"/>
      <w:sz w:val="24"/>
      <w:szCs w:val="24"/>
      <w:lang w:val="en-GB"/>
    </w:rPr>
  </w:style>
  <w:style w:type="paragraph" w:customStyle="1" w:styleId="234">
    <w:name w:val="正文格式"/>
    <w:basedOn w:val="1"/>
    <w:link w:val="233"/>
    <w:qFormat/>
    <w:uiPriority w:val="0"/>
    <w:pPr>
      <w:spacing w:beforeLines="50" w:line="360" w:lineRule="auto"/>
      <w:ind w:firstLine="480" w:firstLineChars="200"/>
    </w:pPr>
    <w:rPr>
      <w:rFonts w:ascii="宋体" w:hAnsi="宋体"/>
      <w:kern w:val="0"/>
      <w:sz w:val="24"/>
      <w:lang w:val="en-GB"/>
    </w:rPr>
  </w:style>
  <w:style w:type="character" w:customStyle="1" w:styleId="235">
    <w:name w:val="标题 3 Char"/>
    <w:qFormat/>
    <w:uiPriority w:val="0"/>
    <w:rPr>
      <w:rFonts w:ascii="宋体" w:eastAsia="宋体"/>
      <w:b/>
      <w:sz w:val="24"/>
      <w:u w:val="single"/>
      <w:lang w:val="en-US" w:eastAsia="zh-CN" w:bidi="ar-SA"/>
    </w:rPr>
  </w:style>
  <w:style w:type="character" w:customStyle="1" w:styleId="236">
    <w:name w:val="正文缩进 Char"/>
    <w:qFormat/>
    <w:uiPriority w:val="0"/>
    <w:rPr>
      <w:rFonts w:ascii="宋体" w:eastAsia="宋体"/>
      <w:kern w:val="2"/>
      <w:sz w:val="24"/>
      <w:szCs w:val="24"/>
      <w:lang w:val="en-US" w:eastAsia="zh-CN" w:bidi="ar-SA"/>
    </w:rPr>
  </w:style>
  <w:style w:type="character" w:customStyle="1" w:styleId="237">
    <w:name w:val="Char Char111"/>
    <w:qFormat/>
    <w:uiPriority w:val="0"/>
    <w:rPr>
      <w:rFonts w:ascii="宋体" w:eastAsia="宋体"/>
      <w:b/>
      <w:sz w:val="24"/>
      <w:u w:val="single"/>
      <w:lang w:val="en-US" w:eastAsia="zh-CN" w:bidi="ar-SA"/>
    </w:rPr>
  </w:style>
  <w:style w:type="character" w:customStyle="1" w:styleId="238">
    <w:name w:val="正文文本缩进 Char"/>
    <w:qFormat/>
    <w:uiPriority w:val="0"/>
    <w:rPr>
      <w:rFonts w:eastAsia="宋体"/>
      <w:kern w:val="2"/>
      <w:sz w:val="24"/>
      <w:szCs w:val="24"/>
      <w:lang w:val="en-US" w:eastAsia="zh-CN" w:bidi="ar-SA"/>
    </w:rPr>
  </w:style>
  <w:style w:type="character" w:customStyle="1" w:styleId="239">
    <w:name w:val="列出段落 Char"/>
    <w:qFormat/>
    <w:uiPriority w:val="0"/>
    <w:rPr>
      <w:rFonts w:ascii="Calibri" w:hAnsi="Calibri" w:eastAsia="宋体"/>
      <w:kern w:val="2"/>
      <w:sz w:val="21"/>
      <w:szCs w:val="22"/>
      <w:lang w:val="en-US" w:eastAsia="zh-CN" w:bidi="ar-SA"/>
    </w:rPr>
  </w:style>
  <w:style w:type="character" w:customStyle="1" w:styleId="240">
    <w:name w:val="页眉 Char"/>
    <w:qFormat/>
    <w:uiPriority w:val="0"/>
    <w:rPr>
      <w:rFonts w:eastAsia="宋体"/>
      <w:kern w:val="2"/>
      <w:sz w:val="18"/>
      <w:szCs w:val="18"/>
      <w:lang w:val="en-US" w:eastAsia="zh-CN" w:bidi="ar-SA"/>
    </w:rPr>
  </w:style>
  <w:style w:type="character" w:customStyle="1" w:styleId="241">
    <w:name w:val="标题 2 Char"/>
    <w:qFormat/>
    <w:uiPriority w:val="0"/>
    <w:rPr>
      <w:rFonts w:ascii="Arial" w:hAnsi="Arial" w:eastAsia="黑体"/>
      <w:b/>
      <w:sz w:val="30"/>
      <w:lang w:val="en-US" w:eastAsia="zh-CN" w:bidi="ar-SA"/>
    </w:rPr>
  </w:style>
  <w:style w:type="paragraph" w:customStyle="1" w:styleId="242">
    <w:name w:val="字元 字元2"/>
    <w:basedOn w:val="1"/>
    <w:qFormat/>
    <w:uiPriority w:val="0"/>
    <w:rPr>
      <w:rFonts w:ascii="Tahoma" w:hAnsi="Tahoma"/>
      <w:sz w:val="24"/>
      <w:szCs w:val="20"/>
    </w:rPr>
  </w:style>
  <w:style w:type="paragraph" w:customStyle="1" w:styleId="243">
    <w:name w:val="Char3 Char Char Char2"/>
    <w:basedOn w:val="1"/>
    <w:qFormat/>
    <w:uiPriority w:val="0"/>
    <w:rPr>
      <w:rFonts w:ascii="Tahoma" w:hAnsi="Tahoma"/>
      <w:sz w:val="24"/>
      <w:szCs w:val="20"/>
    </w:rPr>
  </w:style>
  <w:style w:type="paragraph" w:customStyle="1" w:styleId="244">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45">
    <w:name w:val="Char3"/>
    <w:basedOn w:val="1"/>
    <w:qFormat/>
    <w:uiPriority w:val="0"/>
    <w:pPr>
      <w:tabs>
        <w:tab w:val="left" w:pos="360"/>
      </w:tabs>
    </w:pPr>
    <w:rPr>
      <w:sz w:val="24"/>
    </w:rPr>
  </w:style>
  <w:style w:type="paragraph" w:customStyle="1" w:styleId="246">
    <w:name w:val="Char Char Char Char Char Char Char Char Char Char Char Char Char Char Char Char1"/>
    <w:basedOn w:val="1"/>
    <w:qFormat/>
    <w:uiPriority w:val="0"/>
    <w:pPr>
      <w:widowControl/>
      <w:spacing w:line="240" w:lineRule="exact"/>
      <w:jc w:val="center"/>
    </w:pPr>
    <w:rPr>
      <w:rFonts w:ascii="宋体" w:hAnsi="宋体"/>
      <w:b/>
      <w:kern w:val="0"/>
      <w:sz w:val="30"/>
      <w:szCs w:val="30"/>
      <w:lang w:eastAsia="en-US"/>
    </w:rPr>
  </w:style>
  <w:style w:type="paragraph" w:customStyle="1" w:styleId="247">
    <w:name w:val="Char Char1 Char Char Char Char Char Char1"/>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248">
    <w:name w:val="列出段落2"/>
    <w:basedOn w:val="1"/>
    <w:qFormat/>
    <w:uiPriority w:val="0"/>
    <w:pPr>
      <w:ind w:firstLine="420" w:firstLineChars="200"/>
    </w:pPr>
    <w:rPr>
      <w:rFonts w:ascii="Calibri" w:hAnsi="Calibri"/>
      <w:szCs w:val="22"/>
    </w:rPr>
  </w:style>
  <w:style w:type="paragraph" w:customStyle="1" w:styleId="249">
    <w:name w:val="Char Char Char1 Char2"/>
    <w:basedOn w:val="1"/>
    <w:qFormat/>
    <w:uiPriority w:val="0"/>
    <w:rPr>
      <w:rFonts w:ascii="Tahoma" w:hAnsi="Tahoma"/>
      <w:sz w:val="24"/>
      <w:szCs w:val="20"/>
    </w:rPr>
  </w:style>
  <w:style w:type="paragraph" w:customStyle="1" w:styleId="250">
    <w:name w:val="Char Char Char2"/>
    <w:basedOn w:val="1"/>
    <w:qFormat/>
    <w:uiPriority w:val="0"/>
    <w:rPr>
      <w:rFonts w:ascii="Tahoma" w:hAnsi="Tahoma"/>
      <w:sz w:val="24"/>
      <w:szCs w:val="20"/>
    </w:rPr>
  </w:style>
  <w:style w:type="paragraph" w:customStyle="1" w:styleId="251">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52">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53">
    <w:name w:val="修订1"/>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254">
    <w:name w:val="Char22"/>
    <w:basedOn w:val="1"/>
    <w:qFormat/>
    <w:uiPriority w:val="0"/>
    <w:rPr>
      <w:rFonts w:ascii="Tahoma" w:hAnsi="Tahoma"/>
      <w:sz w:val="24"/>
      <w:szCs w:val="20"/>
    </w:rPr>
  </w:style>
  <w:style w:type="paragraph" w:customStyle="1" w:styleId="255">
    <w:name w:val="Char Char Char Char Char Char Char Char Char Char2"/>
    <w:basedOn w:val="1"/>
    <w:qFormat/>
    <w:uiPriority w:val="0"/>
    <w:rPr>
      <w:rFonts w:ascii="宋体" w:hAnsi="宋体" w:cs="Courier New"/>
      <w:sz w:val="32"/>
      <w:szCs w:val="32"/>
    </w:rPr>
  </w:style>
  <w:style w:type="paragraph" w:customStyle="1" w:styleId="256">
    <w:name w:val="Char2 Char Char Char Char Char Char1"/>
    <w:basedOn w:val="1"/>
    <w:qFormat/>
    <w:uiPriority w:val="0"/>
    <w:pPr>
      <w:widowControl/>
      <w:spacing w:line="400" w:lineRule="exact"/>
      <w:jc w:val="center"/>
    </w:pPr>
  </w:style>
  <w:style w:type="character" w:customStyle="1" w:styleId="257">
    <w:name w:val="页脚 Char"/>
    <w:qFormat/>
    <w:uiPriority w:val="0"/>
    <w:rPr>
      <w:rFonts w:ascii="宋体" w:eastAsia="宋体"/>
      <w:sz w:val="18"/>
      <w:lang w:val="en-US" w:eastAsia="zh-CN" w:bidi="ar-SA"/>
    </w:rPr>
  </w:style>
  <w:style w:type="paragraph" w:customStyle="1" w:styleId="258">
    <w:name w:val="Char Char41"/>
    <w:basedOn w:val="1"/>
    <w:qFormat/>
    <w:uiPriority w:val="0"/>
    <w:pPr>
      <w:widowControl/>
      <w:spacing w:line="400" w:lineRule="exact"/>
      <w:jc w:val="center"/>
    </w:pPr>
  </w:style>
  <w:style w:type="character" w:customStyle="1" w:styleId="259">
    <w:name w:val="批注文字 Char"/>
    <w:qFormat/>
    <w:uiPriority w:val="99"/>
    <w:rPr>
      <w:kern w:val="2"/>
      <w:sz w:val="21"/>
      <w:szCs w:val="24"/>
    </w:rPr>
  </w:style>
  <w:style w:type="character" w:customStyle="1" w:styleId="260">
    <w:name w:val="标题 Char"/>
    <w:qFormat/>
    <w:uiPriority w:val="0"/>
    <w:rPr>
      <w:b/>
      <w:kern w:val="2"/>
      <w:sz w:val="32"/>
    </w:rPr>
  </w:style>
  <w:style w:type="paragraph" w:customStyle="1" w:styleId="261">
    <w:name w:val="图例"/>
    <w:basedOn w:val="1"/>
    <w:qFormat/>
    <w:uiPriority w:val="0"/>
    <w:pPr>
      <w:spacing w:before="120" w:after="120" w:line="360" w:lineRule="auto"/>
      <w:jc w:val="center"/>
    </w:pPr>
    <w:rPr>
      <w:rFonts w:eastAsia="仿宋_GB2312"/>
      <w:b/>
      <w:sz w:val="24"/>
      <w:szCs w:val="20"/>
    </w:rPr>
  </w:style>
  <w:style w:type="table" w:customStyle="1" w:styleId="262">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63">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264">
    <w:name w:val="页眉 字符1"/>
    <w:qFormat/>
    <w:uiPriority w:val="99"/>
    <w:rPr>
      <w:sz w:val="18"/>
    </w:rPr>
  </w:style>
  <w:style w:type="paragraph" w:customStyle="1" w:styleId="265">
    <w:name w:val="修订2"/>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266">
    <w:name w:val="！正文"/>
    <w:basedOn w:val="1"/>
    <w:qFormat/>
    <w:uiPriority w:val="0"/>
    <w:pPr>
      <w:spacing w:line="360" w:lineRule="auto"/>
      <w:ind w:firstLine="560" w:firstLineChars="200"/>
      <w:jc w:val="left"/>
    </w:pPr>
    <w:rPr>
      <w:rFonts w:eastAsia="仿宋_GB2312"/>
      <w:kern w:val="0"/>
      <w:sz w:val="28"/>
      <w:szCs w:val="28"/>
    </w:rPr>
  </w:style>
  <w:style w:type="paragraph" w:customStyle="1" w:styleId="267">
    <w:name w:val="_正文段落"/>
    <w:basedOn w:val="1"/>
    <w:qFormat/>
    <w:uiPriority w:val="0"/>
    <w:pPr>
      <w:spacing w:beforeLines="50" w:after="46" w:line="360" w:lineRule="auto"/>
      <w:ind w:firstLine="480" w:firstLineChars="200"/>
    </w:pPr>
    <w:rPr>
      <w:rFonts w:ascii="Arial" w:hAnsi="Arial"/>
      <w:color w:val="000000"/>
      <w:kern w:val="0"/>
      <w:sz w:val="24"/>
    </w:rPr>
  </w:style>
  <w:style w:type="paragraph" w:customStyle="1" w:styleId="268">
    <w:name w:val="A：正文"/>
    <w:basedOn w:val="269"/>
    <w:qFormat/>
    <w:uiPriority w:val="0"/>
    <w:pPr>
      <w:ind w:firstLine="200"/>
    </w:pPr>
  </w:style>
  <w:style w:type="paragraph" w:customStyle="1" w:styleId="269">
    <w:name w:val="my正文"/>
    <w:basedOn w:val="1"/>
    <w:link w:val="313"/>
    <w:qFormat/>
    <w:uiPriority w:val="0"/>
    <w:pPr>
      <w:spacing w:line="360" w:lineRule="auto"/>
      <w:ind w:firstLine="480" w:firstLineChars="200"/>
    </w:pPr>
    <w:rPr>
      <w:sz w:val="24"/>
    </w:rPr>
  </w:style>
  <w:style w:type="paragraph" w:customStyle="1" w:styleId="270">
    <w:name w:val="A：图表题注"/>
    <w:basedOn w:val="14"/>
    <w:qFormat/>
    <w:uiPriority w:val="0"/>
    <w:pPr>
      <w:spacing w:after="100" w:afterLines="100" w:line="240" w:lineRule="auto"/>
      <w:jc w:val="center"/>
    </w:pPr>
    <w:rPr>
      <w:rFonts w:ascii="宋体" w:hAnsi="宋体" w:eastAsia="宋体"/>
      <w:kern w:val="0"/>
      <w:sz w:val="20"/>
      <w:szCs w:val="21"/>
    </w:rPr>
  </w:style>
  <w:style w:type="paragraph" w:customStyle="1" w:styleId="271">
    <w:name w:val="12.表格首行样式"/>
    <w:basedOn w:val="1"/>
    <w:qFormat/>
    <w:uiPriority w:val="0"/>
    <w:pPr>
      <w:widowControl/>
      <w:jc w:val="center"/>
    </w:pPr>
    <w:rPr>
      <w:b/>
      <w:kern w:val="0"/>
      <w:szCs w:val="20"/>
    </w:rPr>
  </w:style>
  <w:style w:type="paragraph" w:customStyle="1" w:styleId="272">
    <w:name w:val="14.表格正文样式"/>
    <w:basedOn w:val="1"/>
    <w:qFormat/>
    <w:uiPriority w:val="0"/>
    <w:pPr>
      <w:widowControl/>
      <w:spacing w:before="20" w:beforeLines="26" w:after="20" w:afterLines="26"/>
      <w:jc w:val="left"/>
    </w:pPr>
    <w:rPr>
      <w:rFonts w:ascii="宋体" w:hAnsi="宋体"/>
      <w:kern w:val="0"/>
      <w:szCs w:val="21"/>
    </w:rPr>
  </w:style>
  <w:style w:type="paragraph" w:customStyle="1" w:styleId="273">
    <w:name w:val="表名"/>
    <w:next w:val="274"/>
    <w:qFormat/>
    <w:uiPriority w:val="0"/>
    <w:pPr>
      <w:keepNext/>
      <w:spacing w:after="160" w:line="278" w:lineRule="auto"/>
      <w:jc w:val="center"/>
    </w:pPr>
    <w:rPr>
      <w:rFonts w:ascii="Times New Roman" w:hAnsi="Times New Roman" w:eastAsia="宋体" w:cs="Times New Roman"/>
      <w:b/>
      <w:kern w:val="2"/>
      <w:sz w:val="21"/>
      <w:lang w:val="en-US" w:eastAsia="zh-CN" w:bidi="ar-SA"/>
    </w:rPr>
  </w:style>
  <w:style w:type="paragraph" w:customStyle="1" w:styleId="274">
    <w:name w:val="表"/>
    <w:next w:val="1"/>
    <w:qFormat/>
    <w:uiPriority w:val="0"/>
    <w:pPr>
      <w:spacing w:after="160" w:line="278" w:lineRule="auto"/>
    </w:pPr>
    <w:rPr>
      <w:rFonts w:ascii="Times New Roman" w:hAnsi="Times New Roman" w:eastAsia="宋体" w:cs="Times New Roman"/>
      <w:kern w:val="2"/>
      <w:sz w:val="21"/>
      <w:lang w:val="en-US" w:eastAsia="zh-CN" w:bidi="ar-SA"/>
    </w:rPr>
  </w:style>
  <w:style w:type="paragraph" w:customStyle="1" w:styleId="275">
    <w:name w:val="修订11"/>
    <w:semiHidden/>
    <w:qFormat/>
    <w:uiPriority w:val="99"/>
    <w:pPr>
      <w:spacing w:after="160" w:line="278" w:lineRule="auto"/>
    </w:pPr>
    <w:rPr>
      <w:rFonts w:ascii="Times New Roman" w:hAnsi="Times New Roman" w:eastAsia="宋体" w:cs="Times New Roman"/>
      <w:kern w:val="2"/>
      <w:sz w:val="21"/>
      <w:szCs w:val="22"/>
      <w:lang w:val="en-US" w:eastAsia="zh-CN" w:bidi="ar-SA"/>
    </w:rPr>
  </w:style>
  <w:style w:type="character" w:customStyle="1" w:styleId="276">
    <w:name w:val="font101"/>
    <w:qFormat/>
    <w:uiPriority w:val="0"/>
    <w:rPr>
      <w:rFonts w:hint="eastAsia" w:ascii="宋体" w:hAnsi="宋体" w:eastAsia="宋体" w:cs="宋体"/>
      <w:color w:val="000000"/>
      <w:sz w:val="28"/>
      <w:szCs w:val="28"/>
      <w:u w:val="none"/>
    </w:rPr>
  </w:style>
  <w:style w:type="character" w:customStyle="1" w:styleId="277">
    <w:name w:val="font122"/>
    <w:qFormat/>
    <w:uiPriority w:val="0"/>
    <w:rPr>
      <w:rFonts w:ascii="Calibri" w:hAnsi="Calibri" w:cs="Calibri"/>
      <w:color w:val="000000"/>
      <w:sz w:val="28"/>
      <w:szCs w:val="28"/>
      <w:u w:val="none"/>
    </w:rPr>
  </w:style>
  <w:style w:type="character" w:customStyle="1" w:styleId="278">
    <w:name w:val="font121"/>
    <w:qFormat/>
    <w:uiPriority w:val="0"/>
    <w:rPr>
      <w:rFonts w:ascii="Calibri" w:hAnsi="Calibri" w:cs="Calibri"/>
      <w:color w:val="000000"/>
      <w:sz w:val="28"/>
      <w:szCs w:val="28"/>
      <w:u w:val="none"/>
    </w:rPr>
  </w:style>
  <w:style w:type="paragraph" w:customStyle="1" w:styleId="279">
    <w:name w:val="图"/>
    <w:next w:val="280"/>
    <w:qFormat/>
    <w:uiPriority w:val="0"/>
    <w:pPr>
      <w:keepNext/>
      <w:spacing w:after="160" w:line="278" w:lineRule="auto"/>
      <w:jc w:val="center"/>
    </w:pPr>
    <w:rPr>
      <w:rFonts w:ascii="Times New Roman" w:hAnsi="Times New Roman" w:eastAsia="宋体" w:cs="Times New Roman"/>
      <w:b/>
      <w:kern w:val="2"/>
      <w:sz w:val="24"/>
      <w:szCs w:val="21"/>
      <w:lang w:val="en-US" w:eastAsia="zh-CN" w:bidi="ar-SA"/>
    </w:rPr>
  </w:style>
  <w:style w:type="paragraph" w:customStyle="1" w:styleId="280">
    <w:name w:val="图名"/>
    <w:next w:val="1"/>
    <w:qFormat/>
    <w:uiPriority w:val="0"/>
    <w:pPr>
      <w:spacing w:after="160" w:line="278" w:lineRule="auto"/>
      <w:jc w:val="center"/>
    </w:pPr>
    <w:rPr>
      <w:rFonts w:ascii="Times New Roman" w:hAnsi="Times New Roman" w:eastAsia="宋体" w:cs="Times New Roman"/>
      <w:b/>
      <w:kern w:val="2"/>
      <w:sz w:val="24"/>
      <w:szCs w:val="21"/>
      <w:lang w:val="en-US" w:eastAsia="zh-CN" w:bidi="ar-SA"/>
    </w:rPr>
  </w:style>
  <w:style w:type="table" w:customStyle="1" w:styleId="281">
    <w:name w:val="网格型1"/>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2">
    <w:name w:val="修订21"/>
    <w:semiHidden/>
    <w:qFormat/>
    <w:uiPriority w:val="99"/>
    <w:pPr>
      <w:spacing w:after="160" w:line="278" w:lineRule="auto"/>
    </w:pPr>
    <w:rPr>
      <w:rFonts w:ascii="Times New Roman" w:hAnsi="Times New Roman" w:eastAsia="宋体" w:cs="Times New Roman"/>
      <w:kern w:val="2"/>
      <w:sz w:val="21"/>
      <w:szCs w:val="22"/>
      <w:lang w:val="en-US" w:eastAsia="zh-CN" w:bidi="ar-SA"/>
    </w:rPr>
  </w:style>
  <w:style w:type="character" w:customStyle="1" w:styleId="283">
    <w:name w:val="font21"/>
    <w:qFormat/>
    <w:uiPriority w:val="0"/>
    <w:rPr>
      <w:rFonts w:hint="eastAsia" w:ascii="宋体" w:hAnsi="宋体" w:eastAsia="宋体" w:cs="宋体"/>
      <w:color w:val="000000"/>
      <w:sz w:val="21"/>
      <w:szCs w:val="21"/>
      <w:u w:val="none"/>
    </w:rPr>
  </w:style>
  <w:style w:type="character" w:customStyle="1" w:styleId="284">
    <w:name w:val="font41"/>
    <w:qFormat/>
    <w:uiPriority w:val="0"/>
    <w:rPr>
      <w:rFonts w:hint="default" w:ascii="Times New Roman" w:hAnsi="Times New Roman" w:cs="Times New Roman"/>
      <w:color w:val="000000"/>
      <w:sz w:val="21"/>
      <w:szCs w:val="21"/>
      <w:u w:val="none"/>
    </w:rPr>
  </w:style>
  <w:style w:type="paragraph" w:customStyle="1" w:styleId="285">
    <w:name w:val="修订3"/>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character" w:customStyle="1" w:styleId="286">
    <w:name w:val="font11"/>
    <w:basedOn w:val="51"/>
    <w:qFormat/>
    <w:uiPriority w:val="0"/>
    <w:rPr>
      <w:rFonts w:hint="eastAsia" w:ascii="仿宋" w:hAnsi="仿宋" w:eastAsia="仿宋" w:cs="仿宋"/>
      <w:color w:val="000000"/>
      <w:sz w:val="24"/>
      <w:szCs w:val="24"/>
      <w:u w:val="none"/>
    </w:rPr>
  </w:style>
  <w:style w:type="table" w:customStyle="1" w:styleId="287">
    <w:name w:val="网格型2"/>
    <w:basedOn w:val="4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88">
    <w:name w:val="无"/>
    <w:qFormat/>
    <w:uiPriority w:val="0"/>
  </w:style>
  <w:style w:type="paragraph" w:customStyle="1" w:styleId="289">
    <w:name w:val="修订4"/>
    <w:hidden/>
    <w:semiHidden/>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290">
    <w:name w:val="表格，表格********************************************************************************************************************************************************************************************************************************************************"/>
    <w:next w:val="1"/>
    <w:qFormat/>
    <w:uiPriority w:val="0"/>
    <w:pPr>
      <w:spacing w:after="160" w:line="278" w:lineRule="auto"/>
    </w:pPr>
    <w:rPr>
      <w:rFonts w:ascii="仿宋" w:hAnsi="仿宋" w:eastAsia="仿宋" w:cs="Times New Roman"/>
      <w:kern w:val="2"/>
      <w:sz w:val="24"/>
      <w:szCs w:val="21"/>
      <w:lang w:val="en-US" w:eastAsia="zh-CN" w:bidi="ar-SA"/>
    </w:rPr>
  </w:style>
  <w:style w:type="character" w:customStyle="1" w:styleId="291">
    <w:name w:val="副标题 字符"/>
    <w:basedOn w:val="51"/>
    <w:link w:val="34"/>
    <w:qFormat/>
    <w:uiPriority w:val="11"/>
    <w:rPr>
      <w:rFonts w:ascii="仿宋" w:hAnsi="仿宋" w:eastAsia="仿宋"/>
      <w:bCs/>
      <w:kern w:val="28"/>
      <w:sz w:val="32"/>
      <w:szCs w:val="32"/>
    </w:rPr>
  </w:style>
  <w:style w:type="table" w:customStyle="1" w:styleId="292">
    <w:name w:val="网格型3"/>
    <w:basedOn w:val="47"/>
    <w:qFormat/>
    <w:uiPriority w:val="39"/>
    <w:rPr>
      <w:rFonts w:ascii="等线" w:hAnsi="等线" w:eastAsia="等线" w:cs="Calibr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3">
    <w:name w:val="AA正文"/>
    <w:basedOn w:val="1"/>
    <w:link w:val="294"/>
    <w:qFormat/>
    <w:uiPriority w:val="0"/>
    <w:pPr>
      <w:snapToGrid w:val="0"/>
      <w:spacing w:line="360" w:lineRule="auto"/>
      <w:ind w:firstLine="200" w:firstLineChars="200"/>
      <w:jc w:val="left"/>
    </w:pPr>
    <w:rPr>
      <w:rFonts w:ascii="Calibri" w:hAnsi="Calibri"/>
      <w:sz w:val="24"/>
      <w:szCs w:val="21"/>
    </w:rPr>
  </w:style>
  <w:style w:type="character" w:customStyle="1" w:styleId="294">
    <w:name w:val="AA正文 字符"/>
    <w:link w:val="293"/>
    <w:qFormat/>
    <w:uiPriority w:val="0"/>
    <w:rPr>
      <w:rFonts w:ascii="Calibri" w:hAnsi="Calibri"/>
      <w:kern w:val="2"/>
      <w:sz w:val="24"/>
      <w:szCs w:val="21"/>
    </w:rPr>
  </w:style>
  <w:style w:type="paragraph" w:customStyle="1" w:styleId="295">
    <w:name w:val="AA表格顶头"/>
    <w:basedOn w:val="1"/>
    <w:link w:val="296"/>
    <w:qFormat/>
    <w:uiPriority w:val="2"/>
    <w:pPr>
      <w:snapToGrid w:val="0"/>
      <w:spacing w:line="276" w:lineRule="auto"/>
      <w:jc w:val="center"/>
    </w:pPr>
    <w:rPr>
      <w:rFonts w:ascii="宋体" w:hAnsi="宋体"/>
      <w:color w:val="000000"/>
    </w:rPr>
  </w:style>
  <w:style w:type="character" w:customStyle="1" w:styleId="296">
    <w:name w:val="AA表格顶头 字符"/>
    <w:link w:val="295"/>
    <w:qFormat/>
    <w:uiPriority w:val="2"/>
    <w:rPr>
      <w:rFonts w:ascii="宋体" w:hAnsi="宋体"/>
      <w:color w:val="000000"/>
      <w:kern w:val="2"/>
      <w:sz w:val="21"/>
      <w:szCs w:val="24"/>
    </w:rPr>
  </w:style>
  <w:style w:type="paragraph" w:customStyle="1" w:styleId="297">
    <w:name w:val="BB图片"/>
    <w:basedOn w:val="1"/>
    <w:link w:val="298"/>
    <w:qFormat/>
    <w:uiPriority w:val="1"/>
    <w:pPr>
      <w:snapToGrid w:val="0"/>
      <w:spacing w:line="360" w:lineRule="auto"/>
      <w:jc w:val="center"/>
    </w:pPr>
    <w:rPr>
      <w:rFonts w:ascii="Calibri" w:hAnsi="Calibri"/>
      <w:b/>
      <w:sz w:val="24"/>
      <w:szCs w:val="21"/>
    </w:rPr>
  </w:style>
  <w:style w:type="character" w:customStyle="1" w:styleId="298">
    <w:name w:val="BB图片 字符"/>
    <w:link w:val="297"/>
    <w:qFormat/>
    <w:uiPriority w:val="1"/>
    <w:rPr>
      <w:rFonts w:ascii="Calibri" w:hAnsi="Calibri"/>
      <w:b/>
      <w:kern w:val="2"/>
      <w:sz w:val="24"/>
      <w:szCs w:val="21"/>
    </w:rPr>
  </w:style>
  <w:style w:type="character" w:customStyle="1" w:styleId="299">
    <w:name w:val="未处理的提及1"/>
    <w:semiHidden/>
    <w:unhideWhenUsed/>
    <w:qFormat/>
    <w:uiPriority w:val="99"/>
    <w:rPr>
      <w:color w:val="605E5C"/>
      <w:shd w:val="clear" w:color="auto" w:fill="E1DFDD"/>
    </w:rPr>
  </w:style>
  <w:style w:type="character" w:customStyle="1" w:styleId="300">
    <w:name w:val="普通(网站) 字符"/>
    <w:link w:val="40"/>
    <w:qFormat/>
    <w:uiPriority w:val="0"/>
    <w:rPr>
      <w:rFonts w:ascii="宋体" w:hAnsi="宋体" w:cs="宋体"/>
      <w:sz w:val="24"/>
      <w:szCs w:val="24"/>
    </w:rPr>
  </w:style>
  <w:style w:type="character" w:customStyle="1" w:styleId="301">
    <w:name w:val="fontstyle01"/>
    <w:qFormat/>
    <w:uiPriority w:val="0"/>
    <w:rPr>
      <w:rFonts w:hint="eastAsia" w:ascii="仿宋" w:hAnsi="仿宋" w:eastAsia="仿宋"/>
      <w:color w:val="000000"/>
      <w:sz w:val="32"/>
      <w:szCs w:val="32"/>
    </w:rPr>
  </w:style>
  <w:style w:type="paragraph" w:customStyle="1" w:styleId="302">
    <w:name w:val="样式 普通(网站) + 方正小标宋简体 (符号) 方正小标宋_GBK 20 磅 分散对齐 段前: 自动 段后: 自动..."/>
    <w:basedOn w:val="40"/>
    <w:qFormat/>
    <w:uiPriority w:val="0"/>
    <w:pPr>
      <w:spacing w:before="0" w:after="0"/>
      <w:jc w:val="distribute"/>
    </w:pPr>
    <w:rPr>
      <w:rFonts w:ascii="微软雅黑" w:hAnsi="方正小标宋_GBK" w:eastAsia="微软雅黑"/>
      <w:sz w:val="40"/>
      <w:szCs w:val="20"/>
    </w:rPr>
  </w:style>
  <w:style w:type="paragraph" w:customStyle="1" w:styleId="303">
    <w:name w:val="样式1"/>
    <w:basedOn w:val="302"/>
    <w:qFormat/>
    <w:uiPriority w:val="0"/>
    <w:pPr>
      <w:spacing w:beforeAutospacing="0" w:afterAutospacing="0"/>
      <w:jc w:val="right"/>
    </w:pPr>
    <w:rPr>
      <w:sz w:val="44"/>
      <w:szCs w:val="21"/>
    </w:rPr>
  </w:style>
  <w:style w:type="paragraph" w:customStyle="1" w:styleId="304">
    <w:name w:val="FC正文"/>
    <w:basedOn w:val="1"/>
    <w:link w:val="305"/>
    <w:qFormat/>
    <w:uiPriority w:val="0"/>
    <w:pPr>
      <w:snapToGrid w:val="0"/>
      <w:spacing w:before="50" w:beforeLines="50" w:after="50" w:afterLines="50" w:line="360" w:lineRule="auto"/>
      <w:ind w:firstLine="200" w:firstLineChars="200"/>
      <w:contextualSpacing/>
    </w:pPr>
    <w:rPr>
      <w:rFonts w:ascii="宋体" w:hAnsi="宋体" w:cs="宋体"/>
      <w:sz w:val="24"/>
    </w:rPr>
  </w:style>
  <w:style w:type="character" w:customStyle="1" w:styleId="305">
    <w:name w:val="FC正文 Char"/>
    <w:link w:val="304"/>
    <w:qFormat/>
    <w:uiPriority w:val="0"/>
    <w:rPr>
      <w:rFonts w:ascii="宋体" w:hAnsi="宋体" w:cs="宋体"/>
      <w:kern w:val="2"/>
      <w:sz w:val="24"/>
      <w:szCs w:val="24"/>
    </w:rPr>
  </w:style>
  <w:style w:type="paragraph" w:customStyle="1" w:styleId="306">
    <w:name w:val="FUNO new标题5"/>
    <w:next w:val="1"/>
    <w:qFormat/>
    <w:uiPriority w:val="99"/>
    <w:pPr>
      <w:numPr>
        <w:ilvl w:val="4"/>
        <w:numId w:val="8"/>
      </w:numPr>
      <w:spacing w:after="160" w:line="278" w:lineRule="auto"/>
      <w:ind w:left="0" w:hanging="413" w:hangingChars="413"/>
      <w:outlineLvl w:val="4"/>
    </w:pPr>
    <w:rPr>
      <w:rFonts w:ascii="等线" w:hAnsi="等线" w:eastAsia="等线" w:cs="Times New Roman"/>
      <w:kern w:val="2"/>
      <w:sz w:val="28"/>
      <w:szCs w:val="22"/>
      <w:lang w:val="en-US" w:eastAsia="zh-CN" w:bidi="ar-SA"/>
    </w:rPr>
  </w:style>
  <w:style w:type="paragraph" w:customStyle="1" w:styleId="307">
    <w:name w:val="FUNO new标题3"/>
    <w:next w:val="1"/>
    <w:qFormat/>
    <w:uiPriority w:val="99"/>
    <w:pPr>
      <w:numPr>
        <w:ilvl w:val="2"/>
        <w:numId w:val="8"/>
      </w:numPr>
      <w:spacing w:after="160" w:line="278" w:lineRule="auto"/>
      <w:ind w:left="1742" w:hanging="420"/>
      <w:outlineLvl w:val="2"/>
    </w:pPr>
    <w:rPr>
      <w:rFonts w:ascii="等线" w:hAnsi="等线" w:eastAsia="等线" w:cs="Times New Roman"/>
      <w:b/>
      <w:kern w:val="2"/>
      <w:sz w:val="30"/>
      <w:szCs w:val="22"/>
      <w:lang w:val="en-US" w:eastAsia="zh-CN" w:bidi="ar-SA"/>
    </w:rPr>
  </w:style>
  <w:style w:type="paragraph" w:customStyle="1" w:styleId="308">
    <w:name w:val="FUNO new标题1"/>
    <w:next w:val="1"/>
    <w:qFormat/>
    <w:uiPriority w:val="99"/>
    <w:pPr>
      <w:numPr>
        <w:ilvl w:val="0"/>
        <w:numId w:val="8"/>
      </w:numPr>
      <w:spacing w:after="160" w:line="278" w:lineRule="auto"/>
      <w:ind w:left="0" w:firstLine="0"/>
      <w:outlineLvl w:val="0"/>
    </w:pPr>
    <w:rPr>
      <w:rFonts w:ascii="等线" w:hAnsi="等线" w:eastAsia="黑体" w:cs="Times New Roman"/>
      <w:kern w:val="2"/>
      <w:sz w:val="44"/>
      <w:szCs w:val="22"/>
      <w:lang w:val="en-US" w:eastAsia="zh-CN" w:bidi="ar-SA"/>
    </w:rPr>
  </w:style>
  <w:style w:type="paragraph" w:customStyle="1" w:styleId="309">
    <w:name w:val="FUNO new标题4"/>
    <w:next w:val="1"/>
    <w:qFormat/>
    <w:uiPriority w:val="99"/>
    <w:pPr>
      <w:numPr>
        <w:ilvl w:val="3"/>
        <w:numId w:val="8"/>
      </w:numPr>
      <w:spacing w:after="160" w:line="278" w:lineRule="auto"/>
      <w:ind w:left="2162" w:hanging="420"/>
      <w:outlineLvl w:val="3"/>
    </w:pPr>
    <w:rPr>
      <w:rFonts w:ascii="等线" w:hAnsi="等线" w:eastAsia="等线" w:cs="Times New Roman"/>
      <w:kern w:val="2"/>
      <w:sz w:val="28"/>
      <w:szCs w:val="22"/>
      <w:lang w:val="en-US" w:eastAsia="zh-CN" w:bidi="ar-SA"/>
    </w:rPr>
  </w:style>
  <w:style w:type="paragraph" w:customStyle="1" w:styleId="310">
    <w:name w:val="FUNO new标题2"/>
    <w:next w:val="1"/>
    <w:qFormat/>
    <w:uiPriority w:val="99"/>
    <w:pPr>
      <w:spacing w:after="160" w:line="278" w:lineRule="auto"/>
      <w:ind w:left="1322" w:hanging="420"/>
      <w:outlineLvl w:val="1"/>
    </w:pPr>
    <w:rPr>
      <w:rFonts w:ascii="等线" w:hAnsi="等线" w:eastAsia="黑体" w:cs="Times New Roman"/>
      <w:kern w:val="2"/>
      <w:sz w:val="32"/>
      <w:szCs w:val="22"/>
      <w:lang w:val="en-US" w:eastAsia="zh-CN" w:bidi="ar-SA"/>
    </w:rPr>
  </w:style>
  <w:style w:type="character" w:customStyle="1" w:styleId="311">
    <w:name w:val="正文缩进2字符 Char"/>
    <w:link w:val="312"/>
    <w:qFormat/>
    <w:uiPriority w:val="0"/>
    <w:rPr>
      <w:rFonts w:ascii="宋体" w:hAnsi="宋体" w:eastAsia="仿宋" w:cs="宋体"/>
      <w:sz w:val="28"/>
      <w:szCs w:val="28"/>
    </w:rPr>
  </w:style>
  <w:style w:type="paragraph" w:customStyle="1" w:styleId="312">
    <w:name w:val="正文缩进2字符"/>
    <w:basedOn w:val="44"/>
    <w:link w:val="311"/>
    <w:qFormat/>
    <w:uiPriority w:val="0"/>
    <w:pPr>
      <w:autoSpaceDE w:val="0"/>
      <w:autoSpaceDN w:val="0"/>
      <w:adjustRightInd w:val="0"/>
      <w:spacing w:line="360" w:lineRule="auto"/>
      <w:ind w:firstLine="200" w:firstLineChars="200"/>
      <w:jc w:val="left"/>
    </w:pPr>
    <w:rPr>
      <w:rFonts w:eastAsia="仿宋" w:cs="宋体"/>
      <w:kern w:val="0"/>
      <w:sz w:val="28"/>
      <w:szCs w:val="28"/>
    </w:rPr>
  </w:style>
  <w:style w:type="character" w:customStyle="1" w:styleId="313">
    <w:name w:val="my正文 Char"/>
    <w:link w:val="269"/>
    <w:qFormat/>
    <w:uiPriority w:val="0"/>
    <w:rPr>
      <w:kern w:val="2"/>
      <w:sz w:val="24"/>
      <w:szCs w:val="24"/>
    </w:rPr>
  </w:style>
  <w:style w:type="character" w:customStyle="1" w:styleId="314">
    <w:name w:val="正文文本样式 Char"/>
    <w:link w:val="161"/>
    <w:qFormat/>
    <w:uiPriority w:val="0"/>
    <w:rPr>
      <w:rFonts w:cs="宋体"/>
      <w:kern w:val="2"/>
      <w:sz w:val="24"/>
    </w:rPr>
  </w:style>
  <w:style w:type="paragraph" w:customStyle="1" w:styleId="315">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1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17">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left"/>
      <w:textAlignment w:val="top"/>
    </w:pPr>
    <w:rPr>
      <w:rFonts w:ascii="宋体" w:hAnsi="宋体" w:cs="宋体"/>
      <w:b/>
      <w:bCs/>
      <w:kern w:val="0"/>
      <w:sz w:val="24"/>
    </w:rPr>
  </w:style>
  <w:style w:type="paragraph" w:customStyle="1" w:styleId="318">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center"/>
      <w:textAlignment w:val="top"/>
    </w:pPr>
    <w:rPr>
      <w:rFonts w:ascii="宋体" w:hAnsi="宋体" w:cs="宋体"/>
      <w:b/>
      <w:bCs/>
      <w:kern w:val="0"/>
      <w:sz w:val="24"/>
    </w:rPr>
  </w:style>
  <w:style w:type="paragraph" w:customStyle="1" w:styleId="319">
    <w:name w:val="xl94"/>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320">
    <w:name w:val="xl95"/>
    <w:basedOn w:val="1"/>
    <w:qFormat/>
    <w:uiPriority w:val="0"/>
    <w:pPr>
      <w:widowControl/>
      <w:shd w:val="clear" w:color="000000" w:fill="FFFF00"/>
      <w:spacing w:before="100" w:beforeAutospacing="1" w:after="100" w:afterAutospacing="1"/>
      <w:jc w:val="left"/>
    </w:pPr>
    <w:rPr>
      <w:rFonts w:ascii="宋体" w:hAnsi="宋体" w:cs="宋体"/>
      <w:b/>
      <w:bCs/>
      <w:kern w:val="0"/>
      <w:sz w:val="24"/>
    </w:rPr>
  </w:style>
  <w:style w:type="paragraph" w:customStyle="1" w:styleId="321">
    <w:name w:val="xl96"/>
    <w:basedOn w:val="1"/>
    <w:qFormat/>
    <w:uiPriority w:val="0"/>
    <w:pPr>
      <w:widowControl/>
      <w:shd w:val="clear" w:color="000000" w:fill="FFFF00"/>
      <w:spacing w:before="100" w:beforeAutospacing="1" w:after="100" w:afterAutospacing="1"/>
      <w:jc w:val="left"/>
    </w:pPr>
    <w:rPr>
      <w:rFonts w:ascii="宋体" w:hAnsi="宋体" w:cs="宋体"/>
      <w:kern w:val="0"/>
      <w:sz w:val="24"/>
    </w:rPr>
  </w:style>
  <w:style w:type="paragraph" w:customStyle="1" w:styleId="322">
    <w:name w:val="xl97"/>
    <w:basedOn w:val="1"/>
    <w:qFormat/>
    <w:uiPriority w:val="0"/>
    <w:pPr>
      <w:widowControl/>
      <w:spacing w:before="100" w:beforeAutospacing="1" w:after="100" w:afterAutospacing="1"/>
      <w:jc w:val="center"/>
    </w:pPr>
    <w:rPr>
      <w:rFonts w:ascii="宋体" w:hAnsi="宋体" w:cs="宋体"/>
      <w:kern w:val="0"/>
      <w:sz w:val="24"/>
    </w:rPr>
  </w:style>
  <w:style w:type="paragraph" w:customStyle="1" w:styleId="323">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宋体"/>
      <w:b/>
      <w:bCs/>
      <w:kern w:val="0"/>
      <w:sz w:val="24"/>
    </w:rPr>
  </w:style>
  <w:style w:type="paragraph" w:customStyle="1" w:styleId="324">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32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宋体"/>
      <w:kern w:val="0"/>
      <w:sz w:val="24"/>
    </w:rPr>
  </w:style>
  <w:style w:type="paragraph" w:customStyle="1" w:styleId="326">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27">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328">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329">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33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331">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33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333">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334">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335">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宋体"/>
      <w:b/>
      <w:bCs/>
      <w:color w:val="000000"/>
      <w:kern w:val="0"/>
      <w:sz w:val="24"/>
    </w:rPr>
  </w:style>
  <w:style w:type="paragraph" w:customStyle="1" w:styleId="336">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37">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38">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宋体"/>
      <w:b/>
      <w:bCs/>
      <w:color w:val="000000"/>
      <w:kern w:val="0"/>
      <w:sz w:val="24"/>
    </w:rPr>
  </w:style>
  <w:style w:type="paragraph" w:customStyle="1" w:styleId="339">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宋体"/>
      <w:color w:val="000000"/>
      <w:kern w:val="0"/>
      <w:sz w:val="24"/>
    </w:rPr>
  </w:style>
  <w:style w:type="paragraph" w:customStyle="1" w:styleId="340">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341">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342">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43">
    <w:name w:val="xl11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等线" w:hAnsi="等线" w:eastAsia="等线" w:cs="宋体"/>
      <w:kern w:val="0"/>
      <w:sz w:val="24"/>
    </w:rPr>
  </w:style>
  <w:style w:type="paragraph" w:customStyle="1" w:styleId="344">
    <w:name w:val="xl12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等线" w:hAnsi="等线" w:eastAsia="等线" w:cs="宋体"/>
      <w:kern w:val="0"/>
      <w:sz w:val="24"/>
    </w:rPr>
  </w:style>
  <w:style w:type="paragraph" w:customStyle="1" w:styleId="345">
    <w:name w:val="xl12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等线" w:hAnsi="等线" w:eastAsia="等线" w:cs="宋体"/>
      <w:color w:val="000000"/>
      <w:kern w:val="0"/>
      <w:sz w:val="24"/>
    </w:rPr>
  </w:style>
  <w:style w:type="paragraph" w:customStyle="1" w:styleId="346">
    <w:name w:val="xl12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等线" w:hAnsi="等线" w:eastAsia="等线" w:cs="宋体"/>
      <w:color w:val="000000"/>
      <w:kern w:val="0"/>
      <w:sz w:val="24"/>
    </w:rPr>
  </w:style>
  <w:style w:type="paragraph" w:customStyle="1" w:styleId="347">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48">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character" w:customStyle="1" w:styleId="349">
    <w:name w:val="题注 字符"/>
    <w:link w:val="14"/>
    <w:qFormat/>
    <w:uiPriority w:val="0"/>
    <w:rPr>
      <w:rFonts w:ascii="华文中宋" w:hAnsi="华文中宋" w:eastAsia="华文中宋"/>
      <w:kern w:val="2"/>
      <w:sz w:val="36"/>
    </w:rPr>
  </w:style>
  <w:style w:type="character" w:customStyle="1" w:styleId="350">
    <w:name w:val="立项表格 字符"/>
    <w:link w:val="351"/>
    <w:qFormat/>
    <w:uiPriority w:val="0"/>
    <w:rPr>
      <w:sz w:val="24"/>
      <w:szCs w:val="24"/>
      <w:lang w:val="en-GB"/>
    </w:rPr>
  </w:style>
  <w:style w:type="paragraph" w:customStyle="1" w:styleId="351">
    <w:name w:val="立项表格"/>
    <w:basedOn w:val="1"/>
    <w:link w:val="350"/>
    <w:qFormat/>
    <w:uiPriority w:val="0"/>
    <w:pPr>
      <w:widowControl/>
      <w:contextualSpacing/>
      <w:jc w:val="center"/>
    </w:pPr>
    <w:rPr>
      <w:kern w:val="0"/>
      <w:sz w:val="24"/>
      <w:lang w:val="en-GB"/>
    </w:rPr>
  </w:style>
  <w:style w:type="paragraph" w:customStyle="1" w:styleId="352">
    <w:name w:val="立项正文"/>
    <w:basedOn w:val="1"/>
    <w:link w:val="353"/>
    <w:qFormat/>
    <w:uiPriority w:val="0"/>
    <w:pPr>
      <w:spacing w:before="50" w:beforeLines="50" w:after="50" w:afterLines="50" w:line="360" w:lineRule="auto"/>
      <w:ind w:firstLine="200" w:firstLineChars="200"/>
      <w:contextualSpacing/>
    </w:pPr>
    <w:rPr>
      <w:rFonts w:cs="宋体"/>
      <w:sz w:val="28"/>
    </w:rPr>
  </w:style>
  <w:style w:type="character" w:customStyle="1" w:styleId="353">
    <w:name w:val="立项正文 字符"/>
    <w:link w:val="352"/>
    <w:qFormat/>
    <w:uiPriority w:val="0"/>
    <w:rPr>
      <w:rFonts w:cs="宋体"/>
      <w:kern w:val="2"/>
      <w:sz w:val="28"/>
      <w:szCs w:val="24"/>
    </w:rPr>
  </w:style>
  <w:style w:type="paragraph" w:customStyle="1" w:styleId="354">
    <w:name w:val="p11"/>
    <w:basedOn w:val="1"/>
    <w:qFormat/>
    <w:uiPriority w:val="0"/>
    <w:pPr>
      <w:jc w:val="center"/>
    </w:pPr>
    <w:rPr>
      <w:rFonts w:hint="eastAsia" w:ascii="Songti SC" w:hAnsi="Songti SC" w:eastAsia="Songti SC"/>
      <w:kern w:val="0"/>
      <w:sz w:val="32"/>
      <w:szCs w:val="32"/>
    </w:rPr>
  </w:style>
  <w:style w:type="paragraph" w:customStyle="1" w:styleId="355">
    <w:name w:val="p17"/>
    <w:basedOn w:val="1"/>
    <w:qFormat/>
    <w:uiPriority w:val="0"/>
    <w:pPr>
      <w:jc w:val="center"/>
    </w:pPr>
    <w:rPr>
      <w:rFonts w:hint="eastAsia" w:ascii="Songti SC" w:hAnsi="Songti SC" w:eastAsia="Songti SC"/>
      <w:color w:val="000000"/>
      <w:kern w:val="0"/>
      <w:szCs w:val="21"/>
    </w:rPr>
  </w:style>
  <w:style w:type="character" w:customStyle="1" w:styleId="356">
    <w:name w:val="s6"/>
    <w:qFormat/>
    <w:uiPriority w:val="0"/>
    <w:rPr>
      <w:spacing w:val="-6"/>
    </w:rPr>
  </w:style>
  <w:style w:type="paragraph" w:customStyle="1" w:styleId="357">
    <w:name w:val="p20"/>
    <w:basedOn w:val="1"/>
    <w:qFormat/>
    <w:uiPriority w:val="0"/>
    <w:pPr>
      <w:jc w:val="left"/>
    </w:pPr>
    <w:rPr>
      <w:rFonts w:ascii="Times" w:hAnsi="Times" w:eastAsia="Times"/>
      <w:color w:val="000000"/>
      <w:kern w:val="0"/>
      <w:szCs w:val="21"/>
    </w:rPr>
  </w:style>
  <w:style w:type="character" w:customStyle="1" w:styleId="358">
    <w:name w:val="s9"/>
    <w:qFormat/>
    <w:uiPriority w:val="0"/>
    <w:rPr>
      <w:rFonts w:hint="default" w:ascii="Times" w:hAnsi="Times" w:eastAsia="Times" w:cs="Times"/>
      <w:spacing w:val="-6"/>
      <w:sz w:val="21"/>
      <w:szCs w:val="21"/>
    </w:rPr>
  </w:style>
  <w:style w:type="character" w:customStyle="1" w:styleId="359">
    <w:name w:val="B正文 字符"/>
    <w:link w:val="360"/>
    <w:qFormat/>
    <w:uiPriority w:val="0"/>
    <w:rPr>
      <w:sz w:val="24"/>
      <w:szCs w:val="24"/>
    </w:rPr>
  </w:style>
  <w:style w:type="paragraph" w:customStyle="1" w:styleId="360">
    <w:name w:val="B正文"/>
    <w:basedOn w:val="1"/>
    <w:link w:val="359"/>
    <w:qFormat/>
    <w:uiPriority w:val="0"/>
    <w:pPr>
      <w:spacing w:line="360" w:lineRule="auto"/>
      <w:ind w:firstLine="640" w:firstLineChars="200"/>
    </w:pPr>
    <w:rPr>
      <w:kern w:val="0"/>
      <w:sz w:val="24"/>
    </w:rPr>
  </w:style>
  <w:style w:type="paragraph" w:customStyle="1" w:styleId="361">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宋体"/>
      <w:b/>
      <w:bCs/>
      <w:kern w:val="0"/>
      <w:sz w:val="24"/>
    </w:rPr>
  </w:style>
  <w:style w:type="paragraph" w:customStyle="1" w:styleId="362">
    <w:name w:val="修订5"/>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363">
    <w:name w:val="修订6"/>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364">
    <w:name w:val="修订7"/>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365">
    <w:name w:val="修订8"/>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366">
    <w:name w:val="修订9"/>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367">
    <w:name w:val="修订10"/>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368">
    <w:name w:val="修订12"/>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369">
    <w:name w:val="修订13"/>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370">
    <w:name w:val="p0"/>
    <w:basedOn w:val="1"/>
    <w:qFormat/>
    <w:uiPriority w:val="0"/>
    <w:pPr>
      <w:jc w:val="left"/>
    </w:pPr>
    <w:rPr>
      <w:rFonts w:hint="eastAsia" w:ascii="Calibri" w:hAnsi="Calibri"/>
      <w:sz w:val="24"/>
      <w:szCs w:val="22"/>
    </w:rPr>
  </w:style>
  <w:style w:type="paragraph" w:customStyle="1" w:styleId="371">
    <w:name w:val="1.一级"/>
    <w:qFormat/>
    <w:uiPriority w:val="0"/>
    <w:pPr>
      <w:spacing w:after="160" w:line="360" w:lineRule="auto"/>
      <w:outlineLvl w:val="0"/>
    </w:pPr>
    <w:rPr>
      <w:rFonts w:asciiTheme="majorEastAsia" w:hAnsiTheme="majorEastAsia" w:eastAsiaTheme="majorEastAsia" w:cstheme="minorBidi"/>
      <w:kern w:val="2"/>
      <w:sz w:val="30"/>
      <w:szCs w:val="30"/>
      <w:lang w:val="en-US" w:eastAsia="zh-CN" w:bidi="ar-SA"/>
    </w:rPr>
  </w:style>
  <w:style w:type="paragraph" w:customStyle="1" w:styleId="372">
    <w:name w:val="!BECC正文"/>
    <w:basedOn w:val="1"/>
    <w:qFormat/>
    <w:uiPriority w:val="0"/>
    <w:pPr>
      <w:tabs>
        <w:tab w:val="left" w:pos="0"/>
      </w:tabs>
      <w:spacing w:beforeLines="50" w:line="360" w:lineRule="auto"/>
      <w:ind w:firstLine="200" w:firstLineChars="200"/>
      <w:contextualSpacing/>
    </w:pPr>
    <w:rPr>
      <w:sz w:val="24"/>
    </w:rPr>
  </w:style>
  <w:style w:type="character" w:customStyle="1" w:styleId="373">
    <w:name w:val="not([class*=suffix])"/>
    <w:basedOn w:val="51"/>
    <w:qFormat/>
    <w:uiPriority w:val="0"/>
    <w:rPr>
      <w:sz w:val="15"/>
      <w:szCs w:val="15"/>
    </w:rPr>
  </w:style>
  <w:style w:type="character" w:customStyle="1" w:styleId="374">
    <w:name w:val="not([class*=suffix])1"/>
    <w:basedOn w:val="51"/>
    <w:qFormat/>
    <w:uiPriority w:val="0"/>
  </w:style>
  <w:style w:type="paragraph" w:customStyle="1" w:styleId="375">
    <w:name w:val="目录 11"/>
    <w:next w:val="1"/>
    <w:qFormat/>
    <w:uiPriority w:val="0"/>
    <w:pPr>
      <w:wordWrap w:val="0"/>
      <w:spacing w:after="160" w:line="278" w:lineRule="auto"/>
      <w:jc w:val="both"/>
    </w:pPr>
    <w:rPr>
      <w:rFonts w:ascii="Calibri" w:hAnsi="Calibri" w:eastAsia="宋体" w:cs="Calibri"/>
      <w:sz w:val="21"/>
      <w:szCs w:val="22"/>
      <w:lang w:val="en-US" w:eastAsia="zh-CN" w:bidi="ar-SA"/>
    </w:rPr>
  </w:style>
  <w:style w:type="character" w:customStyle="1" w:styleId="376">
    <w:name w:val="font31"/>
    <w:basedOn w:val="51"/>
    <w:qFormat/>
    <w:uiPriority w:val="0"/>
    <w:rPr>
      <w:rFonts w:hint="eastAsia" w:ascii="宋体" w:hAnsi="宋体" w:eastAsia="宋体" w:cs="宋体"/>
      <w:color w:val="000000"/>
      <w:sz w:val="24"/>
      <w:szCs w:val="24"/>
      <w:u w:val="none"/>
    </w:rPr>
  </w:style>
  <w:style w:type="paragraph" w:customStyle="1" w:styleId="377">
    <w:name w:val="Table Text"/>
    <w:basedOn w:val="1"/>
    <w:semiHidden/>
    <w:qFormat/>
    <w:uiPriority w:val="0"/>
    <w:rPr>
      <w:rFonts w:ascii="宋体" w:hAnsi="宋体" w:cs="宋体"/>
      <w:sz w:val="18"/>
      <w:szCs w:val="18"/>
      <w:lang w:eastAsia="en-US"/>
    </w:rPr>
  </w:style>
  <w:style w:type="paragraph" w:customStyle="1" w:styleId="378">
    <w:name w:val="列表段落2"/>
    <w:basedOn w:val="1"/>
    <w:qFormat/>
    <w:uiPriority w:val="99"/>
    <w:pPr>
      <w:ind w:firstLine="420" w:firstLineChars="200"/>
    </w:pPr>
  </w:style>
  <w:style w:type="paragraph" w:customStyle="1" w:styleId="379">
    <w:name w:val="正文 缩进2字符"/>
    <w:basedOn w:val="1"/>
    <w:qFormat/>
    <w:uiPriority w:val="0"/>
    <w:pPr>
      <w:spacing w:line="288" w:lineRule="auto"/>
    </w:pPr>
    <w:rPr>
      <w:rFonts w:ascii="宋体" w:hAnsi="宋体"/>
      <w:sz w:val="28"/>
      <w:szCs w:val="28"/>
    </w:rPr>
  </w:style>
  <w:style w:type="paragraph" w:customStyle="1" w:styleId="380">
    <w:name w:val="msolistparagraph"/>
    <w:basedOn w:val="1"/>
    <w:qFormat/>
    <w:uiPriority w:val="0"/>
    <w:pPr>
      <w:ind w:firstLine="420" w:firstLineChars="200"/>
    </w:pPr>
  </w:style>
  <w:style w:type="paragraph" w:customStyle="1" w:styleId="381">
    <w:name w:val="标题 5（有编号）（绿盟科技）"/>
    <w:basedOn w:val="1"/>
    <w:next w:val="382"/>
    <w:qFormat/>
    <w:uiPriority w:val="0"/>
    <w:pPr>
      <w:keepNext/>
      <w:keepLines/>
      <w:numPr>
        <w:ilvl w:val="4"/>
        <w:numId w:val="9"/>
      </w:numPr>
      <w:spacing w:before="280" w:after="156" w:line="377" w:lineRule="auto"/>
      <w:outlineLvl w:val="4"/>
    </w:pPr>
    <w:rPr>
      <w:rFonts w:ascii="Arial" w:hAnsi="Arial" w:eastAsia="黑体"/>
      <w:b/>
      <w:sz w:val="24"/>
      <w:szCs w:val="28"/>
    </w:rPr>
  </w:style>
  <w:style w:type="paragraph" w:customStyle="1" w:styleId="382">
    <w:name w:val="正文（绿盟科技）"/>
    <w:qFormat/>
    <w:uiPriority w:val="0"/>
    <w:pPr>
      <w:spacing w:after="160" w:line="300" w:lineRule="auto"/>
    </w:pPr>
    <w:rPr>
      <w:rFonts w:ascii="Arial" w:hAnsi="Arial" w:eastAsia="宋体" w:cs="黑体"/>
      <w:sz w:val="21"/>
      <w:szCs w:val="21"/>
      <w:lang w:val="en-US" w:eastAsia="zh-CN" w:bidi="ar-SA"/>
    </w:rPr>
  </w:style>
  <w:style w:type="paragraph" w:customStyle="1" w:styleId="383">
    <w:name w:val="修订14"/>
    <w:hidden/>
    <w:unhideWhenUsed/>
    <w:qFormat/>
    <w:uiPriority w:val="99"/>
    <w:rPr>
      <w:rFonts w:ascii="Times New Roman" w:hAnsi="Times New Roman" w:eastAsia="宋体" w:cs="Times New Roman"/>
      <w:kern w:val="2"/>
      <w:sz w:val="21"/>
      <w:szCs w:val="24"/>
      <w:lang w:val="en-US" w:eastAsia="zh-CN" w:bidi="ar-SA"/>
    </w:rPr>
  </w:style>
  <w:style w:type="paragraph" w:customStyle="1" w:styleId="384">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1.png"/><Relationship Id="rId31" Type="http://schemas.openxmlformats.org/officeDocument/2006/relationships/theme" Target="theme/theme1.xml"/><Relationship Id="rId30" Type="http://schemas.openxmlformats.org/officeDocument/2006/relationships/footer" Target="footer18.xml"/><Relationship Id="rId3" Type="http://schemas.openxmlformats.org/officeDocument/2006/relationships/footnotes" Target="footnotes.xml"/><Relationship Id="rId29" Type="http://schemas.openxmlformats.org/officeDocument/2006/relationships/footer" Target="footer17.xml"/><Relationship Id="rId28" Type="http://schemas.openxmlformats.org/officeDocument/2006/relationships/header" Target="header8.xml"/><Relationship Id="rId27" Type="http://schemas.openxmlformats.org/officeDocument/2006/relationships/header" Target="header7.xml"/><Relationship Id="rId26" Type="http://schemas.openxmlformats.org/officeDocument/2006/relationships/footer" Target="footer16.xml"/><Relationship Id="rId25" Type="http://schemas.openxmlformats.org/officeDocument/2006/relationships/footer" Target="footer15.xml"/><Relationship Id="rId24" Type="http://schemas.openxmlformats.org/officeDocument/2006/relationships/header" Target="header6.xml"/><Relationship Id="rId23" Type="http://schemas.openxmlformats.org/officeDocument/2006/relationships/header" Target="header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header" Target="header3.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北京市安全生产监督管理局</Company>
  <Pages>99</Pages>
  <Words>13981</Words>
  <Characters>14852</Characters>
  <Lines>1701</Lines>
  <Paragraphs>1652</Paragraphs>
  <TotalTime>3</TotalTime>
  <ScaleCrop>false</ScaleCrop>
  <LinksUpToDate>false</LinksUpToDate>
  <CharactersWithSpaces>15014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2025-03-29T00:34:00Z</dcterms:created>
  <dc:creator>zong</dc:creator>
  <cp:lastModifiedBy>H&amp;C雪</cp:lastModifiedBy>
  <cp:lastPrinted>2023-12-04T21:41:00Z</cp:lastPrinted>
  <dcterms:modified xsi:type="dcterms:W3CDTF">2025-05-09T10:52:05Z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117BD1D1E04245DEB1ED47B44E545FF0_13</vt:lpwstr>
  </property>
  <property fmtid="{D5CDD505-2E9C-101B-9397-08002B2CF9AE}" pid="4" name="KSOTemplateDocerSaveRecord">
    <vt:lpwstr>eyJoZGlkIjoiNDI1NGQ4MDY4NjMxYWVlMzc3ODM2NDE0MmU1ODUxYzYiLCJ1c2VySWQiOiI3MzQwMDg1MjYifQ==</vt:lpwstr>
  </property>
</Properties>
</file>