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B9851">
      <w:pPr>
        <w:spacing w:line="360" w:lineRule="auto"/>
        <w:ind w:firstLine="180" w:firstLineChars="50"/>
        <w:rPr>
          <w:rFonts w:ascii="宋体" w:hAnsi="宋体" w:cs="宋体"/>
          <w:color w:val="000000"/>
          <w:sz w:val="36"/>
          <w:szCs w:val="36"/>
          <w:highlight w:val="none"/>
        </w:rPr>
      </w:pPr>
    </w:p>
    <w:p w14:paraId="1975D08E">
      <w:pPr>
        <w:shd w:val="clear" w:color="auto" w:fill="FFFFFF"/>
        <w:spacing w:line="360" w:lineRule="auto"/>
        <w:ind w:firstLine="300" w:firstLineChars="50"/>
        <w:rPr>
          <w:rFonts w:ascii="宋体" w:hAnsi="宋体" w:cs="宋体"/>
          <w:sz w:val="60"/>
          <w:szCs w:val="60"/>
          <w:highlight w:val="none"/>
        </w:rPr>
      </w:pPr>
    </w:p>
    <w:p w14:paraId="7A841F05">
      <w:pPr>
        <w:pStyle w:val="44"/>
        <w:rPr>
          <w:rFonts w:hint="default" w:hAnsi="宋体" w:cs="宋体"/>
          <w:highlight w:val="none"/>
        </w:rPr>
      </w:pPr>
    </w:p>
    <w:p w14:paraId="78EF9614">
      <w:pPr>
        <w:shd w:val="clear" w:color="auto" w:fill="FFFFFF"/>
        <w:jc w:val="center"/>
        <w:rPr>
          <w:rFonts w:ascii="宋体" w:hAnsi="宋体" w:cs="宋体"/>
          <w:b/>
          <w:bCs/>
          <w:sz w:val="60"/>
          <w:szCs w:val="60"/>
          <w:highlight w:val="none"/>
        </w:rPr>
      </w:pPr>
    </w:p>
    <w:p w14:paraId="637BA09C">
      <w:pPr>
        <w:shd w:val="clear" w:color="auto" w:fill="FFFFFF"/>
        <w:jc w:val="center"/>
        <w:rPr>
          <w:rFonts w:ascii="宋体" w:hAnsi="宋体" w:cs="宋体"/>
          <w:b/>
          <w:bCs/>
          <w:sz w:val="60"/>
          <w:szCs w:val="60"/>
          <w:highlight w:val="none"/>
        </w:rPr>
      </w:pPr>
      <w:r>
        <w:rPr>
          <w:rFonts w:hint="eastAsia" w:ascii="宋体" w:hAnsi="宋体" w:cs="宋体"/>
          <w:b/>
          <w:bCs/>
          <w:sz w:val="60"/>
          <w:szCs w:val="60"/>
          <w:highlight w:val="none"/>
        </w:rPr>
        <w:t>北京市政府采购项目</w:t>
      </w:r>
    </w:p>
    <w:p w14:paraId="7FFBA38E">
      <w:pPr>
        <w:shd w:val="clear" w:color="auto" w:fill="FFFFFF"/>
        <w:jc w:val="center"/>
        <w:rPr>
          <w:rFonts w:ascii="宋体" w:hAnsi="宋体" w:cs="宋体"/>
          <w:b/>
          <w:bCs/>
          <w:sz w:val="60"/>
          <w:szCs w:val="60"/>
          <w:highlight w:val="none"/>
        </w:rPr>
      </w:pPr>
      <w:r>
        <w:rPr>
          <w:rFonts w:hint="eastAsia" w:ascii="宋体" w:hAnsi="宋体" w:cs="宋体"/>
          <w:b/>
          <w:bCs/>
          <w:sz w:val="60"/>
          <w:szCs w:val="60"/>
          <w:highlight w:val="none"/>
        </w:rPr>
        <w:t>竞争性磋商文件</w:t>
      </w:r>
    </w:p>
    <w:p w14:paraId="7E6F473A">
      <w:pPr>
        <w:pStyle w:val="44"/>
        <w:rPr>
          <w:rFonts w:hint="default" w:hAnsi="宋体" w:cs="宋体"/>
          <w:b/>
          <w:bCs/>
          <w:sz w:val="60"/>
          <w:szCs w:val="60"/>
          <w:highlight w:val="none"/>
        </w:rPr>
      </w:pPr>
    </w:p>
    <w:p w14:paraId="64CA0054">
      <w:pPr>
        <w:pStyle w:val="44"/>
        <w:rPr>
          <w:rFonts w:hint="default" w:hAnsi="宋体" w:cs="宋体"/>
          <w:b/>
          <w:bCs/>
          <w:sz w:val="60"/>
          <w:szCs w:val="60"/>
          <w:highlight w:val="none"/>
        </w:rPr>
      </w:pPr>
    </w:p>
    <w:p w14:paraId="2155EB64">
      <w:pPr>
        <w:shd w:val="clear" w:color="auto" w:fill="FFFFFF"/>
        <w:tabs>
          <w:tab w:val="left" w:pos="5609"/>
        </w:tabs>
        <w:spacing w:line="360" w:lineRule="auto"/>
        <w:ind w:left="2832" w:leftChars="444" w:hanging="1900" w:hangingChars="528"/>
        <w:jc w:val="left"/>
        <w:rPr>
          <w:rFonts w:ascii="宋体" w:hAnsi="宋体" w:cs="宋体"/>
          <w:bCs/>
          <w:sz w:val="36"/>
          <w:szCs w:val="36"/>
          <w:highlight w:val="none"/>
        </w:rPr>
      </w:pPr>
    </w:p>
    <w:p w14:paraId="04445EC4">
      <w:pPr>
        <w:shd w:val="clear" w:color="auto" w:fill="FFFFFF"/>
        <w:tabs>
          <w:tab w:val="left" w:pos="5609"/>
        </w:tabs>
        <w:spacing w:line="360" w:lineRule="auto"/>
        <w:ind w:left="2832" w:leftChars="444" w:hanging="1900" w:hangingChars="528"/>
        <w:jc w:val="left"/>
        <w:rPr>
          <w:rFonts w:ascii="宋体" w:hAnsi="宋体" w:cs="宋体"/>
          <w:bCs/>
          <w:sz w:val="36"/>
          <w:szCs w:val="36"/>
          <w:highlight w:val="none"/>
        </w:rPr>
      </w:pPr>
    </w:p>
    <w:p w14:paraId="57405C16">
      <w:pPr>
        <w:shd w:val="clear" w:color="auto" w:fill="FFFFFF"/>
        <w:tabs>
          <w:tab w:val="left" w:pos="5609"/>
        </w:tabs>
        <w:spacing w:line="360" w:lineRule="auto"/>
        <w:ind w:left="2832" w:leftChars="444" w:hanging="1900" w:hangingChars="528"/>
        <w:jc w:val="left"/>
        <w:rPr>
          <w:rFonts w:ascii="宋体" w:hAnsi="宋体" w:cs="宋体"/>
          <w:bCs/>
          <w:sz w:val="36"/>
          <w:szCs w:val="36"/>
          <w:highlight w:val="none"/>
        </w:rPr>
      </w:pPr>
    </w:p>
    <w:p w14:paraId="32B26401">
      <w:pPr>
        <w:shd w:val="clear" w:color="auto" w:fill="FFFFFF"/>
        <w:tabs>
          <w:tab w:val="left" w:pos="5609"/>
        </w:tabs>
        <w:spacing w:line="360" w:lineRule="auto"/>
        <w:ind w:left="2832" w:leftChars="444" w:hanging="1900" w:hangingChars="528"/>
        <w:jc w:val="left"/>
        <w:rPr>
          <w:rFonts w:ascii="宋体" w:hAnsi="宋体" w:cs="宋体"/>
          <w:bCs/>
          <w:sz w:val="36"/>
          <w:szCs w:val="36"/>
          <w:highlight w:val="none"/>
        </w:rPr>
      </w:pPr>
    </w:p>
    <w:p w14:paraId="693532B2">
      <w:pPr>
        <w:shd w:val="clear" w:color="auto" w:fill="FFFFFF"/>
        <w:tabs>
          <w:tab w:val="left" w:pos="5609"/>
        </w:tabs>
        <w:spacing w:line="360" w:lineRule="auto"/>
        <w:ind w:left="1934" w:leftChars="202" w:hanging="1510" w:hangingChars="472"/>
        <w:jc w:val="left"/>
        <w:rPr>
          <w:rFonts w:ascii="宋体" w:hAnsi="宋体" w:cs="宋体"/>
          <w:bCs/>
          <w:sz w:val="32"/>
          <w:szCs w:val="32"/>
          <w:highlight w:val="none"/>
        </w:rPr>
      </w:pPr>
      <w:r>
        <w:rPr>
          <w:rFonts w:hint="eastAsia" w:ascii="宋体" w:hAnsi="宋体" w:cs="宋体"/>
          <w:bCs/>
          <w:sz w:val="32"/>
          <w:szCs w:val="32"/>
          <w:highlight w:val="none"/>
        </w:rPr>
        <w:t>项目名称：北京财贸职业学院2025年度涿州校区职工宿舍装修改造项目</w:t>
      </w:r>
      <w:r>
        <w:rPr>
          <w:rFonts w:hint="eastAsia" w:ascii="宋体" w:hAnsi="宋体" w:cs="宋体"/>
          <w:bCs/>
          <w:sz w:val="32"/>
          <w:szCs w:val="32"/>
          <w:highlight w:val="none"/>
        </w:rPr>
        <w:t>（工程）</w:t>
      </w:r>
    </w:p>
    <w:p w14:paraId="350BEB53">
      <w:pPr>
        <w:tabs>
          <w:tab w:val="left" w:pos="3240"/>
          <w:tab w:val="left" w:pos="3420"/>
        </w:tabs>
        <w:spacing w:line="360" w:lineRule="auto"/>
        <w:ind w:left="2314" w:leftChars="203" w:hanging="1888" w:hangingChars="590"/>
        <w:jc w:val="left"/>
        <w:rPr>
          <w:rFonts w:ascii="宋体" w:hAnsi="宋体" w:cs="宋体"/>
          <w:bCs/>
          <w:sz w:val="32"/>
          <w:szCs w:val="32"/>
          <w:highlight w:val="none"/>
        </w:rPr>
      </w:pPr>
      <w:r>
        <w:rPr>
          <w:rFonts w:ascii="宋体" w:hAnsi="宋体"/>
          <w:bCs/>
          <w:sz w:val="32"/>
          <w:szCs w:val="32"/>
          <w:highlight w:val="none"/>
        </w:rPr>
        <w:t>项目</w:t>
      </w:r>
      <w:r>
        <w:rPr>
          <w:rFonts w:hint="eastAsia" w:ascii="宋体" w:hAnsi="宋体"/>
          <w:bCs/>
          <w:sz w:val="32"/>
          <w:szCs w:val="32"/>
          <w:highlight w:val="none"/>
        </w:rPr>
        <w:t>代理</w:t>
      </w:r>
      <w:r>
        <w:rPr>
          <w:rFonts w:ascii="宋体" w:hAnsi="宋体"/>
          <w:bCs/>
          <w:sz w:val="32"/>
          <w:szCs w:val="32"/>
          <w:highlight w:val="none"/>
        </w:rPr>
        <w:t>编</w:t>
      </w:r>
      <w:r>
        <w:rPr>
          <w:rFonts w:hint="eastAsia" w:ascii="宋体" w:hAnsi="宋体"/>
          <w:bCs/>
          <w:sz w:val="32"/>
          <w:szCs w:val="32"/>
          <w:highlight w:val="none"/>
        </w:rPr>
        <w:t>号：HCZB-2025-ZB0941</w:t>
      </w:r>
    </w:p>
    <w:p w14:paraId="47C83B58">
      <w:pPr>
        <w:shd w:val="clear" w:color="auto" w:fill="FFFFFF"/>
        <w:tabs>
          <w:tab w:val="left" w:pos="3240"/>
          <w:tab w:val="left" w:pos="3420"/>
        </w:tabs>
        <w:spacing w:line="360" w:lineRule="auto"/>
        <w:ind w:left="2314" w:leftChars="203" w:hanging="1888" w:hangingChars="590"/>
        <w:jc w:val="left"/>
        <w:rPr>
          <w:rFonts w:ascii="宋体" w:hAnsi="宋体" w:cs="宋体"/>
          <w:bCs/>
          <w:sz w:val="32"/>
          <w:szCs w:val="32"/>
          <w:highlight w:val="none"/>
        </w:rPr>
      </w:pPr>
      <w:r>
        <w:rPr>
          <w:rFonts w:hint="eastAsia" w:ascii="宋体" w:hAnsi="宋体" w:cs="宋体"/>
          <w:bCs/>
          <w:sz w:val="32"/>
          <w:szCs w:val="32"/>
          <w:highlight w:val="none"/>
        </w:rPr>
        <w:t>采 购 人： 北京财贸职业学院</w:t>
      </w:r>
    </w:p>
    <w:p w14:paraId="3BFF5CF8">
      <w:pPr>
        <w:shd w:val="clear" w:color="auto" w:fill="FFFFFF"/>
        <w:tabs>
          <w:tab w:val="left" w:pos="3240"/>
          <w:tab w:val="left" w:pos="3420"/>
        </w:tabs>
        <w:spacing w:line="360" w:lineRule="auto"/>
        <w:ind w:left="2314" w:leftChars="203" w:hanging="1888" w:hangingChars="590"/>
        <w:jc w:val="left"/>
        <w:rPr>
          <w:rFonts w:ascii="宋体" w:hAnsi="宋体" w:cs="宋体"/>
          <w:highlight w:val="none"/>
        </w:rPr>
      </w:pPr>
      <w:r>
        <w:rPr>
          <w:rFonts w:hint="eastAsia" w:ascii="宋体" w:hAnsi="宋体" w:cs="宋体"/>
          <w:bCs/>
          <w:sz w:val="32"/>
          <w:szCs w:val="32"/>
          <w:highlight w:val="none"/>
        </w:rPr>
        <w:t>采购代理机构：华采招标集团有限公司</w:t>
      </w:r>
      <w:r>
        <w:rPr>
          <w:rFonts w:ascii="宋体" w:hAnsi="宋体" w:cs="宋体"/>
          <w:bCs/>
          <w:sz w:val="32"/>
          <w:szCs w:val="32"/>
          <w:highlight w:val="none"/>
        </w:rPr>
        <w:t xml:space="preserve"> </w:t>
      </w:r>
      <w:r>
        <w:rPr>
          <w:rFonts w:hint="eastAsia" w:ascii="宋体" w:hAnsi="宋体" w:cs="宋体"/>
          <w:b/>
          <w:bCs/>
          <w:sz w:val="44"/>
          <w:highlight w:val="none"/>
        </w:rPr>
        <w:br w:type="page"/>
      </w:r>
    </w:p>
    <w:p w14:paraId="5D5709A6">
      <w:pPr>
        <w:shd w:val="clear" w:color="auto" w:fill="FFFFFF"/>
        <w:spacing w:line="360" w:lineRule="auto"/>
        <w:jc w:val="center"/>
        <w:outlineLvl w:val="0"/>
        <w:rPr>
          <w:rFonts w:ascii="宋体" w:hAnsi="宋体" w:cs="宋体"/>
          <w:b/>
          <w:sz w:val="36"/>
          <w:szCs w:val="36"/>
          <w:highlight w:val="none"/>
        </w:rPr>
      </w:pPr>
      <w:bookmarkStart w:id="0" w:name="_Toc26372"/>
      <w:r>
        <w:rPr>
          <w:rFonts w:hint="eastAsia" w:ascii="宋体" w:hAnsi="宋体" w:cs="宋体"/>
          <w:b/>
          <w:sz w:val="36"/>
          <w:szCs w:val="36"/>
          <w:highlight w:val="none"/>
        </w:rPr>
        <w:t>目  录</w:t>
      </w:r>
      <w:bookmarkEnd w:id="0"/>
    </w:p>
    <w:p w14:paraId="7C7B8B4E">
      <w:pPr>
        <w:pStyle w:val="56"/>
        <w:tabs>
          <w:tab w:val="right" w:leader="dot" w:pos="9073"/>
          <w:tab w:val="clear" w:pos="1050"/>
          <w:tab w:val="clear" w:pos="8937"/>
        </w:tabs>
        <w:spacing w:line="360" w:lineRule="auto"/>
        <w:rPr>
          <w:highlight w:val="none"/>
        </w:rPr>
      </w:pPr>
      <w:r>
        <w:rPr>
          <w:rFonts w:hint="eastAsia" w:cs="宋体"/>
          <w:b w:val="0"/>
          <w:highlight w:val="none"/>
        </w:rPr>
        <w:fldChar w:fldCharType="begin"/>
      </w:r>
      <w:r>
        <w:rPr>
          <w:rFonts w:hint="eastAsia" w:cs="宋体"/>
          <w:b w:val="0"/>
          <w:highlight w:val="none"/>
        </w:rPr>
        <w:instrText xml:space="preserve"> TOC \o "1-1" \h \z \u </w:instrText>
      </w:r>
      <w:r>
        <w:rPr>
          <w:rFonts w:hint="eastAsia" w:cs="宋体"/>
          <w:b w:val="0"/>
          <w:highlight w:val="none"/>
        </w:rPr>
        <w:fldChar w:fldCharType="separate"/>
      </w:r>
    </w:p>
    <w:p w14:paraId="032905FA">
      <w:pPr>
        <w:pStyle w:val="56"/>
        <w:tabs>
          <w:tab w:val="right" w:leader="dot" w:pos="9073"/>
          <w:tab w:val="clear" w:pos="1050"/>
          <w:tab w:val="clear" w:pos="8937"/>
        </w:tabs>
        <w:spacing w:line="360" w:lineRule="auto"/>
        <w:rPr>
          <w:highlight w:val="none"/>
        </w:rPr>
      </w:pPr>
      <w:r>
        <w:rPr>
          <w:highlight w:val="none"/>
        </w:rPr>
        <w:fldChar w:fldCharType="begin"/>
      </w:r>
      <w:r>
        <w:rPr>
          <w:highlight w:val="none"/>
        </w:rPr>
        <w:instrText xml:space="preserve"> HYPERLINK \l "_Toc1389" </w:instrText>
      </w:r>
      <w:r>
        <w:rPr>
          <w:highlight w:val="none"/>
        </w:rPr>
        <w:fldChar w:fldCharType="separate"/>
      </w:r>
      <w:r>
        <w:rPr>
          <w:rFonts w:hint="eastAsia" w:cs="宋体"/>
          <w:szCs w:val="36"/>
          <w:highlight w:val="none"/>
        </w:rPr>
        <w:t>第一章   采购邀请</w:t>
      </w:r>
      <w:r>
        <w:rPr>
          <w:highlight w:val="none"/>
        </w:rPr>
        <w:tab/>
      </w:r>
      <w:r>
        <w:rPr>
          <w:highlight w:val="none"/>
        </w:rPr>
        <w:fldChar w:fldCharType="begin"/>
      </w:r>
      <w:r>
        <w:rPr>
          <w:highlight w:val="none"/>
        </w:rPr>
        <w:instrText xml:space="preserve"> PAGEREF _Toc1389 \h </w:instrText>
      </w:r>
      <w:r>
        <w:rPr>
          <w:highlight w:val="none"/>
        </w:rPr>
        <w:fldChar w:fldCharType="separate"/>
      </w:r>
      <w:r>
        <w:rPr>
          <w:highlight w:val="none"/>
        </w:rPr>
        <w:t>1</w:t>
      </w:r>
      <w:r>
        <w:rPr>
          <w:highlight w:val="none"/>
        </w:rPr>
        <w:fldChar w:fldCharType="end"/>
      </w:r>
      <w:r>
        <w:rPr>
          <w:highlight w:val="none"/>
        </w:rPr>
        <w:fldChar w:fldCharType="end"/>
      </w:r>
    </w:p>
    <w:p w14:paraId="709ACFEC">
      <w:pPr>
        <w:pStyle w:val="56"/>
        <w:tabs>
          <w:tab w:val="right" w:leader="dot" w:pos="9073"/>
          <w:tab w:val="clear" w:pos="1050"/>
          <w:tab w:val="clear" w:pos="8937"/>
        </w:tabs>
        <w:spacing w:line="360" w:lineRule="auto"/>
        <w:rPr>
          <w:highlight w:val="none"/>
        </w:rPr>
      </w:pPr>
      <w:r>
        <w:rPr>
          <w:highlight w:val="none"/>
        </w:rPr>
        <w:fldChar w:fldCharType="begin"/>
      </w:r>
      <w:r>
        <w:rPr>
          <w:highlight w:val="none"/>
        </w:rPr>
        <w:instrText xml:space="preserve"> HYPERLINK \l "_Toc18834" </w:instrText>
      </w:r>
      <w:r>
        <w:rPr>
          <w:highlight w:val="none"/>
        </w:rPr>
        <w:fldChar w:fldCharType="separate"/>
      </w:r>
      <w:r>
        <w:rPr>
          <w:rFonts w:hint="eastAsia" w:cs="宋体"/>
          <w:szCs w:val="36"/>
          <w:highlight w:val="none"/>
        </w:rPr>
        <w:t>第二章   供应商须知</w:t>
      </w:r>
      <w:r>
        <w:rPr>
          <w:highlight w:val="none"/>
        </w:rPr>
        <w:tab/>
      </w:r>
      <w:r>
        <w:rPr>
          <w:highlight w:val="none"/>
        </w:rPr>
        <w:fldChar w:fldCharType="begin"/>
      </w:r>
      <w:r>
        <w:rPr>
          <w:highlight w:val="none"/>
        </w:rPr>
        <w:instrText xml:space="preserve"> PAGEREF _Toc18834 \h </w:instrText>
      </w:r>
      <w:r>
        <w:rPr>
          <w:highlight w:val="none"/>
        </w:rPr>
        <w:fldChar w:fldCharType="separate"/>
      </w:r>
      <w:r>
        <w:rPr>
          <w:highlight w:val="none"/>
        </w:rPr>
        <w:t>4</w:t>
      </w:r>
      <w:r>
        <w:rPr>
          <w:highlight w:val="none"/>
        </w:rPr>
        <w:fldChar w:fldCharType="end"/>
      </w:r>
      <w:r>
        <w:rPr>
          <w:highlight w:val="none"/>
        </w:rPr>
        <w:fldChar w:fldCharType="end"/>
      </w:r>
    </w:p>
    <w:p w14:paraId="2CE246B5">
      <w:pPr>
        <w:pStyle w:val="56"/>
        <w:tabs>
          <w:tab w:val="right" w:leader="dot" w:pos="9073"/>
          <w:tab w:val="clear" w:pos="1050"/>
          <w:tab w:val="clear" w:pos="8937"/>
        </w:tabs>
        <w:spacing w:line="360" w:lineRule="auto"/>
        <w:rPr>
          <w:highlight w:val="none"/>
        </w:rPr>
      </w:pPr>
      <w:r>
        <w:rPr>
          <w:highlight w:val="none"/>
        </w:rPr>
        <w:fldChar w:fldCharType="begin"/>
      </w:r>
      <w:r>
        <w:rPr>
          <w:highlight w:val="none"/>
        </w:rPr>
        <w:instrText xml:space="preserve"> HYPERLINK \l "_Toc24630" </w:instrText>
      </w:r>
      <w:r>
        <w:rPr>
          <w:highlight w:val="none"/>
        </w:rPr>
        <w:fldChar w:fldCharType="separate"/>
      </w:r>
      <w:r>
        <w:rPr>
          <w:rFonts w:hint="eastAsia" w:cs="宋体"/>
          <w:szCs w:val="36"/>
          <w:highlight w:val="none"/>
        </w:rPr>
        <w:t>第三章   评审方法和评审标准</w:t>
      </w:r>
      <w:r>
        <w:rPr>
          <w:highlight w:val="none"/>
        </w:rPr>
        <w:tab/>
      </w:r>
      <w:r>
        <w:rPr>
          <w:highlight w:val="none"/>
        </w:rPr>
        <w:fldChar w:fldCharType="begin"/>
      </w:r>
      <w:r>
        <w:rPr>
          <w:highlight w:val="none"/>
        </w:rPr>
        <w:instrText xml:space="preserve"> PAGEREF _Toc24630 \h </w:instrText>
      </w:r>
      <w:r>
        <w:rPr>
          <w:highlight w:val="none"/>
        </w:rPr>
        <w:fldChar w:fldCharType="separate"/>
      </w:r>
      <w:r>
        <w:rPr>
          <w:highlight w:val="none"/>
        </w:rPr>
        <w:t>20</w:t>
      </w:r>
      <w:r>
        <w:rPr>
          <w:highlight w:val="none"/>
        </w:rPr>
        <w:fldChar w:fldCharType="end"/>
      </w:r>
      <w:r>
        <w:rPr>
          <w:highlight w:val="none"/>
        </w:rPr>
        <w:fldChar w:fldCharType="end"/>
      </w:r>
    </w:p>
    <w:p w14:paraId="469C5DDA">
      <w:pPr>
        <w:pStyle w:val="56"/>
        <w:tabs>
          <w:tab w:val="right" w:leader="dot" w:pos="9073"/>
          <w:tab w:val="clear" w:pos="1050"/>
          <w:tab w:val="clear" w:pos="8937"/>
        </w:tabs>
        <w:spacing w:line="360" w:lineRule="auto"/>
        <w:rPr>
          <w:highlight w:val="none"/>
        </w:rPr>
      </w:pPr>
      <w:r>
        <w:rPr>
          <w:highlight w:val="none"/>
        </w:rPr>
        <w:fldChar w:fldCharType="begin"/>
      </w:r>
      <w:r>
        <w:rPr>
          <w:highlight w:val="none"/>
        </w:rPr>
        <w:instrText xml:space="preserve"> HYPERLINK \l "_Toc28542" </w:instrText>
      </w:r>
      <w:r>
        <w:rPr>
          <w:highlight w:val="none"/>
        </w:rPr>
        <w:fldChar w:fldCharType="separate"/>
      </w:r>
      <w:r>
        <w:rPr>
          <w:rFonts w:hint="eastAsia" w:cs="宋体"/>
          <w:szCs w:val="36"/>
          <w:highlight w:val="none"/>
        </w:rPr>
        <w:t>第四章   采购需求</w:t>
      </w:r>
      <w:r>
        <w:rPr>
          <w:highlight w:val="none"/>
        </w:rPr>
        <w:tab/>
      </w:r>
      <w:r>
        <w:rPr>
          <w:highlight w:val="none"/>
        </w:rPr>
        <w:fldChar w:fldCharType="begin"/>
      </w:r>
      <w:r>
        <w:rPr>
          <w:highlight w:val="none"/>
        </w:rPr>
        <w:instrText xml:space="preserve"> PAGEREF _Toc28542 \h </w:instrText>
      </w:r>
      <w:r>
        <w:rPr>
          <w:highlight w:val="none"/>
        </w:rPr>
        <w:fldChar w:fldCharType="separate"/>
      </w:r>
      <w:r>
        <w:rPr>
          <w:highlight w:val="none"/>
        </w:rPr>
        <w:t>32</w:t>
      </w:r>
      <w:r>
        <w:rPr>
          <w:highlight w:val="none"/>
        </w:rPr>
        <w:fldChar w:fldCharType="end"/>
      </w:r>
      <w:r>
        <w:rPr>
          <w:highlight w:val="none"/>
        </w:rPr>
        <w:fldChar w:fldCharType="end"/>
      </w:r>
    </w:p>
    <w:p w14:paraId="34F71ED6">
      <w:pPr>
        <w:pStyle w:val="56"/>
        <w:tabs>
          <w:tab w:val="right" w:leader="dot" w:pos="9073"/>
          <w:tab w:val="clear" w:pos="1050"/>
          <w:tab w:val="clear" w:pos="8937"/>
        </w:tabs>
        <w:spacing w:line="360" w:lineRule="auto"/>
        <w:rPr>
          <w:highlight w:val="none"/>
        </w:rPr>
      </w:pPr>
      <w:r>
        <w:rPr>
          <w:highlight w:val="none"/>
        </w:rPr>
        <w:fldChar w:fldCharType="begin"/>
      </w:r>
      <w:r>
        <w:rPr>
          <w:highlight w:val="none"/>
        </w:rPr>
        <w:instrText xml:space="preserve"> HYPERLINK \l "_Toc4796" </w:instrText>
      </w:r>
      <w:r>
        <w:rPr>
          <w:highlight w:val="none"/>
        </w:rPr>
        <w:fldChar w:fldCharType="separate"/>
      </w:r>
      <w:r>
        <w:rPr>
          <w:rFonts w:hint="eastAsia" w:cs="宋体"/>
          <w:szCs w:val="36"/>
          <w:highlight w:val="none"/>
        </w:rPr>
        <w:t>第五章   合同草案条款</w:t>
      </w:r>
      <w:r>
        <w:rPr>
          <w:highlight w:val="none"/>
        </w:rPr>
        <w:tab/>
      </w:r>
      <w:r>
        <w:rPr>
          <w:highlight w:val="none"/>
        </w:rPr>
        <w:fldChar w:fldCharType="begin"/>
      </w:r>
      <w:r>
        <w:rPr>
          <w:highlight w:val="none"/>
        </w:rPr>
        <w:instrText xml:space="preserve"> PAGEREF _Toc4796 \h </w:instrText>
      </w:r>
      <w:r>
        <w:rPr>
          <w:highlight w:val="none"/>
        </w:rPr>
        <w:fldChar w:fldCharType="separate"/>
      </w:r>
      <w:r>
        <w:rPr>
          <w:highlight w:val="none"/>
        </w:rPr>
        <w:t>34</w:t>
      </w:r>
      <w:r>
        <w:rPr>
          <w:highlight w:val="none"/>
        </w:rPr>
        <w:fldChar w:fldCharType="end"/>
      </w:r>
      <w:r>
        <w:rPr>
          <w:highlight w:val="none"/>
        </w:rPr>
        <w:fldChar w:fldCharType="end"/>
      </w:r>
    </w:p>
    <w:p w14:paraId="64997E13">
      <w:pPr>
        <w:pStyle w:val="56"/>
        <w:tabs>
          <w:tab w:val="right" w:leader="dot" w:pos="9073"/>
          <w:tab w:val="clear" w:pos="1050"/>
          <w:tab w:val="clear" w:pos="8937"/>
        </w:tabs>
        <w:spacing w:line="360" w:lineRule="auto"/>
        <w:rPr>
          <w:highlight w:val="none"/>
        </w:rPr>
      </w:pPr>
      <w:r>
        <w:rPr>
          <w:highlight w:val="none"/>
        </w:rPr>
        <w:fldChar w:fldCharType="begin"/>
      </w:r>
      <w:r>
        <w:rPr>
          <w:highlight w:val="none"/>
        </w:rPr>
        <w:instrText xml:space="preserve"> HYPERLINK \l "_Toc26379" </w:instrText>
      </w:r>
      <w:r>
        <w:rPr>
          <w:highlight w:val="none"/>
        </w:rPr>
        <w:fldChar w:fldCharType="separate"/>
      </w:r>
      <w:r>
        <w:rPr>
          <w:rFonts w:hint="eastAsia" w:cs="宋体"/>
          <w:szCs w:val="36"/>
          <w:highlight w:val="none"/>
        </w:rPr>
        <w:t>第六章   响应文件格式</w:t>
      </w:r>
      <w:r>
        <w:rPr>
          <w:highlight w:val="none"/>
        </w:rPr>
        <w:tab/>
      </w:r>
      <w:r>
        <w:rPr>
          <w:highlight w:val="none"/>
        </w:rPr>
        <w:fldChar w:fldCharType="begin"/>
      </w:r>
      <w:r>
        <w:rPr>
          <w:highlight w:val="none"/>
        </w:rPr>
        <w:instrText xml:space="preserve"> PAGEREF _Toc26379 \h </w:instrText>
      </w:r>
      <w:r>
        <w:rPr>
          <w:highlight w:val="none"/>
        </w:rPr>
        <w:fldChar w:fldCharType="separate"/>
      </w:r>
      <w:r>
        <w:rPr>
          <w:highlight w:val="none"/>
        </w:rPr>
        <w:t>119</w:t>
      </w:r>
      <w:r>
        <w:rPr>
          <w:highlight w:val="none"/>
        </w:rPr>
        <w:fldChar w:fldCharType="end"/>
      </w:r>
      <w:r>
        <w:rPr>
          <w:highlight w:val="none"/>
        </w:rPr>
        <w:fldChar w:fldCharType="end"/>
      </w:r>
    </w:p>
    <w:p w14:paraId="3D61C1EA">
      <w:pPr>
        <w:pStyle w:val="56"/>
        <w:tabs>
          <w:tab w:val="right" w:leader="dot" w:pos="9073"/>
          <w:tab w:val="clear" w:pos="1050"/>
          <w:tab w:val="clear" w:pos="8937"/>
        </w:tabs>
        <w:spacing w:line="360" w:lineRule="auto"/>
        <w:rPr>
          <w:highlight w:val="none"/>
        </w:rPr>
      </w:pPr>
      <w:r>
        <w:rPr>
          <w:highlight w:val="none"/>
        </w:rPr>
        <w:fldChar w:fldCharType="begin"/>
      </w:r>
      <w:r>
        <w:rPr>
          <w:highlight w:val="none"/>
        </w:rPr>
        <w:instrText xml:space="preserve"> HYPERLINK \l "_Toc17359" </w:instrText>
      </w:r>
      <w:r>
        <w:rPr>
          <w:highlight w:val="none"/>
        </w:rPr>
        <w:fldChar w:fldCharType="separate"/>
      </w:r>
      <w:r>
        <w:rPr>
          <w:rFonts w:hint="eastAsia" w:cs="宋体"/>
          <w:szCs w:val="28"/>
          <w:highlight w:val="none"/>
        </w:rPr>
        <w:t>第七章   工程量清单</w:t>
      </w:r>
      <w:r>
        <w:rPr>
          <w:highlight w:val="none"/>
        </w:rPr>
        <w:tab/>
      </w:r>
      <w:r>
        <w:rPr>
          <w:highlight w:val="none"/>
        </w:rPr>
        <w:fldChar w:fldCharType="begin"/>
      </w:r>
      <w:r>
        <w:rPr>
          <w:highlight w:val="none"/>
        </w:rPr>
        <w:instrText xml:space="preserve"> PAGEREF _Toc17359 \h </w:instrText>
      </w:r>
      <w:r>
        <w:rPr>
          <w:highlight w:val="none"/>
        </w:rPr>
        <w:fldChar w:fldCharType="separate"/>
      </w:r>
      <w:r>
        <w:rPr>
          <w:highlight w:val="none"/>
        </w:rPr>
        <w:t>145</w:t>
      </w:r>
      <w:r>
        <w:rPr>
          <w:highlight w:val="none"/>
        </w:rPr>
        <w:fldChar w:fldCharType="end"/>
      </w:r>
      <w:r>
        <w:rPr>
          <w:highlight w:val="none"/>
        </w:rPr>
        <w:fldChar w:fldCharType="end"/>
      </w:r>
    </w:p>
    <w:p w14:paraId="1CF0F7FE">
      <w:pPr>
        <w:pStyle w:val="56"/>
        <w:shd w:val="clear" w:color="auto" w:fill="FFFFFF"/>
        <w:spacing w:line="360" w:lineRule="auto"/>
        <w:rPr>
          <w:rFonts w:cs="宋体"/>
          <w:b w:val="0"/>
          <w:highlight w:val="none"/>
        </w:rPr>
      </w:pPr>
      <w:r>
        <w:rPr>
          <w:rFonts w:hint="eastAsia" w:cs="宋体"/>
          <w:highlight w:val="none"/>
        </w:rPr>
        <w:fldChar w:fldCharType="end"/>
      </w:r>
    </w:p>
    <w:p w14:paraId="24900C6C">
      <w:pPr>
        <w:pStyle w:val="56"/>
        <w:shd w:val="clear" w:color="auto" w:fill="FFFFFF"/>
        <w:spacing w:line="360" w:lineRule="auto"/>
        <w:rPr>
          <w:rFonts w:cs="宋体"/>
          <w:b w:val="0"/>
          <w:sz w:val="36"/>
          <w:szCs w:val="36"/>
          <w:highlight w:val="none"/>
        </w:rPr>
      </w:pPr>
    </w:p>
    <w:p w14:paraId="74DB0313">
      <w:pPr>
        <w:shd w:val="clear" w:color="auto" w:fill="FFFFFF"/>
        <w:spacing w:line="360" w:lineRule="auto"/>
        <w:jc w:val="center"/>
        <w:outlineLvl w:val="0"/>
        <w:rPr>
          <w:rFonts w:ascii="宋体" w:hAnsi="宋体" w:cs="宋体"/>
          <w:b/>
          <w:sz w:val="36"/>
          <w:szCs w:val="36"/>
          <w:highlight w:val="none"/>
        </w:rPr>
        <w:sectPr>
          <w:headerReference r:id="rId4" w:type="first"/>
          <w:footerReference r:id="rId7" w:type="first"/>
          <w:headerReference r:id="rId3" w:type="default"/>
          <w:footerReference r:id="rId5" w:type="default"/>
          <w:footerReference r:id="rId6" w:type="even"/>
          <w:type w:val="nextColumn"/>
          <w:pgSz w:w="11907" w:h="16840"/>
          <w:pgMar w:top="1417" w:right="1417" w:bottom="1417" w:left="1417" w:header="851" w:footer="851" w:gutter="0"/>
          <w:pgNumType w:start="1"/>
          <w:cols w:space="720" w:num="1"/>
          <w:titlePg/>
          <w:docGrid w:linePitch="462" w:charSpace="0"/>
        </w:sectPr>
      </w:pPr>
    </w:p>
    <w:p w14:paraId="30006610">
      <w:pPr>
        <w:shd w:val="clear" w:color="auto" w:fill="FFFFFF"/>
        <w:spacing w:line="360" w:lineRule="auto"/>
        <w:jc w:val="center"/>
        <w:outlineLvl w:val="0"/>
        <w:rPr>
          <w:rFonts w:ascii="宋体" w:hAnsi="宋体" w:cs="宋体"/>
          <w:b/>
          <w:sz w:val="36"/>
          <w:szCs w:val="36"/>
          <w:highlight w:val="none"/>
        </w:rPr>
      </w:pPr>
      <w:bookmarkStart w:id="1" w:name="_Toc1389"/>
      <w:r>
        <w:rPr>
          <w:rFonts w:hint="eastAsia" w:ascii="宋体" w:hAnsi="宋体" w:cs="宋体"/>
          <w:b/>
          <w:sz w:val="36"/>
          <w:szCs w:val="36"/>
          <w:highlight w:val="none"/>
        </w:rPr>
        <w:t>第一章   采购邀请</w:t>
      </w:r>
      <w:bookmarkEnd w:id="1"/>
      <w:bookmarkStart w:id="2" w:name="_Toc28359002"/>
      <w:bookmarkStart w:id="3" w:name="_Toc35393621"/>
      <w:bookmarkStart w:id="4" w:name="_Toc35393790"/>
      <w:bookmarkStart w:id="5" w:name="_Toc28359079"/>
      <w:bookmarkStart w:id="6" w:name="_Hlk24379207"/>
    </w:p>
    <w:p w14:paraId="348AFFF9">
      <w:pPr>
        <w:pStyle w:val="4"/>
        <w:shd w:val="clear" w:color="auto" w:fill="FFFFFF"/>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2"/>
      <w:bookmarkEnd w:id="3"/>
      <w:bookmarkEnd w:id="4"/>
      <w:bookmarkEnd w:id="5"/>
    </w:p>
    <w:p w14:paraId="72057791">
      <w:pPr>
        <w:shd w:val="clear" w:color="auto" w:fill="FFFFFF"/>
        <w:spacing w:line="360" w:lineRule="auto"/>
        <w:ind w:firstLine="480" w:firstLineChars="200"/>
        <w:rPr>
          <w:rFonts w:ascii="宋体" w:hAnsi="宋体" w:cs="宋体"/>
          <w:sz w:val="24"/>
          <w:highlight w:val="none"/>
          <w:u w:val="single"/>
        </w:rPr>
      </w:pPr>
      <w:r>
        <w:rPr>
          <w:rFonts w:hint="eastAsia" w:ascii="宋体" w:hAnsi="宋体" w:cs="宋体"/>
          <w:sz w:val="24"/>
          <w:highlight w:val="none"/>
        </w:rPr>
        <w:t>1.</w:t>
      </w:r>
      <w:r>
        <w:rPr>
          <w:rFonts w:hint="eastAsia"/>
          <w:highlight w:val="none"/>
        </w:rPr>
        <w:t xml:space="preserve"> </w:t>
      </w:r>
      <w:r>
        <w:rPr>
          <w:rFonts w:hint="eastAsia" w:ascii="宋体" w:hAnsi="宋体" w:cs="宋体"/>
          <w:sz w:val="24"/>
          <w:highlight w:val="none"/>
        </w:rPr>
        <w:t>项目代理编号：HCZB-2025-ZB0941</w:t>
      </w:r>
    </w:p>
    <w:p w14:paraId="284FF99D">
      <w:pPr>
        <w:shd w:val="clear" w:color="auto" w:fill="FFFFFF"/>
        <w:spacing w:line="360" w:lineRule="auto"/>
        <w:ind w:firstLine="480" w:firstLineChars="200"/>
        <w:rPr>
          <w:rFonts w:ascii="宋体" w:hAnsi="宋体" w:cs="宋体"/>
          <w:sz w:val="24"/>
          <w:highlight w:val="none"/>
        </w:rPr>
      </w:pPr>
      <w:r>
        <w:rPr>
          <w:rFonts w:hint="eastAsia" w:ascii="宋体" w:hAnsi="宋体" w:cs="宋体"/>
          <w:sz w:val="24"/>
          <w:highlight w:val="none"/>
        </w:rPr>
        <w:t>2.项目名称：</w:t>
      </w:r>
      <w:r>
        <w:rPr>
          <w:rFonts w:hint="eastAsia" w:ascii="宋体" w:hAnsi="宋体" w:cs="宋体"/>
          <w:sz w:val="24"/>
          <w:highlight w:val="none"/>
        </w:rPr>
        <w:t>北京财贸职业学院2025年度涿州校区职工宿舍装修改造项目（工程）</w:t>
      </w:r>
      <w:r>
        <w:rPr>
          <w:rFonts w:hint="eastAsia" w:ascii="宋体" w:hAnsi="宋体" w:cs="宋体"/>
          <w:sz w:val="24"/>
          <w:highlight w:val="none"/>
        </w:rPr>
        <w:t xml:space="preserve"> </w:t>
      </w:r>
    </w:p>
    <w:p w14:paraId="34A9675C">
      <w:pPr>
        <w:shd w:val="clear" w:color="auto" w:fill="FFFFFF"/>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3.采购方式：竞争性磋商 </w:t>
      </w:r>
    </w:p>
    <w:bookmarkEnd w:id="6"/>
    <w:p w14:paraId="1235732F">
      <w:pPr>
        <w:shd w:val="clear" w:color="auto" w:fill="FFFFFF"/>
        <w:spacing w:line="360" w:lineRule="auto"/>
        <w:ind w:firstLine="480" w:firstLineChars="200"/>
        <w:rPr>
          <w:rFonts w:ascii="宋体" w:hAnsi="宋体" w:cs="宋体"/>
          <w:sz w:val="24"/>
          <w:highlight w:val="none"/>
        </w:rPr>
      </w:pPr>
      <w:r>
        <w:rPr>
          <w:rFonts w:hint="eastAsia" w:ascii="宋体" w:hAnsi="宋体" w:cs="宋体"/>
          <w:sz w:val="24"/>
          <w:highlight w:val="none"/>
        </w:rPr>
        <w:t>4.项目预算金额：</w:t>
      </w:r>
      <w:r>
        <w:rPr>
          <w:rFonts w:hint="eastAsia" w:ascii="宋体" w:hAnsi="宋体" w:cs="宋体"/>
          <w:sz w:val="24"/>
          <w:highlight w:val="none"/>
          <w:u w:val="single"/>
        </w:rPr>
        <w:t>99.96</w:t>
      </w:r>
      <w:r>
        <w:rPr>
          <w:rFonts w:hint="eastAsia" w:ascii="宋体" w:hAnsi="宋体" w:cs="宋体"/>
          <w:sz w:val="24"/>
          <w:highlight w:val="none"/>
        </w:rPr>
        <w:t>万元、项目最高限价（如有）:</w:t>
      </w:r>
      <w:r>
        <w:rPr>
          <w:rFonts w:hint="eastAsia" w:ascii="宋体" w:hAnsi="宋体" w:cs="宋体"/>
          <w:sz w:val="24"/>
          <w:highlight w:val="none"/>
          <w:u w:val="single"/>
        </w:rPr>
        <w:t>99.96</w:t>
      </w:r>
      <w:r>
        <w:rPr>
          <w:rFonts w:hint="eastAsia" w:ascii="宋体" w:hAnsi="宋体" w:cs="宋体"/>
          <w:sz w:val="24"/>
          <w:highlight w:val="none"/>
        </w:rPr>
        <w:t>万元</w:t>
      </w:r>
    </w:p>
    <w:p w14:paraId="150F6729">
      <w:pPr>
        <w:shd w:val="clear" w:color="auto" w:fill="FFFFFF"/>
        <w:spacing w:line="360" w:lineRule="auto"/>
        <w:ind w:firstLine="480" w:firstLineChars="200"/>
        <w:rPr>
          <w:rFonts w:ascii="宋体" w:hAnsi="宋体" w:cs="宋体"/>
          <w:sz w:val="24"/>
          <w:highlight w:val="none"/>
        </w:rPr>
      </w:pPr>
      <w:r>
        <w:rPr>
          <w:rFonts w:hint="eastAsia" w:ascii="宋体" w:hAnsi="宋体" w:cs="宋体"/>
          <w:sz w:val="24"/>
          <w:highlight w:val="none"/>
        </w:rPr>
        <w:t>5.采购需求：</w:t>
      </w:r>
    </w:p>
    <w:tbl>
      <w:tblPr>
        <w:tblStyle w:val="83"/>
        <w:tblW w:w="4732"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2175"/>
        <w:gridCol w:w="1268"/>
        <w:gridCol w:w="1308"/>
        <w:gridCol w:w="3385"/>
      </w:tblGrid>
      <w:tr w14:paraId="4AF2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3" w:type="pct"/>
            <w:vAlign w:val="center"/>
          </w:tcPr>
          <w:p w14:paraId="5A25DF2C">
            <w:pPr>
              <w:jc w:val="center"/>
              <w:rPr>
                <w:rFonts w:ascii="Arial" w:hAnsi="Arial" w:cs="Arial"/>
                <w:kern w:val="0"/>
                <w:sz w:val="24"/>
                <w:highlight w:val="none"/>
              </w:rPr>
            </w:pPr>
            <w:r>
              <w:rPr>
                <w:rFonts w:hint="eastAsia" w:ascii="Arial" w:hAnsi="Arial" w:cs="Arial"/>
                <w:kern w:val="0"/>
                <w:sz w:val="24"/>
                <w:highlight w:val="none"/>
              </w:rPr>
              <w:t>序号</w:t>
            </w:r>
          </w:p>
        </w:tc>
        <w:tc>
          <w:tcPr>
            <w:tcW w:w="1237" w:type="pct"/>
            <w:vAlign w:val="center"/>
          </w:tcPr>
          <w:p w14:paraId="41D0C38C">
            <w:pPr>
              <w:jc w:val="center"/>
              <w:rPr>
                <w:rFonts w:ascii="Arial" w:hAnsi="Arial" w:cs="Arial"/>
                <w:kern w:val="0"/>
                <w:sz w:val="24"/>
                <w:highlight w:val="none"/>
              </w:rPr>
            </w:pPr>
            <w:r>
              <w:rPr>
                <w:rFonts w:ascii="Arial" w:hAnsi="Arial" w:cs="Arial"/>
                <w:kern w:val="0"/>
                <w:sz w:val="24"/>
                <w:highlight w:val="none"/>
              </w:rPr>
              <w:t>标的名称</w:t>
            </w:r>
          </w:p>
        </w:tc>
        <w:tc>
          <w:tcPr>
            <w:tcW w:w="721" w:type="pct"/>
            <w:vAlign w:val="center"/>
          </w:tcPr>
          <w:p w14:paraId="24F595BA">
            <w:pPr>
              <w:jc w:val="center"/>
              <w:rPr>
                <w:rFonts w:ascii="Arial" w:hAnsi="Arial" w:cs="Arial"/>
                <w:kern w:val="0"/>
                <w:sz w:val="24"/>
                <w:highlight w:val="none"/>
              </w:rPr>
            </w:pPr>
            <w:r>
              <w:rPr>
                <w:rFonts w:hint="eastAsia" w:ascii="Arial" w:hAnsi="Arial" w:cs="Arial"/>
                <w:kern w:val="0"/>
                <w:sz w:val="24"/>
                <w:highlight w:val="none"/>
              </w:rPr>
              <w:t>预算金额（万元）</w:t>
            </w:r>
          </w:p>
        </w:tc>
        <w:tc>
          <w:tcPr>
            <w:tcW w:w="744" w:type="pct"/>
            <w:vAlign w:val="center"/>
          </w:tcPr>
          <w:p w14:paraId="516C36ED">
            <w:pPr>
              <w:jc w:val="center"/>
              <w:rPr>
                <w:rFonts w:ascii="Arial" w:hAnsi="Arial" w:cs="Arial"/>
                <w:kern w:val="0"/>
                <w:sz w:val="24"/>
                <w:highlight w:val="none"/>
              </w:rPr>
            </w:pPr>
            <w:r>
              <w:rPr>
                <w:rFonts w:ascii="Arial" w:hAnsi="Arial" w:cs="Arial"/>
                <w:kern w:val="0"/>
                <w:sz w:val="24"/>
                <w:highlight w:val="none"/>
              </w:rPr>
              <w:t>数量</w:t>
            </w:r>
          </w:p>
        </w:tc>
        <w:tc>
          <w:tcPr>
            <w:tcW w:w="1925" w:type="pct"/>
            <w:vAlign w:val="center"/>
          </w:tcPr>
          <w:p w14:paraId="0DC07A12">
            <w:pPr>
              <w:jc w:val="center"/>
              <w:rPr>
                <w:rFonts w:ascii="Arial" w:hAnsi="Arial" w:cs="Arial"/>
                <w:kern w:val="0"/>
                <w:sz w:val="24"/>
                <w:highlight w:val="none"/>
              </w:rPr>
            </w:pPr>
            <w:r>
              <w:rPr>
                <w:rFonts w:ascii="Arial" w:hAnsi="Arial" w:cs="Arial"/>
                <w:kern w:val="0"/>
                <w:sz w:val="24"/>
                <w:highlight w:val="none"/>
              </w:rPr>
              <w:t>简要技术需求或服务要求</w:t>
            </w:r>
          </w:p>
        </w:tc>
      </w:tr>
      <w:tr w14:paraId="16C7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3" w:type="pct"/>
            <w:vAlign w:val="center"/>
          </w:tcPr>
          <w:p w14:paraId="327F3F18">
            <w:pPr>
              <w:jc w:val="center"/>
              <w:rPr>
                <w:rFonts w:ascii="宋体" w:hAnsi="宋体" w:cs="宋体"/>
                <w:kern w:val="0"/>
                <w:sz w:val="24"/>
                <w:highlight w:val="none"/>
              </w:rPr>
            </w:pPr>
            <w:r>
              <w:rPr>
                <w:rFonts w:hint="eastAsia" w:ascii="宋体" w:hAnsi="宋体" w:cs="宋体"/>
                <w:kern w:val="0"/>
                <w:sz w:val="24"/>
                <w:highlight w:val="none"/>
              </w:rPr>
              <w:t>1</w:t>
            </w:r>
          </w:p>
        </w:tc>
        <w:tc>
          <w:tcPr>
            <w:tcW w:w="1237" w:type="pct"/>
            <w:vAlign w:val="center"/>
          </w:tcPr>
          <w:p w14:paraId="06EB21C0">
            <w:pPr>
              <w:jc w:val="center"/>
              <w:rPr>
                <w:rFonts w:hint="eastAsia" w:ascii="宋体" w:hAnsi="宋体" w:eastAsia="宋体" w:cs="宋体"/>
                <w:kern w:val="0"/>
                <w:sz w:val="24"/>
                <w:highlight w:val="none"/>
                <w:lang w:eastAsia="zh-CN"/>
              </w:rPr>
            </w:pPr>
            <w:r>
              <w:rPr>
                <w:rFonts w:hint="eastAsia" w:ascii="宋体" w:hAnsi="宋体" w:cs="宋体"/>
                <w:sz w:val="24"/>
                <w:highlight w:val="none"/>
              </w:rPr>
              <w:t>北京财贸职业学院2025年度涿州校区职工宿舍装修改造项目</w:t>
            </w:r>
            <w:r>
              <w:rPr>
                <w:rFonts w:hint="eastAsia" w:ascii="宋体" w:hAnsi="宋体" w:cs="宋体"/>
                <w:sz w:val="24"/>
                <w:highlight w:val="none"/>
                <w:lang w:eastAsia="zh-CN"/>
              </w:rPr>
              <w:t>（</w:t>
            </w:r>
            <w:r>
              <w:rPr>
                <w:rFonts w:hint="eastAsia" w:ascii="宋体" w:hAnsi="宋体" w:cs="宋体"/>
                <w:sz w:val="24"/>
                <w:highlight w:val="none"/>
                <w:lang w:val="en-US" w:eastAsia="zh-CN"/>
              </w:rPr>
              <w:t>工程</w:t>
            </w:r>
            <w:r>
              <w:rPr>
                <w:rFonts w:hint="eastAsia" w:ascii="宋体" w:hAnsi="宋体" w:cs="宋体"/>
                <w:sz w:val="24"/>
                <w:highlight w:val="none"/>
                <w:lang w:eastAsia="zh-CN"/>
              </w:rPr>
              <w:t>）</w:t>
            </w:r>
          </w:p>
        </w:tc>
        <w:tc>
          <w:tcPr>
            <w:tcW w:w="721" w:type="pct"/>
            <w:vAlign w:val="center"/>
          </w:tcPr>
          <w:p w14:paraId="14275472">
            <w:pPr>
              <w:jc w:val="center"/>
              <w:rPr>
                <w:rFonts w:ascii="宋体" w:hAnsi="宋体" w:cs="宋体"/>
                <w:kern w:val="0"/>
                <w:sz w:val="24"/>
                <w:highlight w:val="none"/>
              </w:rPr>
            </w:pPr>
            <w:r>
              <w:rPr>
                <w:rFonts w:hint="eastAsia" w:ascii="宋体" w:hAnsi="宋体" w:cs="宋体"/>
                <w:sz w:val="24"/>
                <w:highlight w:val="none"/>
              </w:rPr>
              <w:t>99.96</w:t>
            </w:r>
          </w:p>
        </w:tc>
        <w:tc>
          <w:tcPr>
            <w:tcW w:w="744" w:type="pct"/>
            <w:vAlign w:val="center"/>
          </w:tcPr>
          <w:p w14:paraId="7B041A0C">
            <w:pPr>
              <w:jc w:val="center"/>
              <w:rPr>
                <w:rFonts w:ascii="宋体" w:hAnsi="宋体" w:cs="宋体"/>
                <w:sz w:val="24"/>
                <w:highlight w:val="none"/>
              </w:rPr>
            </w:pPr>
            <w:r>
              <w:rPr>
                <w:rFonts w:hint="eastAsia" w:ascii="宋体" w:hAnsi="宋体" w:cs="宋体"/>
                <w:sz w:val="24"/>
                <w:highlight w:val="none"/>
              </w:rPr>
              <w:t>1</w:t>
            </w:r>
          </w:p>
        </w:tc>
        <w:tc>
          <w:tcPr>
            <w:tcW w:w="1925" w:type="pct"/>
            <w:vAlign w:val="center"/>
          </w:tcPr>
          <w:p w14:paraId="731F215A">
            <w:pPr>
              <w:rPr>
                <w:rFonts w:ascii="宋体" w:hAnsi="宋体"/>
                <w:sz w:val="24"/>
                <w:highlight w:val="none"/>
              </w:rPr>
            </w:pPr>
            <w:r>
              <w:rPr>
                <w:rFonts w:hint="eastAsia" w:ascii="宋体" w:hAnsi="宋体" w:cs="宋体"/>
                <w:sz w:val="24"/>
                <w:highlight w:val="none"/>
              </w:rPr>
              <w:t>北京财贸职业学院2025年度涿州校区职工宿舍装修改造项目，详见第四章采购需求。</w:t>
            </w:r>
          </w:p>
        </w:tc>
      </w:tr>
    </w:tbl>
    <w:p w14:paraId="3AB0D66D">
      <w:pPr>
        <w:shd w:val="clear" w:color="auto" w:fill="FFFFFF"/>
        <w:spacing w:before="240" w:line="360" w:lineRule="auto"/>
        <w:ind w:firstLine="480" w:firstLineChars="200"/>
        <w:rPr>
          <w:rFonts w:ascii="宋体" w:hAnsi="宋体" w:cs="宋体"/>
          <w:sz w:val="24"/>
          <w:highlight w:val="none"/>
        </w:rPr>
      </w:pPr>
      <w:r>
        <w:rPr>
          <w:rFonts w:hint="eastAsia" w:ascii="宋体" w:hAnsi="宋体" w:cs="宋体"/>
          <w:sz w:val="24"/>
          <w:highlight w:val="none"/>
        </w:rPr>
        <w:t>6.合同履行期限：</w:t>
      </w:r>
      <w:r>
        <w:rPr>
          <w:rFonts w:hint="eastAsia"/>
          <w:sz w:val="24"/>
          <w:highlight w:val="none"/>
        </w:rPr>
        <w:t>本项目计划工期</w:t>
      </w:r>
      <w:r>
        <w:rPr>
          <w:rFonts w:hint="eastAsia"/>
          <w:sz w:val="24"/>
          <w:highlight w:val="none"/>
          <w:u w:val="single"/>
        </w:rPr>
        <w:t xml:space="preserve"> </w:t>
      </w:r>
      <w:r>
        <w:rPr>
          <w:sz w:val="24"/>
          <w:highlight w:val="none"/>
          <w:u w:val="single"/>
        </w:rPr>
        <w:t>30</w:t>
      </w:r>
      <w:r>
        <w:rPr>
          <w:rFonts w:hint="eastAsia"/>
          <w:sz w:val="24"/>
          <w:highlight w:val="none"/>
          <w:u w:val="single"/>
        </w:rPr>
        <w:t xml:space="preserve"> </w:t>
      </w:r>
      <w:r>
        <w:rPr>
          <w:rFonts w:hint="eastAsia"/>
          <w:sz w:val="24"/>
          <w:highlight w:val="none"/>
        </w:rPr>
        <w:t>日历天；具体开工日期以双方签订合同约定为准。</w:t>
      </w:r>
    </w:p>
    <w:p w14:paraId="13328CC1">
      <w:pPr>
        <w:shd w:val="clear" w:color="auto" w:fill="FFFFFF"/>
        <w:spacing w:line="360" w:lineRule="auto"/>
        <w:ind w:firstLine="480" w:firstLineChars="200"/>
        <w:rPr>
          <w:rFonts w:ascii="宋体" w:hAnsi="宋体" w:cs="宋体"/>
          <w:sz w:val="24"/>
          <w:highlight w:val="none"/>
        </w:rPr>
      </w:pPr>
      <w:r>
        <w:rPr>
          <w:rFonts w:hint="eastAsia" w:ascii="宋体" w:hAnsi="宋体" w:cs="宋体"/>
          <w:sz w:val="24"/>
          <w:highlight w:val="none"/>
        </w:rPr>
        <w:t>7.本项目是否接受联合体：</w:t>
      </w:r>
      <w:r>
        <w:rPr>
          <w:rFonts w:hint="eastAsia" w:ascii="宋体" w:hAnsi="宋体" w:cs="宋体"/>
          <w:highlight w:val="none"/>
        </w:rPr>
        <w:t>□</w:t>
      </w:r>
      <w:r>
        <w:rPr>
          <w:rFonts w:hint="eastAsia" w:ascii="宋体" w:hAnsi="宋体" w:cs="宋体"/>
          <w:sz w:val="24"/>
          <w:highlight w:val="none"/>
        </w:rPr>
        <w:t xml:space="preserve">是  </w:t>
      </w:r>
      <w:r>
        <w:rPr>
          <w:rFonts w:hint="eastAsia" w:ascii="宋体" w:hAnsi="宋体" w:cs="宋体"/>
          <w:b/>
          <w:color w:val="000000"/>
          <w:sz w:val="24"/>
          <w:highlight w:val="none"/>
        </w:rPr>
        <w:t>■</w:t>
      </w:r>
      <w:r>
        <w:rPr>
          <w:rFonts w:hint="eastAsia" w:ascii="宋体" w:hAnsi="宋体" w:cs="宋体"/>
          <w:sz w:val="24"/>
          <w:highlight w:val="none"/>
        </w:rPr>
        <w:t>否。</w:t>
      </w:r>
    </w:p>
    <w:p w14:paraId="41ED61A8">
      <w:pPr>
        <w:pStyle w:val="4"/>
        <w:shd w:val="clear" w:color="auto" w:fill="FFFFFF"/>
        <w:spacing w:before="0" w:line="360" w:lineRule="auto"/>
        <w:jc w:val="left"/>
        <w:rPr>
          <w:rFonts w:ascii="宋体" w:hAnsi="宋体" w:eastAsia="宋体" w:cs="宋体"/>
          <w:sz w:val="24"/>
          <w:szCs w:val="24"/>
          <w:highlight w:val="none"/>
        </w:rPr>
      </w:pPr>
      <w:bookmarkStart w:id="7" w:name="_Toc35393791"/>
      <w:bookmarkStart w:id="8" w:name="_Toc28359080"/>
      <w:bookmarkStart w:id="9" w:name="_Toc28359003"/>
      <w:bookmarkStart w:id="10" w:name="_Toc35393622"/>
      <w:r>
        <w:rPr>
          <w:rFonts w:hint="eastAsia" w:ascii="宋体" w:hAnsi="宋体" w:eastAsia="宋体" w:cs="宋体"/>
          <w:sz w:val="24"/>
          <w:szCs w:val="24"/>
          <w:highlight w:val="none"/>
        </w:rPr>
        <w:t>二、申请人的资格要求（须同时满足）</w:t>
      </w:r>
      <w:bookmarkEnd w:id="7"/>
      <w:bookmarkEnd w:id="8"/>
      <w:bookmarkEnd w:id="9"/>
      <w:bookmarkEnd w:id="10"/>
    </w:p>
    <w:p w14:paraId="60AE6DAC">
      <w:pPr>
        <w:shd w:val="clear" w:color="auto" w:fill="FFFFFF"/>
        <w:spacing w:line="360" w:lineRule="auto"/>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14:paraId="096EB126">
      <w:pPr>
        <w:shd w:val="clear" w:color="auto" w:fill="FFFFFF"/>
        <w:spacing w:line="360" w:lineRule="auto"/>
        <w:ind w:firstLine="480" w:firstLineChars="200"/>
        <w:rPr>
          <w:rFonts w:ascii="宋体" w:hAnsi="宋体" w:cs="宋体"/>
          <w:sz w:val="24"/>
          <w:highlight w:val="none"/>
        </w:rPr>
      </w:pPr>
      <w:bookmarkStart w:id="11" w:name="_Toc28359004"/>
      <w:bookmarkStart w:id="12" w:name="_Toc28359081"/>
      <w:r>
        <w:rPr>
          <w:rFonts w:hint="eastAsia" w:ascii="宋体" w:hAnsi="宋体" w:cs="宋体"/>
          <w:sz w:val="24"/>
          <w:highlight w:val="none"/>
        </w:rPr>
        <w:t>2.落实政府采购政策需满足的资格要求：</w:t>
      </w:r>
    </w:p>
    <w:p w14:paraId="25534D90">
      <w:pPr>
        <w:shd w:val="clear" w:color="auto" w:fill="FFFFFF"/>
        <w:spacing w:line="360" w:lineRule="auto"/>
        <w:ind w:firstLine="480" w:firstLineChars="200"/>
        <w:rPr>
          <w:rFonts w:ascii="宋体" w:hAnsi="宋体" w:cs="宋体"/>
          <w:sz w:val="24"/>
          <w:highlight w:val="none"/>
        </w:rPr>
      </w:pPr>
      <w:r>
        <w:rPr>
          <w:rFonts w:hint="eastAsia" w:ascii="宋体" w:hAnsi="宋体" w:cs="宋体"/>
          <w:sz w:val="24"/>
          <w:highlight w:val="none"/>
        </w:rPr>
        <w:t>2.1 中小企业政策</w:t>
      </w:r>
    </w:p>
    <w:p w14:paraId="1CA43041">
      <w:pPr>
        <w:shd w:val="clear" w:color="auto" w:fill="FFFFFF"/>
        <w:spacing w:line="360" w:lineRule="auto"/>
        <w:ind w:firstLine="480" w:firstLineChars="200"/>
        <w:rPr>
          <w:rFonts w:ascii="宋体" w:hAnsi="宋体" w:cs="宋体"/>
          <w:sz w:val="24"/>
          <w:highlight w:val="none"/>
        </w:rPr>
      </w:pPr>
      <w:r>
        <w:rPr>
          <w:rFonts w:hint="eastAsia" w:ascii="宋体" w:hAnsi="宋体" w:cs="宋体"/>
          <w:sz w:val="24"/>
          <w:highlight w:val="none"/>
        </w:rPr>
        <w:t>□本项目不专门面向中小企业预留采购份额。</w:t>
      </w:r>
    </w:p>
    <w:p w14:paraId="10F94582">
      <w:pPr>
        <w:shd w:val="clear" w:color="auto" w:fill="FFFFFF"/>
        <w:spacing w:line="360" w:lineRule="auto"/>
        <w:ind w:firstLine="480" w:firstLineChars="200"/>
        <w:rPr>
          <w:rFonts w:ascii="宋体" w:hAnsi="宋体" w:cs="宋体"/>
          <w:sz w:val="24"/>
          <w:highlight w:val="none"/>
        </w:rPr>
      </w:pPr>
      <w:r>
        <w:rPr>
          <w:rFonts w:hint="eastAsia" w:ascii="宋体" w:hAnsi="宋体" w:cs="宋体"/>
          <w:sz w:val="24"/>
          <w:highlight w:val="none"/>
        </w:rPr>
        <w:t>■本项目专门面向 ■中小</w:t>
      </w:r>
      <w:r>
        <w:rPr>
          <w:rFonts w:hint="eastAsia" w:ascii="宋体" w:hAnsi="宋体" w:cs="宋体"/>
          <w:sz w:val="24"/>
          <w:highlight w:val="none"/>
        </w:rPr>
        <w:t xml:space="preserve"> □小微企业  采购。即：提供的货物全部由符合政策要求的中小/小微企业制造、服务全部由符合政策要求的中小/小微企业承接。</w:t>
      </w:r>
    </w:p>
    <w:p w14:paraId="617A028D">
      <w:pPr>
        <w:shd w:val="clear" w:color="auto" w:fill="FFFFFF"/>
        <w:spacing w:line="360" w:lineRule="auto"/>
        <w:ind w:firstLine="480" w:firstLineChars="200"/>
        <w:rPr>
          <w:rFonts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highlight w:val="none"/>
          <w:u w:val="single"/>
        </w:rPr>
        <w:t xml:space="preserve">   /  </w:t>
      </w:r>
      <w:r>
        <w:rPr>
          <w:rFonts w:hint="eastAsia" w:ascii="宋体" w:hAnsi="宋体" w:cs="宋体"/>
          <w:sz w:val="24"/>
          <w:highlight w:val="none"/>
          <w:u w:val="single"/>
        </w:rPr>
        <w:tab/>
      </w:r>
      <w:r>
        <w:rPr>
          <w:rFonts w:hint="eastAsia" w:ascii="宋体" w:hAnsi="宋体" w:cs="宋体"/>
          <w:sz w:val="24"/>
          <w:highlight w:val="none"/>
        </w:rPr>
        <w:t>。</w:t>
      </w:r>
    </w:p>
    <w:p w14:paraId="2EA9DF5E">
      <w:pPr>
        <w:shd w:val="clear" w:color="auto" w:fill="FFFFFF"/>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2.2 其它落实政府采购政策的资格要求：</w:t>
      </w:r>
    </w:p>
    <w:p w14:paraId="70875664">
      <w:pPr>
        <w:shd w:val="clear" w:color="auto" w:fill="FFFFFF"/>
        <w:spacing w:line="360" w:lineRule="auto"/>
        <w:ind w:firstLine="480" w:firstLineChars="200"/>
        <w:rPr>
          <w:rFonts w:ascii="宋体" w:hAnsi="宋体" w:cs="宋体"/>
          <w:sz w:val="24"/>
          <w:highlight w:val="none"/>
        </w:rPr>
      </w:pPr>
      <w:r>
        <w:rPr>
          <w:rFonts w:hint="eastAsia" w:ascii="宋体" w:hAnsi="宋体"/>
          <w:sz w:val="24"/>
          <w:highlight w:val="none"/>
        </w:rPr>
        <w:t>2</w:t>
      </w:r>
      <w:r>
        <w:rPr>
          <w:rFonts w:ascii="宋体" w:hAnsi="宋体"/>
          <w:sz w:val="24"/>
          <w:highlight w:val="none"/>
        </w:rPr>
        <w:t>.2.1</w:t>
      </w:r>
      <w:r>
        <w:rPr>
          <w:rFonts w:hint="eastAsia" w:ascii="宋体" w:hAnsi="宋体"/>
          <w:sz w:val="24"/>
          <w:highlight w:val="none"/>
        </w:rPr>
        <w:t>供应商必须未被列入“信用中国”、“中国政府采购网”网站的失信被执行人、重大税收违法案件当事人名单、政府采购严重违法失信行为记录名单。</w:t>
      </w:r>
    </w:p>
    <w:p w14:paraId="63FCB590">
      <w:pPr>
        <w:shd w:val="clear" w:color="auto" w:fill="FFFFFF"/>
        <w:spacing w:line="360" w:lineRule="auto"/>
        <w:ind w:firstLine="480" w:firstLineChars="200"/>
        <w:rPr>
          <w:rFonts w:ascii="宋体" w:hAnsi="宋体" w:cs="宋体"/>
          <w:i/>
          <w:iCs/>
          <w:sz w:val="24"/>
          <w:highlight w:val="none"/>
          <w:u w:val="single"/>
        </w:rPr>
      </w:pPr>
      <w:r>
        <w:rPr>
          <w:rFonts w:hint="eastAsia" w:ascii="宋体" w:hAnsi="宋体" w:cs="宋体"/>
          <w:sz w:val="24"/>
          <w:highlight w:val="none"/>
        </w:rPr>
        <w:t>3.本项目的特定资格要求：</w:t>
      </w:r>
    </w:p>
    <w:p w14:paraId="07F4DB5D">
      <w:pPr>
        <w:shd w:val="clear" w:color="auto" w:fill="FFFFFF"/>
        <w:tabs>
          <w:tab w:val="left" w:pos="900"/>
          <w:tab w:val="left" w:pos="1134"/>
          <w:tab w:val="left" w:pos="1589"/>
          <w:tab w:val="left" w:pos="5521"/>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3.1 本项目是否属于政府购买服务：</w:t>
      </w:r>
    </w:p>
    <w:p w14:paraId="4FF5E908">
      <w:pPr>
        <w:shd w:val="clear" w:color="auto" w:fill="FFFFFF"/>
        <w:tabs>
          <w:tab w:val="left" w:pos="900"/>
          <w:tab w:val="left" w:pos="1134"/>
          <w:tab w:val="left" w:pos="1589"/>
          <w:tab w:val="left" w:pos="5521"/>
        </w:tabs>
        <w:snapToGrid w:val="0"/>
        <w:spacing w:line="360" w:lineRule="auto"/>
        <w:ind w:left="991" w:leftChars="472" w:firstLine="2"/>
        <w:rPr>
          <w:rFonts w:ascii="宋体" w:hAnsi="宋体" w:cs="宋体"/>
          <w:sz w:val="24"/>
          <w:highlight w:val="none"/>
        </w:rPr>
      </w:pPr>
      <w:r>
        <w:rPr>
          <w:rFonts w:hint="eastAsia" w:ascii="宋体" w:hAnsi="宋体" w:cs="宋体"/>
          <w:sz w:val="24"/>
          <w:highlight w:val="none"/>
        </w:rPr>
        <w:t>■否</w:t>
      </w:r>
    </w:p>
    <w:p w14:paraId="5BDB1B73">
      <w:pPr>
        <w:shd w:val="clear" w:color="auto" w:fill="FFFFFF"/>
        <w:tabs>
          <w:tab w:val="left" w:pos="900"/>
          <w:tab w:val="left" w:pos="1134"/>
          <w:tab w:val="left" w:pos="1589"/>
          <w:tab w:val="left" w:pos="5521"/>
        </w:tabs>
        <w:snapToGrid w:val="0"/>
        <w:spacing w:line="360" w:lineRule="auto"/>
        <w:ind w:left="991" w:leftChars="472" w:firstLine="2"/>
        <w:rPr>
          <w:rFonts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4A0FF9D6">
      <w:pPr>
        <w:shd w:val="clear" w:color="auto" w:fill="FFFFFF"/>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3.2其他特定资格要求：</w:t>
      </w:r>
    </w:p>
    <w:p w14:paraId="035E1970">
      <w:pPr>
        <w:pStyle w:val="82"/>
        <w:tabs>
          <w:tab w:val="left" w:pos="5580"/>
        </w:tabs>
        <w:snapToGrid w:val="0"/>
        <w:spacing w:after="0" w:line="360" w:lineRule="auto"/>
        <w:ind w:left="0" w:leftChars="0" w:firstLine="480"/>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3.2.1</w:t>
      </w:r>
      <w:r>
        <w:rPr>
          <w:rFonts w:hint="eastAsia" w:asciiTheme="minorEastAsia" w:hAnsiTheme="minorEastAsia" w:eastAsiaTheme="minorEastAsia" w:cstheme="minorEastAsia"/>
          <w:color w:val="000000"/>
          <w:szCs w:val="24"/>
          <w:highlight w:val="none"/>
        </w:rPr>
        <w:t>供应商须具有建设行政主管部门颁发的建筑工程施工总承包三级及以上资质，并具备有效的《安全生产许可证》；</w:t>
      </w:r>
    </w:p>
    <w:p w14:paraId="04650705">
      <w:pPr>
        <w:spacing w:line="360" w:lineRule="auto"/>
        <w:ind w:left="210" w:leftChars="100" w:firstLine="225" w:firstLineChars="94"/>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3.2.2项目经理须具有建筑工程专业二级及以上注册建造师执业资格，具备有效的安全生产考核合格证书（B本），且未在其他工程项目中担任项目负责人</w:t>
      </w:r>
      <w:r>
        <w:rPr>
          <w:rFonts w:hint="eastAsia" w:asciiTheme="minorEastAsia" w:hAnsiTheme="minorEastAsia" w:eastAsiaTheme="minorEastAsia" w:cstheme="minorEastAsia"/>
          <w:color w:val="000000"/>
          <w:sz w:val="24"/>
          <w:highlight w:val="none"/>
        </w:rPr>
        <w:t>；</w:t>
      </w:r>
    </w:p>
    <w:p w14:paraId="34A26DBF">
      <w:pPr>
        <w:spacing w:line="360" w:lineRule="auto"/>
        <w:ind w:left="210" w:leftChars="100" w:firstLine="225" w:firstLineChars="94"/>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3.2.3在“信用中国”网站（www.creditchina.gov.cn）中被列入失信被执行人、重大税收违法案件当事人名单、政府采购严重违法失信行为记录名单的被执行人，在“中国政府采购网” 网站（www.ccgp.gov.cn）被列为失信供应商，不得参与本项目投标；</w:t>
      </w:r>
    </w:p>
    <w:p w14:paraId="142B3694">
      <w:pPr>
        <w:spacing w:line="360" w:lineRule="auto"/>
        <w:ind w:left="210" w:leftChars="100" w:firstLine="225" w:firstLineChars="94"/>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3.2.4供应商经营状态：在近三年（2022年</w:t>
      </w: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月1日至响应文件提交截止时间前）没有骗取中标和严重违约，没有处于被责令停业，投标资格被取消，财产被接管、冻结，破产状态；</w:t>
      </w:r>
    </w:p>
    <w:p w14:paraId="4E37759D">
      <w:pPr>
        <w:spacing w:line="360" w:lineRule="auto"/>
        <w:ind w:left="210" w:leftChars="100" w:firstLine="225" w:firstLineChars="94"/>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3.2.5单位负责人为同一人或者存在直接控股、管理关系的不同供应商，不得同时参加本项目；</w:t>
      </w:r>
    </w:p>
    <w:bookmarkEnd w:id="11"/>
    <w:bookmarkEnd w:id="12"/>
    <w:p w14:paraId="1A7DCFBC">
      <w:pPr>
        <w:pStyle w:val="4"/>
        <w:widowControl/>
        <w:shd w:val="clear" w:color="auto" w:fill="FFFFFF"/>
        <w:spacing w:before="0" w:line="360" w:lineRule="auto"/>
        <w:jc w:val="left"/>
        <w:rPr>
          <w:rFonts w:ascii="宋体" w:hAnsi="宋体" w:eastAsia="宋体" w:cs="宋体"/>
          <w:sz w:val="24"/>
          <w:szCs w:val="24"/>
          <w:highlight w:val="none"/>
        </w:rPr>
      </w:pPr>
      <w:bookmarkStart w:id="13" w:name="_Toc35393623"/>
      <w:bookmarkStart w:id="14" w:name="_Toc35393792"/>
      <w:r>
        <w:rPr>
          <w:rFonts w:hint="eastAsia" w:ascii="宋体" w:hAnsi="宋体" w:eastAsia="宋体" w:cs="宋体"/>
          <w:sz w:val="24"/>
          <w:szCs w:val="24"/>
          <w:highlight w:val="none"/>
        </w:rPr>
        <w:t>三、获取采购文件</w:t>
      </w:r>
      <w:bookmarkEnd w:id="13"/>
      <w:bookmarkEnd w:id="14"/>
    </w:p>
    <w:p w14:paraId="16993545">
      <w:pPr>
        <w:shd w:val="clear" w:color="auto" w:fill="FFFFFF"/>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1.时间：</w:t>
      </w:r>
      <w:r>
        <w:rPr>
          <w:rFonts w:hint="eastAsia" w:ascii="宋体" w:hAnsi="宋体" w:cs="宋体"/>
          <w:sz w:val="24"/>
          <w:highlight w:val="none"/>
          <w:u w:val="single"/>
        </w:rPr>
        <w:t>2025</w:t>
      </w:r>
      <w:r>
        <w:rPr>
          <w:rFonts w:hint="eastAsia" w:ascii="宋体" w:hAnsi="宋体" w:cs="宋体"/>
          <w:sz w:val="24"/>
          <w:highlight w:val="none"/>
        </w:rPr>
        <w:t>年</w:t>
      </w:r>
      <w:r>
        <w:rPr>
          <w:rFonts w:hint="eastAsia" w:ascii="宋体" w:hAnsi="宋体" w:cs="宋体"/>
          <w:sz w:val="24"/>
          <w:highlight w:val="none"/>
          <w:u w:val="single"/>
          <w:lang w:val="en-US" w:eastAsia="zh-CN"/>
        </w:rPr>
        <w:t>07</w:t>
      </w:r>
      <w:r>
        <w:rPr>
          <w:rFonts w:hint="eastAsia" w:ascii="宋体" w:hAnsi="宋体" w:cs="宋体"/>
          <w:sz w:val="24"/>
          <w:highlight w:val="none"/>
        </w:rPr>
        <w:t>月</w:t>
      </w:r>
      <w:r>
        <w:rPr>
          <w:rFonts w:hint="eastAsia" w:ascii="宋体" w:hAnsi="宋体" w:cs="宋体"/>
          <w:sz w:val="24"/>
          <w:highlight w:val="none"/>
          <w:u w:val="single"/>
          <w:lang w:val="en-US" w:eastAsia="zh-CN"/>
        </w:rPr>
        <w:t>01</w:t>
      </w:r>
      <w:r>
        <w:rPr>
          <w:rFonts w:hint="eastAsia" w:ascii="宋体" w:hAnsi="宋体" w:cs="宋体"/>
          <w:sz w:val="24"/>
          <w:highlight w:val="none"/>
        </w:rPr>
        <w:t>日至</w:t>
      </w:r>
      <w:r>
        <w:rPr>
          <w:rFonts w:hint="eastAsia" w:ascii="宋体" w:hAnsi="宋体" w:cs="宋体"/>
          <w:sz w:val="24"/>
          <w:highlight w:val="none"/>
          <w:u w:val="single"/>
        </w:rPr>
        <w:t>2025</w:t>
      </w:r>
      <w:r>
        <w:rPr>
          <w:rFonts w:hint="eastAsia" w:ascii="宋体" w:hAnsi="宋体" w:cs="宋体"/>
          <w:sz w:val="24"/>
          <w:highlight w:val="none"/>
        </w:rPr>
        <w:t>年</w:t>
      </w:r>
      <w:r>
        <w:rPr>
          <w:rFonts w:hint="eastAsia" w:ascii="宋体" w:hAnsi="宋体" w:cs="宋体"/>
          <w:sz w:val="24"/>
          <w:highlight w:val="none"/>
          <w:u w:val="single"/>
          <w:lang w:val="en-US" w:eastAsia="zh-CN"/>
        </w:rPr>
        <w:t>07</w:t>
      </w:r>
      <w:r>
        <w:rPr>
          <w:rFonts w:hint="eastAsia" w:ascii="宋体" w:hAnsi="宋体" w:cs="宋体"/>
          <w:sz w:val="24"/>
          <w:highlight w:val="none"/>
        </w:rPr>
        <w:t>月</w:t>
      </w:r>
      <w:r>
        <w:rPr>
          <w:rFonts w:hint="eastAsia" w:ascii="宋体" w:hAnsi="宋体" w:cs="宋体"/>
          <w:sz w:val="24"/>
          <w:highlight w:val="none"/>
          <w:u w:val="single"/>
          <w:lang w:val="en-US" w:eastAsia="zh-CN"/>
        </w:rPr>
        <w:t>08</w:t>
      </w:r>
      <w:r>
        <w:rPr>
          <w:rFonts w:hint="eastAsia" w:ascii="宋体" w:hAnsi="宋体" w:cs="宋体"/>
          <w:sz w:val="24"/>
          <w:highlight w:val="none"/>
        </w:rPr>
        <w:t>日，每天上午</w:t>
      </w:r>
      <w:r>
        <w:rPr>
          <w:rFonts w:hint="eastAsia" w:ascii="宋体" w:hAnsi="宋体" w:cs="宋体"/>
          <w:sz w:val="24"/>
          <w:highlight w:val="none"/>
          <w:u w:val="single"/>
        </w:rPr>
        <w:t>09:00</w:t>
      </w:r>
      <w:r>
        <w:rPr>
          <w:rFonts w:hint="eastAsia" w:ascii="宋体" w:hAnsi="宋体" w:cs="宋体"/>
          <w:sz w:val="24"/>
          <w:highlight w:val="none"/>
        </w:rPr>
        <w:t>至</w:t>
      </w:r>
      <w:r>
        <w:rPr>
          <w:rFonts w:hint="eastAsia" w:ascii="宋体" w:hAnsi="宋体" w:cs="宋体"/>
          <w:sz w:val="24"/>
          <w:highlight w:val="none"/>
          <w:u w:val="single"/>
        </w:rPr>
        <w:t xml:space="preserve">12:00 </w:t>
      </w:r>
      <w:r>
        <w:rPr>
          <w:rFonts w:hint="eastAsia" w:ascii="宋体" w:hAnsi="宋体" w:cs="宋体"/>
          <w:sz w:val="24"/>
          <w:highlight w:val="none"/>
        </w:rPr>
        <w:t>，下午</w:t>
      </w:r>
      <w:r>
        <w:rPr>
          <w:rFonts w:hint="eastAsia" w:ascii="宋体" w:hAnsi="宋体" w:cs="宋体"/>
          <w:sz w:val="24"/>
          <w:highlight w:val="none"/>
          <w:u w:val="single"/>
        </w:rPr>
        <w:t>13:00至1</w:t>
      </w:r>
      <w:r>
        <w:rPr>
          <w:rFonts w:ascii="宋体" w:hAnsi="宋体" w:cs="宋体"/>
          <w:sz w:val="24"/>
          <w:highlight w:val="none"/>
          <w:u w:val="single"/>
        </w:rPr>
        <w:t>7</w:t>
      </w:r>
      <w:r>
        <w:rPr>
          <w:rFonts w:hint="eastAsia" w:ascii="宋体" w:hAnsi="宋体" w:cs="宋体"/>
          <w:sz w:val="24"/>
          <w:highlight w:val="none"/>
          <w:u w:val="single"/>
        </w:rPr>
        <w:t>:00</w:t>
      </w:r>
      <w:r>
        <w:rPr>
          <w:rFonts w:hint="eastAsia" w:ascii="宋体" w:hAnsi="宋体" w:cs="宋体"/>
          <w:sz w:val="24"/>
          <w:highlight w:val="none"/>
        </w:rPr>
        <w:t>（北京时间，法定节假日除外）。</w:t>
      </w:r>
    </w:p>
    <w:p w14:paraId="1988D84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2.地点：北京市丰台区广安路9号国投财富广场6号楼1601室。</w:t>
      </w:r>
    </w:p>
    <w:p w14:paraId="34956D7B">
      <w:pPr>
        <w:spacing w:line="360" w:lineRule="auto"/>
        <w:ind w:firstLine="480" w:firstLineChars="200"/>
        <w:rPr>
          <w:rFonts w:ascii="宋体" w:hAnsi="宋体" w:cs="宋体"/>
          <w:sz w:val="24"/>
          <w:highlight w:val="none"/>
        </w:rPr>
      </w:pPr>
      <w:r>
        <w:rPr>
          <w:rFonts w:hint="eastAsia" w:ascii="宋体" w:hAnsi="宋体" w:cs="宋体"/>
          <w:sz w:val="24"/>
          <w:highlight w:val="none"/>
        </w:rPr>
        <w:t>3.方式：</w:t>
      </w:r>
      <w:r>
        <w:rPr>
          <w:rFonts w:hint="eastAsia" w:ascii="宋体" w:hAnsi="宋体" w:cs="宋体"/>
          <w:sz w:val="24"/>
          <w:highlight w:val="none"/>
          <w:u w:val="single"/>
        </w:rPr>
        <w:t>现场获取，无需提供资料</w:t>
      </w:r>
      <w:r>
        <w:rPr>
          <w:rFonts w:hint="eastAsia" w:ascii="宋体" w:hAnsi="宋体" w:cs="宋体"/>
          <w:sz w:val="24"/>
          <w:highlight w:val="none"/>
        </w:rPr>
        <w:t>。</w:t>
      </w:r>
    </w:p>
    <w:p w14:paraId="41C250A9">
      <w:pPr>
        <w:shd w:val="clear" w:color="auto" w:fill="FFFFFF"/>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4.售价：50</w:t>
      </w:r>
      <w:r>
        <w:rPr>
          <w:rFonts w:ascii="宋体" w:hAnsi="宋体" w:cs="宋体"/>
          <w:sz w:val="24"/>
          <w:highlight w:val="none"/>
        </w:rPr>
        <w:t>0</w:t>
      </w:r>
      <w:r>
        <w:rPr>
          <w:rFonts w:hint="eastAsia" w:ascii="宋体" w:hAnsi="宋体" w:cs="宋体"/>
          <w:sz w:val="24"/>
          <w:highlight w:val="none"/>
        </w:rPr>
        <w:t>元（人民币）。</w:t>
      </w:r>
    </w:p>
    <w:p w14:paraId="4706C514">
      <w:pPr>
        <w:pStyle w:val="4"/>
        <w:widowControl/>
        <w:shd w:val="clear" w:color="auto" w:fill="FFFFFF"/>
        <w:spacing w:before="0" w:line="360" w:lineRule="auto"/>
        <w:jc w:val="left"/>
        <w:rPr>
          <w:rFonts w:ascii="宋体" w:hAnsi="宋体" w:eastAsia="宋体" w:cs="宋体"/>
          <w:sz w:val="24"/>
          <w:szCs w:val="24"/>
          <w:highlight w:val="none"/>
        </w:rPr>
      </w:pPr>
      <w:bookmarkStart w:id="15" w:name="_Toc35393793"/>
      <w:bookmarkStart w:id="16" w:name="_Toc35393624"/>
      <w:bookmarkStart w:id="17" w:name="_Toc28359082"/>
      <w:bookmarkStart w:id="18" w:name="_Toc28359005"/>
      <w:r>
        <w:rPr>
          <w:rFonts w:hint="eastAsia" w:ascii="宋体" w:hAnsi="宋体" w:eastAsia="宋体" w:cs="宋体"/>
          <w:sz w:val="24"/>
          <w:szCs w:val="24"/>
          <w:highlight w:val="none"/>
        </w:rPr>
        <w:t>四、</w:t>
      </w:r>
      <w:bookmarkEnd w:id="15"/>
      <w:bookmarkEnd w:id="16"/>
      <w:bookmarkEnd w:id="17"/>
      <w:bookmarkEnd w:id="18"/>
      <w:r>
        <w:rPr>
          <w:rFonts w:hint="eastAsia" w:ascii="宋体" w:hAnsi="宋体" w:eastAsia="宋体" w:cs="宋体"/>
          <w:sz w:val="24"/>
          <w:szCs w:val="24"/>
          <w:highlight w:val="none"/>
        </w:rPr>
        <w:t>响应文件提交</w:t>
      </w:r>
    </w:p>
    <w:p w14:paraId="5E16100A">
      <w:pPr>
        <w:shd w:val="clear" w:color="auto" w:fill="FFFFFF"/>
        <w:spacing w:line="360" w:lineRule="auto"/>
        <w:ind w:firstLine="480" w:firstLineChars="200"/>
        <w:rPr>
          <w:rFonts w:ascii="宋体" w:hAnsi="宋体" w:cs="宋体"/>
          <w:bCs/>
          <w:sz w:val="24"/>
          <w:highlight w:val="none"/>
          <w:u w:val="single"/>
        </w:rPr>
      </w:pPr>
      <w:r>
        <w:rPr>
          <w:rFonts w:hint="eastAsia" w:ascii="宋体" w:hAnsi="宋体" w:cs="宋体"/>
          <w:sz w:val="24"/>
          <w:highlight w:val="none"/>
        </w:rPr>
        <w:t>截止时间：</w:t>
      </w:r>
      <w:r>
        <w:rPr>
          <w:rFonts w:hint="eastAsia" w:ascii="宋体" w:hAnsi="宋体" w:cs="宋体"/>
          <w:sz w:val="24"/>
          <w:highlight w:val="none"/>
          <w:u w:val="single"/>
        </w:rPr>
        <w:t>2025</w:t>
      </w:r>
      <w:r>
        <w:rPr>
          <w:rFonts w:hint="eastAsia" w:ascii="宋体" w:hAnsi="宋体" w:cs="宋体"/>
          <w:sz w:val="24"/>
          <w:highlight w:val="none"/>
        </w:rPr>
        <w:t>年</w:t>
      </w:r>
      <w:r>
        <w:rPr>
          <w:rFonts w:hint="eastAsia" w:ascii="宋体" w:hAnsi="宋体" w:cs="宋体"/>
          <w:sz w:val="24"/>
          <w:highlight w:val="none"/>
          <w:u w:val="single"/>
          <w:lang w:val="en-US" w:eastAsia="zh-CN"/>
        </w:rPr>
        <w:t>07</w:t>
      </w:r>
      <w:r>
        <w:rPr>
          <w:rFonts w:hint="eastAsia" w:ascii="宋体" w:hAnsi="宋体" w:cs="宋体"/>
          <w:sz w:val="24"/>
          <w:highlight w:val="none"/>
        </w:rPr>
        <w:t>月</w:t>
      </w:r>
      <w:r>
        <w:rPr>
          <w:rFonts w:hint="eastAsia" w:ascii="宋体" w:hAnsi="宋体" w:cs="宋体"/>
          <w:sz w:val="24"/>
          <w:highlight w:val="none"/>
          <w:u w:val="single"/>
          <w:lang w:val="en-US" w:eastAsia="zh-CN"/>
        </w:rPr>
        <w:t>14</w:t>
      </w:r>
      <w:r>
        <w:rPr>
          <w:rFonts w:hint="eastAsia" w:ascii="宋体" w:hAnsi="宋体" w:cs="宋体"/>
          <w:sz w:val="24"/>
          <w:highlight w:val="none"/>
        </w:rPr>
        <w:t>日</w:t>
      </w:r>
      <w:r>
        <w:rPr>
          <w:rFonts w:hint="eastAsia" w:ascii="宋体" w:hAnsi="宋体" w:cs="宋体"/>
          <w:sz w:val="24"/>
          <w:highlight w:val="none"/>
          <w:u w:val="single"/>
          <w:lang w:val="en-US" w:eastAsia="zh-CN"/>
        </w:rPr>
        <w:t>13</w:t>
      </w:r>
      <w:r>
        <w:rPr>
          <w:rFonts w:hint="eastAsia" w:ascii="宋体" w:hAnsi="宋体" w:cs="宋体"/>
          <w:sz w:val="24"/>
          <w:highlight w:val="none"/>
        </w:rPr>
        <w:t>点</w:t>
      </w:r>
      <w:r>
        <w:rPr>
          <w:rFonts w:ascii="宋体" w:hAnsi="宋体" w:cs="宋体"/>
          <w:sz w:val="24"/>
          <w:highlight w:val="none"/>
          <w:u w:val="single"/>
        </w:rPr>
        <w:t>3</w:t>
      </w:r>
      <w:r>
        <w:rPr>
          <w:rFonts w:hint="eastAsia" w:ascii="宋体" w:hAnsi="宋体" w:cs="宋体"/>
          <w:sz w:val="24"/>
          <w:highlight w:val="none"/>
          <w:u w:val="single"/>
        </w:rPr>
        <w:t>0</w:t>
      </w:r>
      <w:r>
        <w:rPr>
          <w:rFonts w:hint="eastAsia" w:ascii="宋体" w:hAnsi="宋体" w:cs="宋体"/>
          <w:sz w:val="24"/>
          <w:highlight w:val="none"/>
        </w:rPr>
        <w:t>分</w:t>
      </w:r>
      <w:r>
        <w:rPr>
          <w:rFonts w:hint="eastAsia" w:ascii="宋体" w:hAnsi="宋体" w:cs="宋体"/>
          <w:bCs/>
          <w:sz w:val="24"/>
          <w:highlight w:val="none"/>
        </w:rPr>
        <w:t>（北京时间）</w:t>
      </w:r>
      <w:r>
        <w:rPr>
          <w:rFonts w:hint="eastAsia" w:ascii="宋体" w:hAnsi="宋体" w:cs="宋体"/>
          <w:iCs/>
          <w:sz w:val="24"/>
          <w:highlight w:val="none"/>
        </w:rPr>
        <w:t>。</w:t>
      </w:r>
    </w:p>
    <w:p w14:paraId="3BEC3DD7">
      <w:pPr>
        <w:shd w:val="clear" w:color="auto" w:fill="FFFFFF"/>
        <w:spacing w:line="360" w:lineRule="auto"/>
        <w:ind w:firstLine="480" w:firstLineChars="200"/>
        <w:rPr>
          <w:rFonts w:ascii="宋体" w:hAnsi="宋体" w:cs="宋体"/>
          <w:sz w:val="24"/>
          <w:highlight w:val="none"/>
          <w:lang w:val="zh-TW"/>
        </w:rPr>
      </w:pPr>
      <w:r>
        <w:rPr>
          <w:rFonts w:hint="eastAsia" w:ascii="宋体" w:hAnsi="宋体" w:cs="宋体"/>
          <w:sz w:val="24"/>
          <w:highlight w:val="none"/>
        </w:rPr>
        <w:t>地点：</w:t>
      </w:r>
      <w:r>
        <w:rPr>
          <w:rFonts w:hint="eastAsia" w:ascii="宋体" w:hAnsi="宋体" w:cs="宋体"/>
          <w:sz w:val="24"/>
          <w:highlight w:val="none"/>
          <w:u w:val="single"/>
        </w:rPr>
        <w:t>北京市丰台区广安路9号国投财富广场6号楼15层第</w:t>
      </w:r>
      <w:r>
        <w:rPr>
          <w:rFonts w:hint="eastAsia" w:ascii="宋体" w:hAnsi="宋体" w:cs="宋体"/>
          <w:sz w:val="24"/>
          <w:highlight w:val="none"/>
          <w:u w:val="single"/>
          <w:lang w:val="en-US" w:eastAsia="zh-CN"/>
        </w:rPr>
        <w:t>四</w:t>
      </w:r>
      <w:r>
        <w:rPr>
          <w:rFonts w:hint="eastAsia" w:ascii="宋体" w:hAnsi="宋体" w:cs="宋体"/>
          <w:sz w:val="24"/>
          <w:highlight w:val="none"/>
          <w:u w:val="single"/>
        </w:rPr>
        <w:t>会议室</w:t>
      </w:r>
      <w:r>
        <w:rPr>
          <w:rFonts w:hint="eastAsia"/>
          <w:sz w:val="24"/>
          <w:highlight w:val="none"/>
        </w:rPr>
        <w:t>。</w:t>
      </w:r>
    </w:p>
    <w:p w14:paraId="0DA2AD50">
      <w:pPr>
        <w:shd w:val="clear" w:color="auto" w:fill="FFFFFF"/>
        <w:spacing w:line="360" w:lineRule="auto"/>
        <w:ind w:firstLine="480" w:firstLineChars="200"/>
        <w:rPr>
          <w:rFonts w:ascii="宋体" w:hAnsi="宋体" w:cs="宋体"/>
          <w:sz w:val="24"/>
          <w:highlight w:val="none"/>
          <w:lang w:val="zh-TW"/>
        </w:rPr>
      </w:pPr>
    </w:p>
    <w:p w14:paraId="16DF0CD1">
      <w:pPr>
        <w:pStyle w:val="4"/>
        <w:shd w:val="clear" w:color="auto" w:fill="FFFFFF"/>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五、开启</w:t>
      </w:r>
    </w:p>
    <w:p w14:paraId="5897FDA9">
      <w:pPr>
        <w:shd w:val="clear" w:color="auto" w:fill="FFFFFF"/>
        <w:spacing w:line="360" w:lineRule="auto"/>
        <w:ind w:firstLine="480" w:firstLineChars="200"/>
        <w:rPr>
          <w:rFonts w:ascii="宋体" w:hAnsi="宋体" w:cs="宋体"/>
          <w:bCs/>
          <w:sz w:val="24"/>
          <w:highlight w:val="none"/>
          <w:u w:val="single"/>
        </w:rPr>
      </w:pPr>
      <w:r>
        <w:rPr>
          <w:rFonts w:hint="eastAsia" w:ascii="宋体" w:hAnsi="宋体" w:cs="宋体"/>
          <w:sz w:val="24"/>
          <w:highlight w:val="none"/>
        </w:rPr>
        <w:t>时间：</w:t>
      </w:r>
      <w:r>
        <w:rPr>
          <w:rFonts w:hint="eastAsia" w:ascii="宋体" w:hAnsi="宋体" w:cs="宋体"/>
          <w:sz w:val="24"/>
          <w:highlight w:val="none"/>
          <w:u w:val="single"/>
        </w:rPr>
        <w:t>2025</w:t>
      </w:r>
      <w:r>
        <w:rPr>
          <w:rFonts w:hint="eastAsia" w:ascii="宋体" w:hAnsi="宋体" w:cs="宋体"/>
          <w:sz w:val="24"/>
          <w:highlight w:val="none"/>
        </w:rPr>
        <w:t>年</w:t>
      </w:r>
      <w:r>
        <w:rPr>
          <w:rFonts w:hint="eastAsia" w:ascii="宋体" w:hAnsi="宋体" w:cs="宋体"/>
          <w:sz w:val="24"/>
          <w:highlight w:val="none"/>
          <w:u w:val="single"/>
          <w:lang w:val="en-US" w:eastAsia="zh-CN"/>
        </w:rPr>
        <w:t>07</w:t>
      </w:r>
      <w:r>
        <w:rPr>
          <w:rFonts w:hint="eastAsia" w:ascii="宋体" w:hAnsi="宋体" w:cs="宋体"/>
          <w:sz w:val="24"/>
          <w:highlight w:val="none"/>
        </w:rPr>
        <w:t>月</w:t>
      </w:r>
      <w:r>
        <w:rPr>
          <w:rFonts w:hint="eastAsia" w:ascii="宋体" w:hAnsi="宋体" w:cs="宋体"/>
          <w:sz w:val="24"/>
          <w:highlight w:val="none"/>
          <w:u w:val="single"/>
          <w:lang w:val="en-US" w:eastAsia="zh-CN"/>
        </w:rPr>
        <w:t>14</w:t>
      </w:r>
      <w:r>
        <w:rPr>
          <w:rFonts w:hint="eastAsia" w:ascii="宋体" w:hAnsi="宋体" w:cs="宋体"/>
          <w:sz w:val="24"/>
          <w:highlight w:val="none"/>
        </w:rPr>
        <w:t>日</w:t>
      </w:r>
      <w:r>
        <w:rPr>
          <w:rFonts w:hint="eastAsia" w:ascii="宋体" w:hAnsi="宋体" w:cs="宋体"/>
          <w:sz w:val="24"/>
          <w:highlight w:val="none"/>
          <w:u w:val="single"/>
          <w:lang w:val="en-US" w:eastAsia="zh-CN"/>
        </w:rPr>
        <w:t>13</w:t>
      </w:r>
      <w:r>
        <w:rPr>
          <w:rFonts w:hint="eastAsia" w:ascii="宋体" w:hAnsi="宋体" w:cs="宋体"/>
          <w:sz w:val="24"/>
          <w:highlight w:val="none"/>
        </w:rPr>
        <w:t>点</w:t>
      </w:r>
      <w:r>
        <w:rPr>
          <w:rFonts w:ascii="宋体" w:hAnsi="宋体" w:cs="宋体"/>
          <w:sz w:val="24"/>
          <w:highlight w:val="none"/>
          <w:u w:val="single"/>
        </w:rPr>
        <w:t>3</w:t>
      </w:r>
      <w:r>
        <w:rPr>
          <w:rFonts w:hint="eastAsia" w:ascii="宋体" w:hAnsi="宋体" w:cs="宋体"/>
          <w:sz w:val="24"/>
          <w:highlight w:val="none"/>
          <w:u w:val="single"/>
        </w:rPr>
        <w:t>0</w:t>
      </w:r>
      <w:r>
        <w:rPr>
          <w:rFonts w:hint="eastAsia" w:ascii="宋体" w:hAnsi="宋体" w:cs="宋体"/>
          <w:sz w:val="24"/>
          <w:highlight w:val="none"/>
        </w:rPr>
        <w:t>分</w:t>
      </w:r>
      <w:r>
        <w:rPr>
          <w:rFonts w:hint="eastAsia" w:ascii="宋体" w:hAnsi="宋体" w:cs="宋体"/>
          <w:bCs/>
          <w:sz w:val="24"/>
          <w:highlight w:val="none"/>
        </w:rPr>
        <w:t>（北京时间）</w:t>
      </w:r>
      <w:r>
        <w:rPr>
          <w:rFonts w:hint="eastAsia" w:ascii="宋体" w:hAnsi="宋体" w:cs="宋体"/>
          <w:iCs/>
          <w:sz w:val="24"/>
          <w:highlight w:val="none"/>
        </w:rPr>
        <w:t>。</w:t>
      </w:r>
    </w:p>
    <w:p w14:paraId="6F968AD7">
      <w:pPr>
        <w:shd w:val="clear" w:color="auto" w:fill="FFFFFF"/>
        <w:spacing w:line="360" w:lineRule="auto"/>
        <w:ind w:firstLine="480" w:firstLineChars="200"/>
        <w:rPr>
          <w:rFonts w:ascii="宋体" w:hAnsi="宋体" w:cs="宋体"/>
          <w:sz w:val="24"/>
          <w:highlight w:val="none"/>
          <w:lang w:val="zh-TW"/>
        </w:rPr>
      </w:pPr>
      <w:r>
        <w:rPr>
          <w:rFonts w:hint="eastAsia" w:ascii="宋体" w:hAnsi="宋体" w:cs="宋体"/>
          <w:sz w:val="24"/>
          <w:highlight w:val="none"/>
        </w:rPr>
        <w:t>地点：</w:t>
      </w:r>
      <w:r>
        <w:rPr>
          <w:rFonts w:hint="eastAsia" w:ascii="宋体" w:hAnsi="宋体" w:cs="宋体"/>
          <w:sz w:val="24"/>
          <w:highlight w:val="none"/>
          <w:u w:val="single"/>
        </w:rPr>
        <w:t>北京市丰台区广安路9号国投财富广场6号楼15层第</w:t>
      </w:r>
      <w:r>
        <w:rPr>
          <w:rFonts w:hint="eastAsia" w:ascii="宋体" w:hAnsi="宋体" w:cs="宋体"/>
          <w:sz w:val="24"/>
          <w:highlight w:val="none"/>
          <w:u w:val="single"/>
          <w:lang w:val="en-US" w:eastAsia="zh-CN"/>
        </w:rPr>
        <w:t>四</w:t>
      </w:r>
      <w:r>
        <w:rPr>
          <w:rFonts w:hint="eastAsia" w:ascii="宋体" w:hAnsi="宋体" w:cs="宋体"/>
          <w:sz w:val="24"/>
          <w:highlight w:val="none"/>
          <w:u w:val="single"/>
        </w:rPr>
        <w:t>会议室</w:t>
      </w:r>
      <w:r>
        <w:rPr>
          <w:rFonts w:hint="eastAsia"/>
          <w:sz w:val="24"/>
          <w:highlight w:val="none"/>
        </w:rPr>
        <w:t>。</w:t>
      </w:r>
    </w:p>
    <w:p w14:paraId="61BDE992">
      <w:pPr>
        <w:shd w:val="clear" w:color="auto" w:fill="FFFFFF"/>
        <w:spacing w:line="360" w:lineRule="auto"/>
        <w:ind w:firstLine="480" w:firstLineChars="200"/>
        <w:rPr>
          <w:rFonts w:ascii="宋体" w:hAnsi="宋体" w:cs="宋体"/>
          <w:bCs/>
          <w:sz w:val="24"/>
          <w:highlight w:val="none"/>
          <w:u w:val="single"/>
        </w:rPr>
      </w:pPr>
    </w:p>
    <w:p w14:paraId="09B491CA">
      <w:pPr>
        <w:pStyle w:val="4"/>
        <w:shd w:val="clear" w:color="auto" w:fill="FFFFFF"/>
        <w:spacing w:before="0" w:line="360" w:lineRule="auto"/>
        <w:jc w:val="left"/>
        <w:rPr>
          <w:rFonts w:ascii="宋体" w:hAnsi="宋体" w:eastAsia="宋体" w:cs="宋体"/>
          <w:sz w:val="24"/>
          <w:szCs w:val="24"/>
          <w:highlight w:val="none"/>
        </w:rPr>
      </w:pPr>
      <w:bookmarkStart w:id="19" w:name="_Toc28359084"/>
      <w:bookmarkStart w:id="20" w:name="_Toc35393794"/>
      <w:bookmarkStart w:id="21" w:name="_Toc28359007"/>
      <w:bookmarkStart w:id="22" w:name="_Toc35393625"/>
      <w:r>
        <w:rPr>
          <w:rFonts w:hint="eastAsia" w:ascii="宋体" w:hAnsi="宋体" w:eastAsia="宋体" w:cs="宋体"/>
          <w:sz w:val="24"/>
          <w:szCs w:val="24"/>
          <w:highlight w:val="none"/>
        </w:rPr>
        <w:t>六、公告期限</w:t>
      </w:r>
      <w:bookmarkEnd w:id="19"/>
      <w:bookmarkEnd w:id="20"/>
      <w:bookmarkEnd w:id="21"/>
      <w:bookmarkEnd w:id="22"/>
    </w:p>
    <w:p w14:paraId="5569EA3D">
      <w:pPr>
        <w:shd w:val="clear" w:color="auto" w:fill="FFFFFF"/>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自本公告发布之日起3个工作日。</w:t>
      </w:r>
    </w:p>
    <w:p w14:paraId="2FEBDBA7">
      <w:pPr>
        <w:shd w:val="clear" w:color="auto" w:fill="FFFFFF"/>
        <w:spacing w:line="360" w:lineRule="auto"/>
        <w:ind w:firstLine="480" w:firstLineChars="200"/>
        <w:rPr>
          <w:rFonts w:ascii="宋体" w:hAnsi="宋体" w:cs="宋体"/>
          <w:kern w:val="0"/>
          <w:sz w:val="24"/>
          <w:highlight w:val="none"/>
        </w:rPr>
      </w:pPr>
    </w:p>
    <w:p w14:paraId="4BA0C1FF">
      <w:pPr>
        <w:pStyle w:val="4"/>
        <w:shd w:val="clear" w:color="auto" w:fill="FFFFFF"/>
        <w:spacing w:before="0" w:line="360" w:lineRule="auto"/>
        <w:jc w:val="left"/>
        <w:rPr>
          <w:rFonts w:ascii="宋体" w:hAnsi="宋体" w:eastAsia="宋体" w:cs="宋体"/>
          <w:sz w:val="24"/>
          <w:szCs w:val="24"/>
          <w:highlight w:val="none"/>
        </w:rPr>
      </w:pPr>
      <w:bookmarkStart w:id="23" w:name="_Toc35393795"/>
      <w:bookmarkStart w:id="24" w:name="_Toc35393626"/>
      <w:r>
        <w:rPr>
          <w:rFonts w:hint="eastAsia" w:ascii="宋体" w:hAnsi="宋体" w:eastAsia="宋体" w:cs="宋体"/>
          <w:sz w:val="24"/>
          <w:szCs w:val="24"/>
          <w:highlight w:val="none"/>
        </w:rPr>
        <w:t>七、其他补充事宜</w:t>
      </w:r>
      <w:bookmarkEnd w:id="23"/>
      <w:bookmarkEnd w:id="24"/>
    </w:p>
    <w:p w14:paraId="4D034C6B">
      <w:pPr>
        <w:shd w:val="clear" w:color="auto" w:fill="FFFFFF"/>
        <w:adjustRightInd w:val="0"/>
        <w:snapToGrid w:val="0"/>
        <w:spacing w:line="360" w:lineRule="auto"/>
        <w:ind w:firstLine="480" w:firstLineChars="200"/>
        <w:rPr>
          <w:highlight w:val="none"/>
        </w:rPr>
      </w:pPr>
      <w:r>
        <w:rPr>
          <w:rFonts w:hint="eastAsia" w:ascii="宋体" w:hAnsi="宋体" w:cs="宋体"/>
          <w:sz w:val="24"/>
          <w:highlight w:val="none"/>
        </w:rPr>
        <w:t>本项目需要落实的政府采购政策：节能产品强制采购；节能产品、环境标志产品优先采购；扶持不发达地区和少数民族地区；政府采购促进中小企业发展；政府采购支持监狱企业、戒毒企业发展；政府采购促进残疾人就业；政府采购信用担保；进口产品管理等。</w:t>
      </w:r>
    </w:p>
    <w:p w14:paraId="60EB1663">
      <w:pPr>
        <w:shd w:val="clear" w:color="auto" w:fill="FFFFFF"/>
        <w:spacing w:line="360" w:lineRule="auto"/>
        <w:ind w:firstLine="480" w:firstLineChars="200"/>
        <w:rPr>
          <w:rFonts w:ascii="宋体" w:hAnsi="宋体" w:cs="宋体"/>
          <w:sz w:val="24"/>
          <w:highlight w:val="none"/>
          <w:u w:val="single"/>
        </w:rPr>
      </w:pPr>
    </w:p>
    <w:p w14:paraId="677079AB">
      <w:pPr>
        <w:pStyle w:val="4"/>
        <w:shd w:val="clear" w:color="auto" w:fill="FFFFFF"/>
        <w:spacing w:before="0" w:line="360" w:lineRule="auto"/>
        <w:jc w:val="left"/>
        <w:rPr>
          <w:rFonts w:ascii="宋体" w:hAnsi="宋体" w:eastAsia="宋体" w:cs="宋体"/>
          <w:sz w:val="24"/>
          <w:szCs w:val="24"/>
          <w:highlight w:val="none"/>
        </w:rPr>
      </w:pPr>
      <w:bookmarkStart w:id="25" w:name="_Toc28359085"/>
      <w:bookmarkStart w:id="26" w:name="_Toc35393627"/>
      <w:bookmarkStart w:id="27" w:name="_Toc28359008"/>
      <w:bookmarkStart w:id="28" w:name="_Toc35393796"/>
      <w:r>
        <w:rPr>
          <w:rFonts w:hint="eastAsia" w:ascii="宋体" w:hAnsi="宋体" w:eastAsia="宋体" w:cs="宋体"/>
          <w:sz w:val="24"/>
          <w:szCs w:val="24"/>
          <w:highlight w:val="none"/>
        </w:rPr>
        <w:t>八、对本项目提出询问，请按以下方式联系。</w:t>
      </w:r>
      <w:bookmarkEnd w:id="25"/>
      <w:bookmarkEnd w:id="26"/>
      <w:bookmarkEnd w:id="27"/>
      <w:bookmarkEnd w:id="28"/>
    </w:p>
    <w:p w14:paraId="26AF7399">
      <w:pPr>
        <w:shd w:val="clear" w:color="auto" w:fill="FFFFFF"/>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1.采购人信息</w:t>
      </w:r>
    </w:p>
    <w:p w14:paraId="255E09D4">
      <w:pPr>
        <w:adjustRightInd w:val="0"/>
        <w:snapToGrid w:val="0"/>
        <w:spacing w:line="360" w:lineRule="auto"/>
        <w:ind w:firstLine="480" w:firstLineChars="200"/>
        <w:rPr>
          <w:rFonts w:ascii="宋体" w:hAnsi="宋体"/>
          <w:bCs/>
          <w:sz w:val="24"/>
          <w:highlight w:val="none"/>
        </w:rPr>
      </w:pPr>
      <w:bookmarkStart w:id="29" w:name="_Toc28359086"/>
      <w:bookmarkStart w:id="30" w:name="_Toc28359009"/>
      <w:r>
        <w:rPr>
          <w:rFonts w:hint="eastAsia" w:ascii="宋体" w:hAnsi="宋体"/>
          <w:bCs/>
          <w:sz w:val="24"/>
          <w:highlight w:val="none"/>
        </w:rPr>
        <w:t xml:space="preserve">名 </w:t>
      </w:r>
      <w:r>
        <w:rPr>
          <w:rFonts w:ascii="宋体" w:hAnsi="宋体"/>
          <w:bCs/>
          <w:sz w:val="24"/>
          <w:highlight w:val="none"/>
        </w:rPr>
        <w:t xml:space="preserve">   </w:t>
      </w:r>
      <w:r>
        <w:rPr>
          <w:rFonts w:hint="eastAsia" w:ascii="宋体" w:hAnsi="宋体"/>
          <w:bCs/>
          <w:sz w:val="24"/>
          <w:highlight w:val="none"/>
        </w:rPr>
        <w:t>称：北京财贸职业学院</w:t>
      </w:r>
    </w:p>
    <w:p w14:paraId="48F1B5A6">
      <w:pPr>
        <w:adjustRightInd w:val="0"/>
        <w:snapToGrid w:val="0"/>
        <w:spacing w:line="360" w:lineRule="auto"/>
        <w:ind w:firstLine="480" w:firstLineChars="200"/>
        <w:rPr>
          <w:rFonts w:ascii="宋体" w:hAnsi="宋体"/>
          <w:bCs/>
          <w:sz w:val="24"/>
          <w:highlight w:val="none"/>
        </w:rPr>
      </w:pPr>
      <w:r>
        <w:rPr>
          <w:rFonts w:hint="eastAsia" w:ascii="宋体" w:hAnsi="宋体"/>
          <w:bCs/>
          <w:sz w:val="24"/>
          <w:highlight w:val="none"/>
        </w:rPr>
        <w:t xml:space="preserve">地 </w:t>
      </w:r>
      <w:r>
        <w:rPr>
          <w:rFonts w:ascii="宋体" w:hAnsi="宋体"/>
          <w:bCs/>
          <w:sz w:val="24"/>
          <w:highlight w:val="none"/>
        </w:rPr>
        <w:t xml:space="preserve">   </w:t>
      </w:r>
      <w:r>
        <w:rPr>
          <w:rFonts w:hint="eastAsia" w:ascii="宋体" w:hAnsi="宋体"/>
          <w:bCs/>
          <w:sz w:val="24"/>
          <w:highlight w:val="none"/>
        </w:rPr>
        <w:t>址：</w:t>
      </w:r>
      <w:r>
        <w:rPr>
          <w:rFonts w:ascii="宋体" w:hAnsi="宋体"/>
          <w:bCs/>
          <w:sz w:val="24"/>
          <w:highlight w:val="none"/>
        </w:rPr>
        <w:t>北京市通州区北关大街88号</w:t>
      </w:r>
    </w:p>
    <w:p w14:paraId="26CC3AA9">
      <w:pPr>
        <w:adjustRightInd w:val="0"/>
        <w:snapToGrid w:val="0"/>
        <w:spacing w:line="360" w:lineRule="auto"/>
        <w:ind w:firstLine="480" w:firstLineChars="200"/>
        <w:rPr>
          <w:rFonts w:ascii="宋体" w:hAnsi="宋体"/>
          <w:bCs/>
          <w:sz w:val="24"/>
          <w:highlight w:val="none"/>
        </w:rPr>
      </w:pPr>
      <w:r>
        <w:rPr>
          <w:rFonts w:hint="eastAsia" w:ascii="宋体" w:hAnsi="宋体"/>
          <w:bCs/>
          <w:sz w:val="24"/>
          <w:highlight w:val="none"/>
        </w:rPr>
        <w:t xml:space="preserve">联系方式：刘老师 010-89532092 </w:t>
      </w:r>
    </w:p>
    <w:p w14:paraId="30D1E64E">
      <w:pPr>
        <w:adjustRightInd w:val="0"/>
        <w:snapToGrid w:val="0"/>
        <w:spacing w:line="360" w:lineRule="auto"/>
        <w:ind w:firstLine="482" w:firstLineChars="200"/>
        <w:rPr>
          <w:rFonts w:ascii="宋体" w:hAnsi="宋体"/>
          <w:bCs/>
          <w:sz w:val="24"/>
          <w:highlight w:val="none"/>
        </w:rPr>
      </w:pPr>
      <w:r>
        <w:rPr>
          <w:rFonts w:hint="eastAsia" w:ascii="宋体" w:hAnsi="宋体" w:cs="宋体"/>
          <w:b/>
          <w:sz w:val="24"/>
          <w:highlight w:val="none"/>
        </w:rPr>
        <w:t>2.采购代理机构信息</w:t>
      </w:r>
      <w:bookmarkEnd w:id="29"/>
      <w:bookmarkEnd w:id="30"/>
      <w:bookmarkStart w:id="31" w:name="_Toc28359087"/>
      <w:bookmarkStart w:id="32" w:name="_Toc28359010"/>
    </w:p>
    <w:p w14:paraId="2CCC859A">
      <w:pPr>
        <w:adjustRightInd w:val="0"/>
        <w:snapToGrid w:val="0"/>
        <w:spacing w:line="360" w:lineRule="auto"/>
        <w:ind w:firstLine="480" w:firstLineChars="200"/>
        <w:rPr>
          <w:rFonts w:ascii="宋体" w:hAnsi="宋体"/>
          <w:bCs/>
          <w:sz w:val="24"/>
          <w:highlight w:val="none"/>
        </w:rPr>
      </w:pPr>
      <w:r>
        <w:rPr>
          <w:rFonts w:hint="eastAsia" w:ascii="宋体" w:hAnsi="宋体" w:cs="宋体"/>
          <w:sz w:val="24"/>
          <w:highlight w:val="none"/>
        </w:rPr>
        <w:t>名    称：华采招标集团有限公司</w:t>
      </w:r>
    </w:p>
    <w:p w14:paraId="559E2CAC">
      <w:pPr>
        <w:adjustRightInd w:val="0"/>
        <w:snapToGrid w:val="0"/>
        <w:spacing w:line="360" w:lineRule="auto"/>
        <w:ind w:firstLine="480" w:firstLineChars="200"/>
        <w:rPr>
          <w:rFonts w:ascii="宋体" w:hAnsi="宋体"/>
          <w:bCs/>
          <w:sz w:val="24"/>
          <w:highlight w:val="none"/>
        </w:rPr>
      </w:pPr>
      <w:r>
        <w:rPr>
          <w:rFonts w:hint="eastAsia" w:ascii="宋体" w:hAnsi="宋体" w:cs="宋体"/>
          <w:sz w:val="24"/>
          <w:highlight w:val="none"/>
        </w:rPr>
        <w:t>地　　址：北京市丰台区广安路9号国投财富广场6号楼1601室</w:t>
      </w:r>
    </w:p>
    <w:p w14:paraId="3C1B8E3F">
      <w:pPr>
        <w:adjustRightInd w:val="0"/>
        <w:snapToGrid w:val="0"/>
        <w:spacing w:line="360" w:lineRule="auto"/>
        <w:ind w:firstLine="480" w:firstLineChars="200"/>
        <w:rPr>
          <w:rFonts w:ascii="宋体" w:hAnsi="宋体"/>
          <w:bCs/>
          <w:sz w:val="24"/>
          <w:highlight w:val="none"/>
        </w:rPr>
      </w:pPr>
      <w:r>
        <w:rPr>
          <w:rFonts w:hint="eastAsia" w:ascii="宋体" w:hAnsi="宋体" w:cs="宋体"/>
          <w:sz w:val="24"/>
          <w:highlight w:val="none"/>
        </w:rPr>
        <w:t>联系方式：</w:t>
      </w:r>
      <w:r>
        <w:rPr>
          <w:rFonts w:hAnsi="宋体" w:cs="宋体"/>
          <w:iCs/>
          <w:sz w:val="24"/>
          <w:highlight w:val="none"/>
        </w:rPr>
        <w:t>贾东敏、姚冲</w:t>
      </w:r>
      <w:r>
        <w:rPr>
          <w:rFonts w:hint="eastAsia" w:hAnsi="宋体" w:cs="宋体"/>
          <w:iCs/>
          <w:sz w:val="24"/>
          <w:highlight w:val="none"/>
        </w:rPr>
        <w:t xml:space="preserve"> </w:t>
      </w:r>
      <w:r>
        <w:rPr>
          <w:rFonts w:hint="eastAsia" w:ascii="宋体" w:hAnsi="宋体" w:cs="宋体"/>
          <w:sz w:val="24"/>
          <w:highlight w:val="none"/>
        </w:rPr>
        <w:t>186-1228-7813/7807</w:t>
      </w:r>
    </w:p>
    <w:p w14:paraId="0A2AE437">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3.项目联系方式</w:t>
      </w:r>
      <w:bookmarkEnd w:id="31"/>
      <w:bookmarkEnd w:id="32"/>
    </w:p>
    <w:p w14:paraId="7B809B96">
      <w:pPr>
        <w:adjustRightInd w:val="0"/>
        <w:snapToGrid w:val="0"/>
        <w:spacing w:line="360" w:lineRule="auto"/>
        <w:ind w:firstLine="480" w:firstLineChars="200"/>
        <w:rPr>
          <w:rFonts w:ascii="宋体" w:hAnsi="宋体"/>
          <w:bCs/>
          <w:sz w:val="24"/>
          <w:highlight w:val="none"/>
        </w:rPr>
      </w:pPr>
      <w:r>
        <w:rPr>
          <w:rFonts w:hAnsi="宋体" w:cs="宋体"/>
          <w:sz w:val="24"/>
          <w:highlight w:val="none"/>
        </w:rPr>
        <w:t>项目联系人：</w:t>
      </w:r>
      <w:r>
        <w:rPr>
          <w:rFonts w:hAnsi="宋体" w:cs="宋体"/>
          <w:iCs/>
          <w:sz w:val="24"/>
          <w:highlight w:val="none"/>
        </w:rPr>
        <w:t>贾东敏、姚冲</w:t>
      </w:r>
    </w:p>
    <w:p w14:paraId="707CA332">
      <w:pPr>
        <w:adjustRightInd w:val="0"/>
        <w:snapToGrid w:val="0"/>
        <w:spacing w:line="360" w:lineRule="auto"/>
        <w:ind w:firstLine="480" w:firstLineChars="200"/>
        <w:rPr>
          <w:rFonts w:ascii="宋体" w:hAnsi="宋体"/>
          <w:bCs/>
          <w:sz w:val="24"/>
          <w:highlight w:val="none"/>
        </w:rPr>
      </w:pPr>
      <w:r>
        <w:rPr>
          <w:rFonts w:hint="eastAsia" w:ascii="宋体" w:hAnsi="宋体" w:cs="宋体"/>
          <w:sz w:val="24"/>
          <w:highlight w:val="none"/>
        </w:rPr>
        <w:t>电      话： 186-1228-7813/7807</w:t>
      </w:r>
    </w:p>
    <w:p w14:paraId="1830FB3B">
      <w:pPr>
        <w:shd w:val="clear" w:color="auto" w:fill="FFFFFF"/>
        <w:spacing w:line="360" w:lineRule="auto"/>
        <w:jc w:val="center"/>
        <w:outlineLvl w:val="0"/>
        <w:rPr>
          <w:rFonts w:ascii="宋体" w:hAnsi="宋体" w:cs="宋体"/>
          <w:b/>
          <w:sz w:val="32"/>
          <w:szCs w:val="32"/>
          <w:highlight w:val="none"/>
        </w:rPr>
      </w:pPr>
      <w:r>
        <w:rPr>
          <w:rFonts w:hint="eastAsia" w:ascii="宋体" w:hAnsi="宋体" w:cs="宋体"/>
          <w:sz w:val="24"/>
          <w:highlight w:val="none"/>
        </w:rPr>
        <w:br w:type="page"/>
      </w:r>
      <w:bookmarkStart w:id="33" w:name="_Toc353825548"/>
      <w:bookmarkStart w:id="34" w:name="_Toc305158854"/>
      <w:bookmarkStart w:id="35" w:name="_Toc195842950"/>
      <w:bookmarkStart w:id="36" w:name="_Toc127151777"/>
      <w:bookmarkStart w:id="37" w:name="_Toc265228423"/>
      <w:bookmarkStart w:id="38" w:name="_Toc305158928"/>
      <w:bookmarkStart w:id="39" w:name="_Toc512937850"/>
      <w:bookmarkStart w:id="40" w:name="_Toc127161488"/>
      <w:bookmarkStart w:id="41" w:name="_Toc18834"/>
      <w:bookmarkStart w:id="42" w:name="_Toc226965856"/>
      <w:bookmarkStart w:id="43" w:name="_Toc264969275"/>
      <w:bookmarkStart w:id="44" w:name="_Toc353873938"/>
      <w:bookmarkStart w:id="45" w:name="_Toc150774783"/>
      <w:r>
        <w:rPr>
          <w:rFonts w:hint="eastAsia" w:ascii="宋体" w:hAnsi="宋体" w:cs="宋体"/>
          <w:b/>
          <w:sz w:val="36"/>
          <w:szCs w:val="36"/>
          <w:highlight w:val="none"/>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2FB204AB">
      <w:pPr>
        <w:pStyle w:val="4"/>
        <w:shd w:val="clear" w:color="auto" w:fill="FFFFFF"/>
        <w:tabs>
          <w:tab w:val="center" w:pos="4592"/>
          <w:tab w:val="left" w:pos="7860"/>
        </w:tabs>
        <w:spacing w:before="0" w:line="360" w:lineRule="auto"/>
        <w:rPr>
          <w:rFonts w:ascii="宋体" w:hAnsi="宋体" w:eastAsia="宋体" w:cs="宋体"/>
          <w:b w:val="0"/>
          <w:sz w:val="28"/>
          <w:highlight w:val="none"/>
        </w:rPr>
      </w:pPr>
      <w:bookmarkStart w:id="46" w:name="_Toc142311021"/>
      <w:bookmarkStart w:id="47" w:name="_Toc127161433"/>
      <w:bookmarkStart w:id="48" w:name="_Toc151193761"/>
      <w:bookmarkStart w:id="49" w:name="_Toc127151720"/>
      <w:bookmarkStart w:id="50" w:name="_Toc151193689"/>
      <w:bookmarkStart w:id="51" w:name="_Toc151190146"/>
      <w:bookmarkStart w:id="52" w:name="_Toc226337215"/>
      <w:bookmarkStart w:id="53" w:name="_Toc164229214"/>
      <w:bookmarkStart w:id="54" w:name="_Toc150509270"/>
      <w:bookmarkStart w:id="55" w:name="_Toc164608633"/>
      <w:bookmarkStart w:id="56" w:name="_Toc150774724"/>
      <w:bookmarkStart w:id="57" w:name="_Toc150774619"/>
      <w:bookmarkStart w:id="58" w:name="_Toc195842884"/>
      <w:bookmarkStart w:id="59" w:name="_Toc150480757"/>
      <w:bookmarkStart w:id="60" w:name="_Toc151193833"/>
      <w:bookmarkStart w:id="61" w:name="_Toc151193617"/>
      <w:bookmarkStart w:id="62" w:name="_Toc520356144"/>
      <w:bookmarkStart w:id="63" w:name="_Toc164229360"/>
      <w:bookmarkStart w:id="64" w:name="_Toc151193907"/>
      <w:bookmarkStart w:id="65" w:name="_Toc164608788"/>
      <w:bookmarkStart w:id="66" w:name="_Toc226965792"/>
      <w:bookmarkStart w:id="67" w:name="_Toc226309763"/>
      <w:bookmarkStart w:id="68" w:name="_Toc127151519"/>
      <w:bookmarkStart w:id="69" w:name="_Toc226965709"/>
      <w:bookmarkStart w:id="70" w:name="_Toc149720812"/>
      <w:bookmarkStart w:id="71" w:name="_Toc164351613"/>
      <w:r>
        <w:rPr>
          <w:rFonts w:hint="eastAsia" w:ascii="宋体" w:hAnsi="宋体" w:eastAsia="宋体" w:cs="宋体"/>
          <w:sz w:val="28"/>
          <w:highlight w:val="none"/>
        </w:rPr>
        <w:t>供应商须知资料表</w:t>
      </w:r>
    </w:p>
    <w:p w14:paraId="36959558">
      <w:pPr>
        <w:shd w:val="clear" w:color="auto" w:fill="FFFFFF"/>
        <w:jc w:val="center"/>
        <w:rPr>
          <w:rFonts w:ascii="宋体" w:hAnsi="宋体" w:cs="宋体"/>
          <w:b/>
          <w:sz w:val="28"/>
          <w:szCs w:val="28"/>
          <w:highlight w:val="none"/>
        </w:rPr>
      </w:pPr>
    </w:p>
    <w:p w14:paraId="0B3DA4AA">
      <w:pPr>
        <w:shd w:val="clear" w:color="auto" w:fill="FFFFFF"/>
        <w:spacing w:line="360" w:lineRule="auto"/>
        <w:ind w:firstLine="480"/>
        <w:rPr>
          <w:rFonts w:ascii="宋体" w:hAnsi="宋体" w:cs="宋体"/>
          <w:sz w:val="24"/>
          <w:highlight w:val="none"/>
        </w:rPr>
      </w:pPr>
      <w:r>
        <w:rPr>
          <w:rFonts w:hint="eastAsia" w:ascii="宋体" w:hAnsi="宋体" w:cs="宋体"/>
          <w:sz w:val="24"/>
          <w:highlight w:val="none"/>
        </w:rPr>
        <w:t>本表是对供应商须知的具体补充和修改，如有矛盾，均以本资料表为准。标记</w:t>
      </w:r>
      <w:r>
        <w:rPr>
          <w:rFonts w:hint="eastAsia" w:ascii="宋体" w:hAnsi="宋体" w:cs="宋体"/>
          <w:color w:val="000000"/>
          <w:sz w:val="24"/>
          <w:highlight w:val="none"/>
        </w:rPr>
        <w:t>“</w:t>
      </w:r>
      <w:r>
        <w:rPr>
          <w:rFonts w:hint="eastAsia" w:ascii="宋体" w:hAnsi="宋体" w:cs="宋体"/>
          <w:b/>
          <w:color w:val="000000"/>
          <w:sz w:val="24"/>
          <w:highlight w:val="none"/>
        </w:rPr>
        <w:t>■</w:t>
      </w:r>
      <w:r>
        <w:rPr>
          <w:rFonts w:hint="eastAsia" w:ascii="宋体" w:hAnsi="宋体" w:cs="宋体"/>
          <w:color w:val="000000"/>
          <w:sz w:val="24"/>
          <w:highlight w:val="none"/>
        </w:rPr>
        <w:t>”</w:t>
      </w:r>
      <w:r>
        <w:rPr>
          <w:rFonts w:hint="eastAsia" w:ascii="宋体" w:hAnsi="宋体" w:cs="宋体"/>
          <w:sz w:val="24"/>
          <w:highlight w:val="none"/>
        </w:rPr>
        <w:t>的选项意为适用于本项目，标记“</w:t>
      </w:r>
      <w:r>
        <w:rPr>
          <w:rFonts w:hint="eastAsia" w:ascii="宋体" w:hAnsi="宋体" w:cs="宋体"/>
          <w:highlight w:val="none"/>
        </w:rPr>
        <w:t>□</w:t>
      </w:r>
      <w:r>
        <w:rPr>
          <w:rFonts w:hint="eastAsia" w:ascii="宋体" w:hAnsi="宋体" w:cs="宋体"/>
          <w:sz w:val="24"/>
          <w:highlight w:val="none"/>
        </w:rPr>
        <w:t>”的选项意为不适用于本项目。</w:t>
      </w:r>
    </w:p>
    <w:tbl>
      <w:tblPr>
        <w:tblStyle w:val="83"/>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588"/>
        <w:gridCol w:w="6719"/>
      </w:tblGrid>
      <w:tr w14:paraId="6316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2" w:type="dxa"/>
            <w:vAlign w:val="center"/>
          </w:tcPr>
          <w:p w14:paraId="0B528876">
            <w:pPr>
              <w:shd w:val="clear" w:color="auto" w:fill="FFFFFF"/>
              <w:jc w:val="center"/>
              <w:rPr>
                <w:rFonts w:ascii="宋体" w:hAnsi="宋体" w:cs="宋体"/>
                <w:b/>
                <w:bCs/>
                <w:sz w:val="24"/>
                <w:highlight w:val="none"/>
              </w:rPr>
            </w:pPr>
            <w:r>
              <w:rPr>
                <w:rFonts w:hint="eastAsia" w:ascii="宋体" w:hAnsi="宋体" w:cs="宋体"/>
                <w:b/>
                <w:sz w:val="24"/>
                <w:highlight w:val="none"/>
              </w:rPr>
              <w:t>条款号</w:t>
            </w:r>
          </w:p>
        </w:tc>
        <w:tc>
          <w:tcPr>
            <w:tcW w:w="1588" w:type="dxa"/>
            <w:vAlign w:val="center"/>
          </w:tcPr>
          <w:p w14:paraId="48AFA6F8">
            <w:pPr>
              <w:shd w:val="clear" w:color="auto" w:fill="FFFFFF"/>
              <w:jc w:val="center"/>
              <w:rPr>
                <w:rFonts w:ascii="宋体" w:hAnsi="宋体" w:cs="宋体"/>
                <w:b/>
                <w:bCs/>
                <w:sz w:val="24"/>
                <w:highlight w:val="none"/>
              </w:rPr>
            </w:pPr>
            <w:r>
              <w:rPr>
                <w:rFonts w:hint="eastAsia" w:ascii="宋体" w:hAnsi="宋体" w:cs="宋体"/>
                <w:b/>
                <w:bCs/>
                <w:sz w:val="24"/>
                <w:highlight w:val="none"/>
              </w:rPr>
              <w:t>条目</w:t>
            </w:r>
          </w:p>
        </w:tc>
        <w:tc>
          <w:tcPr>
            <w:tcW w:w="6719" w:type="dxa"/>
            <w:vAlign w:val="center"/>
          </w:tcPr>
          <w:p w14:paraId="6194A41F">
            <w:pPr>
              <w:shd w:val="clear" w:color="auto" w:fill="FFFFFF"/>
              <w:jc w:val="center"/>
              <w:rPr>
                <w:rFonts w:ascii="宋体" w:hAnsi="宋体" w:cs="宋体"/>
                <w:b/>
                <w:bCs/>
                <w:sz w:val="24"/>
                <w:highlight w:val="none"/>
              </w:rPr>
            </w:pPr>
            <w:r>
              <w:rPr>
                <w:rFonts w:hint="eastAsia" w:ascii="宋体" w:hAnsi="宋体" w:cs="宋体"/>
                <w:b/>
                <w:bCs/>
                <w:sz w:val="24"/>
                <w:highlight w:val="none"/>
              </w:rPr>
              <w:t>内容</w:t>
            </w:r>
          </w:p>
        </w:tc>
      </w:tr>
      <w:tr w14:paraId="2E50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Align w:val="center"/>
          </w:tcPr>
          <w:p w14:paraId="7316A2B6">
            <w:pPr>
              <w:pStyle w:val="44"/>
              <w:shd w:val="clear" w:color="auto" w:fill="FFFFFF"/>
              <w:adjustRightInd w:val="0"/>
              <w:snapToGrid w:val="0"/>
              <w:jc w:val="center"/>
              <w:rPr>
                <w:rFonts w:hint="default" w:hAnsi="宋体" w:cs="宋体"/>
                <w:sz w:val="24"/>
                <w:szCs w:val="24"/>
                <w:highlight w:val="none"/>
              </w:rPr>
            </w:pPr>
            <w:r>
              <w:rPr>
                <w:rFonts w:hAnsi="宋体" w:cs="宋体"/>
                <w:sz w:val="24"/>
                <w:szCs w:val="24"/>
                <w:highlight w:val="none"/>
              </w:rPr>
              <w:t>2.2</w:t>
            </w:r>
          </w:p>
        </w:tc>
        <w:tc>
          <w:tcPr>
            <w:tcW w:w="1588" w:type="dxa"/>
            <w:vAlign w:val="center"/>
          </w:tcPr>
          <w:p w14:paraId="3A4B0E9A">
            <w:pPr>
              <w:shd w:val="clear" w:color="auto" w:fill="FFFFFF"/>
              <w:jc w:val="center"/>
              <w:rPr>
                <w:rFonts w:ascii="宋体" w:hAnsi="宋体" w:cs="宋体"/>
                <w:sz w:val="24"/>
                <w:highlight w:val="none"/>
              </w:rPr>
            </w:pPr>
            <w:r>
              <w:rPr>
                <w:rFonts w:hint="eastAsia" w:ascii="宋体" w:hAnsi="宋体" w:cs="宋体"/>
                <w:sz w:val="24"/>
                <w:highlight w:val="none"/>
              </w:rPr>
              <w:t>项目属性</w:t>
            </w:r>
          </w:p>
        </w:tc>
        <w:tc>
          <w:tcPr>
            <w:tcW w:w="6719" w:type="dxa"/>
            <w:vAlign w:val="center"/>
          </w:tcPr>
          <w:p w14:paraId="4B248635">
            <w:pPr>
              <w:shd w:val="clear" w:color="auto" w:fill="FFFFFF"/>
              <w:jc w:val="left"/>
              <w:rPr>
                <w:rFonts w:ascii="宋体" w:hAnsi="宋体" w:cs="宋体"/>
                <w:sz w:val="24"/>
                <w:highlight w:val="none"/>
              </w:rPr>
            </w:pPr>
            <w:r>
              <w:rPr>
                <w:rFonts w:hint="eastAsia" w:ascii="宋体" w:hAnsi="宋体" w:cs="宋体"/>
                <w:sz w:val="24"/>
                <w:highlight w:val="none"/>
              </w:rPr>
              <w:t>项目属性：</w:t>
            </w:r>
          </w:p>
          <w:p w14:paraId="6AE141EB">
            <w:pPr>
              <w:shd w:val="clear" w:color="auto" w:fill="FFFFFF"/>
              <w:jc w:val="left"/>
              <w:rPr>
                <w:rFonts w:ascii="宋体" w:hAnsi="宋体" w:cs="宋体"/>
                <w:sz w:val="24"/>
                <w:highlight w:val="none"/>
              </w:rPr>
            </w:pPr>
            <w:r>
              <w:rPr>
                <w:rFonts w:hint="eastAsia" w:ascii="宋体" w:hAnsi="宋体" w:cs="宋体"/>
                <w:sz w:val="24"/>
                <w:highlight w:val="none"/>
              </w:rPr>
              <w:t>□服务</w:t>
            </w:r>
          </w:p>
          <w:p w14:paraId="3D0D9F0C">
            <w:pPr>
              <w:shd w:val="clear" w:color="auto" w:fill="FFFFFF"/>
              <w:jc w:val="left"/>
              <w:rPr>
                <w:rFonts w:ascii="宋体" w:hAnsi="宋体" w:cs="宋体"/>
                <w:sz w:val="24"/>
                <w:highlight w:val="none"/>
              </w:rPr>
            </w:pPr>
            <w:r>
              <w:rPr>
                <w:rFonts w:hint="eastAsia" w:ascii="宋体" w:hAnsi="宋体" w:cs="宋体"/>
                <w:sz w:val="24"/>
                <w:highlight w:val="none"/>
              </w:rPr>
              <w:t>□货物</w:t>
            </w:r>
          </w:p>
          <w:p w14:paraId="7F3CA686">
            <w:pPr>
              <w:shd w:val="clear" w:color="auto" w:fill="FFFFFF"/>
              <w:jc w:val="left"/>
              <w:rPr>
                <w:rFonts w:ascii="宋体" w:hAnsi="宋体" w:cs="宋体"/>
                <w:sz w:val="24"/>
                <w:highlight w:val="none"/>
                <w:u w:val="single"/>
              </w:rPr>
            </w:pPr>
            <w:r>
              <w:rPr>
                <w:rFonts w:hint="eastAsia" w:ascii="宋体" w:hAnsi="宋体" w:cs="宋体"/>
                <w:b/>
                <w:color w:val="000000"/>
                <w:sz w:val="24"/>
                <w:highlight w:val="none"/>
              </w:rPr>
              <w:t>■</w:t>
            </w:r>
            <w:r>
              <w:rPr>
                <w:rFonts w:hint="eastAsia" w:ascii="宋体" w:hAnsi="宋体" w:cs="宋体"/>
                <w:sz w:val="24"/>
                <w:highlight w:val="none"/>
              </w:rPr>
              <w:t>工程</w:t>
            </w:r>
          </w:p>
        </w:tc>
      </w:tr>
      <w:tr w14:paraId="7686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Align w:val="center"/>
          </w:tcPr>
          <w:p w14:paraId="5B6B3F6B">
            <w:pPr>
              <w:pStyle w:val="44"/>
              <w:shd w:val="clear" w:color="auto" w:fill="FFFFFF"/>
              <w:adjustRightInd w:val="0"/>
              <w:snapToGrid w:val="0"/>
              <w:jc w:val="center"/>
              <w:rPr>
                <w:rFonts w:hint="default" w:hAnsi="宋体" w:cs="宋体"/>
                <w:sz w:val="24"/>
                <w:szCs w:val="24"/>
                <w:highlight w:val="none"/>
              </w:rPr>
            </w:pPr>
            <w:r>
              <w:rPr>
                <w:rFonts w:hAnsi="宋体" w:cs="宋体"/>
                <w:sz w:val="24"/>
                <w:szCs w:val="24"/>
                <w:highlight w:val="none"/>
              </w:rPr>
              <w:t>2.3</w:t>
            </w:r>
          </w:p>
        </w:tc>
        <w:tc>
          <w:tcPr>
            <w:tcW w:w="1588" w:type="dxa"/>
            <w:vAlign w:val="center"/>
          </w:tcPr>
          <w:p w14:paraId="2612103E">
            <w:pPr>
              <w:shd w:val="clear" w:color="auto" w:fill="FFFFFF"/>
              <w:jc w:val="center"/>
              <w:rPr>
                <w:rFonts w:ascii="宋体" w:hAnsi="宋体" w:cs="宋体"/>
                <w:sz w:val="24"/>
                <w:highlight w:val="none"/>
              </w:rPr>
            </w:pPr>
            <w:r>
              <w:rPr>
                <w:rFonts w:hint="eastAsia" w:ascii="宋体" w:hAnsi="宋体" w:cs="宋体"/>
                <w:sz w:val="24"/>
                <w:highlight w:val="none"/>
              </w:rPr>
              <w:t>科研仪器设备</w:t>
            </w:r>
          </w:p>
        </w:tc>
        <w:tc>
          <w:tcPr>
            <w:tcW w:w="6719" w:type="dxa"/>
            <w:vAlign w:val="center"/>
          </w:tcPr>
          <w:p w14:paraId="6B21B0FC">
            <w:pPr>
              <w:shd w:val="clear" w:color="auto" w:fill="FFFFFF"/>
              <w:jc w:val="left"/>
              <w:rPr>
                <w:rFonts w:ascii="宋体" w:hAnsi="宋体" w:cs="宋体"/>
                <w:sz w:val="24"/>
                <w:highlight w:val="none"/>
              </w:rPr>
            </w:pPr>
            <w:r>
              <w:rPr>
                <w:rFonts w:hint="eastAsia" w:ascii="宋体" w:hAnsi="宋体" w:cs="宋体"/>
                <w:sz w:val="24"/>
                <w:highlight w:val="none"/>
              </w:rPr>
              <w:t>是否属于科研仪器设备采购项目：</w:t>
            </w:r>
          </w:p>
          <w:p w14:paraId="6DCD1DB6">
            <w:pPr>
              <w:shd w:val="clear" w:color="auto" w:fill="FFFFFF"/>
              <w:jc w:val="left"/>
              <w:rPr>
                <w:rFonts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是</w:t>
            </w:r>
          </w:p>
          <w:p w14:paraId="491EB3FC">
            <w:pPr>
              <w:shd w:val="clear" w:color="auto" w:fill="FFFFFF"/>
              <w:jc w:val="left"/>
              <w:rPr>
                <w:rFonts w:ascii="宋体" w:hAnsi="宋体" w:cs="宋体"/>
                <w:sz w:val="24"/>
                <w:highlight w:val="none"/>
              </w:rPr>
            </w:pPr>
            <w:r>
              <w:rPr>
                <w:rFonts w:hint="eastAsia" w:ascii="宋体" w:hAnsi="宋体" w:cs="宋体"/>
                <w:b/>
                <w:color w:val="000000"/>
                <w:sz w:val="24"/>
                <w:highlight w:val="none"/>
              </w:rPr>
              <w:t>■</w:t>
            </w:r>
            <w:r>
              <w:rPr>
                <w:rFonts w:hint="eastAsia" w:ascii="宋体" w:hAnsi="宋体" w:cs="宋体"/>
                <w:sz w:val="24"/>
                <w:highlight w:val="none"/>
              </w:rPr>
              <w:t>否</w:t>
            </w:r>
          </w:p>
        </w:tc>
      </w:tr>
      <w:tr w14:paraId="1E30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Merge w:val="restart"/>
            <w:vAlign w:val="center"/>
          </w:tcPr>
          <w:p w14:paraId="0E1B5967">
            <w:pPr>
              <w:pStyle w:val="44"/>
              <w:shd w:val="clear" w:color="auto" w:fill="FFFFFF"/>
              <w:adjustRightInd w:val="0"/>
              <w:snapToGrid w:val="0"/>
              <w:jc w:val="center"/>
              <w:rPr>
                <w:rFonts w:hint="default" w:hAnsi="宋体" w:cs="宋体"/>
                <w:sz w:val="24"/>
                <w:szCs w:val="24"/>
                <w:highlight w:val="none"/>
              </w:rPr>
            </w:pPr>
            <w:r>
              <w:rPr>
                <w:rFonts w:hAnsi="宋体" w:cs="宋体"/>
                <w:sz w:val="24"/>
                <w:szCs w:val="24"/>
                <w:highlight w:val="none"/>
              </w:rPr>
              <w:t>3.1</w:t>
            </w:r>
          </w:p>
        </w:tc>
        <w:tc>
          <w:tcPr>
            <w:tcW w:w="1588" w:type="dxa"/>
            <w:vAlign w:val="center"/>
          </w:tcPr>
          <w:p w14:paraId="4261E94E">
            <w:pPr>
              <w:shd w:val="clear" w:color="auto" w:fill="FFFFFF"/>
              <w:jc w:val="center"/>
              <w:rPr>
                <w:rFonts w:ascii="宋体" w:hAnsi="宋体" w:cs="宋体"/>
                <w:sz w:val="24"/>
                <w:highlight w:val="none"/>
              </w:rPr>
            </w:pPr>
            <w:r>
              <w:rPr>
                <w:rFonts w:hint="eastAsia" w:ascii="宋体" w:hAnsi="宋体" w:cs="宋体"/>
                <w:sz w:val="24"/>
                <w:highlight w:val="none"/>
              </w:rPr>
              <w:t>现场考察</w:t>
            </w:r>
          </w:p>
        </w:tc>
        <w:tc>
          <w:tcPr>
            <w:tcW w:w="6719" w:type="dxa"/>
            <w:vAlign w:val="center"/>
          </w:tcPr>
          <w:p w14:paraId="3318DA4C">
            <w:pPr>
              <w:shd w:val="clear" w:color="auto" w:fill="FFFFFF"/>
              <w:jc w:val="left"/>
              <w:rPr>
                <w:rFonts w:ascii="宋体" w:hAnsi="宋体" w:cs="宋体"/>
                <w:sz w:val="24"/>
                <w:highlight w:val="none"/>
              </w:rPr>
            </w:pPr>
            <w:r>
              <w:rPr>
                <w:rFonts w:hint="eastAsia" w:ascii="宋体" w:hAnsi="宋体" w:cs="宋体"/>
                <w:b/>
                <w:color w:val="000000"/>
                <w:sz w:val="24"/>
                <w:highlight w:val="none"/>
              </w:rPr>
              <w:t>■</w:t>
            </w:r>
            <w:r>
              <w:rPr>
                <w:rFonts w:hint="eastAsia" w:ascii="宋体" w:hAnsi="宋体" w:cs="宋体"/>
                <w:sz w:val="24"/>
                <w:highlight w:val="none"/>
              </w:rPr>
              <w:t>不组织</w:t>
            </w:r>
          </w:p>
          <w:p w14:paraId="68798A95">
            <w:pPr>
              <w:shd w:val="clear" w:color="auto" w:fill="FFFFFF"/>
              <w:jc w:val="left"/>
              <w:rPr>
                <w:rFonts w:ascii="宋体" w:hAnsi="宋体" w:cs="宋体"/>
                <w:bCs/>
                <w:sz w:val="24"/>
                <w:highlight w:val="none"/>
              </w:rPr>
            </w:pPr>
            <w:r>
              <w:rPr>
                <w:rFonts w:hint="eastAsia" w:ascii="宋体" w:hAnsi="宋体" w:cs="宋体"/>
                <w:highlight w:val="none"/>
              </w:rPr>
              <w:t>□</w:t>
            </w:r>
            <w:r>
              <w:rPr>
                <w:rFonts w:hint="eastAsia" w:ascii="宋体" w:hAnsi="宋体" w:cs="宋体"/>
                <w:sz w:val="24"/>
                <w:highlight w:val="none"/>
              </w:rPr>
              <w:t>组织，考察时间：年</w:t>
            </w:r>
            <w:r>
              <w:rPr>
                <w:rFonts w:ascii="宋体" w:hAnsi="宋体" w:cs="宋体"/>
                <w:sz w:val="24"/>
                <w:highlight w:val="none"/>
              </w:rPr>
              <w:t>年  月  日  点  分</w:t>
            </w:r>
          </w:p>
          <w:p w14:paraId="5918C1D8">
            <w:pPr>
              <w:pStyle w:val="44"/>
              <w:shd w:val="clear" w:color="auto" w:fill="FFFFFF"/>
              <w:adjustRightInd w:val="0"/>
              <w:snapToGrid w:val="0"/>
              <w:rPr>
                <w:rFonts w:hint="default" w:hAnsi="宋体" w:cs="宋体"/>
                <w:sz w:val="24"/>
                <w:highlight w:val="none"/>
              </w:rPr>
            </w:pPr>
            <w:r>
              <w:rPr>
                <w:rFonts w:hAnsi="宋体" w:cs="宋体"/>
                <w:sz w:val="24"/>
                <w:highlight w:val="none"/>
              </w:rPr>
              <w:t>考察地点：</w:t>
            </w:r>
            <w:r>
              <w:rPr>
                <w:rFonts w:hAnsi="宋体" w:cs="宋体"/>
                <w:sz w:val="24"/>
                <w:highlight w:val="none"/>
              </w:rPr>
              <w:tab/>
            </w:r>
            <w:r>
              <w:rPr>
                <w:rFonts w:hAnsi="宋体" w:cs="宋体"/>
                <w:sz w:val="24"/>
                <w:highlight w:val="none"/>
              </w:rPr>
              <w:t xml:space="preserve"> </w:t>
            </w:r>
            <w:r>
              <w:rPr>
                <w:rFonts w:hint="default" w:hAnsi="宋体" w:cs="宋体"/>
                <w:sz w:val="24"/>
                <w:highlight w:val="none"/>
              </w:rPr>
              <w:t xml:space="preserve">   </w:t>
            </w:r>
            <w:r>
              <w:rPr>
                <w:rFonts w:hAnsi="宋体" w:cs="宋体"/>
                <w:sz w:val="24"/>
                <w:highlight w:val="none"/>
              </w:rPr>
              <w:t>。</w:t>
            </w:r>
          </w:p>
          <w:p w14:paraId="17CC6148">
            <w:pPr>
              <w:pStyle w:val="44"/>
              <w:shd w:val="clear" w:color="auto" w:fill="FFFFFF"/>
              <w:adjustRightInd w:val="0"/>
              <w:snapToGrid w:val="0"/>
              <w:rPr>
                <w:rFonts w:hint="default" w:hAnsi="宋体" w:cs="宋体"/>
                <w:sz w:val="24"/>
                <w:highlight w:val="none"/>
              </w:rPr>
            </w:pPr>
            <w:r>
              <w:rPr>
                <w:rFonts w:hAnsi="宋体" w:cs="宋体"/>
                <w:sz w:val="24"/>
                <w:highlight w:val="none"/>
              </w:rPr>
              <w:t>联系人及电话：</w:t>
            </w:r>
          </w:p>
        </w:tc>
      </w:tr>
      <w:tr w14:paraId="077A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Merge w:val="continue"/>
            <w:vAlign w:val="center"/>
          </w:tcPr>
          <w:p w14:paraId="200F36D2">
            <w:pPr>
              <w:pStyle w:val="44"/>
              <w:shd w:val="clear" w:color="auto" w:fill="FFFFFF"/>
              <w:adjustRightInd w:val="0"/>
              <w:snapToGrid w:val="0"/>
              <w:jc w:val="center"/>
              <w:rPr>
                <w:rFonts w:hint="default" w:hAnsi="宋体" w:cs="宋体"/>
                <w:sz w:val="24"/>
                <w:szCs w:val="24"/>
                <w:highlight w:val="none"/>
              </w:rPr>
            </w:pPr>
          </w:p>
        </w:tc>
        <w:tc>
          <w:tcPr>
            <w:tcW w:w="1588" w:type="dxa"/>
            <w:vAlign w:val="center"/>
          </w:tcPr>
          <w:p w14:paraId="15237945">
            <w:pPr>
              <w:shd w:val="clear" w:color="auto" w:fill="FFFFFF"/>
              <w:jc w:val="center"/>
              <w:rPr>
                <w:rFonts w:ascii="宋体" w:hAnsi="宋体" w:cs="宋体"/>
                <w:sz w:val="24"/>
                <w:highlight w:val="none"/>
              </w:rPr>
            </w:pPr>
            <w:r>
              <w:rPr>
                <w:rFonts w:hint="eastAsia" w:ascii="宋体" w:hAnsi="宋体" w:cs="宋体"/>
                <w:sz w:val="24"/>
                <w:highlight w:val="none"/>
              </w:rPr>
              <w:t>磋商前答疑会</w:t>
            </w:r>
          </w:p>
        </w:tc>
        <w:tc>
          <w:tcPr>
            <w:tcW w:w="6719" w:type="dxa"/>
            <w:vAlign w:val="center"/>
          </w:tcPr>
          <w:p w14:paraId="1472B87F">
            <w:pPr>
              <w:shd w:val="clear" w:color="auto" w:fill="FFFFFF"/>
              <w:jc w:val="left"/>
              <w:rPr>
                <w:rFonts w:ascii="宋体" w:hAnsi="宋体" w:cs="宋体"/>
                <w:sz w:val="24"/>
                <w:highlight w:val="none"/>
              </w:rPr>
            </w:pPr>
            <w:r>
              <w:rPr>
                <w:rFonts w:hint="eastAsia" w:ascii="宋体" w:hAnsi="宋体" w:cs="宋体"/>
                <w:b/>
                <w:color w:val="000000"/>
                <w:sz w:val="24"/>
                <w:highlight w:val="none"/>
              </w:rPr>
              <w:t>■</w:t>
            </w:r>
            <w:r>
              <w:rPr>
                <w:rFonts w:hint="eastAsia" w:ascii="宋体" w:hAnsi="宋体" w:cs="宋体"/>
                <w:sz w:val="24"/>
                <w:highlight w:val="none"/>
              </w:rPr>
              <w:t>不召开</w:t>
            </w:r>
          </w:p>
          <w:p w14:paraId="4A9344BA">
            <w:pPr>
              <w:shd w:val="clear" w:color="auto" w:fill="FFFFFF"/>
              <w:jc w:val="left"/>
              <w:rPr>
                <w:rFonts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召开，召开时间：___年___月___日___点___分</w:t>
            </w:r>
          </w:p>
          <w:p w14:paraId="11D9AB9F">
            <w:pPr>
              <w:shd w:val="clear" w:color="auto" w:fill="FFFFFF"/>
              <w:jc w:val="left"/>
              <w:rPr>
                <w:rFonts w:ascii="宋体" w:hAnsi="宋体" w:cs="宋体"/>
                <w:sz w:val="24"/>
                <w:highlight w:val="none"/>
              </w:rPr>
            </w:pPr>
            <w:r>
              <w:rPr>
                <w:rFonts w:hint="eastAsia" w:ascii="宋体" w:hAnsi="宋体" w:cs="宋体"/>
                <w:sz w:val="24"/>
                <w:highlight w:val="none"/>
              </w:rPr>
              <w:t>召开地点：___________。</w:t>
            </w:r>
          </w:p>
        </w:tc>
      </w:tr>
      <w:tr w14:paraId="513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2" w:type="dxa"/>
            <w:vAlign w:val="center"/>
          </w:tcPr>
          <w:p w14:paraId="0EB223DE">
            <w:pPr>
              <w:pStyle w:val="44"/>
              <w:shd w:val="clear" w:color="auto" w:fill="FFFFFF"/>
              <w:adjustRightInd w:val="0"/>
              <w:snapToGrid w:val="0"/>
              <w:jc w:val="center"/>
              <w:rPr>
                <w:rFonts w:hint="default" w:hAnsi="宋体" w:cs="宋体"/>
                <w:sz w:val="24"/>
                <w:szCs w:val="24"/>
                <w:highlight w:val="none"/>
              </w:rPr>
            </w:pPr>
            <w:r>
              <w:rPr>
                <w:rFonts w:hAnsi="宋体" w:cs="宋体"/>
                <w:sz w:val="24"/>
                <w:szCs w:val="24"/>
                <w:highlight w:val="none"/>
              </w:rPr>
              <w:t>4.2.5</w:t>
            </w:r>
          </w:p>
        </w:tc>
        <w:tc>
          <w:tcPr>
            <w:tcW w:w="1588" w:type="dxa"/>
            <w:vAlign w:val="center"/>
          </w:tcPr>
          <w:p w14:paraId="40FF5432">
            <w:pPr>
              <w:shd w:val="clear" w:color="auto" w:fill="FFFFFF"/>
              <w:jc w:val="center"/>
              <w:rPr>
                <w:rFonts w:ascii="宋体" w:hAnsi="宋体" w:cs="宋体"/>
                <w:sz w:val="24"/>
                <w:highlight w:val="none"/>
              </w:rPr>
            </w:pPr>
            <w:r>
              <w:rPr>
                <w:rFonts w:hint="eastAsia" w:ascii="宋体" w:hAnsi="宋体" w:cs="宋体"/>
                <w:sz w:val="24"/>
                <w:highlight w:val="none"/>
              </w:rPr>
              <w:t>标的所属行业</w:t>
            </w:r>
          </w:p>
        </w:tc>
        <w:tc>
          <w:tcPr>
            <w:tcW w:w="6719" w:type="dxa"/>
            <w:vAlign w:val="center"/>
          </w:tcPr>
          <w:p w14:paraId="65B9DFC6">
            <w:pPr>
              <w:shd w:val="clear" w:color="auto" w:fill="FFFFFF"/>
              <w:jc w:val="left"/>
              <w:rPr>
                <w:rFonts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83"/>
              <w:tblW w:w="49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2775"/>
              <w:gridCol w:w="2521"/>
            </w:tblGrid>
            <w:tr w14:paraId="4725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9" w:type="dxa"/>
                  <w:tcBorders>
                    <w:top w:val="single" w:color="auto" w:sz="4" w:space="0"/>
                    <w:left w:val="single" w:color="auto" w:sz="4" w:space="0"/>
                    <w:bottom w:val="single" w:color="auto" w:sz="4" w:space="0"/>
                    <w:right w:val="single" w:color="auto" w:sz="4" w:space="0"/>
                  </w:tcBorders>
                  <w:vAlign w:val="center"/>
                </w:tcPr>
                <w:p w14:paraId="4FD2A9FA">
                  <w:pPr>
                    <w:jc w:val="center"/>
                    <w:rPr>
                      <w:rFonts w:ascii="宋体" w:hAnsi="宋体" w:cs="宋体"/>
                      <w:bCs/>
                      <w:sz w:val="24"/>
                      <w:highlight w:val="none"/>
                    </w:rPr>
                  </w:pPr>
                  <w:r>
                    <w:rPr>
                      <w:rFonts w:hint="eastAsia" w:ascii="宋体" w:hAnsi="宋体" w:cs="宋体"/>
                      <w:bCs/>
                      <w:sz w:val="24"/>
                      <w:highlight w:val="none"/>
                    </w:rPr>
                    <w:t>包号</w:t>
                  </w:r>
                </w:p>
              </w:tc>
              <w:tc>
                <w:tcPr>
                  <w:tcW w:w="2775" w:type="dxa"/>
                  <w:tcBorders>
                    <w:top w:val="single" w:color="auto" w:sz="4" w:space="0"/>
                    <w:left w:val="single" w:color="auto" w:sz="4" w:space="0"/>
                    <w:bottom w:val="single" w:color="auto" w:sz="4" w:space="0"/>
                    <w:right w:val="single" w:color="auto" w:sz="4" w:space="0"/>
                  </w:tcBorders>
                  <w:vAlign w:val="center"/>
                </w:tcPr>
                <w:p w14:paraId="78091869">
                  <w:pPr>
                    <w:jc w:val="center"/>
                    <w:rPr>
                      <w:rFonts w:ascii="宋体" w:hAnsi="宋体" w:cs="宋体"/>
                      <w:bCs/>
                      <w:sz w:val="24"/>
                      <w:highlight w:val="none"/>
                    </w:rPr>
                  </w:pPr>
                  <w:r>
                    <w:rPr>
                      <w:rFonts w:hint="eastAsia" w:ascii="宋体" w:hAnsi="宋体" w:cs="宋体"/>
                      <w:bCs/>
                      <w:sz w:val="24"/>
                      <w:highlight w:val="none"/>
                    </w:rPr>
                    <w:t>标的名称</w:t>
                  </w:r>
                </w:p>
              </w:tc>
              <w:tc>
                <w:tcPr>
                  <w:tcW w:w="2521" w:type="dxa"/>
                  <w:tcBorders>
                    <w:top w:val="single" w:color="auto" w:sz="4" w:space="0"/>
                    <w:left w:val="single" w:color="auto" w:sz="4" w:space="0"/>
                    <w:bottom w:val="single" w:color="auto" w:sz="4" w:space="0"/>
                    <w:right w:val="single" w:color="auto" w:sz="4" w:space="0"/>
                  </w:tcBorders>
                  <w:vAlign w:val="center"/>
                </w:tcPr>
                <w:p w14:paraId="141DDC64">
                  <w:pPr>
                    <w:jc w:val="center"/>
                    <w:rPr>
                      <w:rFonts w:ascii="宋体" w:hAnsi="宋体" w:cs="宋体"/>
                      <w:bCs/>
                      <w:sz w:val="24"/>
                      <w:highlight w:val="none"/>
                    </w:rPr>
                  </w:pPr>
                  <w:r>
                    <w:rPr>
                      <w:rFonts w:hint="eastAsia" w:ascii="宋体" w:hAnsi="宋体" w:cs="宋体"/>
                      <w:bCs/>
                      <w:kern w:val="0"/>
                      <w:sz w:val="24"/>
                      <w:highlight w:val="none"/>
                    </w:rPr>
                    <w:t>中小企业划分标准所属行业</w:t>
                  </w:r>
                </w:p>
              </w:tc>
            </w:tr>
            <w:tr w14:paraId="5E2E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9" w:type="dxa"/>
                  <w:tcBorders>
                    <w:top w:val="single" w:color="auto" w:sz="4" w:space="0"/>
                    <w:left w:val="single" w:color="auto" w:sz="4" w:space="0"/>
                    <w:bottom w:val="single" w:color="auto" w:sz="4" w:space="0"/>
                    <w:right w:val="single" w:color="auto" w:sz="4" w:space="0"/>
                  </w:tcBorders>
                  <w:vAlign w:val="center"/>
                </w:tcPr>
                <w:p w14:paraId="2C6A097D">
                  <w:pPr>
                    <w:jc w:val="center"/>
                    <w:rPr>
                      <w:rFonts w:ascii="宋体" w:hAnsi="宋体" w:cs="宋体"/>
                      <w:b/>
                      <w:bCs/>
                      <w:sz w:val="24"/>
                      <w:highlight w:val="none"/>
                    </w:rPr>
                  </w:pPr>
                  <w:r>
                    <w:rPr>
                      <w:rFonts w:hint="eastAsia" w:ascii="宋体" w:hAnsi="宋体" w:cs="宋体"/>
                      <w:b/>
                      <w:bCs/>
                      <w:sz w:val="24"/>
                      <w:highlight w:val="none"/>
                    </w:rPr>
                    <w:t xml:space="preserve">01 </w:t>
                  </w:r>
                </w:p>
              </w:tc>
              <w:tc>
                <w:tcPr>
                  <w:tcW w:w="2775" w:type="dxa"/>
                  <w:tcBorders>
                    <w:top w:val="single" w:color="auto" w:sz="4" w:space="0"/>
                    <w:left w:val="single" w:color="auto" w:sz="4" w:space="0"/>
                    <w:bottom w:val="single" w:color="auto" w:sz="4" w:space="0"/>
                    <w:right w:val="single" w:color="auto" w:sz="4" w:space="0"/>
                  </w:tcBorders>
                  <w:vAlign w:val="center"/>
                </w:tcPr>
                <w:p w14:paraId="5B72DA2F">
                  <w:pPr>
                    <w:jc w:val="center"/>
                    <w:rPr>
                      <w:rFonts w:hint="eastAsia" w:ascii="宋体" w:hAnsi="宋体" w:eastAsia="宋体" w:cs="宋体"/>
                      <w:b/>
                      <w:bCs/>
                      <w:kern w:val="0"/>
                      <w:sz w:val="24"/>
                      <w:highlight w:val="none"/>
                      <w:lang w:eastAsia="zh-CN"/>
                    </w:rPr>
                  </w:pPr>
                  <w:r>
                    <w:rPr>
                      <w:rFonts w:hint="eastAsia" w:ascii="宋体" w:hAnsi="宋体" w:cs="宋体"/>
                      <w:b/>
                      <w:bCs/>
                      <w:kern w:val="0"/>
                      <w:sz w:val="24"/>
                      <w:highlight w:val="none"/>
                    </w:rPr>
                    <w:t>北京财贸职业学院2025年度涿州校区职工宿舍装修改造项目</w:t>
                  </w:r>
                  <w:r>
                    <w:rPr>
                      <w:rFonts w:hint="eastAsia" w:ascii="宋体" w:hAnsi="宋体" w:cs="宋体"/>
                      <w:b/>
                      <w:bCs/>
                      <w:kern w:val="0"/>
                      <w:sz w:val="24"/>
                      <w:highlight w:val="none"/>
                      <w:lang w:eastAsia="zh-CN"/>
                    </w:rPr>
                    <w:t>（</w:t>
                  </w:r>
                  <w:r>
                    <w:rPr>
                      <w:rFonts w:hint="eastAsia" w:ascii="宋体" w:hAnsi="宋体" w:cs="宋体"/>
                      <w:b/>
                      <w:bCs/>
                      <w:kern w:val="0"/>
                      <w:sz w:val="24"/>
                      <w:highlight w:val="none"/>
                      <w:lang w:val="en-US" w:eastAsia="zh-CN"/>
                    </w:rPr>
                    <w:t>工程</w:t>
                  </w:r>
                  <w:r>
                    <w:rPr>
                      <w:rFonts w:hint="eastAsia" w:ascii="宋体" w:hAnsi="宋体" w:cs="宋体"/>
                      <w:b/>
                      <w:bCs/>
                      <w:kern w:val="0"/>
                      <w:sz w:val="24"/>
                      <w:highlight w:val="none"/>
                      <w:lang w:eastAsia="zh-CN"/>
                    </w:rPr>
                    <w:t>）</w:t>
                  </w:r>
                </w:p>
              </w:tc>
              <w:tc>
                <w:tcPr>
                  <w:tcW w:w="2521" w:type="dxa"/>
                  <w:tcBorders>
                    <w:top w:val="single" w:color="auto" w:sz="4" w:space="0"/>
                    <w:left w:val="single" w:color="auto" w:sz="4" w:space="0"/>
                    <w:bottom w:val="single" w:color="auto" w:sz="4" w:space="0"/>
                    <w:right w:val="single" w:color="auto" w:sz="4" w:space="0"/>
                  </w:tcBorders>
                  <w:vAlign w:val="center"/>
                </w:tcPr>
                <w:p w14:paraId="2F276E53">
                  <w:pPr>
                    <w:jc w:val="center"/>
                    <w:rPr>
                      <w:b/>
                      <w:bCs/>
                      <w:kern w:val="0"/>
                      <w:sz w:val="24"/>
                      <w:highlight w:val="none"/>
                    </w:rPr>
                  </w:pPr>
                  <w:r>
                    <w:rPr>
                      <w:rFonts w:hint="eastAsia" w:ascii="宋体" w:hAnsi="宋体" w:cs="宋体"/>
                      <w:b/>
                      <w:bCs/>
                      <w:kern w:val="0"/>
                      <w:sz w:val="24"/>
                      <w:highlight w:val="none"/>
                    </w:rPr>
                    <w:t>建筑业</w:t>
                  </w:r>
                </w:p>
              </w:tc>
            </w:tr>
          </w:tbl>
          <w:p w14:paraId="2862121D">
            <w:pPr>
              <w:shd w:val="clear" w:color="auto" w:fill="FFFFFF"/>
              <w:jc w:val="left"/>
              <w:rPr>
                <w:rFonts w:ascii="宋体" w:hAnsi="宋体" w:cs="宋体"/>
                <w:sz w:val="24"/>
                <w:highlight w:val="none"/>
              </w:rPr>
            </w:pPr>
          </w:p>
        </w:tc>
      </w:tr>
      <w:tr w14:paraId="2910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2" w:type="dxa"/>
            <w:vAlign w:val="center"/>
          </w:tcPr>
          <w:p w14:paraId="100C7A60">
            <w:pPr>
              <w:pStyle w:val="44"/>
              <w:shd w:val="clear" w:color="auto" w:fill="FFFFFF"/>
              <w:adjustRightInd w:val="0"/>
              <w:snapToGrid w:val="0"/>
              <w:jc w:val="center"/>
              <w:rPr>
                <w:rFonts w:hint="default" w:hAnsi="宋体" w:cs="宋体"/>
                <w:sz w:val="24"/>
                <w:szCs w:val="24"/>
                <w:highlight w:val="none"/>
              </w:rPr>
            </w:pPr>
            <w:r>
              <w:rPr>
                <w:rFonts w:hAnsi="宋体" w:cs="宋体"/>
                <w:sz w:val="24"/>
                <w:szCs w:val="24"/>
                <w:highlight w:val="none"/>
              </w:rPr>
              <w:t>10.2</w:t>
            </w:r>
          </w:p>
        </w:tc>
        <w:tc>
          <w:tcPr>
            <w:tcW w:w="1588" w:type="dxa"/>
            <w:vAlign w:val="center"/>
          </w:tcPr>
          <w:p w14:paraId="34D78926">
            <w:pPr>
              <w:shd w:val="clear" w:color="auto" w:fill="FFFFFF"/>
              <w:jc w:val="center"/>
              <w:rPr>
                <w:rFonts w:ascii="宋体" w:hAnsi="宋体" w:cs="宋体"/>
                <w:sz w:val="24"/>
                <w:highlight w:val="none"/>
              </w:rPr>
            </w:pPr>
            <w:r>
              <w:rPr>
                <w:rFonts w:hint="eastAsia" w:ascii="宋体" w:hAnsi="宋体" w:cs="宋体"/>
                <w:sz w:val="24"/>
                <w:highlight w:val="none"/>
              </w:rPr>
              <w:t>报价</w:t>
            </w:r>
          </w:p>
        </w:tc>
        <w:tc>
          <w:tcPr>
            <w:tcW w:w="6719" w:type="dxa"/>
            <w:vAlign w:val="center"/>
          </w:tcPr>
          <w:p w14:paraId="5900AB57">
            <w:pPr>
              <w:shd w:val="clear" w:color="auto" w:fill="FFFFFF"/>
              <w:jc w:val="left"/>
              <w:rPr>
                <w:rFonts w:ascii="宋体" w:hAnsi="宋体" w:cs="宋体"/>
                <w:sz w:val="24"/>
                <w:highlight w:val="none"/>
              </w:rPr>
            </w:pPr>
            <w:r>
              <w:rPr>
                <w:rFonts w:hint="eastAsia" w:ascii="宋体" w:hAnsi="宋体" w:cs="宋体"/>
                <w:sz w:val="24"/>
                <w:highlight w:val="none"/>
              </w:rPr>
              <w:t>报价的特殊规定：</w:t>
            </w:r>
          </w:p>
          <w:p w14:paraId="26B7A663">
            <w:pPr>
              <w:shd w:val="clear" w:color="auto" w:fill="FFFFFF"/>
              <w:jc w:val="left"/>
              <w:rPr>
                <w:rFonts w:ascii="宋体" w:hAnsi="宋体" w:cs="宋体"/>
                <w:sz w:val="24"/>
                <w:highlight w:val="none"/>
              </w:rPr>
            </w:pPr>
            <w:r>
              <w:rPr>
                <w:rFonts w:hint="eastAsia" w:ascii="宋体" w:hAnsi="宋体" w:cs="宋体"/>
                <w:b/>
                <w:color w:val="000000"/>
                <w:sz w:val="24"/>
                <w:highlight w:val="none"/>
              </w:rPr>
              <w:t>■</w:t>
            </w:r>
            <w:r>
              <w:rPr>
                <w:rFonts w:hint="eastAsia" w:ascii="宋体" w:hAnsi="宋体" w:cs="宋体"/>
                <w:sz w:val="24"/>
                <w:highlight w:val="none"/>
              </w:rPr>
              <w:t>无</w:t>
            </w:r>
          </w:p>
          <w:p w14:paraId="2D3F8E04">
            <w:pPr>
              <w:shd w:val="clear" w:color="auto" w:fill="FFFFFF"/>
              <w:jc w:val="left"/>
              <w:rPr>
                <w:rFonts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有，具体情形：___________。</w:t>
            </w:r>
          </w:p>
        </w:tc>
      </w:tr>
      <w:tr w14:paraId="5361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Align w:val="center"/>
          </w:tcPr>
          <w:p w14:paraId="15ED4009">
            <w:pPr>
              <w:pStyle w:val="44"/>
              <w:shd w:val="clear" w:color="auto" w:fill="FFFFFF"/>
              <w:adjustRightInd w:val="0"/>
              <w:snapToGrid w:val="0"/>
              <w:jc w:val="center"/>
              <w:rPr>
                <w:rFonts w:hint="default" w:hAnsi="宋体" w:cs="宋体"/>
                <w:sz w:val="24"/>
                <w:szCs w:val="24"/>
                <w:highlight w:val="none"/>
              </w:rPr>
            </w:pPr>
            <w:r>
              <w:rPr>
                <w:rFonts w:hAnsi="宋体" w:cs="宋体"/>
                <w:sz w:val="24"/>
                <w:szCs w:val="24"/>
                <w:highlight w:val="none"/>
              </w:rPr>
              <w:t>11.1</w:t>
            </w:r>
          </w:p>
        </w:tc>
        <w:tc>
          <w:tcPr>
            <w:tcW w:w="1588" w:type="dxa"/>
            <w:vMerge w:val="restart"/>
            <w:vAlign w:val="center"/>
          </w:tcPr>
          <w:p w14:paraId="1EB6D203">
            <w:pPr>
              <w:shd w:val="clear" w:color="auto" w:fill="FFFFFF"/>
              <w:jc w:val="center"/>
              <w:rPr>
                <w:rFonts w:ascii="宋体" w:hAnsi="宋体" w:cs="宋体"/>
                <w:sz w:val="24"/>
                <w:highlight w:val="none"/>
              </w:rPr>
            </w:pPr>
            <w:r>
              <w:rPr>
                <w:rFonts w:hint="eastAsia" w:ascii="宋体" w:hAnsi="宋体" w:cs="宋体"/>
                <w:sz w:val="24"/>
                <w:highlight w:val="none"/>
              </w:rPr>
              <w:t>磋商保证金</w:t>
            </w:r>
          </w:p>
        </w:tc>
        <w:tc>
          <w:tcPr>
            <w:tcW w:w="6719" w:type="dxa"/>
            <w:vAlign w:val="center"/>
          </w:tcPr>
          <w:p w14:paraId="614BB682">
            <w:pPr>
              <w:pStyle w:val="44"/>
              <w:adjustRightInd w:val="0"/>
              <w:snapToGrid w:val="0"/>
              <w:rPr>
                <w:rFonts w:hint="default" w:hAnsi="宋体" w:cs="宋体"/>
                <w:sz w:val="24"/>
                <w:szCs w:val="24"/>
                <w:highlight w:val="none"/>
              </w:rPr>
            </w:pPr>
            <w:r>
              <w:rPr>
                <w:rFonts w:hAnsi="宋体" w:cs="宋体"/>
                <w:sz w:val="24"/>
                <w:szCs w:val="24"/>
                <w:highlight w:val="none"/>
              </w:rPr>
              <w:t>磋商保证金金额：</w:t>
            </w:r>
            <w:r>
              <w:rPr>
                <w:rFonts w:hint="default" w:hAnsi="宋体" w:cs="宋体"/>
                <w:sz w:val="24"/>
                <w:szCs w:val="24"/>
                <w:highlight w:val="none"/>
                <w:u w:val="single"/>
              </w:rPr>
              <w:t>3</w:t>
            </w:r>
            <w:r>
              <w:rPr>
                <w:rFonts w:hAnsi="宋体" w:cs="宋体"/>
                <w:sz w:val="24"/>
                <w:szCs w:val="24"/>
                <w:highlight w:val="none"/>
                <w:u w:val="single"/>
              </w:rPr>
              <w:t>000元</w:t>
            </w:r>
            <w:r>
              <w:rPr>
                <w:rFonts w:hAnsi="宋体" w:cs="宋体"/>
                <w:sz w:val="24"/>
                <w:szCs w:val="24"/>
                <w:highlight w:val="none"/>
              </w:rPr>
              <w:t>；</w:t>
            </w:r>
          </w:p>
          <w:p w14:paraId="4DB35B08">
            <w:pPr>
              <w:jc w:val="left"/>
              <w:rPr>
                <w:rFonts w:ascii="宋体" w:hAnsi="宋体" w:cs="宋体"/>
                <w:sz w:val="24"/>
                <w:highlight w:val="none"/>
              </w:rPr>
            </w:pPr>
            <w:r>
              <w:rPr>
                <w:rFonts w:hint="eastAsia" w:ascii="宋体" w:hAnsi="宋体" w:cs="宋体"/>
                <w:sz w:val="24"/>
                <w:highlight w:val="none"/>
              </w:rPr>
              <w:t>磋商保证金收受人信息：</w:t>
            </w:r>
          </w:p>
          <w:p w14:paraId="28571745">
            <w:pPr>
              <w:jc w:val="left"/>
              <w:rPr>
                <w:rFonts w:ascii="宋体" w:hAnsi="宋体" w:cs="宋体"/>
                <w:sz w:val="24"/>
                <w:highlight w:val="none"/>
                <w:u w:val="single"/>
              </w:rPr>
            </w:pPr>
            <w:r>
              <w:rPr>
                <w:rFonts w:hint="eastAsia" w:ascii="宋体" w:hAnsi="宋体" w:cs="宋体"/>
                <w:sz w:val="24"/>
                <w:highlight w:val="none"/>
                <w:u w:val="single"/>
              </w:rPr>
              <w:t>开户行名称：华采招标集团有限公司</w:t>
            </w:r>
          </w:p>
          <w:p w14:paraId="0C1F671A">
            <w:pPr>
              <w:jc w:val="left"/>
              <w:rPr>
                <w:rFonts w:ascii="宋体" w:hAnsi="宋体" w:cs="宋体"/>
                <w:sz w:val="24"/>
                <w:highlight w:val="none"/>
                <w:u w:val="single"/>
              </w:rPr>
            </w:pPr>
            <w:r>
              <w:rPr>
                <w:rFonts w:hint="eastAsia" w:ascii="宋体" w:hAnsi="宋体" w:cs="宋体"/>
                <w:sz w:val="24"/>
                <w:highlight w:val="none"/>
                <w:u w:val="single"/>
              </w:rPr>
              <w:t>开 户 行：建行北京西客站支行</w:t>
            </w:r>
          </w:p>
          <w:p w14:paraId="73E98488">
            <w:pPr>
              <w:rPr>
                <w:rFonts w:ascii="宋体" w:hAnsi="宋体" w:cs="宋体"/>
                <w:b/>
                <w:sz w:val="24"/>
                <w:highlight w:val="none"/>
                <w:u w:val="single"/>
              </w:rPr>
            </w:pPr>
            <w:r>
              <w:rPr>
                <w:rFonts w:hint="eastAsia" w:ascii="宋体" w:hAnsi="宋体" w:cs="宋体"/>
                <w:sz w:val="24"/>
                <w:highlight w:val="none"/>
                <w:u w:val="single"/>
              </w:rPr>
              <w:t>账    号：1105 0165 5100 0000 0292</w:t>
            </w:r>
            <w:r>
              <w:rPr>
                <w:rFonts w:hint="eastAsia" w:ascii="宋体" w:hAnsi="宋体" w:cs="宋体"/>
                <w:b/>
                <w:sz w:val="24"/>
                <w:highlight w:val="none"/>
                <w:u w:val="single"/>
              </w:rPr>
              <w:t>（交纳保证金时请备注项目代理编号后四位）</w:t>
            </w:r>
          </w:p>
          <w:p w14:paraId="7168894E">
            <w:pPr>
              <w:pStyle w:val="44"/>
              <w:shd w:val="clear" w:color="auto" w:fill="FFFFFF"/>
              <w:adjustRightInd w:val="0"/>
              <w:snapToGrid w:val="0"/>
              <w:rPr>
                <w:rFonts w:hint="default" w:hAnsi="宋体" w:cs="宋体"/>
                <w:color w:val="000000"/>
                <w:sz w:val="24"/>
                <w:highlight w:val="none"/>
              </w:rPr>
            </w:pPr>
            <w:r>
              <w:rPr>
                <w:rFonts w:hAnsi="宋体" w:cs="宋体"/>
                <w:sz w:val="24"/>
                <w:highlight w:val="none"/>
                <w:u w:val="single"/>
              </w:rPr>
              <w:t xml:space="preserve">行    号：1051 0000 9047 </w:t>
            </w:r>
            <w:r>
              <w:rPr>
                <w:rFonts w:hAnsi="宋体" w:cs="宋体"/>
                <w:sz w:val="24"/>
                <w:highlight w:val="none"/>
              </w:rPr>
              <w:t>。</w:t>
            </w:r>
          </w:p>
        </w:tc>
      </w:tr>
      <w:tr w14:paraId="2873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Align w:val="center"/>
          </w:tcPr>
          <w:p w14:paraId="1822F1D7">
            <w:pPr>
              <w:pStyle w:val="44"/>
              <w:shd w:val="clear" w:color="auto" w:fill="FFFFFF"/>
              <w:adjustRightInd w:val="0"/>
              <w:snapToGrid w:val="0"/>
              <w:jc w:val="center"/>
              <w:rPr>
                <w:rFonts w:hint="default" w:hAnsi="宋体" w:cs="宋体"/>
                <w:sz w:val="24"/>
                <w:szCs w:val="24"/>
                <w:highlight w:val="none"/>
              </w:rPr>
            </w:pPr>
            <w:r>
              <w:rPr>
                <w:rFonts w:hAnsi="宋体" w:cs="宋体"/>
                <w:sz w:val="24"/>
                <w:szCs w:val="24"/>
                <w:highlight w:val="none"/>
              </w:rPr>
              <w:t>11.8.5</w:t>
            </w:r>
          </w:p>
        </w:tc>
        <w:tc>
          <w:tcPr>
            <w:tcW w:w="1588" w:type="dxa"/>
            <w:vMerge w:val="continue"/>
            <w:vAlign w:val="center"/>
          </w:tcPr>
          <w:p w14:paraId="26EFF8FC">
            <w:pPr>
              <w:shd w:val="clear" w:color="auto" w:fill="FFFFFF"/>
              <w:jc w:val="center"/>
              <w:rPr>
                <w:rFonts w:ascii="宋体" w:hAnsi="宋体" w:cs="宋体"/>
                <w:sz w:val="24"/>
                <w:highlight w:val="none"/>
              </w:rPr>
            </w:pPr>
          </w:p>
        </w:tc>
        <w:tc>
          <w:tcPr>
            <w:tcW w:w="6719" w:type="dxa"/>
            <w:vAlign w:val="center"/>
          </w:tcPr>
          <w:p w14:paraId="10E12568">
            <w:pPr>
              <w:shd w:val="clear" w:color="auto" w:fill="FFFFFF"/>
              <w:jc w:val="left"/>
              <w:rPr>
                <w:rFonts w:ascii="宋体" w:hAnsi="宋体" w:cs="宋体"/>
                <w:sz w:val="24"/>
                <w:highlight w:val="none"/>
              </w:rPr>
            </w:pPr>
            <w:r>
              <w:rPr>
                <w:rFonts w:hint="eastAsia" w:ascii="宋体" w:hAnsi="宋体" w:cs="宋体"/>
                <w:sz w:val="24"/>
                <w:highlight w:val="none"/>
              </w:rPr>
              <w:t>磋商保证金不予退还的其他情形：</w:t>
            </w:r>
          </w:p>
          <w:p w14:paraId="2708078A">
            <w:pPr>
              <w:shd w:val="clear" w:color="auto" w:fill="FFFFFF"/>
              <w:jc w:val="left"/>
              <w:rPr>
                <w:rFonts w:ascii="宋体" w:hAnsi="宋体" w:cs="宋体"/>
                <w:sz w:val="24"/>
                <w:highlight w:val="none"/>
              </w:rPr>
            </w:pPr>
            <w:r>
              <w:rPr>
                <w:rFonts w:hint="eastAsia" w:ascii="宋体" w:hAnsi="宋体" w:cs="宋体"/>
                <w:b/>
                <w:color w:val="000000"/>
                <w:sz w:val="24"/>
                <w:highlight w:val="none"/>
              </w:rPr>
              <w:t>■</w:t>
            </w:r>
            <w:r>
              <w:rPr>
                <w:rFonts w:hint="eastAsia" w:ascii="宋体" w:hAnsi="宋体" w:cs="宋体"/>
                <w:sz w:val="24"/>
                <w:highlight w:val="none"/>
              </w:rPr>
              <w:t>无</w:t>
            </w:r>
            <w:bookmarkStart w:id="1901" w:name="_GoBack"/>
            <w:bookmarkEnd w:id="1901"/>
          </w:p>
          <w:p w14:paraId="2F3B0877">
            <w:pPr>
              <w:jc w:val="left"/>
              <w:rPr>
                <w:rFonts w:hAnsi="宋体" w:cs="宋体"/>
                <w:sz w:val="24"/>
                <w:highlight w:val="none"/>
              </w:rPr>
            </w:pPr>
            <w:r>
              <w:rPr>
                <w:rFonts w:hint="eastAsia" w:ascii="宋体" w:hAnsi="宋体" w:cs="宋体"/>
                <w:highlight w:val="none"/>
              </w:rPr>
              <w:t>□</w:t>
            </w:r>
            <w:r>
              <w:rPr>
                <w:rFonts w:hAnsi="宋体" w:cs="宋体"/>
                <w:sz w:val="24"/>
                <w:highlight w:val="none"/>
              </w:rPr>
              <w:t>有，具体情形：</w:t>
            </w:r>
          </w:p>
          <w:p w14:paraId="6002004E">
            <w:pPr>
              <w:jc w:val="left"/>
              <w:rPr>
                <w:rFonts w:ascii="宋体" w:hAnsi="宋体" w:cs="宋体"/>
                <w:color w:val="000000"/>
                <w:sz w:val="24"/>
                <w:highlight w:val="none"/>
              </w:rPr>
            </w:pPr>
            <w:r>
              <w:rPr>
                <w:rFonts w:ascii="宋体" w:hAnsi="宋体" w:cs="宋体"/>
                <w:color w:val="000000"/>
                <w:sz w:val="24"/>
                <w:highlight w:val="none"/>
              </w:rPr>
              <w:t>（1）供应商在提交响应文件截止时间后撤回响应文件的；</w:t>
            </w:r>
          </w:p>
          <w:p w14:paraId="75ED68FD">
            <w:pPr>
              <w:jc w:val="left"/>
              <w:rPr>
                <w:rFonts w:ascii="宋体" w:hAnsi="宋体" w:cs="宋体"/>
                <w:color w:val="000000"/>
                <w:sz w:val="24"/>
                <w:highlight w:val="none"/>
              </w:rPr>
            </w:pPr>
            <w:r>
              <w:rPr>
                <w:rFonts w:ascii="宋体" w:hAnsi="宋体" w:cs="宋体"/>
                <w:color w:val="000000"/>
                <w:sz w:val="24"/>
                <w:highlight w:val="none"/>
              </w:rPr>
              <w:t>（2</w:t>
            </w:r>
            <w:r>
              <w:rPr>
                <w:rFonts w:hint="eastAsia" w:ascii="宋体" w:hAnsi="宋体" w:cs="宋体"/>
                <w:color w:val="000000"/>
                <w:sz w:val="24"/>
                <w:highlight w:val="none"/>
              </w:rPr>
              <w:t>）</w:t>
            </w:r>
            <w:r>
              <w:rPr>
                <w:rFonts w:ascii="宋体" w:hAnsi="宋体" w:cs="宋体"/>
                <w:color w:val="000000"/>
                <w:sz w:val="24"/>
                <w:highlight w:val="none"/>
              </w:rPr>
              <w:t>供应商在响应文件中提供虚假材料的；</w:t>
            </w:r>
          </w:p>
          <w:p w14:paraId="507BB1F9">
            <w:pPr>
              <w:jc w:val="left"/>
              <w:rPr>
                <w:rFonts w:ascii="宋体" w:hAnsi="宋体" w:cs="宋体"/>
                <w:color w:val="000000"/>
                <w:sz w:val="24"/>
                <w:highlight w:val="none"/>
              </w:rPr>
            </w:pPr>
            <w:r>
              <w:rPr>
                <w:rFonts w:ascii="宋体" w:hAnsi="宋体" w:cs="宋体"/>
                <w:color w:val="000000"/>
                <w:sz w:val="24"/>
                <w:highlight w:val="none"/>
              </w:rPr>
              <w:t>（3）除因不可抗力或磋商文件认可的情形以外，成交供应商不与采购人签订合同的；</w:t>
            </w:r>
          </w:p>
          <w:p w14:paraId="39457CE5">
            <w:pPr>
              <w:jc w:val="left"/>
              <w:rPr>
                <w:rFonts w:ascii="宋体" w:hAnsi="宋体" w:cs="宋体"/>
                <w:color w:val="000000"/>
                <w:sz w:val="24"/>
                <w:highlight w:val="none"/>
              </w:rPr>
            </w:pPr>
            <w:r>
              <w:rPr>
                <w:rFonts w:ascii="宋体" w:hAnsi="宋体" w:cs="宋体"/>
                <w:color w:val="000000"/>
                <w:sz w:val="24"/>
                <w:highlight w:val="none"/>
              </w:rPr>
              <w:t>（4）供应商与采购人、其他供应商或者采购代理机构恶意串通的；</w:t>
            </w:r>
          </w:p>
          <w:p w14:paraId="72B1174D">
            <w:pPr>
              <w:pStyle w:val="44"/>
              <w:shd w:val="clear" w:color="auto" w:fill="FFFFFF"/>
              <w:adjustRightInd w:val="0"/>
              <w:snapToGrid w:val="0"/>
              <w:rPr>
                <w:rFonts w:hint="default" w:hAnsi="宋体" w:cs="宋体"/>
                <w:sz w:val="24"/>
                <w:szCs w:val="24"/>
                <w:highlight w:val="none"/>
              </w:rPr>
            </w:pPr>
            <w:r>
              <w:rPr>
                <w:rFonts w:hAnsi="宋体" w:cs="宋体"/>
                <w:color w:val="000000"/>
                <w:sz w:val="24"/>
                <w:szCs w:val="24"/>
                <w:highlight w:val="none"/>
              </w:rPr>
              <w:t>（5）成交供应商不按本须知第25条的规定缴纳代理费的</w:t>
            </w:r>
            <w:r>
              <w:rPr>
                <w:rFonts w:hAnsi="宋体" w:cs="宋体"/>
                <w:spacing w:val="3"/>
                <w:sz w:val="24"/>
                <w:szCs w:val="24"/>
                <w:highlight w:val="none"/>
              </w:rPr>
              <w:t>。</w:t>
            </w:r>
          </w:p>
        </w:tc>
      </w:tr>
      <w:tr w14:paraId="1ADF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2" w:type="dxa"/>
            <w:vAlign w:val="center"/>
          </w:tcPr>
          <w:p w14:paraId="019B811E">
            <w:pPr>
              <w:pStyle w:val="44"/>
              <w:shd w:val="clear" w:color="auto" w:fill="FFFFFF"/>
              <w:adjustRightInd w:val="0"/>
              <w:snapToGrid w:val="0"/>
              <w:jc w:val="center"/>
              <w:rPr>
                <w:rFonts w:hint="default" w:hAnsi="宋体" w:cs="宋体"/>
                <w:sz w:val="24"/>
                <w:szCs w:val="24"/>
                <w:highlight w:val="none"/>
              </w:rPr>
            </w:pPr>
            <w:r>
              <w:rPr>
                <w:rFonts w:hAnsi="宋体" w:cs="宋体"/>
                <w:sz w:val="24"/>
                <w:szCs w:val="24"/>
                <w:highlight w:val="none"/>
              </w:rPr>
              <w:t>12.1</w:t>
            </w:r>
          </w:p>
        </w:tc>
        <w:tc>
          <w:tcPr>
            <w:tcW w:w="1588" w:type="dxa"/>
            <w:vAlign w:val="center"/>
          </w:tcPr>
          <w:p w14:paraId="624390AE">
            <w:pPr>
              <w:shd w:val="clear" w:color="auto" w:fill="FFFFFF"/>
              <w:jc w:val="center"/>
              <w:rPr>
                <w:rFonts w:ascii="宋体" w:hAnsi="宋体" w:cs="宋体"/>
                <w:sz w:val="24"/>
                <w:highlight w:val="none"/>
              </w:rPr>
            </w:pPr>
            <w:r>
              <w:rPr>
                <w:rFonts w:hint="eastAsia" w:ascii="宋体" w:hAnsi="宋体" w:cs="宋体"/>
                <w:sz w:val="24"/>
                <w:highlight w:val="none"/>
              </w:rPr>
              <w:t>响应有效期</w:t>
            </w:r>
          </w:p>
        </w:tc>
        <w:tc>
          <w:tcPr>
            <w:tcW w:w="6719" w:type="dxa"/>
            <w:vAlign w:val="center"/>
          </w:tcPr>
          <w:p w14:paraId="5C6AFDC6">
            <w:pPr>
              <w:shd w:val="clear" w:color="auto" w:fill="FFFFFF"/>
              <w:jc w:val="left"/>
              <w:rPr>
                <w:rFonts w:ascii="宋体" w:hAnsi="宋体" w:cs="宋体"/>
                <w:sz w:val="24"/>
                <w:highlight w:val="none"/>
              </w:rPr>
            </w:pPr>
            <w:r>
              <w:rPr>
                <w:rFonts w:hint="eastAsia" w:ascii="宋体" w:hAnsi="宋体" w:cs="宋体"/>
                <w:sz w:val="24"/>
                <w:highlight w:val="none"/>
              </w:rPr>
              <w:t>自提交响应文件的截止之日起算</w:t>
            </w:r>
            <w:r>
              <w:rPr>
                <w:rFonts w:hint="eastAsia" w:ascii="宋体" w:hAnsi="宋体" w:cs="宋体"/>
                <w:sz w:val="24"/>
                <w:highlight w:val="none"/>
                <w:u w:val="single"/>
              </w:rPr>
              <w:t xml:space="preserve"> 90 </w:t>
            </w:r>
            <w:r>
              <w:rPr>
                <w:rFonts w:hint="eastAsia" w:ascii="宋体" w:hAnsi="宋体" w:cs="宋体"/>
                <w:sz w:val="24"/>
                <w:highlight w:val="none"/>
              </w:rPr>
              <w:t>日历天。</w:t>
            </w:r>
          </w:p>
        </w:tc>
      </w:tr>
      <w:tr w14:paraId="0326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Align w:val="center"/>
          </w:tcPr>
          <w:p w14:paraId="4C951063">
            <w:pPr>
              <w:pStyle w:val="44"/>
              <w:shd w:val="clear" w:color="auto" w:fill="FFFFFF"/>
              <w:adjustRightInd w:val="0"/>
              <w:snapToGrid w:val="0"/>
              <w:jc w:val="center"/>
              <w:rPr>
                <w:rFonts w:hint="default" w:hAnsi="宋体" w:cs="宋体"/>
                <w:sz w:val="24"/>
                <w:szCs w:val="24"/>
                <w:highlight w:val="none"/>
              </w:rPr>
            </w:pPr>
            <w:r>
              <w:rPr>
                <w:rFonts w:hAnsi="宋体" w:cs="宋体"/>
                <w:sz w:val="24"/>
                <w:szCs w:val="24"/>
                <w:highlight w:val="none"/>
              </w:rPr>
              <w:t>13.1</w:t>
            </w:r>
          </w:p>
        </w:tc>
        <w:tc>
          <w:tcPr>
            <w:tcW w:w="1588" w:type="dxa"/>
            <w:vAlign w:val="center"/>
          </w:tcPr>
          <w:p w14:paraId="4A0B3529">
            <w:pPr>
              <w:shd w:val="clear" w:color="auto" w:fill="FFFFFF"/>
              <w:jc w:val="center"/>
              <w:rPr>
                <w:rFonts w:ascii="宋体" w:hAnsi="宋体" w:cs="宋体"/>
                <w:sz w:val="24"/>
                <w:highlight w:val="none"/>
              </w:rPr>
            </w:pPr>
            <w:r>
              <w:rPr>
                <w:rFonts w:hint="eastAsia" w:ascii="宋体" w:hAnsi="宋体" w:cs="宋体"/>
                <w:sz w:val="24"/>
                <w:highlight w:val="none"/>
              </w:rPr>
              <w:t>响应文件的签署、盖章</w:t>
            </w:r>
          </w:p>
        </w:tc>
        <w:tc>
          <w:tcPr>
            <w:tcW w:w="6719" w:type="dxa"/>
            <w:vAlign w:val="center"/>
          </w:tcPr>
          <w:p w14:paraId="55E6FDC2">
            <w:pPr>
              <w:shd w:val="clear" w:color="auto" w:fill="FFFFFF"/>
              <w:jc w:val="left"/>
              <w:rPr>
                <w:rFonts w:ascii="宋体" w:hAnsi="宋体" w:cs="宋体"/>
                <w:b/>
                <w:color w:val="000000"/>
                <w:sz w:val="24"/>
                <w:highlight w:val="none"/>
              </w:rPr>
            </w:pPr>
            <w:r>
              <w:rPr>
                <w:rFonts w:hint="eastAsia" w:ascii="宋体" w:hAnsi="宋体" w:cs="宋体"/>
                <w:color w:val="000000"/>
                <w:sz w:val="24"/>
                <w:highlight w:val="none"/>
                <w:u w:val="single"/>
              </w:rPr>
              <w:t>一份正本、三份副本、一份电子版</w:t>
            </w:r>
            <w:r>
              <w:rPr>
                <w:rFonts w:hint="eastAsia" w:ascii="宋体" w:hAnsi="宋体" w:cs="宋体"/>
                <w:b/>
                <w:color w:val="000000"/>
                <w:sz w:val="24"/>
                <w:highlight w:val="none"/>
              </w:rPr>
              <w:t>（电子文档可编辑word文档和PDF加盖公章扫描版文档，须与投标文件正本中的所有文字、图片等内容一致）。</w:t>
            </w:r>
          </w:p>
          <w:p w14:paraId="58793798">
            <w:pPr>
              <w:shd w:val="clear" w:color="auto" w:fill="FFFFFF"/>
              <w:jc w:val="left"/>
              <w:rPr>
                <w:rFonts w:ascii="宋体" w:hAnsi="宋体" w:cs="宋体"/>
                <w:sz w:val="24"/>
                <w:highlight w:val="none"/>
              </w:rPr>
            </w:pPr>
            <w:r>
              <w:rPr>
                <w:rFonts w:hAnsi="宋体"/>
                <w:sz w:val="24"/>
                <w:highlight w:val="none"/>
              </w:rPr>
              <w:t>注：每本响应文件一律采用A4纸（图纸、彩页等除外）左侧装订并附有相关页码。装订应牢固可靠，不易散落，不得采用活页式装订，采购人或采购代理机构对因装订不牢造成的文件散失不负责任。</w:t>
            </w:r>
          </w:p>
        </w:tc>
      </w:tr>
      <w:tr w14:paraId="7CB5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Align w:val="center"/>
          </w:tcPr>
          <w:p w14:paraId="126B0425">
            <w:pPr>
              <w:pStyle w:val="44"/>
              <w:shd w:val="clear" w:color="auto" w:fill="FFFFFF"/>
              <w:adjustRightInd w:val="0"/>
              <w:snapToGrid w:val="0"/>
              <w:jc w:val="center"/>
              <w:rPr>
                <w:rFonts w:hint="default" w:hAnsi="宋体" w:cs="宋体"/>
                <w:sz w:val="24"/>
                <w:szCs w:val="24"/>
                <w:highlight w:val="none"/>
              </w:rPr>
            </w:pPr>
            <w:r>
              <w:rPr>
                <w:rFonts w:hAnsi="宋体" w:cs="宋体"/>
                <w:sz w:val="24"/>
                <w:szCs w:val="24"/>
                <w:highlight w:val="none"/>
              </w:rPr>
              <w:t>20.1</w:t>
            </w:r>
          </w:p>
        </w:tc>
        <w:tc>
          <w:tcPr>
            <w:tcW w:w="1588" w:type="dxa"/>
            <w:vAlign w:val="center"/>
          </w:tcPr>
          <w:p w14:paraId="7694EA2C">
            <w:pPr>
              <w:shd w:val="clear" w:color="auto" w:fill="FFFFFF"/>
              <w:jc w:val="center"/>
              <w:rPr>
                <w:rFonts w:ascii="宋体" w:hAnsi="宋体" w:cs="宋体"/>
                <w:sz w:val="24"/>
                <w:highlight w:val="none"/>
              </w:rPr>
            </w:pPr>
            <w:r>
              <w:rPr>
                <w:rFonts w:hint="eastAsia" w:ascii="宋体" w:hAnsi="宋体" w:cs="宋体"/>
                <w:sz w:val="24"/>
                <w:highlight w:val="none"/>
              </w:rPr>
              <w:t>确定成交供应商</w:t>
            </w:r>
          </w:p>
        </w:tc>
        <w:tc>
          <w:tcPr>
            <w:tcW w:w="6719" w:type="dxa"/>
            <w:vAlign w:val="center"/>
          </w:tcPr>
          <w:p w14:paraId="49AB0C34">
            <w:pPr>
              <w:pStyle w:val="44"/>
              <w:shd w:val="clear" w:color="auto" w:fill="FFFFFF"/>
              <w:adjustRightInd w:val="0"/>
              <w:snapToGrid w:val="0"/>
              <w:rPr>
                <w:rFonts w:hint="default" w:hAnsi="宋体" w:cs="宋体"/>
                <w:sz w:val="24"/>
                <w:highlight w:val="none"/>
              </w:rPr>
            </w:pPr>
            <w:r>
              <w:rPr>
                <w:rFonts w:hAnsi="宋体" w:cs="宋体"/>
                <w:sz w:val="24"/>
                <w:highlight w:val="none"/>
              </w:rPr>
              <w:t>采购人是否</w:t>
            </w:r>
            <w:r>
              <w:rPr>
                <w:rFonts w:hAnsi="宋体" w:cs="宋体"/>
                <w:color w:val="000000"/>
                <w:sz w:val="24"/>
                <w:highlight w:val="none"/>
              </w:rPr>
              <w:t>授权磋商小组直接确定成交供应商</w:t>
            </w:r>
            <w:r>
              <w:rPr>
                <w:rFonts w:hAnsi="宋体" w:cs="宋体"/>
                <w:sz w:val="24"/>
                <w:highlight w:val="none"/>
              </w:rPr>
              <w:t>：</w:t>
            </w:r>
          </w:p>
          <w:p w14:paraId="3DB8997F">
            <w:pPr>
              <w:pStyle w:val="44"/>
              <w:shd w:val="clear" w:color="auto" w:fill="FFFFFF"/>
              <w:adjustRightInd w:val="0"/>
              <w:snapToGrid w:val="0"/>
              <w:rPr>
                <w:rFonts w:hint="default" w:hAnsi="宋体" w:cs="宋体"/>
                <w:sz w:val="24"/>
                <w:highlight w:val="none"/>
              </w:rPr>
            </w:pPr>
            <w:r>
              <w:rPr>
                <w:rFonts w:hAnsi="宋体" w:cs="宋体"/>
                <w:b/>
                <w:color w:val="000000"/>
                <w:sz w:val="24"/>
                <w:highlight w:val="none"/>
              </w:rPr>
              <w:t>■</w:t>
            </w:r>
            <w:r>
              <w:rPr>
                <w:rFonts w:hAnsi="宋体" w:cs="宋体"/>
                <w:sz w:val="24"/>
                <w:highlight w:val="none"/>
              </w:rPr>
              <w:t>否</w:t>
            </w:r>
          </w:p>
          <w:p w14:paraId="61E3F1AB">
            <w:pPr>
              <w:shd w:val="clear" w:color="auto" w:fill="FFFFFF"/>
              <w:jc w:val="left"/>
              <w:rPr>
                <w:rFonts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是</w:t>
            </w:r>
          </w:p>
          <w:p w14:paraId="79779BDF">
            <w:pPr>
              <w:shd w:val="clear" w:color="auto" w:fill="FFFFFF"/>
              <w:jc w:val="left"/>
              <w:rPr>
                <w:rFonts w:ascii="宋体" w:hAnsi="宋体" w:cs="宋体"/>
                <w:sz w:val="24"/>
                <w:highlight w:val="none"/>
                <w:u w:val="single"/>
              </w:rPr>
            </w:pPr>
            <w:r>
              <w:rPr>
                <w:rFonts w:hint="eastAsia" w:ascii="宋体" w:hAnsi="宋体" w:cs="宋体"/>
                <w:sz w:val="24"/>
                <w:highlight w:val="none"/>
              </w:rPr>
              <w:t>成交候选人并列的，按照以下方式确定成交供应商：</w:t>
            </w:r>
            <w:r>
              <w:rPr>
                <w:rFonts w:hint="eastAsia" w:ascii="宋体" w:hAnsi="宋体" w:cs="宋体"/>
                <w:sz w:val="24"/>
                <w:highlight w:val="none"/>
                <w:u w:val="single"/>
              </w:rPr>
              <w:t>评审得分相同的，按照最后报价由低到高的顺序推荐。评审得分且最后报价相同的，按照技术指标优劣顺序推荐。</w:t>
            </w:r>
          </w:p>
        </w:tc>
      </w:tr>
      <w:tr w14:paraId="3E4B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Align w:val="center"/>
          </w:tcPr>
          <w:p w14:paraId="02BA3D6F">
            <w:pPr>
              <w:pStyle w:val="44"/>
              <w:shd w:val="clear" w:color="auto" w:fill="FFFFFF"/>
              <w:adjustRightInd w:val="0"/>
              <w:snapToGrid w:val="0"/>
              <w:jc w:val="center"/>
              <w:rPr>
                <w:rFonts w:hint="default" w:hAnsi="宋体" w:cs="宋体"/>
                <w:sz w:val="24"/>
                <w:szCs w:val="24"/>
                <w:highlight w:val="none"/>
              </w:rPr>
            </w:pPr>
            <w:r>
              <w:rPr>
                <w:rFonts w:hAnsi="宋体" w:cs="宋体"/>
                <w:sz w:val="24"/>
                <w:szCs w:val="24"/>
                <w:highlight w:val="none"/>
              </w:rPr>
              <w:t>23.5</w:t>
            </w:r>
          </w:p>
        </w:tc>
        <w:tc>
          <w:tcPr>
            <w:tcW w:w="1588" w:type="dxa"/>
            <w:vAlign w:val="center"/>
          </w:tcPr>
          <w:p w14:paraId="50EC535D">
            <w:pPr>
              <w:shd w:val="clear" w:color="auto" w:fill="FFFFFF"/>
              <w:jc w:val="center"/>
              <w:rPr>
                <w:rFonts w:ascii="宋体" w:hAnsi="宋体" w:cs="宋体"/>
                <w:sz w:val="24"/>
                <w:highlight w:val="none"/>
              </w:rPr>
            </w:pPr>
            <w:r>
              <w:rPr>
                <w:rFonts w:hint="eastAsia" w:ascii="宋体" w:hAnsi="宋体" w:cs="宋体"/>
                <w:sz w:val="24"/>
                <w:highlight w:val="none"/>
              </w:rPr>
              <w:t>分包</w:t>
            </w:r>
          </w:p>
        </w:tc>
        <w:tc>
          <w:tcPr>
            <w:tcW w:w="6719" w:type="dxa"/>
            <w:vAlign w:val="center"/>
          </w:tcPr>
          <w:p w14:paraId="1F50C697">
            <w:pPr>
              <w:shd w:val="clear" w:color="auto" w:fill="FFFFFF"/>
              <w:jc w:val="left"/>
              <w:rPr>
                <w:rFonts w:ascii="宋体" w:hAnsi="宋体" w:cs="宋体"/>
                <w:sz w:val="24"/>
                <w:highlight w:val="none"/>
              </w:rPr>
            </w:pPr>
            <w:r>
              <w:rPr>
                <w:rFonts w:hint="eastAsia" w:ascii="宋体" w:hAnsi="宋体" w:cs="宋体"/>
                <w:sz w:val="24"/>
                <w:highlight w:val="none"/>
              </w:rPr>
              <w:t xml:space="preserve">本项目是否允许分包： </w:t>
            </w:r>
          </w:p>
          <w:p w14:paraId="5BE058F6">
            <w:pPr>
              <w:shd w:val="clear" w:color="auto" w:fill="FFFFFF"/>
              <w:jc w:val="left"/>
              <w:rPr>
                <w:rFonts w:ascii="宋体" w:hAnsi="宋体" w:cs="宋体"/>
                <w:sz w:val="24"/>
                <w:highlight w:val="none"/>
              </w:rPr>
            </w:pPr>
            <w:r>
              <w:rPr>
                <w:rFonts w:hint="eastAsia" w:ascii="宋体" w:hAnsi="宋体" w:cs="宋体"/>
                <w:b/>
                <w:color w:val="000000"/>
                <w:sz w:val="24"/>
                <w:highlight w:val="none"/>
              </w:rPr>
              <w:t>■</w:t>
            </w:r>
            <w:r>
              <w:rPr>
                <w:rFonts w:hint="eastAsia" w:ascii="宋体" w:hAnsi="宋体" w:cs="宋体"/>
                <w:sz w:val="24"/>
                <w:highlight w:val="none"/>
              </w:rPr>
              <w:t>不允许</w:t>
            </w:r>
          </w:p>
          <w:p w14:paraId="6A028A21">
            <w:pPr>
              <w:shd w:val="clear" w:color="auto" w:fill="FFFFFF"/>
              <w:jc w:val="left"/>
              <w:rPr>
                <w:rFonts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允许，具体要求：_______。</w:t>
            </w:r>
          </w:p>
          <w:p w14:paraId="5A0B480F">
            <w:pPr>
              <w:shd w:val="clear" w:color="auto" w:fill="FFFFFF"/>
              <w:jc w:val="left"/>
              <w:rPr>
                <w:rFonts w:ascii="宋体" w:hAnsi="宋体" w:cs="宋体"/>
                <w:sz w:val="24"/>
                <w:highlight w:val="none"/>
              </w:rPr>
            </w:pPr>
            <w:r>
              <w:rPr>
                <w:rFonts w:hint="eastAsia" w:ascii="宋体" w:hAnsi="宋体" w:cs="宋体"/>
                <w:sz w:val="24"/>
                <w:highlight w:val="none"/>
              </w:rPr>
              <w:t>（1）可以分包履行的具体内容：_______；</w:t>
            </w:r>
          </w:p>
          <w:p w14:paraId="360E0034">
            <w:pPr>
              <w:shd w:val="clear" w:color="auto" w:fill="FFFFFF"/>
              <w:jc w:val="left"/>
              <w:rPr>
                <w:rFonts w:ascii="宋体" w:hAnsi="宋体" w:cs="宋体"/>
                <w:sz w:val="24"/>
                <w:highlight w:val="none"/>
              </w:rPr>
            </w:pPr>
            <w:r>
              <w:rPr>
                <w:rFonts w:hint="eastAsia" w:ascii="宋体" w:hAnsi="宋体" w:cs="宋体"/>
                <w:sz w:val="24"/>
                <w:highlight w:val="none"/>
              </w:rPr>
              <w:t>（2）允许分包的金额或者比例：_______；</w:t>
            </w:r>
          </w:p>
          <w:p w14:paraId="669485AC">
            <w:pPr>
              <w:shd w:val="clear" w:color="auto" w:fill="FFFFFF"/>
              <w:jc w:val="left"/>
              <w:rPr>
                <w:rFonts w:ascii="宋体" w:hAnsi="宋体" w:cs="宋体"/>
                <w:sz w:val="24"/>
                <w:highlight w:val="none"/>
                <w:u w:val="single"/>
              </w:rPr>
            </w:pPr>
            <w:r>
              <w:rPr>
                <w:rFonts w:hint="eastAsia" w:ascii="宋体" w:hAnsi="宋体" w:cs="宋体"/>
                <w:sz w:val="24"/>
                <w:highlight w:val="none"/>
              </w:rPr>
              <w:t>（3）其他要求：_______。</w:t>
            </w:r>
          </w:p>
        </w:tc>
      </w:tr>
      <w:tr w14:paraId="4CAE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Align w:val="center"/>
          </w:tcPr>
          <w:p w14:paraId="1CD4C5BC">
            <w:pPr>
              <w:pStyle w:val="44"/>
              <w:shd w:val="clear" w:color="auto" w:fill="FFFFFF"/>
              <w:adjustRightInd w:val="0"/>
              <w:snapToGrid w:val="0"/>
              <w:jc w:val="center"/>
              <w:rPr>
                <w:rFonts w:hint="default" w:hAnsi="宋体" w:cs="宋体"/>
                <w:sz w:val="24"/>
                <w:szCs w:val="24"/>
                <w:highlight w:val="none"/>
              </w:rPr>
            </w:pPr>
            <w:r>
              <w:rPr>
                <w:rFonts w:hAnsi="宋体" w:cs="宋体"/>
                <w:sz w:val="24"/>
                <w:szCs w:val="24"/>
                <w:highlight w:val="none"/>
              </w:rPr>
              <w:t>23.6</w:t>
            </w:r>
          </w:p>
        </w:tc>
        <w:tc>
          <w:tcPr>
            <w:tcW w:w="1588" w:type="dxa"/>
            <w:vAlign w:val="center"/>
          </w:tcPr>
          <w:p w14:paraId="6BCD8338">
            <w:pPr>
              <w:shd w:val="clear" w:color="auto" w:fill="FFFFFF"/>
              <w:jc w:val="center"/>
              <w:rPr>
                <w:rFonts w:ascii="宋体" w:hAnsi="宋体" w:cs="宋体"/>
                <w:sz w:val="24"/>
                <w:highlight w:val="none"/>
              </w:rPr>
            </w:pPr>
            <w:r>
              <w:rPr>
                <w:rFonts w:hint="eastAsia" w:ascii="FZSSK--GBK1-0" w:hAnsi="FZSSK--GBK1-0" w:eastAsia="FZSSK--GBK1-0"/>
                <w:sz w:val="24"/>
                <w:highlight w:val="none"/>
              </w:rPr>
              <w:t>政采贷</w:t>
            </w:r>
          </w:p>
        </w:tc>
        <w:tc>
          <w:tcPr>
            <w:tcW w:w="6719" w:type="dxa"/>
            <w:vAlign w:val="center"/>
          </w:tcPr>
          <w:p w14:paraId="354CEDC9">
            <w:pPr>
              <w:shd w:val="clear" w:color="auto" w:fill="FFFFFF"/>
              <w:jc w:val="left"/>
              <w:rPr>
                <w:rFonts w:ascii="宋体" w:hAnsi="宋体" w:cs="宋体"/>
                <w:sz w:val="24"/>
                <w:highlight w:val="none"/>
              </w:rPr>
            </w:pPr>
            <w:r>
              <w:rPr>
                <w:rFonts w:hint="eastAsia" w:ascii="宋体" w:hAnsi="宋体" w:cs="宋体"/>
                <w:sz w:val="24"/>
                <w:highlight w:val="none"/>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06A1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Align w:val="center"/>
          </w:tcPr>
          <w:p w14:paraId="501437C8">
            <w:pPr>
              <w:pStyle w:val="44"/>
              <w:shd w:val="clear" w:color="auto" w:fill="FFFFFF"/>
              <w:adjustRightInd w:val="0"/>
              <w:snapToGrid w:val="0"/>
              <w:jc w:val="center"/>
              <w:rPr>
                <w:rFonts w:hint="default" w:hAnsi="宋体" w:cs="宋体"/>
                <w:sz w:val="24"/>
                <w:szCs w:val="24"/>
                <w:highlight w:val="none"/>
              </w:rPr>
            </w:pPr>
            <w:r>
              <w:rPr>
                <w:rFonts w:hAnsi="宋体" w:cs="宋体"/>
                <w:sz w:val="24"/>
                <w:szCs w:val="24"/>
                <w:highlight w:val="none"/>
              </w:rPr>
              <w:t>24.1.1</w:t>
            </w:r>
          </w:p>
        </w:tc>
        <w:tc>
          <w:tcPr>
            <w:tcW w:w="1588" w:type="dxa"/>
            <w:vAlign w:val="center"/>
          </w:tcPr>
          <w:p w14:paraId="1404B6FA">
            <w:pPr>
              <w:shd w:val="clear" w:color="auto" w:fill="FFFFFF"/>
              <w:jc w:val="center"/>
              <w:rPr>
                <w:rFonts w:ascii="宋体" w:hAnsi="宋体" w:cs="宋体"/>
                <w:sz w:val="24"/>
                <w:highlight w:val="none"/>
              </w:rPr>
            </w:pPr>
            <w:r>
              <w:rPr>
                <w:rFonts w:hint="eastAsia" w:ascii="宋体" w:hAnsi="宋体" w:cs="宋体"/>
                <w:sz w:val="24"/>
                <w:highlight w:val="none"/>
              </w:rPr>
              <w:t>询问</w:t>
            </w:r>
          </w:p>
        </w:tc>
        <w:tc>
          <w:tcPr>
            <w:tcW w:w="6719" w:type="dxa"/>
            <w:vAlign w:val="center"/>
          </w:tcPr>
          <w:p w14:paraId="13CF2992">
            <w:pPr>
              <w:shd w:val="clear" w:color="auto" w:fill="FFFFFF"/>
              <w:jc w:val="left"/>
              <w:rPr>
                <w:rFonts w:ascii="宋体" w:hAnsi="宋体" w:cs="宋体"/>
                <w:sz w:val="24"/>
                <w:highlight w:val="none"/>
              </w:rPr>
            </w:pPr>
            <w:r>
              <w:rPr>
                <w:rFonts w:hint="eastAsia" w:ascii="宋体" w:hAnsi="宋体" w:cs="宋体"/>
                <w:sz w:val="24"/>
                <w:highlight w:val="none"/>
              </w:rPr>
              <w:t>询问送达形式：原件送达。</w:t>
            </w:r>
          </w:p>
        </w:tc>
      </w:tr>
      <w:tr w14:paraId="3F57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Align w:val="center"/>
          </w:tcPr>
          <w:p w14:paraId="7D0F2890">
            <w:pPr>
              <w:pStyle w:val="44"/>
              <w:shd w:val="clear" w:color="auto" w:fill="FFFFFF"/>
              <w:adjustRightInd w:val="0"/>
              <w:snapToGrid w:val="0"/>
              <w:jc w:val="center"/>
              <w:rPr>
                <w:rFonts w:hint="default" w:hAnsi="宋体" w:cs="宋体"/>
                <w:sz w:val="24"/>
                <w:szCs w:val="24"/>
                <w:highlight w:val="none"/>
              </w:rPr>
            </w:pPr>
            <w:r>
              <w:rPr>
                <w:rFonts w:hAnsi="宋体" w:cs="宋体"/>
                <w:sz w:val="24"/>
                <w:szCs w:val="24"/>
                <w:highlight w:val="none"/>
              </w:rPr>
              <w:t>24.3</w:t>
            </w:r>
          </w:p>
        </w:tc>
        <w:tc>
          <w:tcPr>
            <w:tcW w:w="1588" w:type="dxa"/>
            <w:vAlign w:val="center"/>
          </w:tcPr>
          <w:p w14:paraId="65377EC1">
            <w:pPr>
              <w:shd w:val="clear" w:color="auto" w:fill="FFFFFF"/>
              <w:jc w:val="center"/>
              <w:rPr>
                <w:rFonts w:ascii="宋体" w:hAnsi="宋体" w:cs="宋体"/>
                <w:sz w:val="24"/>
                <w:highlight w:val="none"/>
              </w:rPr>
            </w:pPr>
            <w:r>
              <w:rPr>
                <w:rFonts w:hint="eastAsia" w:ascii="宋体" w:hAnsi="宋体" w:cs="宋体"/>
                <w:sz w:val="24"/>
                <w:highlight w:val="none"/>
              </w:rPr>
              <w:t>联系方式</w:t>
            </w:r>
          </w:p>
        </w:tc>
        <w:tc>
          <w:tcPr>
            <w:tcW w:w="6719" w:type="dxa"/>
            <w:vAlign w:val="center"/>
          </w:tcPr>
          <w:p w14:paraId="51CE8438">
            <w:pPr>
              <w:jc w:val="left"/>
              <w:rPr>
                <w:rFonts w:ascii="宋体" w:hAnsi="宋体" w:cs="宋体"/>
                <w:sz w:val="24"/>
                <w:highlight w:val="none"/>
              </w:rPr>
            </w:pPr>
            <w:r>
              <w:rPr>
                <w:rFonts w:hint="eastAsia" w:ascii="宋体" w:hAnsi="宋体" w:cs="宋体"/>
                <w:sz w:val="24"/>
                <w:highlight w:val="none"/>
              </w:rPr>
              <w:t>接收询问和质疑的联系方式</w:t>
            </w:r>
          </w:p>
          <w:p w14:paraId="48D95200">
            <w:pPr>
              <w:jc w:val="left"/>
              <w:rPr>
                <w:rFonts w:ascii="宋体" w:hAnsi="宋体"/>
                <w:sz w:val="24"/>
                <w:highlight w:val="none"/>
              </w:rPr>
            </w:pPr>
            <w:r>
              <w:rPr>
                <w:rFonts w:hint="eastAsia" w:ascii="宋体" w:hAnsi="宋体" w:cs="宋体"/>
                <w:sz w:val="24"/>
                <w:highlight w:val="none"/>
              </w:rPr>
              <w:t>联系部门：</w:t>
            </w:r>
            <w:r>
              <w:rPr>
                <w:rFonts w:hint="eastAsia" w:ascii="宋体" w:hAnsi="宋体" w:cs="宋体"/>
                <w:sz w:val="24"/>
                <w:highlight w:val="none"/>
                <w:u w:val="single"/>
              </w:rPr>
              <w:t>华采招标集团有限公司</w:t>
            </w:r>
            <w:r>
              <w:rPr>
                <w:rFonts w:ascii="宋体" w:hAnsi="宋体"/>
                <w:sz w:val="24"/>
                <w:highlight w:val="none"/>
              </w:rPr>
              <w:t>；</w:t>
            </w:r>
          </w:p>
          <w:p w14:paraId="3E96ECCF">
            <w:pPr>
              <w:jc w:val="left"/>
              <w:rPr>
                <w:rFonts w:ascii="宋体" w:hAnsi="宋体" w:cs="宋体"/>
                <w:sz w:val="24"/>
                <w:highlight w:val="none"/>
              </w:rPr>
            </w:pPr>
            <w:r>
              <w:rPr>
                <w:rFonts w:ascii="宋体" w:hAnsi="宋体"/>
                <w:sz w:val="24"/>
                <w:highlight w:val="none"/>
              </w:rPr>
              <w:t>联系电话：</w:t>
            </w:r>
            <w:r>
              <w:rPr>
                <w:rFonts w:hint="eastAsia" w:ascii="宋体" w:hAnsi="宋体"/>
                <w:sz w:val="24"/>
                <w:highlight w:val="none"/>
                <w:u w:val="single"/>
              </w:rPr>
              <w:t>贾东敏、姚冲 186-1228-7813/7807</w:t>
            </w:r>
            <w:r>
              <w:rPr>
                <w:rFonts w:hint="eastAsia" w:ascii="宋体" w:hAnsi="宋体" w:cs="宋体"/>
                <w:sz w:val="24"/>
                <w:highlight w:val="none"/>
              </w:rPr>
              <w:t>；</w:t>
            </w:r>
          </w:p>
          <w:p w14:paraId="4350B5CF">
            <w:pPr>
              <w:shd w:val="clear" w:color="auto" w:fill="FFFFFF"/>
              <w:jc w:val="left"/>
              <w:rPr>
                <w:rFonts w:ascii="宋体" w:hAnsi="宋体" w:cs="宋体"/>
                <w:sz w:val="24"/>
                <w:highlight w:val="none"/>
              </w:rPr>
            </w:pPr>
            <w:r>
              <w:rPr>
                <w:rFonts w:hint="eastAsia" w:ascii="宋体" w:hAnsi="宋体" w:cs="宋体"/>
                <w:sz w:val="24"/>
                <w:highlight w:val="none"/>
              </w:rPr>
              <w:t>通讯地址：</w:t>
            </w:r>
            <w:r>
              <w:rPr>
                <w:rFonts w:hint="eastAsia" w:ascii="宋体" w:hAnsi="宋体"/>
                <w:sz w:val="24"/>
                <w:highlight w:val="none"/>
                <w:u w:val="single"/>
              </w:rPr>
              <w:t>北京市丰台区广安路9号国投财富广场6号楼1601室</w:t>
            </w:r>
            <w:r>
              <w:rPr>
                <w:rFonts w:ascii="宋体" w:hAnsi="宋体"/>
                <w:sz w:val="24"/>
                <w:highlight w:val="none"/>
                <w:u w:val="single"/>
              </w:rPr>
              <w:t>。</w:t>
            </w:r>
          </w:p>
        </w:tc>
      </w:tr>
      <w:tr w14:paraId="68A9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Align w:val="center"/>
          </w:tcPr>
          <w:p w14:paraId="25187E42">
            <w:pPr>
              <w:pStyle w:val="44"/>
              <w:shd w:val="clear" w:color="auto" w:fill="FFFFFF"/>
              <w:adjustRightInd w:val="0"/>
              <w:snapToGrid w:val="0"/>
              <w:jc w:val="center"/>
              <w:rPr>
                <w:rFonts w:hint="default" w:hAnsi="宋体" w:cs="宋体"/>
                <w:sz w:val="24"/>
                <w:szCs w:val="24"/>
                <w:highlight w:val="none"/>
              </w:rPr>
            </w:pPr>
            <w:r>
              <w:rPr>
                <w:rFonts w:hAnsi="宋体" w:cs="宋体"/>
                <w:sz w:val="24"/>
                <w:szCs w:val="24"/>
                <w:highlight w:val="none"/>
              </w:rPr>
              <w:t>25</w:t>
            </w:r>
          </w:p>
        </w:tc>
        <w:tc>
          <w:tcPr>
            <w:tcW w:w="1588" w:type="dxa"/>
            <w:vAlign w:val="center"/>
          </w:tcPr>
          <w:p w14:paraId="2A3BB66A">
            <w:pPr>
              <w:shd w:val="clear" w:color="auto" w:fill="FFFFFF"/>
              <w:jc w:val="center"/>
              <w:rPr>
                <w:rFonts w:ascii="宋体" w:hAnsi="宋体" w:cs="宋体"/>
                <w:sz w:val="24"/>
                <w:highlight w:val="none"/>
              </w:rPr>
            </w:pPr>
            <w:r>
              <w:rPr>
                <w:rFonts w:hint="eastAsia" w:ascii="宋体" w:hAnsi="宋体" w:cs="宋体"/>
                <w:sz w:val="24"/>
                <w:highlight w:val="none"/>
              </w:rPr>
              <w:t>代理费</w:t>
            </w:r>
          </w:p>
        </w:tc>
        <w:tc>
          <w:tcPr>
            <w:tcW w:w="6719" w:type="dxa"/>
            <w:vAlign w:val="center"/>
          </w:tcPr>
          <w:p w14:paraId="5242186F">
            <w:pPr>
              <w:shd w:val="clear" w:color="auto" w:fill="FFFFFF"/>
              <w:jc w:val="left"/>
              <w:rPr>
                <w:sz w:val="24"/>
                <w:highlight w:val="none"/>
              </w:rPr>
            </w:pPr>
            <w:r>
              <w:rPr>
                <w:sz w:val="24"/>
                <w:highlight w:val="none"/>
              </w:rPr>
              <w:t>收费对象：</w:t>
            </w:r>
          </w:p>
          <w:p w14:paraId="0970DE07">
            <w:pPr>
              <w:shd w:val="clear" w:color="auto" w:fill="FFFFFF"/>
              <w:jc w:val="left"/>
              <w:rPr>
                <w:rFonts w:ascii="宋体" w:hAnsi="宋体" w:cs="宋体"/>
                <w:sz w:val="24"/>
                <w:highlight w:val="none"/>
              </w:rPr>
            </w:pPr>
            <w:r>
              <w:rPr>
                <w:rFonts w:hint="eastAsia" w:ascii="宋体" w:hAnsi="宋体" w:cs="宋体"/>
                <w:sz w:val="24"/>
                <w:highlight w:val="none"/>
              </w:rPr>
              <w:t>□采购人</w:t>
            </w:r>
          </w:p>
          <w:p w14:paraId="1F8D1671">
            <w:pPr>
              <w:shd w:val="clear" w:color="auto" w:fill="FFFFFF"/>
              <w:jc w:val="left"/>
              <w:rPr>
                <w:rFonts w:ascii="宋体" w:hAnsi="宋体" w:cs="宋体"/>
                <w:sz w:val="24"/>
                <w:highlight w:val="none"/>
              </w:rPr>
            </w:pPr>
            <w:r>
              <w:rPr>
                <w:rFonts w:hint="eastAsia" w:ascii="宋体" w:hAnsi="宋体" w:cs="宋体"/>
                <w:b/>
                <w:color w:val="000000"/>
                <w:sz w:val="24"/>
                <w:highlight w:val="none"/>
              </w:rPr>
              <w:t>■</w:t>
            </w:r>
            <w:r>
              <w:rPr>
                <w:rFonts w:hint="eastAsia" w:ascii="宋体" w:hAnsi="宋体" w:cs="宋体"/>
                <w:sz w:val="24"/>
                <w:highlight w:val="none"/>
              </w:rPr>
              <w:t>成交供应商</w:t>
            </w:r>
          </w:p>
          <w:p w14:paraId="2C1D5C2A">
            <w:pPr>
              <w:jc w:val="left"/>
              <w:rPr>
                <w:rFonts w:ascii="宋体" w:hAnsi="宋体"/>
                <w:sz w:val="24"/>
                <w:highlight w:val="none"/>
              </w:rPr>
            </w:pPr>
            <w:r>
              <w:rPr>
                <w:rFonts w:ascii="宋体" w:hAnsi="宋体"/>
                <w:sz w:val="24"/>
                <w:highlight w:val="none"/>
              </w:rPr>
              <w:t>收费标准：</w:t>
            </w:r>
          </w:p>
          <w:p w14:paraId="3C94DDCF">
            <w:pPr>
              <w:jc w:val="left"/>
              <w:rPr>
                <w:rFonts w:ascii="宋体" w:hAnsi="宋体"/>
                <w:sz w:val="24"/>
                <w:highlight w:val="none"/>
              </w:rPr>
            </w:pPr>
            <w:r>
              <w:rPr>
                <w:rFonts w:hint="eastAsia" w:ascii="宋体" w:hAnsi="宋体"/>
                <w:sz w:val="24"/>
                <w:highlight w:val="none"/>
              </w:rPr>
              <w:t>（1）以中标金额作为收费的计算基数。</w:t>
            </w:r>
          </w:p>
          <w:p w14:paraId="2B7211F9">
            <w:pPr>
              <w:jc w:val="left"/>
              <w:rPr>
                <w:rFonts w:ascii="宋体" w:hAnsi="宋体"/>
                <w:sz w:val="24"/>
                <w:highlight w:val="none"/>
              </w:rPr>
            </w:pPr>
            <w:r>
              <w:rPr>
                <w:rFonts w:hint="eastAsia" w:ascii="宋体" w:hAnsi="宋体"/>
                <w:sz w:val="24"/>
                <w:highlight w:val="none"/>
              </w:rPr>
              <w:t>（2）采购代理机构参照原计价格[2002]1980号文、发改办价格[2003]857号文及发改价格[2011]534号文有关规定向中标人收取中标服务费用。</w:t>
            </w:r>
          </w:p>
          <w:p w14:paraId="742A2B1A">
            <w:pPr>
              <w:jc w:val="left"/>
              <w:rPr>
                <w:rFonts w:ascii="宋体" w:hAnsi="宋体"/>
                <w:sz w:val="24"/>
                <w:highlight w:val="none"/>
              </w:rPr>
            </w:pPr>
            <w:r>
              <w:rPr>
                <w:rFonts w:hint="eastAsia" w:ascii="宋体" w:hAnsi="宋体"/>
                <w:sz w:val="24"/>
                <w:highlight w:val="none"/>
              </w:rPr>
              <w:t>（3）中标服务费币种与中标签订合同的币种相同或采购代理机构同意的币种。</w:t>
            </w:r>
          </w:p>
          <w:p w14:paraId="7F499A22">
            <w:pPr>
              <w:jc w:val="left"/>
              <w:rPr>
                <w:rFonts w:ascii="宋体" w:hAnsi="宋体"/>
                <w:sz w:val="24"/>
                <w:highlight w:val="none"/>
              </w:rPr>
            </w:pPr>
            <w:r>
              <w:rPr>
                <w:rFonts w:hint="eastAsia" w:ascii="宋体" w:hAnsi="宋体"/>
                <w:sz w:val="24"/>
                <w:highlight w:val="none"/>
              </w:rPr>
              <w:t>（4）</w:t>
            </w:r>
            <w:r>
              <w:rPr>
                <w:rFonts w:ascii="宋体" w:hAnsi="宋体"/>
                <w:sz w:val="24"/>
                <w:highlight w:val="none"/>
              </w:rPr>
              <w:t>缴纳时间：</w:t>
            </w:r>
            <w:r>
              <w:rPr>
                <w:rFonts w:hint="eastAsia" w:ascii="宋体" w:hAnsi="宋体"/>
                <w:sz w:val="24"/>
                <w:highlight w:val="none"/>
              </w:rPr>
              <w:t>中标人</w:t>
            </w:r>
            <w:r>
              <w:rPr>
                <w:rFonts w:ascii="宋体" w:hAnsi="宋体"/>
                <w:sz w:val="24"/>
                <w:highlight w:val="none"/>
              </w:rPr>
              <w:t>在领取中标通知书时一次</w:t>
            </w:r>
            <w:r>
              <w:rPr>
                <w:rFonts w:hint="eastAsia" w:ascii="宋体" w:hAnsi="宋体"/>
                <w:sz w:val="24"/>
                <w:highlight w:val="none"/>
              </w:rPr>
              <w:t>性</w:t>
            </w:r>
            <w:r>
              <w:rPr>
                <w:rFonts w:ascii="宋体" w:hAnsi="宋体"/>
                <w:sz w:val="24"/>
                <w:highlight w:val="none"/>
              </w:rPr>
              <w:t>向采购代理机构交纳所有中标服务费。</w:t>
            </w:r>
          </w:p>
          <w:p w14:paraId="39E0027D">
            <w:pPr>
              <w:rPr>
                <w:rFonts w:ascii="宋体" w:hAnsi="宋体" w:cs="宋体"/>
                <w:b/>
                <w:sz w:val="24"/>
                <w:highlight w:val="none"/>
              </w:rPr>
            </w:pPr>
            <w:r>
              <w:rPr>
                <w:rFonts w:hint="eastAsia" w:ascii="宋体" w:hAnsi="宋体" w:cs="宋体"/>
                <w:b/>
                <w:sz w:val="24"/>
                <w:highlight w:val="none"/>
              </w:rPr>
              <w:t xml:space="preserve">服务费汇款账户： </w:t>
            </w:r>
          </w:p>
          <w:p w14:paraId="3B007BA0">
            <w:pPr>
              <w:rPr>
                <w:rFonts w:ascii="宋体" w:hAnsi="宋体" w:cs="宋体"/>
                <w:b/>
                <w:sz w:val="24"/>
                <w:highlight w:val="none"/>
              </w:rPr>
            </w:pPr>
            <w:r>
              <w:rPr>
                <w:rFonts w:hint="eastAsia" w:ascii="宋体" w:hAnsi="宋体" w:cs="宋体"/>
                <w:b/>
                <w:sz w:val="24"/>
                <w:highlight w:val="none"/>
              </w:rPr>
              <w:t>开户名：华采招标集团有限公司</w:t>
            </w:r>
          </w:p>
          <w:p w14:paraId="41B114DA">
            <w:pPr>
              <w:rPr>
                <w:rFonts w:ascii="宋体" w:hAnsi="宋体" w:cs="宋体"/>
                <w:b/>
                <w:sz w:val="24"/>
                <w:highlight w:val="none"/>
              </w:rPr>
            </w:pPr>
            <w:r>
              <w:rPr>
                <w:rFonts w:hint="eastAsia" w:ascii="宋体" w:hAnsi="宋体" w:cs="宋体"/>
                <w:b/>
                <w:sz w:val="24"/>
                <w:highlight w:val="none"/>
              </w:rPr>
              <w:t>开户行：建设银行北京保福寺支行</w:t>
            </w:r>
          </w:p>
          <w:p w14:paraId="1C5103C1">
            <w:pPr>
              <w:rPr>
                <w:rFonts w:ascii="宋体" w:hAnsi="宋体" w:cs="宋体"/>
                <w:b/>
                <w:sz w:val="24"/>
                <w:highlight w:val="none"/>
              </w:rPr>
            </w:pPr>
            <w:r>
              <w:rPr>
                <w:rFonts w:hint="eastAsia" w:ascii="宋体" w:hAnsi="宋体" w:cs="宋体"/>
                <w:b/>
                <w:sz w:val="24"/>
                <w:highlight w:val="none"/>
              </w:rPr>
              <w:t>账  号：11050163990000000889</w:t>
            </w:r>
          </w:p>
          <w:p w14:paraId="3D80995D">
            <w:pPr>
              <w:rPr>
                <w:rFonts w:ascii="宋体" w:hAnsi="宋体" w:cs="宋体"/>
                <w:sz w:val="24"/>
                <w:highlight w:val="none"/>
              </w:rPr>
            </w:pPr>
            <w:r>
              <w:rPr>
                <w:rFonts w:hint="eastAsia" w:ascii="宋体" w:hAnsi="宋体" w:cs="宋体"/>
                <w:b/>
                <w:sz w:val="24"/>
                <w:highlight w:val="none"/>
              </w:rPr>
              <w:t>行  号：1051 0005 0245</w:t>
            </w:r>
          </w:p>
        </w:tc>
      </w:tr>
    </w:tbl>
    <w:p w14:paraId="075C71BF">
      <w:pPr>
        <w:shd w:val="clear" w:color="auto" w:fill="FFFFFF"/>
        <w:tabs>
          <w:tab w:val="left" w:pos="5580"/>
        </w:tabs>
        <w:adjustRightInd w:val="0"/>
        <w:spacing w:line="360" w:lineRule="auto"/>
        <w:jc w:val="distribute"/>
        <w:rPr>
          <w:rFonts w:ascii="宋体" w:hAnsi="宋体" w:cs="宋体"/>
          <w:sz w:val="24"/>
          <w:highlight w:val="none"/>
        </w:rPr>
        <w:sectPr>
          <w:footerReference r:id="rId9" w:type="first"/>
          <w:footerReference r:id="rId8" w:type="default"/>
          <w:pgSz w:w="11907" w:h="16840"/>
          <w:pgMar w:top="1417" w:right="1417" w:bottom="1417" w:left="1417" w:header="851" w:footer="851" w:gutter="0"/>
          <w:pgNumType w:start="1"/>
          <w:cols w:space="720" w:num="1"/>
          <w:titlePg/>
          <w:docGrid w:linePitch="462" w:charSpace="0"/>
        </w:sectPr>
      </w:pPr>
    </w:p>
    <w:p w14:paraId="107B40B1">
      <w:pPr>
        <w:shd w:val="clear" w:color="auto" w:fill="FFFFFF"/>
        <w:spacing w:before="240" w:beforeLines="100" w:after="240" w:afterLines="100"/>
        <w:jc w:val="center"/>
        <w:rPr>
          <w:rFonts w:ascii="宋体" w:hAnsi="宋体" w:cs="宋体"/>
          <w:b/>
          <w:sz w:val="28"/>
          <w:szCs w:val="28"/>
          <w:highlight w:val="none"/>
        </w:rPr>
      </w:pPr>
      <w:r>
        <w:rPr>
          <w:rFonts w:hint="eastAsia" w:ascii="宋体" w:hAnsi="宋体" w:cs="宋体"/>
          <w:b/>
          <w:sz w:val="28"/>
          <w:szCs w:val="28"/>
          <w:highlight w:val="none"/>
        </w:rPr>
        <w:t>供应商须知</w:t>
      </w:r>
    </w:p>
    <w:p w14:paraId="208EE16E">
      <w:pPr>
        <w:pStyle w:val="4"/>
        <w:shd w:val="clear" w:color="auto" w:fill="FFFFFF"/>
        <w:tabs>
          <w:tab w:val="center" w:pos="4592"/>
          <w:tab w:val="left" w:pos="7860"/>
        </w:tabs>
        <w:spacing w:before="0" w:line="360" w:lineRule="auto"/>
        <w:jc w:val="left"/>
        <w:rPr>
          <w:rFonts w:ascii="宋体" w:hAnsi="宋体" w:eastAsia="宋体" w:cs="宋体"/>
          <w:sz w:val="28"/>
          <w:highlight w:val="none"/>
        </w:rPr>
      </w:pPr>
      <w:bookmarkStart w:id="72" w:name="_Toc520356143"/>
      <w:bookmarkStart w:id="73" w:name="_Toc127151518"/>
      <w:r>
        <w:rPr>
          <w:rFonts w:hint="eastAsia" w:ascii="宋体" w:hAnsi="宋体" w:eastAsia="宋体" w:cs="宋体"/>
          <w:sz w:val="28"/>
          <w:highlight w:val="none"/>
        </w:rPr>
        <w:tab/>
      </w:r>
      <w:bookmarkStart w:id="74" w:name="_Toc305158860"/>
      <w:bookmarkStart w:id="75" w:name="_Toc264969208"/>
      <w:bookmarkStart w:id="76" w:name="_Toc226965708"/>
      <w:bookmarkStart w:id="77" w:name="_Toc151193616"/>
      <w:bookmarkStart w:id="78" w:name="_Toc226309762"/>
      <w:bookmarkStart w:id="79" w:name="_Toc151190145"/>
      <w:bookmarkStart w:id="80" w:name="_Toc151193832"/>
      <w:bookmarkStart w:id="81" w:name="_Toc265228356"/>
      <w:bookmarkStart w:id="82" w:name="_Toc150774723"/>
      <w:bookmarkStart w:id="83" w:name="_Toc226965791"/>
      <w:bookmarkStart w:id="84" w:name="_Toc150774618"/>
      <w:bookmarkStart w:id="85" w:name="_Toc195842883"/>
      <w:bookmarkStart w:id="86" w:name="_Toc150480756"/>
      <w:bookmarkStart w:id="87" w:name="_Toc305158786"/>
      <w:bookmarkStart w:id="88" w:name="_Toc151193688"/>
      <w:bookmarkStart w:id="89" w:name="_Toc151193906"/>
      <w:bookmarkStart w:id="90" w:name="_Toc151193760"/>
      <w:bookmarkStart w:id="91" w:name="_Toc226337214"/>
      <w:bookmarkStart w:id="92" w:name="_Toc150509269"/>
      <w:bookmarkStart w:id="93" w:name="_Toc142311020"/>
      <w:r>
        <w:rPr>
          <w:rFonts w:hint="eastAsia" w:ascii="宋体" w:hAnsi="宋体" w:eastAsia="宋体" w:cs="宋体"/>
          <w:sz w:val="28"/>
          <w:highlight w:val="none"/>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hint="eastAsia" w:ascii="宋体" w:hAnsi="宋体" w:eastAsia="宋体" w:cs="宋体"/>
          <w:sz w:val="28"/>
          <w:highlight w:val="none"/>
        </w:rPr>
        <w:tab/>
      </w:r>
    </w:p>
    <w:p w14:paraId="0B5DC8A6">
      <w:pPr>
        <w:numPr>
          <w:ilvl w:val="0"/>
          <w:numId w:val="18"/>
        </w:numPr>
        <w:shd w:val="clear" w:color="auto" w:fill="FFFFFF"/>
        <w:tabs>
          <w:tab w:val="clear" w:pos="900"/>
        </w:tabs>
        <w:snapToGrid w:val="0"/>
        <w:spacing w:line="360" w:lineRule="auto"/>
        <w:ind w:left="357" w:hanging="357"/>
        <w:outlineLvl w:val="1"/>
        <w:rPr>
          <w:rFonts w:ascii="宋体" w:hAnsi="宋体" w:cs="宋体"/>
          <w:sz w:val="24"/>
          <w:highlight w:val="none"/>
        </w:rPr>
      </w:pPr>
      <w:bookmarkStart w:id="94" w:name="_Toc264969209"/>
      <w:bookmarkStart w:id="95" w:name="_Toc305158787"/>
      <w:bookmarkStart w:id="96" w:name="_Toc265228357"/>
      <w:bookmarkStart w:id="97" w:name="_Toc305158861"/>
      <w:r>
        <w:rPr>
          <w:rFonts w:hint="eastAsia" w:ascii="宋体" w:hAnsi="宋体" w:cs="宋体"/>
          <w:sz w:val="24"/>
          <w:highlight w:val="none"/>
        </w:rPr>
        <w:t>采购人、采购代理机构、供应商</w:t>
      </w:r>
      <w:bookmarkEnd w:id="94"/>
      <w:bookmarkEnd w:id="95"/>
      <w:bookmarkEnd w:id="96"/>
      <w:bookmarkEnd w:id="97"/>
      <w:r>
        <w:rPr>
          <w:rFonts w:hint="eastAsia" w:ascii="宋体" w:hAnsi="宋体" w:cs="宋体"/>
          <w:sz w:val="24"/>
          <w:highlight w:val="none"/>
        </w:rPr>
        <w:t>、联合体</w:t>
      </w:r>
    </w:p>
    <w:p w14:paraId="6AE74678">
      <w:pPr>
        <w:numPr>
          <w:ilvl w:val="1"/>
          <w:numId w:val="18"/>
        </w:numPr>
        <w:shd w:val="clear" w:color="auto" w:fill="FFFFFF"/>
        <w:tabs>
          <w:tab w:val="left" w:pos="1080"/>
          <w:tab w:val="left" w:pos="2014"/>
          <w:tab w:val="left" w:pos="5521"/>
        </w:tabs>
        <w:snapToGrid w:val="0"/>
        <w:spacing w:line="360" w:lineRule="auto"/>
        <w:ind w:left="1080" w:hanging="720"/>
        <w:rPr>
          <w:rFonts w:ascii="宋体" w:hAnsi="宋体" w:cs="宋体"/>
          <w:sz w:val="24"/>
          <w:highlight w:val="none"/>
        </w:rPr>
      </w:pP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采购人、采购代理机构:指依法进行政府采购的国家机关、事业单位、团体组织，及其委托的采购代理机构。本项目采购人、采购代理机构见第一章《采购邀请》。</w:t>
      </w:r>
    </w:p>
    <w:p w14:paraId="54289B02">
      <w:pPr>
        <w:numPr>
          <w:ilvl w:val="1"/>
          <w:numId w:val="18"/>
        </w:numPr>
        <w:shd w:val="clear" w:color="auto" w:fill="FFFFFF"/>
        <w:tabs>
          <w:tab w:val="left" w:pos="1080"/>
          <w:tab w:val="left" w:pos="2014"/>
          <w:tab w:val="left" w:pos="5521"/>
        </w:tabs>
        <w:snapToGrid w:val="0"/>
        <w:spacing w:line="360" w:lineRule="auto"/>
        <w:ind w:left="1080" w:hanging="720"/>
        <w:rPr>
          <w:rFonts w:ascii="宋体" w:hAnsi="宋体" w:cs="宋体"/>
          <w:sz w:val="24"/>
          <w:highlight w:val="none"/>
        </w:rPr>
      </w:pPr>
      <w:r>
        <w:rPr>
          <w:rFonts w:hint="eastAsia" w:ascii="宋体" w:hAnsi="宋体" w:cs="宋体"/>
          <w:sz w:val="24"/>
          <w:highlight w:val="none"/>
        </w:rPr>
        <w:t>供应商（也称“申请人”）：指向采购人提供货物、工程或者服务的法人、其他组织或者自然人。</w:t>
      </w:r>
    </w:p>
    <w:p w14:paraId="46CB20BE">
      <w:pPr>
        <w:numPr>
          <w:ilvl w:val="1"/>
          <w:numId w:val="18"/>
        </w:numPr>
        <w:shd w:val="clear" w:color="auto" w:fill="FFFFFF"/>
        <w:tabs>
          <w:tab w:val="left" w:pos="1080"/>
          <w:tab w:val="left" w:pos="2014"/>
          <w:tab w:val="left" w:pos="5521"/>
        </w:tabs>
        <w:snapToGrid w:val="0"/>
        <w:spacing w:line="360" w:lineRule="auto"/>
        <w:ind w:left="1080" w:hanging="720"/>
        <w:rPr>
          <w:rFonts w:ascii="宋体" w:hAnsi="宋体" w:cs="宋体"/>
          <w:sz w:val="24"/>
          <w:highlight w:val="none"/>
        </w:rPr>
      </w:pPr>
      <w:r>
        <w:rPr>
          <w:rFonts w:hint="eastAsia" w:ascii="宋体" w:hAnsi="宋体" w:cs="宋体"/>
          <w:sz w:val="24"/>
          <w:highlight w:val="none"/>
        </w:rPr>
        <w:t>联合体：指两个以上的自然人、法人或者其他组织组成一个联合体，以一个供应商的身份共同参加政府采购。</w:t>
      </w:r>
    </w:p>
    <w:p w14:paraId="36F0535D">
      <w:pPr>
        <w:numPr>
          <w:ilvl w:val="0"/>
          <w:numId w:val="18"/>
        </w:numPr>
        <w:shd w:val="clear" w:color="auto" w:fill="FFFFFF"/>
        <w:tabs>
          <w:tab w:val="clear" w:pos="900"/>
        </w:tabs>
        <w:snapToGrid w:val="0"/>
        <w:spacing w:line="360" w:lineRule="auto"/>
        <w:ind w:left="357" w:hanging="357"/>
        <w:outlineLvl w:val="1"/>
        <w:rPr>
          <w:rFonts w:ascii="宋体" w:hAnsi="宋体" w:cs="宋体"/>
          <w:sz w:val="24"/>
          <w:highlight w:val="none"/>
        </w:rPr>
      </w:pPr>
      <w:bookmarkStart w:id="98" w:name="_Toc164608789"/>
      <w:bookmarkStart w:id="99" w:name="_Toc226309764"/>
      <w:bookmarkStart w:id="100" w:name="_Toc151193908"/>
      <w:bookmarkStart w:id="101" w:name="_Toc142311022"/>
      <w:bookmarkStart w:id="102" w:name="_Toc151190147"/>
      <w:bookmarkStart w:id="103" w:name="_Toc226965793"/>
      <w:bookmarkStart w:id="104" w:name="_Toc149720813"/>
      <w:bookmarkStart w:id="105" w:name="_Toc305158788"/>
      <w:bookmarkStart w:id="106" w:name="_Toc264969210"/>
      <w:bookmarkStart w:id="107" w:name="_Toc265228358"/>
      <w:bookmarkStart w:id="108" w:name="_Toc150480758"/>
      <w:bookmarkStart w:id="109" w:name="_Toc150774725"/>
      <w:bookmarkStart w:id="110" w:name="_Toc226337216"/>
      <w:bookmarkStart w:id="111" w:name="_Toc195842885"/>
      <w:bookmarkStart w:id="112" w:name="_Toc164229215"/>
      <w:bookmarkStart w:id="113" w:name="_Toc151193618"/>
      <w:bookmarkStart w:id="114" w:name="_Toc226965710"/>
      <w:bookmarkStart w:id="115" w:name="_Toc127151520"/>
      <w:bookmarkStart w:id="116" w:name="_Toc151193690"/>
      <w:bookmarkStart w:id="117" w:name="_Toc164229361"/>
      <w:bookmarkStart w:id="118" w:name="_Toc127151721"/>
      <w:bookmarkStart w:id="119" w:name="_Toc151193834"/>
      <w:bookmarkStart w:id="120" w:name="_Toc150509271"/>
      <w:bookmarkStart w:id="121" w:name="_Toc305158862"/>
      <w:bookmarkStart w:id="122" w:name="_Toc151193762"/>
      <w:bookmarkStart w:id="123" w:name="_Toc127161434"/>
      <w:bookmarkStart w:id="124" w:name="_Toc150774620"/>
      <w:bookmarkStart w:id="125" w:name="_Toc164351614"/>
      <w:bookmarkStart w:id="126" w:name="_Toc164608634"/>
      <w:r>
        <w:rPr>
          <w:rFonts w:hint="eastAsia" w:ascii="宋体" w:hAnsi="宋体" w:cs="宋体"/>
          <w:sz w:val="24"/>
          <w:highlight w:val="none"/>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ascii="宋体" w:hAnsi="宋体" w:cs="宋体"/>
          <w:sz w:val="24"/>
          <w:highlight w:val="none"/>
        </w:rPr>
        <w:t>、项目属性、科研仪器设备采购</w:t>
      </w:r>
    </w:p>
    <w:p w14:paraId="28FE01C1">
      <w:pPr>
        <w:numPr>
          <w:ilvl w:val="1"/>
          <w:numId w:val="18"/>
        </w:numPr>
        <w:shd w:val="clear" w:color="auto" w:fill="FFFFFF"/>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资金来源为财政性资金和/或本项目采购中无法与财政性资金分割的非财政性资金。</w:t>
      </w:r>
    </w:p>
    <w:p w14:paraId="5D255A89">
      <w:pPr>
        <w:numPr>
          <w:ilvl w:val="1"/>
          <w:numId w:val="18"/>
        </w:numPr>
        <w:shd w:val="clear" w:color="auto" w:fill="FFFFFF"/>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项目属性见《供应商须知资料表》。</w:t>
      </w:r>
    </w:p>
    <w:p w14:paraId="5EE30168">
      <w:pPr>
        <w:numPr>
          <w:ilvl w:val="1"/>
          <w:numId w:val="18"/>
        </w:numPr>
        <w:shd w:val="clear" w:color="auto" w:fill="FFFFFF"/>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是否属于科研仪器设备采购见《供应商须知资料表》。</w:t>
      </w:r>
    </w:p>
    <w:p w14:paraId="0A7E1AC3">
      <w:pPr>
        <w:numPr>
          <w:ilvl w:val="0"/>
          <w:numId w:val="18"/>
        </w:numPr>
        <w:shd w:val="clear" w:color="auto" w:fill="FFFFFF"/>
        <w:tabs>
          <w:tab w:val="left" w:pos="36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现场考察、磋商前答疑会</w:t>
      </w:r>
    </w:p>
    <w:p w14:paraId="777D3275">
      <w:pPr>
        <w:numPr>
          <w:ilvl w:val="1"/>
          <w:numId w:val="18"/>
        </w:numPr>
        <w:shd w:val="clear" w:color="auto" w:fill="FFFFFF"/>
        <w:tabs>
          <w:tab w:val="left" w:pos="1080"/>
          <w:tab w:val="left" w:pos="2014"/>
        </w:tabs>
        <w:snapToGrid w:val="0"/>
        <w:spacing w:line="360" w:lineRule="auto"/>
        <w:ind w:left="1080" w:hanging="720"/>
        <w:rPr>
          <w:rFonts w:ascii="宋体" w:hAnsi="宋体" w:cs="宋体"/>
          <w:sz w:val="28"/>
          <w:highlight w:val="none"/>
        </w:rPr>
      </w:pPr>
      <w:r>
        <w:rPr>
          <w:rFonts w:hint="eastAsia" w:ascii="宋体" w:hAnsi="宋体" w:cs="宋体"/>
          <w:sz w:val="24"/>
          <w:highlight w:val="none"/>
        </w:rPr>
        <w:t>若《供应商须知资料表》中规定了组织现场考察、召开磋商前答疑会，则供应商应按要求在规定的时间和地点参加。</w:t>
      </w:r>
      <w:bookmarkStart w:id="127" w:name="_Toc150774727"/>
      <w:bookmarkStart w:id="128" w:name="_Toc265228360"/>
      <w:bookmarkStart w:id="129" w:name="_Toc150509273"/>
      <w:bookmarkStart w:id="130" w:name="_Toc226965795"/>
      <w:bookmarkStart w:id="131" w:name="_Toc142311024"/>
      <w:bookmarkStart w:id="132" w:name="_Toc151193764"/>
      <w:bookmarkStart w:id="133" w:name="_Toc151193692"/>
      <w:bookmarkStart w:id="134" w:name="_Toc226337218"/>
      <w:bookmarkStart w:id="135" w:name="_Toc305158790"/>
      <w:bookmarkStart w:id="136" w:name="_Toc305158864"/>
      <w:bookmarkStart w:id="137" w:name="_Toc226965712"/>
      <w:bookmarkStart w:id="138" w:name="_Toc264969212"/>
      <w:bookmarkStart w:id="139" w:name="_Toc127151522"/>
      <w:bookmarkStart w:id="140" w:name="_Toc226309766"/>
      <w:bookmarkStart w:id="141" w:name="_Toc151193620"/>
      <w:bookmarkStart w:id="142" w:name="_Toc151190149"/>
      <w:bookmarkStart w:id="143" w:name="_Toc520356146"/>
      <w:bookmarkStart w:id="144" w:name="_Toc151193836"/>
      <w:bookmarkStart w:id="145" w:name="_Toc151193910"/>
      <w:bookmarkStart w:id="146" w:name="_Toc150774622"/>
      <w:bookmarkStart w:id="147" w:name="_Toc150480760"/>
      <w:bookmarkStart w:id="148" w:name="_Toc195842887"/>
    </w:p>
    <w:p w14:paraId="158C1966">
      <w:pPr>
        <w:numPr>
          <w:ilvl w:val="1"/>
          <w:numId w:val="18"/>
        </w:numPr>
        <w:shd w:val="clear" w:color="auto" w:fill="FFFFFF"/>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由于未参加现场考察或磋商前答疑会而导致对项目实际情况不了解，影响响应文件编制、报价准确性、综合因素响应不全面等问题的，由供应商自行承担不利评审后果。</w:t>
      </w:r>
    </w:p>
    <w:p w14:paraId="731DE89F">
      <w:pPr>
        <w:numPr>
          <w:ilvl w:val="0"/>
          <w:numId w:val="18"/>
        </w:numPr>
        <w:shd w:val="clear" w:color="auto" w:fill="FFFFFF"/>
        <w:tabs>
          <w:tab w:val="clear" w:pos="90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政府采购政策（包括但不限于下列具体政策要求）</w:t>
      </w:r>
    </w:p>
    <w:p w14:paraId="0EEC711B">
      <w:pPr>
        <w:numPr>
          <w:ilvl w:val="1"/>
          <w:numId w:val="18"/>
        </w:numPr>
        <w:shd w:val="clear" w:color="auto" w:fill="FFFFFF"/>
        <w:tabs>
          <w:tab w:val="left" w:pos="1080"/>
          <w:tab w:val="left" w:pos="2014"/>
        </w:tabs>
        <w:snapToGrid w:val="0"/>
        <w:spacing w:line="360" w:lineRule="auto"/>
        <w:ind w:left="1080" w:hanging="720"/>
        <w:rPr>
          <w:rFonts w:ascii="宋体" w:hAnsi="宋体" w:cs="宋体"/>
          <w:sz w:val="24"/>
          <w:highlight w:val="none"/>
        </w:rPr>
      </w:pPr>
      <w:bookmarkStart w:id="149" w:name="_1.8_计量单位"/>
      <w:bookmarkEnd w:id="149"/>
      <w:r>
        <w:rPr>
          <w:rFonts w:hint="eastAsia" w:ascii="宋体" w:hAnsi="宋体" w:cs="宋体"/>
          <w:sz w:val="24"/>
          <w:highlight w:val="none"/>
        </w:rPr>
        <w:t>采购本国货物、工程和服务</w:t>
      </w:r>
    </w:p>
    <w:p w14:paraId="0BB5D8FF">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政府采购应当采购本国货物、工程和服务。但有《中华人民共和国政府采购法》第十条规定情形的除外。</w:t>
      </w:r>
    </w:p>
    <w:p w14:paraId="07A43C34">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本项目如接受非本国货物、工程、服务参与投标，则具体要求见第四章《采购需求》。</w:t>
      </w:r>
    </w:p>
    <w:p w14:paraId="7C418413">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5D5FCA86">
      <w:pPr>
        <w:numPr>
          <w:ilvl w:val="1"/>
          <w:numId w:val="18"/>
        </w:numPr>
        <w:shd w:val="clear" w:color="auto" w:fill="FFFFFF"/>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中小企业、监狱企业及残疾人福利性单位</w:t>
      </w:r>
    </w:p>
    <w:p w14:paraId="6E76CB2B">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中小企业定义：</w:t>
      </w:r>
    </w:p>
    <w:p w14:paraId="4ECC3BE0">
      <w:pPr>
        <w:numPr>
          <w:ilvl w:val="3"/>
          <w:numId w:val="18"/>
        </w:numPr>
        <w:shd w:val="clear" w:color="auto" w:fill="FFFFFF"/>
        <w:tabs>
          <w:tab w:val="clear" w:pos="900"/>
        </w:tabs>
        <w:snapToGrid w:val="0"/>
        <w:spacing w:line="360" w:lineRule="auto"/>
        <w:ind w:left="2885"/>
        <w:rPr>
          <w:rFonts w:ascii="宋体" w:hAnsi="宋体" w:cs="宋体"/>
          <w:color w:val="000000"/>
          <w:sz w:val="24"/>
          <w:highlight w:val="none"/>
        </w:rPr>
      </w:pPr>
      <w:r>
        <w:rPr>
          <w:rFonts w:hint="eastAsia" w:ascii="宋体" w:hAnsi="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 工信部联企业〔2011〕300 号)《金融业企业划型标准规定》(〔2015〕309号)等国务院批准的中小企业划分标准执行。</w:t>
      </w:r>
    </w:p>
    <w:p w14:paraId="45F83594">
      <w:pPr>
        <w:numPr>
          <w:ilvl w:val="3"/>
          <w:numId w:val="18"/>
        </w:numPr>
        <w:shd w:val="clear" w:color="auto" w:fill="FFFFFF"/>
        <w:tabs>
          <w:tab w:val="clear" w:pos="900"/>
        </w:tabs>
        <w:snapToGrid w:val="0"/>
        <w:spacing w:line="360" w:lineRule="auto"/>
        <w:ind w:left="2885"/>
        <w:rPr>
          <w:rFonts w:ascii="宋体" w:hAnsi="宋体" w:cs="宋体"/>
          <w:color w:val="000000"/>
          <w:sz w:val="24"/>
          <w:highlight w:val="none"/>
        </w:rPr>
      </w:pPr>
      <w:r>
        <w:rPr>
          <w:rFonts w:hint="eastAsia" w:ascii="宋体" w:hAnsi="宋体" w:cs="宋体"/>
          <w:color w:val="000000"/>
          <w:sz w:val="24"/>
          <w:highlight w:val="none"/>
        </w:rPr>
        <w:t>供应商提供的货物、工程或者服务符合下列情形的，享受中小企业扶持政策:</w:t>
      </w:r>
    </w:p>
    <w:p w14:paraId="61BD0D7C">
      <w:pPr>
        <w:numPr>
          <w:ilvl w:val="0"/>
          <w:numId w:val="19"/>
        </w:numPr>
        <w:shd w:val="clear" w:color="auto" w:fill="FFFFFF"/>
        <w:snapToGrid w:val="0"/>
        <w:spacing w:line="360" w:lineRule="auto"/>
        <w:ind w:left="2835" w:leftChars="1350"/>
        <w:rPr>
          <w:rFonts w:ascii="宋体" w:hAnsi="宋体" w:cs="宋体"/>
          <w:color w:val="000000"/>
          <w:sz w:val="24"/>
          <w:highlight w:val="none"/>
        </w:rPr>
      </w:pPr>
      <w:r>
        <w:rPr>
          <w:rFonts w:hint="eastAsia" w:ascii="宋体" w:hAnsi="宋体" w:cs="宋体"/>
          <w:color w:val="000000"/>
          <w:sz w:val="24"/>
          <w:highlight w:val="none"/>
        </w:rPr>
        <w:t>在货物采购项目中，货物由中小企业制造，即货物由中小企业生产且使用该中小企业商号或者注册商标；</w:t>
      </w:r>
    </w:p>
    <w:p w14:paraId="07CDB041">
      <w:pPr>
        <w:numPr>
          <w:ilvl w:val="0"/>
          <w:numId w:val="19"/>
        </w:numPr>
        <w:shd w:val="clear" w:color="auto" w:fill="FFFFFF"/>
        <w:snapToGrid w:val="0"/>
        <w:spacing w:line="360" w:lineRule="auto"/>
        <w:ind w:left="2835" w:leftChars="1350"/>
        <w:rPr>
          <w:rFonts w:ascii="宋体" w:hAnsi="宋体" w:cs="宋体"/>
          <w:color w:val="000000"/>
          <w:sz w:val="24"/>
          <w:highlight w:val="none"/>
        </w:rPr>
      </w:pPr>
      <w:r>
        <w:rPr>
          <w:rFonts w:hint="eastAsia" w:ascii="宋体" w:hAnsi="宋体" w:cs="宋体"/>
          <w:color w:val="000000"/>
          <w:sz w:val="24"/>
          <w:highlight w:val="none"/>
        </w:rPr>
        <w:t>在工程采购项目中，工程由中小企业承建，即工程施工单位为中小企业；</w:t>
      </w:r>
    </w:p>
    <w:p w14:paraId="6E0B4F60">
      <w:pPr>
        <w:shd w:val="clear" w:color="auto" w:fill="FFFFFF"/>
        <w:tabs>
          <w:tab w:val="left" w:pos="1980"/>
        </w:tabs>
        <w:snapToGrid w:val="0"/>
        <w:spacing w:line="360" w:lineRule="auto"/>
        <w:ind w:left="2835" w:leftChars="1350"/>
        <w:rPr>
          <w:rFonts w:ascii="宋体" w:hAnsi="宋体" w:cs="宋体"/>
          <w:color w:val="000000"/>
          <w:sz w:val="24"/>
          <w:highlight w:val="none"/>
        </w:rPr>
      </w:pPr>
      <w:r>
        <w:rPr>
          <w:rFonts w:hint="eastAsia" w:ascii="宋体" w:hAnsi="宋体" w:cs="宋体"/>
          <w:color w:val="000000"/>
          <w:sz w:val="24"/>
          <w:highlight w:val="none"/>
        </w:rPr>
        <w:t xml:space="preserve">(3)在服务采购项目中，服务由中小企业承接，即提供服务的人员为中小企业依照《中华人民共和国劳动合同法》订立劳动合同的从业人员。 </w:t>
      </w:r>
    </w:p>
    <w:p w14:paraId="5540823A">
      <w:pPr>
        <w:numPr>
          <w:ilvl w:val="3"/>
          <w:numId w:val="18"/>
        </w:numPr>
        <w:shd w:val="clear" w:color="auto" w:fill="FFFFFF"/>
        <w:tabs>
          <w:tab w:val="clear" w:pos="900"/>
        </w:tabs>
        <w:snapToGrid w:val="0"/>
        <w:spacing w:line="360" w:lineRule="auto"/>
        <w:ind w:left="2885"/>
        <w:rPr>
          <w:rFonts w:ascii="宋体" w:hAnsi="宋体" w:cs="宋体"/>
          <w:color w:val="000000"/>
          <w:sz w:val="24"/>
          <w:highlight w:val="none"/>
        </w:rPr>
      </w:pPr>
      <w:r>
        <w:rPr>
          <w:rFonts w:hint="eastAsia" w:ascii="宋体" w:hAnsi="宋体" w:cs="宋体"/>
          <w:color w:val="000000"/>
          <w:sz w:val="24"/>
          <w:highlight w:val="none"/>
        </w:rPr>
        <w:t>在货物采购项目中，供应商提供的货物既有中小企业制造货物，也有大型企业制造货物的，不享受中小企业扶持政策。</w:t>
      </w:r>
    </w:p>
    <w:p w14:paraId="24125908">
      <w:pPr>
        <w:numPr>
          <w:ilvl w:val="3"/>
          <w:numId w:val="18"/>
        </w:numPr>
        <w:shd w:val="clear" w:color="auto" w:fill="FFFFFF"/>
        <w:tabs>
          <w:tab w:val="clear" w:pos="900"/>
        </w:tabs>
        <w:snapToGrid w:val="0"/>
        <w:spacing w:line="360" w:lineRule="auto"/>
        <w:ind w:left="2885"/>
        <w:rPr>
          <w:rFonts w:ascii="宋体" w:hAnsi="宋体" w:cs="宋体"/>
          <w:color w:val="000000"/>
          <w:sz w:val="24"/>
          <w:highlight w:val="none"/>
        </w:rPr>
      </w:pP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0A6A6CEB">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29EB9D4">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ACEDACE">
      <w:pPr>
        <w:numPr>
          <w:ilvl w:val="3"/>
          <w:numId w:val="18"/>
        </w:numPr>
        <w:shd w:val="clear" w:color="auto" w:fill="FFFFFF"/>
        <w:tabs>
          <w:tab w:val="clear" w:pos="900"/>
        </w:tabs>
        <w:snapToGrid w:val="0"/>
        <w:spacing w:line="360" w:lineRule="auto"/>
        <w:ind w:left="2885"/>
        <w:rPr>
          <w:rFonts w:ascii="宋体" w:hAnsi="宋体" w:cs="宋体"/>
          <w:color w:val="000000"/>
          <w:sz w:val="24"/>
          <w:highlight w:val="none"/>
        </w:rPr>
      </w:pPr>
      <w:r>
        <w:rPr>
          <w:rFonts w:hint="eastAsia" w:ascii="宋体" w:hAnsi="宋体" w:cs="宋体"/>
          <w:color w:val="000000"/>
          <w:sz w:val="24"/>
          <w:highlight w:val="none"/>
        </w:rPr>
        <w:t>安置的残疾人占本单位在职职工人数的比例不低于 25%（含 25%），并且安置的残疾人人数不少于 10  人（含 10人）；</w:t>
      </w:r>
    </w:p>
    <w:p w14:paraId="429FDE7C">
      <w:pPr>
        <w:numPr>
          <w:ilvl w:val="3"/>
          <w:numId w:val="18"/>
        </w:numPr>
        <w:shd w:val="clear" w:color="auto" w:fill="FFFFFF"/>
        <w:tabs>
          <w:tab w:val="clear" w:pos="900"/>
        </w:tabs>
        <w:snapToGrid w:val="0"/>
        <w:spacing w:line="360" w:lineRule="auto"/>
        <w:ind w:left="2885"/>
        <w:rPr>
          <w:rFonts w:ascii="宋体" w:hAnsi="宋体" w:cs="宋体"/>
          <w:color w:val="000000"/>
          <w:sz w:val="24"/>
          <w:highlight w:val="none"/>
        </w:rPr>
      </w:pPr>
      <w:r>
        <w:rPr>
          <w:rFonts w:hint="eastAsia" w:ascii="宋体" w:hAnsi="宋体" w:cs="宋体"/>
          <w:color w:val="000000"/>
          <w:sz w:val="24"/>
          <w:highlight w:val="none"/>
        </w:rPr>
        <w:t>依法与安置的每位残疾人签订了一年以上（含一年）的劳动合同或服务协议；</w:t>
      </w:r>
    </w:p>
    <w:p w14:paraId="050AD809">
      <w:pPr>
        <w:numPr>
          <w:ilvl w:val="3"/>
          <w:numId w:val="18"/>
        </w:numPr>
        <w:shd w:val="clear" w:color="auto" w:fill="FFFFFF"/>
        <w:tabs>
          <w:tab w:val="clear" w:pos="900"/>
        </w:tabs>
        <w:snapToGrid w:val="0"/>
        <w:spacing w:line="360" w:lineRule="auto"/>
        <w:ind w:left="2885"/>
        <w:rPr>
          <w:rFonts w:ascii="宋体" w:hAnsi="宋体" w:cs="宋体"/>
          <w:color w:val="000000"/>
          <w:sz w:val="24"/>
          <w:highlight w:val="none"/>
        </w:rPr>
      </w:pPr>
      <w:r>
        <w:rPr>
          <w:rFonts w:hint="eastAsia" w:ascii="宋体" w:hAnsi="宋体" w:cs="宋体"/>
          <w:color w:val="000000"/>
          <w:sz w:val="24"/>
          <w:highlight w:val="none"/>
        </w:rPr>
        <w:t>为安置的每位残疾人按月足额缴纳了基本养老保险、基本医疗保险、失业保险、工伤保险和生育保险等社会保险费；</w:t>
      </w:r>
    </w:p>
    <w:p w14:paraId="2725E3B3">
      <w:pPr>
        <w:numPr>
          <w:ilvl w:val="3"/>
          <w:numId w:val="18"/>
        </w:numPr>
        <w:shd w:val="clear" w:color="auto" w:fill="FFFFFF"/>
        <w:tabs>
          <w:tab w:val="clear" w:pos="900"/>
        </w:tabs>
        <w:snapToGrid w:val="0"/>
        <w:spacing w:line="360" w:lineRule="auto"/>
        <w:ind w:left="2885"/>
        <w:rPr>
          <w:rFonts w:ascii="宋体" w:hAnsi="宋体" w:cs="宋体"/>
          <w:color w:val="000000"/>
          <w:sz w:val="24"/>
          <w:highlight w:val="none"/>
        </w:rPr>
      </w:pPr>
      <w:r>
        <w:rPr>
          <w:rFonts w:hint="eastAsia" w:ascii="宋体" w:hAnsi="宋体" w:cs="宋体"/>
          <w:color w:val="000000"/>
          <w:sz w:val="24"/>
          <w:highlight w:val="none"/>
        </w:rPr>
        <w:t>通过银行等金融机构向安置的每位残疾人，按月支付了不低于单位所在区县适用的经省级人民政府批准的月最低工资标准的工资；</w:t>
      </w:r>
    </w:p>
    <w:p w14:paraId="4E360616">
      <w:pPr>
        <w:numPr>
          <w:ilvl w:val="3"/>
          <w:numId w:val="18"/>
        </w:numPr>
        <w:shd w:val="clear" w:color="auto" w:fill="FFFFFF"/>
        <w:tabs>
          <w:tab w:val="clear" w:pos="900"/>
        </w:tabs>
        <w:snapToGrid w:val="0"/>
        <w:spacing w:line="360" w:lineRule="auto"/>
        <w:ind w:left="2885"/>
        <w:rPr>
          <w:rFonts w:ascii="宋体" w:hAnsi="宋体" w:cs="宋体"/>
          <w:color w:val="000000"/>
          <w:sz w:val="24"/>
          <w:highlight w:val="none"/>
        </w:rPr>
      </w:pPr>
      <w:r>
        <w:rPr>
          <w:rFonts w:hint="eastAsia" w:ascii="宋体" w:hAnsi="宋体" w:cs="宋体"/>
          <w:color w:val="000000"/>
          <w:sz w:val="24"/>
          <w:highlight w:val="none"/>
        </w:rPr>
        <w:t>提供本单位制造的货物、承担的工程或者服务（以下简称产品），或者提供其他残疾人福利性单位制造的货物（不包括使用非残疾人福利性单位注册商标的货物）；</w:t>
      </w:r>
    </w:p>
    <w:p w14:paraId="22DAB46E">
      <w:pPr>
        <w:numPr>
          <w:ilvl w:val="3"/>
          <w:numId w:val="18"/>
        </w:numPr>
        <w:shd w:val="clear" w:color="auto" w:fill="FFFFFF"/>
        <w:tabs>
          <w:tab w:val="clear" w:pos="900"/>
        </w:tabs>
        <w:snapToGrid w:val="0"/>
        <w:spacing w:line="360" w:lineRule="auto"/>
        <w:ind w:left="2885"/>
        <w:rPr>
          <w:rFonts w:ascii="宋体" w:hAnsi="宋体" w:cs="宋体"/>
          <w:color w:val="000000"/>
          <w:sz w:val="24"/>
          <w:highlight w:val="none"/>
        </w:rPr>
      </w:pPr>
      <w:r>
        <w:rPr>
          <w:rFonts w:hint="eastAsia" w:ascii="宋体" w:hAnsi="宋体" w:cs="宋体"/>
          <w:color w:val="000000"/>
          <w:sz w:val="24"/>
          <w:highlight w:val="none"/>
        </w:rPr>
        <w:t>前款所称残疾人是指法定劳动年龄内，持有《中华人民共和 国残疾人证》或者《中华人民共和国残疾军人证（1 至 8 级）》的自然人，包括具有劳动条件和劳动意愿的精神残疾人。在职职工人数是指与残疾人福利性单位建立劳动关系并依法签订劳动合同或服务协议的雇员人数。</w:t>
      </w:r>
    </w:p>
    <w:p w14:paraId="58DF42AA">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本项目是否专门面向中小企业预留采购份额见第一章《采购邀请》。</w:t>
      </w:r>
    </w:p>
    <w:p w14:paraId="7B4697FF">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采购标的对应的中小企业划分标准所属行业见《供应商须知资料表》。</w:t>
      </w:r>
    </w:p>
    <w:p w14:paraId="13BE94E6">
      <w:pPr>
        <w:numPr>
          <w:ilvl w:val="2"/>
          <w:numId w:val="18"/>
        </w:numPr>
        <w:shd w:val="clear" w:color="auto" w:fill="FFFFFF"/>
        <w:snapToGrid w:val="0"/>
        <w:spacing w:line="360" w:lineRule="auto"/>
        <w:rPr>
          <w:rFonts w:ascii="宋体" w:hAnsi="宋体" w:cs="宋体"/>
          <w:sz w:val="24"/>
          <w:highlight w:val="none"/>
        </w:rPr>
        <w:sectPr>
          <w:pgSz w:w="11910" w:h="16840"/>
          <w:pgMar w:top="1417" w:right="1417" w:bottom="1417" w:left="1417" w:header="879" w:footer="879" w:gutter="0"/>
          <w:cols w:space="720" w:num="1"/>
        </w:sectPr>
      </w:pPr>
    </w:p>
    <w:p w14:paraId="6890CDBB">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小微企业价格评审优惠的政策调整：见第三章《评审方法和评审标准》。</w:t>
      </w:r>
    </w:p>
    <w:p w14:paraId="2DAA680B">
      <w:pPr>
        <w:numPr>
          <w:ilvl w:val="1"/>
          <w:numId w:val="18"/>
        </w:numPr>
        <w:shd w:val="clear" w:color="auto" w:fill="FFFFFF"/>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政府采购节能产品、环境标志产品</w:t>
      </w:r>
    </w:p>
    <w:p w14:paraId="195E6CB5">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8AAFF21">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F1E8F4E">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如本项目采购产品属于实施政府强制采购品目清单范围的节能产品， 则供应商所报产品必须获得国家确定的认证机构出具的、处于有效期之内的节能产品认证证书，否则</w:t>
      </w:r>
      <w:r>
        <w:rPr>
          <w:rFonts w:hint="eastAsia" w:ascii="宋体" w:hAnsi="宋体" w:cs="宋体"/>
          <w:b/>
          <w:bCs/>
          <w:sz w:val="24"/>
          <w:highlight w:val="none"/>
        </w:rPr>
        <w:t>响应无效</w:t>
      </w:r>
      <w:r>
        <w:rPr>
          <w:rFonts w:hint="eastAsia" w:ascii="宋体" w:hAnsi="宋体" w:cs="宋体"/>
          <w:sz w:val="24"/>
          <w:highlight w:val="none"/>
        </w:rPr>
        <w:t>；</w:t>
      </w:r>
    </w:p>
    <w:p w14:paraId="4C3601C3">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非政府强制采购的节能产品或环境标志产品，依据品目清单和认证证书实施政府优先采购。优先采购的具体规定见第三章《评审方法和评审标准》（如涉及）。</w:t>
      </w:r>
    </w:p>
    <w:p w14:paraId="2A1C3960">
      <w:pPr>
        <w:numPr>
          <w:ilvl w:val="1"/>
          <w:numId w:val="18"/>
        </w:numPr>
        <w:shd w:val="clear" w:color="auto" w:fill="FFFFFF"/>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正版软件</w:t>
      </w:r>
    </w:p>
    <w:p w14:paraId="5D5AD75A">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706073A">
      <w:pPr>
        <w:numPr>
          <w:ilvl w:val="1"/>
          <w:numId w:val="18"/>
        </w:numPr>
        <w:shd w:val="clear" w:color="auto" w:fill="FFFFFF"/>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网络安全专用产品</w:t>
      </w:r>
    </w:p>
    <w:p w14:paraId="6FCDA4BA">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根据《关于调整网络安全专用产品安全管理有关事项的公告》(2023年第1号)，所提供产品属于列人《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AF51A83">
      <w:pPr>
        <w:numPr>
          <w:ilvl w:val="1"/>
          <w:numId w:val="18"/>
        </w:numPr>
        <w:shd w:val="clear" w:color="auto" w:fill="FFFFFF"/>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推广使用低挥发性有机化合物（VOCs）</w:t>
      </w:r>
    </w:p>
    <w:p w14:paraId="6C2BFBB4">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 供应商应执行符合本市和国家的 VOCs 含量限制标准（具体标准见第四章《采购需求》），否则响应无效；属于推荐性标准的，优先采购， 具体见第三章《评审方法和评审标准》。</w:t>
      </w:r>
    </w:p>
    <w:p w14:paraId="5259FD4F">
      <w:pPr>
        <w:numPr>
          <w:ilvl w:val="1"/>
          <w:numId w:val="18"/>
        </w:numPr>
        <w:shd w:val="clear" w:color="auto" w:fill="FFFFFF"/>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采购需求标准</w:t>
      </w:r>
    </w:p>
    <w:p w14:paraId="27AB438E">
      <w:pPr>
        <w:numPr>
          <w:ilvl w:val="2"/>
          <w:numId w:val="18"/>
        </w:numPr>
        <w:shd w:val="clear" w:color="auto" w:fill="FFFFFF"/>
        <w:snapToGrid w:val="0"/>
        <w:spacing w:line="360" w:lineRule="auto"/>
        <w:jc w:val="left"/>
        <w:rPr>
          <w:rFonts w:ascii="宋体" w:hAnsi="宋体" w:cs="宋体"/>
          <w:sz w:val="24"/>
          <w:highlight w:val="none"/>
        </w:rPr>
      </w:pPr>
      <w:r>
        <w:rPr>
          <w:rFonts w:hint="eastAsia" w:ascii="宋体" w:hAnsi="宋体" w:cs="宋体"/>
          <w:sz w:val="24"/>
          <w:highlight w:val="none"/>
        </w:rPr>
        <w:t>商品包装、快递包装政府采购需求标准（试行）                             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5C9488C1">
      <w:pPr>
        <w:numPr>
          <w:ilvl w:val="2"/>
          <w:numId w:val="18"/>
        </w:numPr>
        <w:shd w:val="clear" w:color="auto" w:fill="FFFFFF"/>
        <w:snapToGrid w:val="0"/>
        <w:spacing w:line="360" w:lineRule="auto"/>
        <w:jc w:val="left"/>
        <w:rPr>
          <w:rFonts w:ascii="宋体" w:hAnsi="宋体" w:cs="宋体"/>
          <w:sz w:val="24"/>
          <w:highlight w:val="none"/>
        </w:rPr>
      </w:pPr>
      <w:r>
        <w:rPr>
          <w:rFonts w:hint="eastAsia" w:ascii="宋体" w:hAnsi="宋体" w:cs="宋体"/>
          <w:sz w:val="24"/>
          <w:highlight w:val="none"/>
        </w:rPr>
        <w:t>其他政府采购需求标准                                      为贯彻落实《深化政府采购制度改革方案》有关要求，推动政府采购需求标准建设,财政部门会同有关部门制定发布的其他政府采购需求标准，本项目如涉及，则具体要求见第四章《采购需求》。</w:t>
      </w:r>
    </w:p>
    <w:p w14:paraId="40BB3F8A">
      <w:pPr>
        <w:numPr>
          <w:ilvl w:val="0"/>
          <w:numId w:val="18"/>
        </w:numPr>
        <w:shd w:val="clear" w:color="auto" w:fill="FFFFFF"/>
        <w:tabs>
          <w:tab w:val="left" w:pos="36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响应费用</w:t>
      </w:r>
    </w:p>
    <w:p w14:paraId="7BA27D9C">
      <w:pPr>
        <w:numPr>
          <w:ilvl w:val="1"/>
          <w:numId w:val="18"/>
        </w:numPr>
        <w:shd w:val="clear" w:color="auto" w:fill="FFFFFF"/>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供应商应自行承担所有与准备和参加磋商有关的费用，无论磋商的结果如何，采购人或采购代理机构在任何情况下均无承担这些费用的义务和责任。</w:t>
      </w:r>
    </w:p>
    <w:p w14:paraId="697DADFF">
      <w:pPr>
        <w:shd w:val="clear" w:color="auto" w:fill="FFFFFF"/>
        <w:tabs>
          <w:tab w:val="left" w:pos="1080"/>
        </w:tabs>
        <w:snapToGrid w:val="0"/>
        <w:spacing w:line="360" w:lineRule="auto"/>
        <w:ind w:left="1080"/>
        <w:rPr>
          <w:rFonts w:ascii="宋体" w:hAnsi="宋体" w:cs="宋体"/>
          <w:sz w:val="28"/>
          <w:highlight w:val="none"/>
        </w:rPr>
      </w:pPr>
    </w:p>
    <w:p w14:paraId="0EB881E1">
      <w:pPr>
        <w:pStyle w:val="4"/>
        <w:shd w:val="clear" w:color="auto" w:fill="FFFFFF"/>
        <w:spacing w:before="0" w:line="360" w:lineRule="auto"/>
        <w:rPr>
          <w:rFonts w:ascii="宋体" w:hAnsi="宋体" w:eastAsia="宋体" w:cs="宋体"/>
          <w:sz w:val="28"/>
          <w:highlight w:val="none"/>
        </w:rPr>
      </w:pPr>
      <w:r>
        <w:rPr>
          <w:rFonts w:hint="eastAsia" w:ascii="宋体" w:hAnsi="宋体" w:eastAsia="宋体" w:cs="宋体"/>
          <w:sz w:val="28"/>
          <w:highlight w:val="none"/>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A4F558B">
      <w:pPr>
        <w:numPr>
          <w:ilvl w:val="0"/>
          <w:numId w:val="18"/>
        </w:numPr>
        <w:shd w:val="clear" w:color="auto" w:fill="FFFFFF"/>
        <w:tabs>
          <w:tab w:val="left" w:pos="360"/>
        </w:tabs>
        <w:snapToGrid w:val="0"/>
        <w:spacing w:line="360" w:lineRule="auto"/>
        <w:ind w:left="357" w:hanging="357"/>
        <w:outlineLvl w:val="1"/>
        <w:rPr>
          <w:rFonts w:ascii="宋体" w:hAnsi="宋体" w:cs="宋体"/>
          <w:sz w:val="24"/>
          <w:highlight w:val="none"/>
        </w:rPr>
      </w:pPr>
      <w:bookmarkStart w:id="150" w:name="_Toc226309767"/>
      <w:bookmarkStart w:id="151" w:name="_Toc264969213"/>
      <w:bookmarkStart w:id="152" w:name="_Toc150509274"/>
      <w:bookmarkStart w:id="153" w:name="_Toc127161437"/>
      <w:bookmarkStart w:id="154" w:name="_Toc149720816"/>
      <w:bookmarkStart w:id="155" w:name="_Toc226965796"/>
      <w:bookmarkStart w:id="156" w:name="_Toc226965713"/>
      <w:bookmarkStart w:id="157" w:name="_Toc151190150"/>
      <w:bookmarkStart w:id="158" w:name="_Toc151193837"/>
      <w:bookmarkStart w:id="159" w:name="_Toc226337219"/>
      <w:bookmarkStart w:id="160" w:name="_Toc265228361"/>
      <w:bookmarkStart w:id="161" w:name="_Toc151193911"/>
      <w:bookmarkStart w:id="162" w:name="_Toc142311025"/>
      <w:bookmarkStart w:id="163" w:name="_Toc195842888"/>
      <w:bookmarkStart w:id="164" w:name="_Toc164229218"/>
      <w:bookmarkStart w:id="165" w:name="_Toc164351617"/>
      <w:bookmarkStart w:id="166" w:name="_Toc520356147"/>
      <w:bookmarkStart w:id="167" w:name="_Toc151193765"/>
      <w:bookmarkStart w:id="168" w:name="_Toc151193693"/>
      <w:bookmarkStart w:id="169" w:name="_Toc164608792"/>
      <w:bookmarkStart w:id="170" w:name="_Toc127151523"/>
      <w:bookmarkStart w:id="171" w:name="_Toc127151724"/>
      <w:bookmarkStart w:id="172" w:name="_Toc305158791"/>
      <w:bookmarkStart w:id="173" w:name="_Toc164229364"/>
      <w:bookmarkStart w:id="174" w:name="_Toc150774623"/>
      <w:bookmarkStart w:id="175" w:name="_Toc150480761"/>
      <w:bookmarkStart w:id="176" w:name="_Toc305158865"/>
      <w:bookmarkStart w:id="177" w:name="_Toc164608637"/>
      <w:bookmarkStart w:id="178" w:name="_Toc150774728"/>
      <w:bookmarkStart w:id="179" w:name="_Toc151193621"/>
      <w:r>
        <w:rPr>
          <w:rFonts w:hint="eastAsia" w:ascii="宋体" w:hAnsi="宋体" w:cs="宋体"/>
          <w:sz w:val="24"/>
          <w:highlight w:val="none"/>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hint="eastAsia" w:ascii="宋体" w:hAnsi="宋体" w:cs="宋体"/>
          <w:sz w:val="24"/>
          <w:highlight w:val="none"/>
        </w:rPr>
        <w:t>成</w:t>
      </w:r>
    </w:p>
    <w:p w14:paraId="2EE11CBF">
      <w:pPr>
        <w:numPr>
          <w:ilvl w:val="1"/>
          <w:numId w:val="18"/>
        </w:numPr>
        <w:shd w:val="clear" w:color="auto" w:fill="FFFFFF"/>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竞争性磋商文件包括以下部分：</w:t>
      </w:r>
    </w:p>
    <w:p w14:paraId="06B32818">
      <w:pPr>
        <w:numPr>
          <w:ilvl w:val="0"/>
          <w:numId w:val="20"/>
        </w:numPr>
        <w:shd w:val="clear" w:color="auto" w:fill="FFFFFF"/>
        <w:tabs>
          <w:tab w:val="left" w:pos="1980"/>
          <w:tab w:val="left" w:pos="2520"/>
        </w:tabs>
        <w:snapToGrid w:val="0"/>
        <w:spacing w:line="360" w:lineRule="auto"/>
        <w:ind w:left="1440" w:firstLine="5"/>
        <w:rPr>
          <w:rFonts w:ascii="宋体" w:hAnsi="宋体" w:cs="宋体"/>
          <w:sz w:val="24"/>
          <w:highlight w:val="none"/>
        </w:rPr>
      </w:pPr>
      <w:r>
        <w:rPr>
          <w:rFonts w:hint="eastAsia" w:ascii="宋体" w:hAnsi="宋体" w:cs="宋体"/>
          <w:sz w:val="24"/>
          <w:highlight w:val="none"/>
        </w:rPr>
        <w:t>采购邀请</w:t>
      </w:r>
    </w:p>
    <w:p w14:paraId="70713708">
      <w:pPr>
        <w:numPr>
          <w:ilvl w:val="0"/>
          <w:numId w:val="20"/>
        </w:numPr>
        <w:shd w:val="clear" w:color="auto" w:fill="FFFFFF"/>
        <w:tabs>
          <w:tab w:val="left" w:pos="1980"/>
          <w:tab w:val="left" w:pos="2520"/>
        </w:tabs>
        <w:snapToGrid w:val="0"/>
        <w:spacing w:line="360" w:lineRule="auto"/>
        <w:ind w:left="1440" w:firstLine="5"/>
        <w:rPr>
          <w:rFonts w:ascii="宋体" w:hAnsi="宋体" w:cs="宋体"/>
          <w:sz w:val="24"/>
          <w:highlight w:val="none"/>
        </w:rPr>
      </w:pPr>
      <w:r>
        <w:rPr>
          <w:rFonts w:hint="eastAsia" w:ascii="宋体" w:hAnsi="宋体" w:cs="宋体"/>
          <w:sz w:val="24"/>
          <w:highlight w:val="none"/>
        </w:rPr>
        <w:t>供应商须知</w:t>
      </w:r>
    </w:p>
    <w:p w14:paraId="48F0622E">
      <w:pPr>
        <w:numPr>
          <w:ilvl w:val="0"/>
          <w:numId w:val="20"/>
        </w:numPr>
        <w:shd w:val="clear" w:color="auto" w:fill="FFFFFF"/>
        <w:tabs>
          <w:tab w:val="left" w:pos="1980"/>
          <w:tab w:val="left" w:pos="2520"/>
        </w:tabs>
        <w:snapToGrid w:val="0"/>
        <w:spacing w:line="360" w:lineRule="auto"/>
        <w:ind w:left="1440" w:firstLine="5"/>
        <w:rPr>
          <w:rFonts w:ascii="宋体" w:hAnsi="宋体" w:cs="宋体"/>
          <w:sz w:val="24"/>
          <w:highlight w:val="none"/>
        </w:rPr>
      </w:pPr>
      <w:r>
        <w:rPr>
          <w:rFonts w:hint="eastAsia" w:ascii="宋体" w:hAnsi="宋体" w:cs="宋体"/>
          <w:sz w:val="24"/>
          <w:highlight w:val="none"/>
        </w:rPr>
        <w:t>评审方法和评审标准</w:t>
      </w:r>
    </w:p>
    <w:p w14:paraId="71881D60">
      <w:pPr>
        <w:numPr>
          <w:ilvl w:val="0"/>
          <w:numId w:val="20"/>
        </w:numPr>
        <w:shd w:val="clear" w:color="auto" w:fill="FFFFFF"/>
        <w:tabs>
          <w:tab w:val="left" w:pos="1980"/>
          <w:tab w:val="left" w:pos="2520"/>
        </w:tabs>
        <w:snapToGrid w:val="0"/>
        <w:spacing w:line="360" w:lineRule="auto"/>
        <w:ind w:left="1440" w:firstLine="5"/>
        <w:rPr>
          <w:rFonts w:ascii="宋体" w:hAnsi="宋体" w:cs="宋体"/>
          <w:sz w:val="24"/>
          <w:highlight w:val="none"/>
        </w:rPr>
      </w:pPr>
      <w:r>
        <w:rPr>
          <w:rFonts w:hint="eastAsia" w:ascii="宋体" w:hAnsi="宋体" w:cs="宋体"/>
          <w:sz w:val="24"/>
          <w:highlight w:val="none"/>
        </w:rPr>
        <w:t>采购需求</w:t>
      </w:r>
    </w:p>
    <w:p w14:paraId="546A7175">
      <w:pPr>
        <w:numPr>
          <w:ilvl w:val="0"/>
          <w:numId w:val="20"/>
        </w:numPr>
        <w:shd w:val="clear" w:color="auto" w:fill="FFFFFF"/>
        <w:tabs>
          <w:tab w:val="left" w:pos="1980"/>
          <w:tab w:val="left" w:pos="2520"/>
        </w:tabs>
        <w:snapToGrid w:val="0"/>
        <w:spacing w:line="360" w:lineRule="auto"/>
        <w:ind w:left="1440" w:firstLine="5"/>
        <w:rPr>
          <w:rFonts w:ascii="宋体" w:hAnsi="宋体" w:cs="宋体"/>
          <w:sz w:val="24"/>
          <w:highlight w:val="none"/>
        </w:rPr>
      </w:pPr>
      <w:r>
        <w:rPr>
          <w:rFonts w:hint="eastAsia" w:ascii="宋体" w:hAnsi="宋体" w:cs="宋体"/>
          <w:sz w:val="24"/>
          <w:highlight w:val="none"/>
        </w:rPr>
        <w:t>合同草案条款</w:t>
      </w:r>
    </w:p>
    <w:p w14:paraId="0E7B9BC7">
      <w:pPr>
        <w:numPr>
          <w:ilvl w:val="0"/>
          <w:numId w:val="20"/>
        </w:numPr>
        <w:shd w:val="clear" w:color="auto" w:fill="FFFFFF"/>
        <w:tabs>
          <w:tab w:val="left" w:pos="1980"/>
          <w:tab w:val="left" w:pos="2520"/>
        </w:tabs>
        <w:snapToGrid w:val="0"/>
        <w:spacing w:line="360" w:lineRule="auto"/>
        <w:ind w:left="1440" w:firstLine="5"/>
        <w:rPr>
          <w:rFonts w:ascii="宋体" w:hAnsi="宋体" w:cs="宋体"/>
          <w:sz w:val="24"/>
          <w:highlight w:val="none"/>
        </w:rPr>
      </w:pPr>
      <w:r>
        <w:rPr>
          <w:rFonts w:hint="eastAsia" w:ascii="宋体" w:hAnsi="宋体" w:cs="宋体"/>
          <w:sz w:val="24"/>
          <w:highlight w:val="none"/>
        </w:rPr>
        <w:t>响应文件格式</w:t>
      </w:r>
    </w:p>
    <w:p w14:paraId="3B2CC162">
      <w:pPr>
        <w:numPr>
          <w:ilvl w:val="1"/>
          <w:numId w:val="18"/>
        </w:numPr>
        <w:shd w:val="clear" w:color="auto" w:fill="FFFFFF"/>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highlight w:val="none"/>
        </w:rPr>
        <w:t>响应无效</w:t>
      </w:r>
      <w:r>
        <w:rPr>
          <w:rFonts w:hint="eastAsia" w:ascii="宋体" w:hAnsi="宋体" w:cs="宋体"/>
          <w:sz w:val="24"/>
          <w:highlight w:val="none"/>
        </w:rPr>
        <w:t>。</w:t>
      </w:r>
    </w:p>
    <w:p w14:paraId="01B7A22A">
      <w:pPr>
        <w:numPr>
          <w:ilvl w:val="0"/>
          <w:numId w:val="18"/>
        </w:numPr>
        <w:shd w:val="clear" w:color="auto" w:fill="FFFFFF"/>
        <w:tabs>
          <w:tab w:val="left" w:pos="1080"/>
          <w:tab w:val="left" w:pos="2014"/>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对竞争性磋商文件的澄清或修改</w:t>
      </w:r>
    </w:p>
    <w:p w14:paraId="3793B650">
      <w:pPr>
        <w:numPr>
          <w:ilvl w:val="1"/>
          <w:numId w:val="18"/>
        </w:numPr>
        <w:shd w:val="clear" w:color="auto" w:fill="FFFFFF"/>
        <w:tabs>
          <w:tab w:val="left" w:pos="1080"/>
          <w:tab w:val="left" w:pos="1561"/>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78070282">
      <w:pPr>
        <w:numPr>
          <w:ilvl w:val="1"/>
          <w:numId w:val="18"/>
        </w:numPr>
        <w:shd w:val="clear" w:color="auto" w:fill="FFFFFF"/>
        <w:tabs>
          <w:tab w:val="left" w:pos="1080"/>
          <w:tab w:val="left" w:pos="1561"/>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上述书面通知，按照获取竞争性磋商文件的潜在供应商提供的联系方式发出，因提供的信息有误导致通知延迟或无法通知的，采购人或采购代理机构不承担责任。</w:t>
      </w:r>
    </w:p>
    <w:p w14:paraId="07A6D438">
      <w:pPr>
        <w:numPr>
          <w:ilvl w:val="1"/>
          <w:numId w:val="18"/>
        </w:numPr>
        <w:shd w:val="clear" w:color="auto" w:fill="FFFFFF"/>
        <w:tabs>
          <w:tab w:val="left" w:pos="1080"/>
          <w:tab w:val="left" w:pos="1561"/>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截止时间。</w:t>
      </w:r>
    </w:p>
    <w:p w14:paraId="172FDB4A">
      <w:pPr>
        <w:shd w:val="clear" w:color="auto" w:fill="FFFFFF"/>
        <w:tabs>
          <w:tab w:val="left" w:pos="1080"/>
          <w:tab w:val="left" w:pos="1561"/>
        </w:tabs>
        <w:snapToGrid w:val="0"/>
        <w:spacing w:line="360" w:lineRule="auto"/>
        <w:ind w:left="1080"/>
        <w:rPr>
          <w:rFonts w:ascii="宋体" w:hAnsi="宋体" w:cs="宋体"/>
          <w:sz w:val="28"/>
          <w:highlight w:val="none"/>
        </w:rPr>
      </w:pPr>
      <w:bookmarkStart w:id="180" w:name="_Toc516367020"/>
      <w:bookmarkStart w:id="181" w:name="_Toc264969216"/>
      <w:bookmarkStart w:id="182" w:name="_Toc127151526"/>
      <w:bookmarkStart w:id="183" w:name="_Toc305158794"/>
      <w:bookmarkStart w:id="184" w:name="_Toc226965799"/>
      <w:bookmarkStart w:id="185" w:name="_Toc151193840"/>
      <w:bookmarkStart w:id="186" w:name="_Toc150774626"/>
      <w:bookmarkStart w:id="187" w:name="_Toc151190153"/>
      <w:bookmarkStart w:id="188" w:name="_Toc150774731"/>
      <w:bookmarkStart w:id="189" w:name="_Toc265228364"/>
      <w:bookmarkStart w:id="190" w:name="_Toc142311028"/>
      <w:bookmarkStart w:id="191" w:name="_Toc226337222"/>
      <w:bookmarkStart w:id="192" w:name="_Toc151193696"/>
      <w:bookmarkStart w:id="193" w:name="_Toc305158868"/>
      <w:bookmarkStart w:id="194" w:name="_Toc226309770"/>
      <w:bookmarkStart w:id="195" w:name="_Toc151193768"/>
      <w:bookmarkStart w:id="196" w:name="_Toc520356150"/>
      <w:bookmarkStart w:id="197" w:name="_Toc226965716"/>
      <w:bookmarkStart w:id="198" w:name="_Toc151193914"/>
      <w:bookmarkStart w:id="199" w:name="_Toc150509277"/>
      <w:bookmarkStart w:id="200" w:name="_Toc150480764"/>
      <w:bookmarkStart w:id="201" w:name="_Toc151193624"/>
      <w:bookmarkStart w:id="202" w:name="_Toc195842891"/>
    </w:p>
    <w:p w14:paraId="6E35CFD6">
      <w:pPr>
        <w:pStyle w:val="4"/>
        <w:shd w:val="clear" w:color="auto" w:fill="FFFFFF"/>
        <w:spacing w:before="0" w:line="360" w:lineRule="auto"/>
        <w:rPr>
          <w:rFonts w:ascii="宋体" w:hAnsi="宋体" w:eastAsia="宋体" w:cs="宋体"/>
          <w:sz w:val="28"/>
          <w:highlight w:val="none"/>
        </w:rPr>
      </w:pPr>
      <w:r>
        <w:rPr>
          <w:rFonts w:hint="eastAsia" w:ascii="宋体" w:hAnsi="宋体" w:eastAsia="宋体" w:cs="宋体"/>
          <w:sz w:val="28"/>
          <w:highlight w:val="none"/>
        </w:rPr>
        <w:t>三   响应文件</w:t>
      </w:r>
      <w:bookmarkEnd w:id="180"/>
      <w:r>
        <w:rPr>
          <w:rFonts w:hint="eastAsia" w:ascii="宋体" w:hAnsi="宋体" w:eastAsia="宋体" w:cs="宋体"/>
          <w:sz w:val="28"/>
          <w:highlight w:val="none"/>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07E1FDAA">
      <w:pPr>
        <w:numPr>
          <w:ilvl w:val="0"/>
          <w:numId w:val="18"/>
        </w:numPr>
        <w:shd w:val="clear" w:color="auto" w:fill="FFFFFF"/>
        <w:tabs>
          <w:tab w:val="left" w:pos="360"/>
        </w:tabs>
        <w:snapToGrid w:val="0"/>
        <w:spacing w:line="360" w:lineRule="auto"/>
        <w:ind w:left="357" w:hanging="357"/>
        <w:outlineLvl w:val="1"/>
        <w:rPr>
          <w:rFonts w:ascii="宋体" w:hAnsi="宋体" w:cs="宋体"/>
          <w:sz w:val="24"/>
          <w:highlight w:val="none"/>
        </w:rPr>
      </w:pPr>
      <w:bookmarkStart w:id="203" w:name="_Toc127151527"/>
      <w:bookmarkStart w:id="204" w:name="_Toc151193625"/>
      <w:bookmarkStart w:id="205" w:name="_Toc226309771"/>
      <w:bookmarkStart w:id="206" w:name="_Toc142311029"/>
      <w:bookmarkStart w:id="207" w:name="_Toc151193841"/>
      <w:bookmarkStart w:id="208" w:name="_Toc305158869"/>
      <w:bookmarkStart w:id="209" w:name="_Toc226337223"/>
      <w:bookmarkStart w:id="210" w:name="_Toc164608796"/>
      <w:bookmarkStart w:id="211" w:name="_Toc150774627"/>
      <w:bookmarkStart w:id="212" w:name="_Toc149720820"/>
      <w:bookmarkStart w:id="213" w:name="_Toc150774732"/>
      <w:bookmarkStart w:id="214" w:name="_Toc151193697"/>
      <w:bookmarkStart w:id="215" w:name="_Toc226965717"/>
      <w:bookmarkStart w:id="216" w:name="_Toc516367021"/>
      <w:bookmarkStart w:id="217" w:name="_Toc151190154"/>
      <w:bookmarkStart w:id="218" w:name="_Toc127151728"/>
      <w:bookmarkStart w:id="219" w:name="_Toc164351621"/>
      <w:bookmarkStart w:id="220" w:name="_Toc127161441"/>
      <w:bookmarkStart w:id="221" w:name="_Toc150509278"/>
      <w:bookmarkStart w:id="222" w:name="_Toc150480765"/>
      <w:bookmarkStart w:id="223" w:name="_Toc520356151"/>
      <w:bookmarkStart w:id="224" w:name="_Toc305158795"/>
      <w:bookmarkStart w:id="225" w:name="_Toc265228365"/>
      <w:bookmarkStart w:id="226" w:name="_Toc195842892"/>
      <w:bookmarkStart w:id="227" w:name="_Toc164608641"/>
      <w:bookmarkStart w:id="228" w:name="_Toc151193915"/>
      <w:bookmarkStart w:id="229" w:name="_Toc164229222"/>
      <w:bookmarkStart w:id="230" w:name="_Toc164229368"/>
      <w:bookmarkStart w:id="231" w:name="_Toc151193769"/>
      <w:bookmarkStart w:id="232" w:name="_Toc226965800"/>
      <w:bookmarkStart w:id="233" w:name="_Toc264969217"/>
      <w:r>
        <w:rPr>
          <w:rFonts w:hint="eastAsia" w:ascii="宋体" w:hAnsi="宋体" w:cs="宋体"/>
          <w:sz w:val="24"/>
          <w:highlight w:val="none"/>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hint="eastAsia" w:ascii="宋体" w:hAnsi="宋体" w:cs="宋体"/>
          <w:sz w:val="24"/>
          <w:highlight w:val="none"/>
        </w:rPr>
        <w:t>及磋商语言</w:t>
      </w:r>
    </w:p>
    <w:p w14:paraId="1F8DBD7E">
      <w:pPr>
        <w:numPr>
          <w:ilvl w:val="1"/>
          <w:numId w:val="18"/>
        </w:numPr>
        <w:shd w:val="clear" w:color="auto" w:fill="FFFFFF"/>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ascii="宋体" w:hAnsi="宋体" w:cs="宋体"/>
          <w:b/>
          <w:bCs/>
          <w:sz w:val="24"/>
          <w:highlight w:val="none"/>
        </w:rPr>
        <w:t>无效响应</w:t>
      </w:r>
      <w:r>
        <w:rPr>
          <w:rFonts w:hint="eastAsia" w:ascii="宋体" w:hAnsi="宋体" w:cs="宋体"/>
          <w:sz w:val="24"/>
          <w:highlight w:val="none"/>
        </w:rPr>
        <w:t>。</w:t>
      </w:r>
    </w:p>
    <w:p w14:paraId="725C5FB6">
      <w:pPr>
        <w:numPr>
          <w:ilvl w:val="1"/>
          <w:numId w:val="18"/>
        </w:numPr>
        <w:shd w:val="clear" w:color="auto" w:fill="FFFFFF"/>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除竞争性磋商文件有特殊要求外，本项目磋商所使用的计量单位，应采用中华人民共和国法定计量单位。</w:t>
      </w:r>
    </w:p>
    <w:p w14:paraId="6BD0D90F">
      <w:pPr>
        <w:numPr>
          <w:ilvl w:val="1"/>
          <w:numId w:val="18"/>
        </w:numPr>
        <w:shd w:val="clear" w:color="auto" w:fill="FFFFFF"/>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AB6FC27">
      <w:pPr>
        <w:numPr>
          <w:ilvl w:val="0"/>
          <w:numId w:val="18"/>
        </w:numPr>
        <w:shd w:val="clear" w:color="auto" w:fill="FFFFFF"/>
        <w:tabs>
          <w:tab w:val="left" w:pos="360"/>
        </w:tabs>
        <w:snapToGrid w:val="0"/>
        <w:spacing w:line="360" w:lineRule="auto"/>
        <w:ind w:left="357" w:hanging="357"/>
        <w:outlineLvl w:val="1"/>
        <w:rPr>
          <w:rFonts w:ascii="宋体" w:hAnsi="宋体" w:cs="宋体"/>
          <w:sz w:val="24"/>
          <w:highlight w:val="none"/>
        </w:rPr>
      </w:pPr>
      <w:bookmarkStart w:id="234" w:name="_Ref467306676"/>
      <w:bookmarkStart w:id="235" w:name="_Toc516367022"/>
      <w:bookmarkStart w:id="236" w:name="_Ref467306195"/>
      <w:bookmarkStart w:id="237" w:name="_Toc195842893"/>
      <w:bookmarkStart w:id="238" w:name="_Toc150774733"/>
      <w:bookmarkStart w:id="239" w:name="_Toc305158870"/>
      <w:bookmarkStart w:id="240" w:name="_Toc305158796"/>
      <w:bookmarkStart w:id="241" w:name="_Toc151193626"/>
      <w:bookmarkStart w:id="242" w:name="_Toc520356152"/>
      <w:bookmarkStart w:id="243" w:name="_Toc164229223"/>
      <w:bookmarkStart w:id="244" w:name="_Toc149720821"/>
      <w:bookmarkStart w:id="245" w:name="_Toc164608642"/>
      <w:bookmarkStart w:id="246" w:name="_Toc151193770"/>
      <w:bookmarkStart w:id="247" w:name="_Toc151190155"/>
      <w:bookmarkStart w:id="248" w:name="_Toc226965718"/>
      <w:bookmarkStart w:id="249" w:name="_Toc151193698"/>
      <w:bookmarkStart w:id="250" w:name="_Toc127151729"/>
      <w:bookmarkStart w:id="251" w:name="_Toc164351622"/>
      <w:bookmarkStart w:id="252" w:name="_Toc127151528"/>
      <w:bookmarkStart w:id="253" w:name="_Toc164608797"/>
      <w:bookmarkStart w:id="254" w:name="_Toc151193916"/>
      <w:bookmarkStart w:id="255" w:name="_Toc226337224"/>
      <w:bookmarkStart w:id="256" w:name="_Toc164229369"/>
      <w:bookmarkStart w:id="257" w:name="_Toc150509279"/>
      <w:bookmarkStart w:id="258" w:name="_Toc226309772"/>
      <w:bookmarkStart w:id="259" w:name="_Toc265228366"/>
      <w:bookmarkStart w:id="260" w:name="_Toc150774628"/>
      <w:bookmarkStart w:id="261" w:name="_Toc150480766"/>
      <w:bookmarkStart w:id="262" w:name="_Toc127161442"/>
      <w:bookmarkStart w:id="263" w:name="_Toc151193842"/>
      <w:bookmarkStart w:id="264" w:name="_Toc226965801"/>
      <w:bookmarkStart w:id="265" w:name="_Toc264969218"/>
      <w:bookmarkStart w:id="266" w:name="_Toc142311030"/>
      <w:r>
        <w:rPr>
          <w:rFonts w:hint="eastAsia" w:ascii="宋体" w:hAnsi="宋体" w:cs="宋体"/>
          <w:sz w:val="24"/>
          <w:highlight w:val="none"/>
        </w:rPr>
        <w:t>响应文件</w:t>
      </w:r>
      <w:bookmarkEnd w:id="234"/>
      <w:bookmarkEnd w:id="235"/>
      <w:bookmarkEnd w:id="236"/>
      <w:r>
        <w:rPr>
          <w:rFonts w:hint="eastAsia" w:ascii="宋体" w:hAnsi="宋体" w:cs="宋体"/>
          <w:sz w:val="24"/>
          <w:highlight w:val="none"/>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71019A8">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bookmarkStart w:id="267" w:name="_Ref467052588"/>
      <w:r>
        <w:rPr>
          <w:rFonts w:hint="eastAsia" w:ascii="宋体" w:hAnsi="宋体" w:cs="宋体"/>
          <w:sz w:val="24"/>
          <w:highlight w:val="none"/>
        </w:rPr>
        <w:t>供应商应当按照竞争性磋商文件的要求编制响应文件，</w:t>
      </w:r>
      <w:r>
        <w:rPr>
          <w:rFonts w:hint="eastAsia" w:ascii="宋体" w:hAnsi="宋体" w:cs="宋体"/>
          <w:kern w:val="0"/>
          <w:sz w:val="24"/>
          <w:highlight w:val="none"/>
        </w:rPr>
        <w:t>并对其提交的响应文件的真实性、合法性承担法律责任</w:t>
      </w:r>
      <w:r>
        <w:rPr>
          <w:rFonts w:hint="eastAsia" w:ascii="宋体" w:hAnsi="宋体" w:cs="宋体"/>
          <w:sz w:val="24"/>
          <w:highlight w:val="none"/>
        </w:rPr>
        <w:t>。响应文件的部分格式要求，见第六章《响应文件格式》。</w:t>
      </w:r>
    </w:p>
    <w:p w14:paraId="509DCF79">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kern w:val="0"/>
          <w:sz w:val="24"/>
          <w:highlight w:val="none"/>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bCs/>
          <w:kern w:val="0"/>
          <w:sz w:val="24"/>
          <w:highlight w:val="none"/>
        </w:rPr>
        <w:t>否则响应无效</w:t>
      </w:r>
      <w:r>
        <w:rPr>
          <w:rFonts w:hint="eastAsia" w:ascii="宋体" w:hAnsi="宋体" w:cs="宋体"/>
          <w:kern w:val="0"/>
          <w:sz w:val="24"/>
          <w:highlight w:val="none"/>
        </w:rPr>
        <w:t>。未标记“实质性格式"的文件和竞争性磋商文件未提供格式的内容，可由供应商自行编写。</w:t>
      </w:r>
    </w:p>
    <w:p w14:paraId="4C6BBCEB">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第三章《评审方法和评审标准》中涉及的证明文件。</w:t>
      </w:r>
    </w:p>
    <w:p w14:paraId="47C760BB">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4280804">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供应商认为应附的其他材料。</w:t>
      </w:r>
      <w:bookmarkEnd w:id="267"/>
    </w:p>
    <w:p w14:paraId="569C018B">
      <w:pPr>
        <w:numPr>
          <w:ilvl w:val="0"/>
          <w:numId w:val="18"/>
        </w:numPr>
        <w:shd w:val="clear" w:color="auto" w:fill="FFFFFF"/>
        <w:tabs>
          <w:tab w:val="left" w:pos="360"/>
        </w:tabs>
        <w:snapToGrid w:val="0"/>
        <w:spacing w:line="360" w:lineRule="auto"/>
        <w:ind w:left="357" w:hanging="357"/>
        <w:outlineLvl w:val="1"/>
        <w:rPr>
          <w:rFonts w:ascii="宋体" w:hAnsi="宋体" w:cs="宋体"/>
          <w:sz w:val="24"/>
          <w:highlight w:val="none"/>
        </w:rPr>
      </w:pPr>
      <w:bookmarkStart w:id="268" w:name="_Toc142311032"/>
      <w:bookmarkStart w:id="269" w:name="_Toc151190157"/>
      <w:bookmarkStart w:id="270" w:name="_Toc195842895"/>
      <w:bookmarkStart w:id="271" w:name="_Toc150480768"/>
      <w:bookmarkStart w:id="272" w:name="_Toc520356155"/>
      <w:bookmarkStart w:id="273" w:name="_Toc151193844"/>
      <w:bookmarkStart w:id="274" w:name="_Toc151193700"/>
      <w:bookmarkStart w:id="275" w:name="_Toc164229225"/>
      <w:bookmarkStart w:id="276" w:name="_Toc164608799"/>
      <w:bookmarkStart w:id="277" w:name="_Toc151193918"/>
      <w:bookmarkStart w:id="278" w:name="_Toc127151530"/>
      <w:bookmarkStart w:id="279" w:name="_Toc150774630"/>
      <w:bookmarkStart w:id="280" w:name="_Toc150774735"/>
      <w:bookmarkStart w:id="281" w:name="_Toc149720823"/>
      <w:bookmarkStart w:id="282" w:name="_Toc164608644"/>
      <w:bookmarkStart w:id="283" w:name="_Toc150509281"/>
      <w:bookmarkStart w:id="284" w:name="_Toc151193628"/>
      <w:bookmarkStart w:id="285" w:name="_Toc164229371"/>
      <w:bookmarkStart w:id="286" w:name="_Toc151193772"/>
      <w:bookmarkStart w:id="287" w:name="_Toc164351624"/>
      <w:bookmarkStart w:id="288" w:name="_Toc127161444"/>
      <w:bookmarkStart w:id="289" w:name="_Toc127151731"/>
      <w:r>
        <w:rPr>
          <w:rFonts w:hint="eastAsia" w:ascii="宋体" w:hAnsi="宋体" w:cs="宋体"/>
          <w:sz w:val="24"/>
          <w:highlight w:val="none"/>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20121127">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所有响应均以人民币为计价货币。</w:t>
      </w:r>
    </w:p>
    <w:p w14:paraId="296D0572">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5C3DF975">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 xml:space="preserve">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3D610023">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按照竞争性磋商文件要求完成本项目的全部相关费用。</w:t>
      </w:r>
    </w:p>
    <w:p w14:paraId="486449D2">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采购人不得向供应商索要或者接受其给予的赠品、回扣或者与采购无关的其他商品、服务。</w:t>
      </w:r>
    </w:p>
    <w:p w14:paraId="18046E8E">
      <w:pPr>
        <w:numPr>
          <w:ilvl w:val="1"/>
          <w:numId w:val="18"/>
        </w:numPr>
        <w:shd w:val="clear" w:color="auto" w:fill="FFFFFF"/>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供应商不能提供任何有选择性或可调整的最后报价（</w:t>
      </w:r>
      <w:r>
        <w:rPr>
          <w:rFonts w:hint="eastAsia" w:ascii="宋体" w:hAnsi="宋体" w:cs="宋体"/>
          <w:color w:val="000000"/>
          <w:kern w:val="0"/>
          <w:sz w:val="24"/>
          <w:highlight w:val="none"/>
        </w:rPr>
        <w:t>竞争性磋商文件</w:t>
      </w:r>
      <w:r>
        <w:rPr>
          <w:rFonts w:hint="eastAsia" w:ascii="宋体" w:hAnsi="宋体" w:cs="宋体"/>
          <w:sz w:val="24"/>
          <w:highlight w:val="none"/>
        </w:rPr>
        <w:t>另有规定的除外），否则其</w:t>
      </w:r>
      <w:r>
        <w:rPr>
          <w:rFonts w:hint="eastAsia" w:ascii="宋体" w:hAnsi="宋体" w:cs="宋体"/>
          <w:b/>
          <w:sz w:val="24"/>
          <w:highlight w:val="none"/>
        </w:rPr>
        <w:t>响应无效</w:t>
      </w:r>
      <w:r>
        <w:rPr>
          <w:rFonts w:hint="eastAsia" w:ascii="宋体" w:hAnsi="宋体" w:cs="宋体"/>
          <w:sz w:val="24"/>
          <w:highlight w:val="none"/>
        </w:rPr>
        <w:t>。</w:t>
      </w:r>
    </w:p>
    <w:p w14:paraId="459CB5B5">
      <w:pPr>
        <w:numPr>
          <w:ilvl w:val="0"/>
          <w:numId w:val="18"/>
        </w:numPr>
        <w:shd w:val="clear" w:color="auto" w:fill="FFFFFF"/>
        <w:tabs>
          <w:tab w:val="left" w:pos="36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磋商保证金</w:t>
      </w:r>
    </w:p>
    <w:p w14:paraId="3683A979">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bookmarkStart w:id="290" w:name="_Ref467306302"/>
      <w:r>
        <w:rPr>
          <w:rFonts w:hint="eastAsia" w:ascii="宋体" w:hAnsi="宋体" w:cs="宋体"/>
          <w:sz w:val="24"/>
          <w:highlight w:val="none"/>
        </w:rPr>
        <w:t>供应商应按《供应商须知资料表》中规定的金额及要求交纳磋商保证金</w:t>
      </w:r>
      <w:bookmarkEnd w:id="290"/>
      <w:r>
        <w:rPr>
          <w:rFonts w:hint="eastAsia" w:ascii="宋体" w:hAnsi="宋体" w:cs="宋体"/>
          <w:sz w:val="24"/>
          <w:highlight w:val="none"/>
        </w:rPr>
        <w:t>。供</w:t>
      </w:r>
      <w:r>
        <w:rPr>
          <w:rFonts w:hint="eastAsia" w:ascii="FZSSK--GBK1-0" w:hAnsi="FZSSK--GBK1-0" w:eastAsia="FZSSK--GBK1-0"/>
          <w:sz w:val="24"/>
          <w:highlight w:val="none"/>
        </w:rPr>
        <w:t>应商自愿超额缴纳磋商保证金的，响应文件不做无效处理。</w:t>
      </w:r>
    </w:p>
    <w:p w14:paraId="4162E278">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交纳磋商保证金可采用的形式：政府采购法律法规接受的支票、汇票、本票、网上银行支付或者金融机构、担保机构出具的保函等非现金形式。</w:t>
      </w:r>
    </w:p>
    <w:p w14:paraId="59E7E600">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Pr>
          <w:rFonts w:hint="eastAsia" w:ascii="宋体" w:hAnsi="宋体" w:cs="宋体"/>
          <w:b/>
          <w:sz w:val="24"/>
          <w:highlight w:val="none"/>
        </w:rPr>
        <w:t>响应无效</w:t>
      </w:r>
      <w:r>
        <w:rPr>
          <w:rFonts w:hint="eastAsia" w:ascii="宋体" w:hAnsi="宋体" w:cs="宋体"/>
          <w:sz w:val="24"/>
          <w:highlight w:val="none"/>
        </w:rPr>
        <w:t>。</w:t>
      </w:r>
    </w:p>
    <w:p w14:paraId="36E85020">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供应商除需在响应文件中提供“磋商保证金凭证/交款单据”，还需在首次响应文件提交截止时间前，通过电子交易平台上传“磋商保证金凭证/交款单据电子件”。（仅适用于电子标）</w:t>
      </w:r>
    </w:p>
    <w:p w14:paraId="25DC62EE">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磋商保证金有效期同响应有效期。</w:t>
      </w:r>
    </w:p>
    <w:p w14:paraId="36409E89">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供应商为联合体的，可以由联合体中的一方或者多方共同交纳磋商保证金，其交纳的保证金对联合体各方均具有约束力。</w:t>
      </w:r>
    </w:p>
    <w:p w14:paraId="69E146A3">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DFC186B">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napToGrid w:val="0"/>
          <w:kern w:val="0"/>
          <w:sz w:val="24"/>
          <w:highlight w:val="none"/>
        </w:rPr>
        <w:t>已提交响应文件的供应商，在提交最后报价之前，可以根据磋商情况退出磋商。采购人、采购代理机构将退还退出磋商的供应商的磋商保证金；</w:t>
      </w:r>
    </w:p>
    <w:p w14:paraId="2E460D6E">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成交供应商的磋商保证金，在采购合同签订后5个工作日内退还成交供应商；</w:t>
      </w:r>
    </w:p>
    <w:p w14:paraId="1461DFBA">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未成交供应商的磋商保证金，在成交通知书发出后5个工作日内退还。</w:t>
      </w:r>
    </w:p>
    <w:p w14:paraId="7F642AEA">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有下列情形之一的，采购人或采购代理机构不予退还磋商保证金：</w:t>
      </w:r>
    </w:p>
    <w:p w14:paraId="5CF4080F">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供应商在提交响应文件截止时间后撤回响应文件的；</w:t>
      </w:r>
    </w:p>
    <w:p w14:paraId="1917659D">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供应商在响应文件中提供虚假材料的；</w:t>
      </w:r>
    </w:p>
    <w:p w14:paraId="43EA03C0">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除因不可抗力或磋商文件认可的情形以外，成交供应商不与采购人签订合同的；</w:t>
      </w:r>
    </w:p>
    <w:p w14:paraId="40D055AA">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供应商与采购人、其他供应商或者采购代理机构恶意串通的；</w:t>
      </w:r>
    </w:p>
    <w:p w14:paraId="64FBC994">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《供应商须知资料表》规定的其他情形。</w:t>
      </w:r>
    </w:p>
    <w:p w14:paraId="0C73FE54">
      <w:pPr>
        <w:numPr>
          <w:ilvl w:val="0"/>
          <w:numId w:val="18"/>
        </w:numPr>
        <w:shd w:val="clear" w:color="auto" w:fill="FFFFFF"/>
        <w:tabs>
          <w:tab w:val="left" w:pos="36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响应有效期</w:t>
      </w:r>
    </w:p>
    <w:p w14:paraId="44DFAA44">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响应文件应在本竞争性磋商文件《供应商须知资料表》中规定的响应有效期内保持有效，响应有效期少于竞争性磋商文件规定期限的，其</w:t>
      </w:r>
      <w:r>
        <w:rPr>
          <w:rFonts w:hint="eastAsia" w:ascii="宋体" w:hAnsi="宋体" w:cs="宋体"/>
          <w:b/>
          <w:sz w:val="24"/>
          <w:highlight w:val="none"/>
        </w:rPr>
        <w:t>响应无效</w:t>
      </w:r>
      <w:r>
        <w:rPr>
          <w:rFonts w:hint="eastAsia" w:ascii="宋体" w:hAnsi="宋体" w:cs="宋体"/>
          <w:sz w:val="24"/>
          <w:highlight w:val="none"/>
        </w:rPr>
        <w:t>。</w:t>
      </w:r>
    </w:p>
    <w:p w14:paraId="07C62D4D">
      <w:pPr>
        <w:numPr>
          <w:ilvl w:val="0"/>
          <w:numId w:val="18"/>
        </w:numPr>
        <w:shd w:val="clear" w:color="auto" w:fill="FFFFFF"/>
        <w:tabs>
          <w:tab w:val="left" w:pos="360"/>
        </w:tabs>
        <w:snapToGrid w:val="0"/>
        <w:spacing w:line="360" w:lineRule="auto"/>
        <w:ind w:left="357" w:hanging="357"/>
        <w:outlineLvl w:val="1"/>
        <w:rPr>
          <w:rFonts w:ascii="宋体" w:hAnsi="宋体" w:cs="宋体"/>
          <w:sz w:val="24"/>
          <w:highlight w:val="none"/>
        </w:rPr>
      </w:pPr>
      <w:bookmarkStart w:id="291" w:name="_Toc142311035"/>
      <w:bookmarkStart w:id="292" w:name="_Toc150774738"/>
      <w:bookmarkStart w:id="293" w:name="_Toc226309777"/>
      <w:bookmarkStart w:id="294" w:name="_Toc265228371"/>
      <w:bookmarkStart w:id="295" w:name="_Toc150774633"/>
      <w:bookmarkStart w:id="296" w:name="_Toc151193631"/>
      <w:bookmarkStart w:id="297" w:name="_Toc127151533"/>
      <w:bookmarkStart w:id="298" w:name="_Toc150509284"/>
      <w:bookmarkStart w:id="299" w:name="_Toc264969223"/>
      <w:bookmarkStart w:id="300" w:name="_Toc226965806"/>
      <w:bookmarkStart w:id="301" w:name="_Toc151193775"/>
      <w:bookmarkStart w:id="302" w:name="_Toc305158875"/>
      <w:bookmarkStart w:id="303" w:name="_Toc305158801"/>
      <w:bookmarkStart w:id="304" w:name="_Toc150480771"/>
      <w:bookmarkStart w:id="305" w:name="_Toc164229374"/>
      <w:bookmarkStart w:id="306" w:name="_Toc151193921"/>
      <w:bookmarkStart w:id="307" w:name="_Toc195842898"/>
      <w:bookmarkStart w:id="308" w:name="_Toc164351627"/>
      <w:bookmarkStart w:id="309" w:name="_Toc149720826"/>
      <w:bookmarkStart w:id="310" w:name="_Toc164608647"/>
      <w:bookmarkStart w:id="311" w:name="_Toc127161447"/>
      <w:bookmarkStart w:id="312" w:name="_Toc164608802"/>
      <w:bookmarkStart w:id="313" w:name="_Toc151193703"/>
      <w:bookmarkStart w:id="314" w:name="_Toc127151734"/>
      <w:bookmarkStart w:id="315" w:name="_Toc151190160"/>
      <w:bookmarkStart w:id="316" w:name="_Toc151193847"/>
      <w:bookmarkStart w:id="317" w:name="_Toc164229228"/>
      <w:bookmarkStart w:id="318" w:name="_Toc226965723"/>
      <w:bookmarkStart w:id="319" w:name="_Toc226337229"/>
      <w:bookmarkStart w:id="320" w:name="_Toc520356158"/>
      <w:r>
        <w:rPr>
          <w:rFonts w:hint="eastAsia" w:ascii="宋体" w:hAnsi="宋体" w:cs="宋体"/>
          <w:sz w:val="24"/>
          <w:highlight w:val="none"/>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hint="eastAsia" w:ascii="宋体" w:hAnsi="宋体" w:cs="宋体"/>
          <w:sz w:val="24"/>
          <w:highlight w:val="none"/>
        </w:rPr>
        <w:t>、盖章</w:t>
      </w:r>
    </w:p>
    <w:p w14:paraId="6A1671A8">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bookmarkStart w:id="321" w:name="_Toc142311036"/>
      <w:bookmarkStart w:id="322" w:name="_Toc150774739"/>
      <w:bookmarkStart w:id="323" w:name="_Toc151193632"/>
      <w:bookmarkStart w:id="324" w:name="_Toc151190161"/>
      <w:bookmarkStart w:id="325" w:name="_Toc226337230"/>
      <w:bookmarkStart w:id="326" w:name="_Toc226309778"/>
      <w:bookmarkStart w:id="327" w:name="_Toc226965807"/>
      <w:bookmarkStart w:id="328" w:name="_Toc151193848"/>
      <w:bookmarkStart w:id="329" w:name="_Toc264969224"/>
      <w:bookmarkStart w:id="330" w:name="_Toc151193776"/>
      <w:bookmarkStart w:id="331" w:name="_Toc265228372"/>
      <w:bookmarkStart w:id="332" w:name="_Toc127151534"/>
      <w:bookmarkStart w:id="333" w:name="_Toc305158802"/>
      <w:bookmarkStart w:id="334" w:name="_Toc195842899"/>
      <w:bookmarkStart w:id="335" w:name="_Toc226965724"/>
      <w:bookmarkStart w:id="336" w:name="_Toc305158876"/>
      <w:bookmarkStart w:id="337" w:name="_Toc151193704"/>
      <w:bookmarkStart w:id="338" w:name="_Toc520356159"/>
      <w:bookmarkStart w:id="339" w:name="_Toc151193922"/>
      <w:bookmarkStart w:id="340" w:name="_Toc150774634"/>
      <w:bookmarkStart w:id="341" w:name="_Toc150480772"/>
      <w:bookmarkStart w:id="342" w:name="_Toc150509285"/>
      <w:r>
        <w:rPr>
          <w:rFonts w:hint="eastAsia" w:ascii="宋体" w:hAnsi="宋体" w:cs="宋体"/>
          <w:sz w:val="24"/>
          <w:highlight w:val="none"/>
        </w:rPr>
        <w:t>供应商应按竞争性磋商文件第二章供应商须知资料表的规定准备响应文件的正本、副本、电子版，每份响应文件须清楚地标明“正本”、“副本”、“电子版”。副本可以为正本的复印件，若正本和副本、电子文件不符，以纸质正本为准。</w:t>
      </w:r>
      <w:r>
        <w:rPr>
          <w:rFonts w:hint="eastAsia" w:ascii="宋体" w:hAnsi="宋体"/>
          <w:sz w:val="24"/>
          <w:highlight w:val="none"/>
        </w:rPr>
        <w:t>响应文件可双面打印。</w:t>
      </w:r>
    </w:p>
    <w:p w14:paraId="3AB4E142">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响应文件的正本需打印或用不退色墨水书写；</w:t>
      </w:r>
    </w:p>
    <w:p w14:paraId="00B6A00A">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任何对响应文件行间插字、涂改和增删，必须由法定代表人或其授权代表签字或加盖本单位公章后有效；</w:t>
      </w:r>
    </w:p>
    <w:p w14:paraId="12B3265F">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响应文件因字迹潦草或表达不清所引起的后果由供应商负责；</w:t>
      </w:r>
    </w:p>
    <w:p w14:paraId="2921BA6F">
      <w:pPr>
        <w:shd w:val="clear" w:color="auto" w:fill="FFFFFF"/>
        <w:tabs>
          <w:tab w:val="left" w:pos="900"/>
          <w:tab w:val="left" w:pos="1080"/>
        </w:tabs>
        <w:snapToGrid w:val="0"/>
        <w:spacing w:line="360" w:lineRule="auto"/>
        <w:ind w:left="357"/>
        <w:rPr>
          <w:rFonts w:ascii="宋体" w:hAnsi="宋体" w:cs="宋体"/>
          <w:highlight w:val="none"/>
        </w:rPr>
      </w:pPr>
      <w:r>
        <w:rPr>
          <w:rFonts w:hint="eastAsia" w:ascii="宋体" w:hAnsi="宋体" w:cs="宋体"/>
          <w:sz w:val="24"/>
          <w:highlight w:val="none"/>
        </w:rPr>
        <w:t>竞争性磋商文件中所要求加盖的供应商公章是指与供应商名称全称相一致的“行政公章”，不得加盖其它“合同专用章、投标专用章、财务专用章”等非行政公章，否则将被视为无效响应。</w:t>
      </w:r>
    </w:p>
    <w:p w14:paraId="220193DC">
      <w:pPr>
        <w:shd w:val="clear" w:color="auto" w:fill="FFFFFF"/>
        <w:tabs>
          <w:tab w:val="left" w:pos="900"/>
          <w:tab w:val="left" w:pos="1080"/>
        </w:tabs>
        <w:snapToGrid w:val="0"/>
        <w:spacing w:line="360" w:lineRule="auto"/>
        <w:ind w:left="357"/>
        <w:rPr>
          <w:rFonts w:ascii="宋体" w:hAnsi="宋体" w:cs="宋体"/>
          <w:highlight w:val="none"/>
        </w:rPr>
      </w:pPr>
    </w:p>
    <w:p w14:paraId="2C5FCC28">
      <w:pPr>
        <w:pStyle w:val="4"/>
        <w:shd w:val="clear" w:color="auto" w:fill="FFFFFF"/>
        <w:spacing w:before="0" w:line="360" w:lineRule="auto"/>
        <w:rPr>
          <w:rFonts w:ascii="宋体" w:hAnsi="宋体" w:eastAsia="宋体" w:cs="宋体"/>
          <w:sz w:val="28"/>
          <w:highlight w:val="none"/>
        </w:rPr>
      </w:pPr>
      <w:r>
        <w:rPr>
          <w:rFonts w:hint="eastAsia" w:ascii="宋体" w:hAnsi="宋体" w:eastAsia="宋体" w:cs="宋体"/>
          <w:sz w:val="28"/>
          <w:highlight w:val="none"/>
        </w:rPr>
        <w:t>四   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193E26B4">
      <w:pPr>
        <w:numPr>
          <w:ilvl w:val="0"/>
          <w:numId w:val="18"/>
        </w:numPr>
        <w:shd w:val="clear" w:color="auto" w:fill="FFFFFF"/>
        <w:tabs>
          <w:tab w:val="left" w:pos="360"/>
        </w:tabs>
        <w:snapToGrid w:val="0"/>
        <w:spacing w:line="360" w:lineRule="auto"/>
        <w:ind w:left="357" w:hanging="357"/>
        <w:outlineLvl w:val="1"/>
        <w:rPr>
          <w:rFonts w:ascii="宋体" w:hAnsi="宋体" w:cs="宋体"/>
          <w:sz w:val="24"/>
          <w:highlight w:val="none"/>
        </w:rPr>
      </w:pPr>
      <w:bookmarkStart w:id="343" w:name="_Toc151190162"/>
      <w:bookmarkStart w:id="344" w:name="_Toc164229230"/>
      <w:bookmarkStart w:id="345" w:name="_Toc127151535"/>
      <w:bookmarkStart w:id="346" w:name="_Toc264969225"/>
      <w:bookmarkStart w:id="347" w:name="_Toc164229376"/>
      <w:bookmarkStart w:id="348" w:name="_Toc226965725"/>
      <w:bookmarkStart w:id="349" w:name="_Toc305158877"/>
      <w:bookmarkStart w:id="350" w:name="_Toc164351629"/>
      <w:bookmarkStart w:id="351" w:name="_Toc195842900"/>
      <w:bookmarkStart w:id="352" w:name="_Toc150480773"/>
      <w:bookmarkStart w:id="353" w:name="_Toc142311037"/>
      <w:bookmarkStart w:id="354" w:name="_Toc520356160"/>
      <w:bookmarkStart w:id="355" w:name="_Toc150509286"/>
      <w:bookmarkStart w:id="356" w:name="_Toc149720828"/>
      <w:bookmarkStart w:id="357" w:name="_Toc164608649"/>
      <w:bookmarkStart w:id="358" w:name="_Toc164608804"/>
      <w:bookmarkStart w:id="359" w:name="_Toc151193777"/>
      <w:bookmarkStart w:id="360" w:name="_Toc151193923"/>
      <w:bookmarkStart w:id="361" w:name="_Toc127151736"/>
      <w:bookmarkStart w:id="362" w:name="_Toc305158803"/>
      <w:bookmarkStart w:id="363" w:name="_Toc265228373"/>
      <w:bookmarkStart w:id="364" w:name="_Toc226337231"/>
      <w:bookmarkStart w:id="365" w:name="_Toc150774635"/>
      <w:bookmarkStart w:id="366" w:name="_Toc151193849"/>
      <w:bookmarkStart w:id="367" w:name="_Toc151193705"/>
      <w:bookmarkStart w:id="368" w:name="_Toc226309779"/>
      <w:bookmarkStart w:id="369" w:name="_Toc150774740"/>
      <w:bookmarkStart w:id="370" w:name="_Toc151193633"/>
      <w:bookmarkStart w:id="371" w:name="_Toc226965808"/>
      <w:bookmarkStart w:id="372" w:name="_Toc127161449"/>
      <w:r>
        <w:rPr>
          <w:rFonts w:hint="eastAsia" w:ascii="宋体" w:hAnsi="宋体" w:cs="宋体"/>
          <w:sz w:val="24"/>
          <w:highlight w:val="none"/>
        </w:rPr>
        <w:t>响应文件的</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hint="eastAsia" w:ascii="宋体" w:hAnsi="宋体" w:cs="宋体"/>
          <w:sz w:val="24"/>
          <w:highlight w:val="none"/>
        </w:rPr>
        <w:t>提交</w:t>
      </w:r>
    </w:p>
    <w:p w14:paraId="129993F8">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b/>
          <w:sz w:val="24"/>
          <w:highlight w:val="none"/>
        </w:rPr>
        <w:t>响应文件一律采用A4纸（图纸、彩页等除外）左侧装订。装订应牢固可靠，不易散落，不得采用活页式装订，采购人或采购代理机构对因装订不牢造成的文件散失不负责任。</w:t>
      </w:r>
    </w:p>
    <w:p w14:paraId="3A5E1A72">
      <w:pPr>
        <w:numPr>
          <w:ilvl w:val="1"/>
          <w:numId w:val="18"/>
        </w:numPr>
        <w:tabs>
          <w:tab w:val="left" w:pos="1080"/>
          <w:tab w:val="left" w:pos="2014"/>
        </w:tabs>
        <w:snapToGrid w:val="0"/>
        <w:spacing w:line="360" w:lineRule="auto"/>
        <w:ind w:left="1134" w:hanging="708"/>
        <w:rPr>
          <w:rFonts w:ascii="宋体" w:hAnsi="宋体"/>
          <w:sz w:val="24"/>
          <w:highlight w:val="none"/>
        </w:rPr>
      </w:pPr>
      <w:r>
        <w:rPr>
          <w:rFonts w:hint="eastAsia" w:ascii="宋体" w:hAnsi="宋体"/>
          <w:sz w:val="24"/>
          <w:highlight w:val="none"/>
        </w:rPr>
        <w:t>所有响应文件必须装入密封的信封，并在封口上加盖供应商的公章。响应文件的正本、副本和电子版应分别封装，并在每一信封或包装的封面上写明：</w:t>
      </w:r>
    </w:p>
    <w:p w14:paraId="4342EB13">
      <w:pPr>
        <w:tabs>
          <w:tab w:val="left" w:pos="1080"/>
          <w:tab w:val="left" w:pos="1589"/>
          <w:tab w:val="left" w:pos="2014"/>
        </w:tabs>
        <w:snapToGrid w:val="0"/>
        <w:spacing w:line="360" w:lineRule="auto"/>
        <w:ind w:left="1077"/>
        <w:rPr>
          <w:rFonts w:ascii="宋体" w:hAnsi="宋体"/>
          <w:sz w:val="24"/>
          <w:highlight w:val="none"/>
        </w:rPr>
      </w:pPr>
      <w:r>
        <w:rPr>
          <w:rFonts w:hint="eastAsia" w:ascii="宋体" w:hAnsi="宋体"/>
          <w:sz w:val="24"/>
          <w:highlight w:val="none"/>
        </w:rPr>
        <w:t>正本或副本或电子版；</w:t>
      </w:r>
    </w:p>
    <w:p w14:paraId="33715152">
      <w:pPr>
        <w:tabs>
          <w:tab w:val="left" w:pos="1080"/>
          <w:tab w:val="left" w:pos="1589"/>
          <w:tab w:val="left" w:pos="2014"/>
        </w:tabs>
        <w:snapToGrid w:val="0"/>
        <w:spacing w:line="360" w:lineRule="auto"/>
        <w:ind w:left="1077"/>
        <w:rPr>
          <w:rFonts w:ascii="宋体" w:hAnsi="宋体"/>
          <w:sz w:val="24"/>
          <w:highlight w:val="none"/>
        </w:rPr>
      </w:pPr>
      <w:r>
        <w:rPr>
          <w:rFonts w:hint="eastAsia" w:ascii="宋体" w:hAnsi="宋体"/>
          <w:sz w:val="24"/>
          <w:highlight w:val="none"/>
        </w:rPr>
        <w:t>采购人名称；</w:t>
      </w:r>
    </w:p>
    <w:p w14:paraId="5B7775F7">
      <w:pPr>
        <w:tabs>
          <w:tab w:val="left" w:pos="1080"/>
          <w:tab w:val="left" w:pos="1589"/>
          <w:tab w:val="left" w:pos="2014"/>
        </w:tabs>
        <w:snapToGrid w:val="0"/>
        <w:spacing w:line="360" w:lineRule="auto"/>
        <w:ind w:left="1077"/>
        <w:rPr>
          <w:rFonts w:ascii="宋体" w:hAnsi="宋体"/>
          <w:sz w:val="24"/>
          <w:highlight w:val="none"/>
        </w:rPr>
      </w:pPr>
      <w:r>
        <w:rPr>
          <w:rFonts w:hint="eastAsia" w:ascii="宋体" w:hAnsi="宋体"/>
          <w:sz w:val="24"/>
          <w:highlight w:val="none"/>
        </w:rPr>
        <w:t>磋商地点及时间；</w:t>
      </w:r>
    </w:p>
    <w:p w14:paraId="1DB36276">
      <w:pPr>
        <w:tabs>
          <w:tab w:val="left" w:pos="1080"/>
          <w:tab w:val="left" w:pos="1589"/>
          <w:tab w:val="left" w:pos="2014"/>
        </w:tabs>
        <w:snapToGrid w:val="0"/>
        <w:spacing w:line="360" w:lineRule="auto"/>
        <w:ind w:left="1077"/>
        <w:rPr>
          <w:rFonts w:ascii="宋体" w:hAnsi="宋体"/>
          <w:sz w:val="24"/>
          <w:highlight w:val="none"/>
        </w:rPr>
      </w:pPr>
      <w:r>
        <w:rPr>
          <w:rFonts w:hint="eastAsia" w:ascii="宋体" w:hAnsi="宋体"/>
          <w:sz w:val="24"/>
          <w:highlight w:val="none"/>
        </w:rPr>
        <w:t>项目编号；</w:t>
      </w:r>
    </w:p>
    <w:p w14:paraId="55A220A7">
      <w:pPr>
        <w:tabs>
          <w:tab w:val="left" w:pos="1080"/>
          <w:tab w:val="left" w:pos="1589"/>
          <w:tab w:val="left" w:pos="2014"/>
        </w:tabs>
        <w:snapToGrid w:val="0"/>
        <w:spacing w:line="360" w:lineRule="auto"/>
        <w:ind w:left="1077"/>
        <w:rPr>
          <w:rFonts w:ascii="宋体" w:hAnsi="宋体"/>
          <w:sz w:val="24"/>
          <w:highlight w:val="none"/>
        </w:rPr>
      </w:pPr>
      <w:r>
        <w:rPr>
          <w:rFonts w:hint="eastAsia" w:ascii="宋体" w:hAnsi="宋体"/>
          <w:sz w:val="24"/>
          <w:highlight w:val="none"/>
        </w:rPr>
        <w:t>项目名称；</w:t>
      </w:r>
    </w:p>
    <w:p w14:paraId="29B08833">
      <w:pPr>
        <w:shd w:val="clear" w:color="auto" w:fill="FFFFFF"/>
        <w:tabs>
          <w:tab w:val="left" w:pos="900"/>
          <w:tab w:val="left" w:pos="1080"/>
          <w:tab w:val="left" w:pos="1589"/>
          <w:tab w:val="left" w:pos="2014"/>
        </w:tabs>
        <w:snapToGrid w:val="0"/>
        <w:spacing w:line="360" w:lineRule="auto"/>
        <w:ind w:firstLine="991" w:firstLineChars="413"/>
        <w:rPr>
          <w:rFonts w:ascii="宋体" w:hAnsi="宋体" w:cs="宋体"/>
          <w:sz w:val="24"/>
          <w:highlight w:val="none"/>
        </w:rPr>
      </w:pPr>
      <w:r>
        <w:rPr>
          <w:rFonts w:hint="eastAsia" w:ascii="宋体" w:hAnsi="宋体"/>
          <w:sz w:val="24"/>
          <w:highlight w:val="none"/>
        </w:rPr>
        <w:t>供应商名称及地址。</w:t>
      </w:r>
    </w:p>
    <w:p w14:paraId="2BEDD6B7">
      <w:pPr>
        <w:numPr>
          <w:ilvl w:val="0"/>
          <w:numId w:val="18"/>
        </w:numPr>
        <w:shd w:val="clear" w:color="auto" w:fill="FFFFFF"/>
        <w:tabs>
          <w:tab w:val="left" w:pos="360"/>
        </w:tabs>
        <w:snapToGrid w:val="0"/>
        <w:spacing w:line="360" w:lineRule="auto"/>
        <w:ind w:left="357" w:hanging="357"/>
        <w:outlineLvl w:val="2"/>
        <w:rPr>
          <w:rFonts w:ascii="宋体" w:hAnsi="宋体" w:cs="宋体"/>
          <w:sz w:val="24"/>
          <w:highlight w:val="none"/>
        </w:rPr>
      </w:pPr>
      <w:bookmarkStart w:id="373" w:name="_Toc149720829"/>
      <w:bookmarkStart w:id="374" w:name="_Toc164229377"/>
      <w:bookmarkStart w:id="375" w:name="_Toc265228374"/>
      <w:bookmarkStart w:id="376" w:name="_Toc305158804"/>
      <w:bookmarkStart w:id="377" w:name="_Toc164351630"/>
      <w:bookmarkStart w:id="378" w:name="_Toc151193924"/>
      <w:bookmarkStart w:id="379" w:name="_Toc226965809"/>
      <w:bookmarkStart w:id="380" w:name="_Toc520356161"/>
      <w:bookmarkStart w:id="381" w:name="_Toc164608805"/>
      <w:bookmarkStart w:id="382" w:name="_Toc127151737"/>
      <w:bookmarkStart w:id="383" w:name="_Toc264969226"/>
      <w:bookmarkStart w:id="384" w:name="_Toc127151536"/>
      <w:bookmarkStart w:id="385" w:name="_Toc151193778"/>
      <w:bookmarkStart w:id="386" w:name="_Toc142311038"/>
      <w:bookmarkStart w:id="387" w:name="_Toc305158878"/>
      <w:bookmarkStart w:id="388" w:name="_Toc127161450"/>
      <w:bookmarkStart w:id="389" w:name="_Toc164229231"/>
      <w:bookmarkStart w:id="390" w:name="_Toc226309780"/>
      <w:bookmarkStart w:id="391" w:name="_Toc150774741"/>
      <w:bookmarkStart w:id="392" w:name="_Toc151193706"/>
      <w:bookmarkStart w:id="393" w:name="_Toc150509287"/>
      <w:bookmarkStart w:id="394" w:name="_Toc195842901"/>
      <w:bookmarkStart w:id="395" w:name="_Toc150480774"/>
      <w:bookmarkStart w:id="396" w:name="_Toc151193634"/>
      <w:bookmarkStart w:id="397" w:name="_Toc150774636"/>
      <w:bookmarkStart w:id="398" w:name="_Toc151190163"/>
      <w:bookmarkStart w:id="399" w:name="_Toc226965726"/>
      <w:bookmarkStart w:id="400" w:name="_Toc164608650"/>
      <w:bookmarkStart w:id="401" w:name="_Toc151193850"/>
      <w:bookmarkStart w:id="402" w:name="_Toc226337232"/>
      <w:r>
        <w:rPr>
          <w:rFonts w:hint="eastAsia" w:ascii="宋体" w:hAnsi="宋体" w:cs="宋体"/>
          <w:sz w:val="24"/>
          <w:highlight w:val="none"/>
        </w:rPr>
        <w:t>响应文件递交截止</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hint="eastAsia" w:ascii="宋体" w:hAnsi="宋体" w:cs="宋体"/>
          <w:sz w:val="24"/>
          <w:highlight w:val="none"/>
        </w:rPr>
        <w:t>时间</w:t>
      </w:r>
    </w:p>
    <w:p w14:paraId="01204C18">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供应商应在竞争性磋商文件要求提交响应文件截止时间前，将响应文件按竞争性磋商邀请中规定的地点递交。</w:t>
      </w:r>
    </w:p>
    <w:p w14:paraId="102B157B">
      <w:pPr>
        <w:numPr>
          <w:ilvl w:val="0"/>
          <w:numId w:val="18"/>
        </w:numPr>
        <w:shd w:val="clear" w:color="auto" w:fill="FFFFFF"/>
        <w:tabs>
          <w:tab w:val="left" w:pos="360"/>
        </w:tabs>
        <w:snapToGrid w:val="0"/>
        <w:spacing w:line="360" w:lineRule="auto"/>
        <w:ind w:left="357" w:hanging="357"/>
        <w:outlineLvl w:val="2"/>
        <w:rPr>
          <w:rFonts w:ascii="宋体" w:hAnsi="宋体" w:cs="宋体"/>
          <w:sz w:val="24"/>
          <w:highlight w:val="none"/>
        </w:rPr>
      </w:pPr>
      <w:bookmarkStart w:id="403" w:name="_Toc226965727"/>
      <w:bookmarkStart w:id="404" w:name="_Toc305158805"/>
      <w:bookmarkStart w:id="405" w:name="_Toc226309781"/>
      <w:bookmarkStart w:id="406" w:name="_Toc151193925"/>
      <w:bookmarkStart w:id="407" w:name="_Toc265228375"/>
      <w:bookmarkStart w:id="408" w:name="_Toc305158879"/>
      <w:bookmarkStart w:id="409" w:name="_Toc164229232"/>
      <w:bookmarkStart w:id="410" w:name="_Toc127151738"/>
      <w:bookmarkStart w:id="411" w:name="_Toc127151537"/>
      <w:bookmarkStart w:id="412" w:name="_Toc226337233"/>
      <w:bookmarkStart w:id="413" w:name="_Toc226965810"/>
      <w:bookmarkStart w:id="414" w:name="_Toc151193851"/>
      <w:bookmarkStart w:id="415" w:name="_Toc149720830"/>
      <w:bookmarkStart w:id="416" w:name="_Toc520356162"/>
      <w:bookmarkStart w:id="417" w:name="_Toc127161451"/>
      <w:bookmarkStart w:id="418" w:name="_Toc151193779"/>
      <w:bookmarkStart w:id="419" w:name="_Toc164351631"/>
      <w:bookmarkStart w:id="420" w:name="_Toc150509288"/>
      <w:bookmarkStart w:id="421" w:name="_Toc150480775"/>
      <w:bookmarkStart w:id="422" w:name="_Toc164229378"/>
      <w:bookmarkStart w:id="423" w:name="_Toc151190164"/>
      <w:bookmarkStart w:id="424" w:name="_Toc164608651"/>
      <w:bookmarkStart w:id="425" w:name="_Toc150774742"/>
      <w:bookmarkStart w:id="426" w:name="_Toc164608806"/>
      <w:bookmarkStart w:id="427" w:name="_Toc142311039"/>
      <w:bookmarkStart w:id="428" w:name="_Toc151193707"/>
      <w:bookmarkStart w:id="429" w:name="_Toc151193635"/>
      <w:bookmarkStart w:id="430" w:name="_Toc195842902"/>
      <w:bookmarkStart w:id="431" w:name="_Toc264969227"/>
      <w:bookmarkStart w:id="432" w:name="_Toc150774637"/>
      <w:r>
        <w:rPr>
          <w:rFonts w:hint="eastAsia" w:ascii="宋体" w:hAnsi="宋体" w:cs="宋体"/>
          <w:sz w:val="24"/>
          <w:highlight w:val="none"/>
        </w:rPr>
        <w:t>响应文件的修改与撤回</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18FC0E01">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提交响应文件截止时间前，供应商可以对所提交的响应文件进行补充、修改或者撤回。磋商保证金的补充、修改或者撤回无需通过电子交易平台，但应就其补充、修改或者撤回通知采购人或采购代理机构。</w:t>
      </w:r>
    </w:p>
    <w:p w14:paraId="74B28CF4">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供应商对响应文件的补充、修改的内容应当按照竞争性磋商文件要求签署、盖章，作为响应文件的组成部分。补充、修改的内容与响应文件不一致的， 以补充、修改的内容为准。</w:t>
      </w:r>
    </w:p>
    <w:p w14:paraId="2F445ADE">
      <w:pPr>
        <w:shd w:val="clear" w:color="auto" w:fill="FFFFFF"/>
        <w:tabs>
          <w:tab w:val="left" w:pos="900"/>
          <w:tab w:val="left" w:pos="1080"/>
          <w:tab w:val="left" w:pos="1589"/>
        </w:tabs>
        <w:snapToGrid w:val="0"/>
        <w:spacing w:line="360" w:lineRule="auto"/>
        <w:ind w:left="357"/>
        <w:rPr>
          <w:rFonts w:ascii="宋体" w:hAnsi="宋体" w:cs="宋体"/>
          <w:sz w:val="24"/>
          <w:highlight w:val="none"/>
        </w:rPr>
      </w:pPr>
    </w:p>
    <w:p w14:paraId="1798AF4F">
      <w:pPr>
        <w:pStyle w:val="4"/>
        <w:shd w:val="clear" w:color="auto" w:fill="FFFFFF"/>
        <w:spacing w:before="0" w:line="360" w:lineRule="auto"/>
        <w:rPr>
          <w:rFonts w:ascii="宋体" w:hAnsi="宋体" w:eastAsia="宋体" w:cs="宋体"/>
          <w:sz w:val="28"/>
          <w:highlight w:val="none"/>
        </w:rPr>
      </w:pPr>
      <w:bookmarkStart w:id="433" w:name="_Toc151193852"/>
      <w:bookmarkStart w:id="434" w:name="_Toc142311040"/>
      <w:bookmarkStart w:id="435" w:name="_Toc150774638"/>
      <w:bookmarkStart w:id="436" w:name="_Toc127151538"/>
      <w:bookmarkStart w:id="437" w:name="_Toc226309782"/>
      <w:bookmarkStart w:id="438" w:name="_Toc151193780"/>
      <w:bookmarkStart w:id="439" w:name="_Toc264969228"/>
      <w:bookmarkStart w:id="440" w:name="_Toc150480776"/>
      <w:bookmarkStart w:id="441" w:name="_Toc305158880"/>
      <w:bookmarkStart w:id="442" w:name="_Toc151190165"/>
      <w:bookmarkStart w:id="443" w:name="_Toc150509289"/>
      <w:bookmarkStart w:id="444" w:name="_Toc151193708"/>
      <w:bookmarkStart w:id="445" w:name="_Toc305158806"/>
      <w:bookmarkStart w:id="446" w:name="_Toc151193926"/>
      <w:bookmarkStart w:id="447" w:name="_Toc226965728"/>
      <w:bookmarkStart w:id="448" w:name="_Toc226337234"/>
      <w:bookmarkStart w:id="449" w:name="_Toc151193636"/>
      <w:bookmarkStart w:id="450" w:name="_Toc226965811"/>
      <w:bookmarkStart w:id="451" w:name="_Toc265228376"/>
      <w:bookmarkStart w:id="452" w:name="_Toc195842903"/>
      <w:bookmarkStart w:id="453" w:name="_Toc520356163"/>
      <w:bookmarkStart w:id="454" w:name="_Toc150774743"/>
      <w:r>
        <w:rPr>
          <w:rFonts w:hint="eastAsia" w:ascii="宋体" w:hAnsi="宋体" w:eastAsia="宋体" w:cs="宋体"/>
          <w:sz w:val="28"/>
          <w:highlight w:val="none"/>
        </w:rPr>
        <w:t xml:space="preserve">五   </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hint="eastAsia" w:ascii="宋体" w:hAnsi="宋体" w:eastAsia="宋体" w:cs="宋体"/>
          <w:sz w:val="28"/>
          <w:highlight w:val="none"/>
        </w:rPr>
        <w:t>评审</w:t>
      </w:r>
    </w:p>
    <w:p w14:paraId="2ECBBBD2">
      <w:pPr>
        <w:numPr>
          <w:ilvl w:val="0"/>
          <w:numId w:val="18"/>
        </w:numPr>
        <w:tabs>
          <w:tab w:val="left" w:pos="36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响应文件的开启</w:t>
      </w:r>
    </w:p>
    <w:p w14:paraId="364AAD68">
      <w:pPr>
        <w:numPr>
          <w:ilvl w:val="1"/>
          <w:numId w:val="18"/>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采购人或采购代理机构将按竞争性磋商文件的规定，在响应文件提交截止时间的同一时间和竞争性磋商文件预先确定的地点开启响应文件。</w:t>
      </w:r>
    </w:p>
    <w:p w14:paraId="1B158D14">
      <w:pPr>
        <w:numPr>
          <w:ilvl w:val="1"/>
          <w:numId w:val="18"/>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E6A7825">
      <w:pPr>
        <w:numPr>
          <w:ilvl w:val="1"/>
          <w:numId w:val="18"/>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供应商不足3家的，</w:t>
      </w:r>
      <w:r>
        <w:rPr>
          <w:rFonts w:hint="eastAsia" w:ascii="宋体" w:hAnsi="宋体"/>
          <w:sz w:val="24"/>
          <w:highlight w:val="none"/>
        </w:rPr>
        <w:t>不予开启响应文件，磋商文件有特殊要求的除外</w:t>
      </w:r>
      <w:r>
        <w:rPr>
          <w:rFonts w:hint="eastAsia" w:ascii="宋体" w:hAnsi="宋体" w:cs="宋体"/>
          <w:sz w:val="24"/>
          <w:highlight w:val="none"/>
        </w:rPr>
        <w:t>。</w:t>
      </w:r>
    </w:p>
    <w:p w14:paraId="0202EA3D">
      <w:pPr>
        <w:numPr>
          <w:ilvl w:val="1"/>
          <w:numId w:val="18"/>
        </w:numPr>
        <w:tabs>
          <w:tab w:val="left" w:pos="1080"/>
          <w:tab w:val="left" w:pos="2014"/>
        </w:tabs>
        <w:snapToGrid w:val="0"/>
        <w:spacing w:line="360" w:lineRule="auto"/>
        <w:ind w:left="1077" w:hanging="720"/>
        <w:rPr>
          <w:rFonts w:ascii="宋体" w:hAnsi="宋体" w:cs="宋体"/>
          <w:sz w:val="24"/>
          <w:highlight w:val="none"/>
        </w:rPr>
      </w:pPr>
      <w:bookmarkStart w:id="455" w:name="_Toc520356165"/>
      <w:r>
        <w:rPr>
          <w:rFonts w:hint="eastAsia" w:ascii="宋体" w:hAnsi="宋体" w:cs="宋体"/>
          <w:sz w:val="24"/>
          <w:highlight w:val="none"/>
        </w:rPr>
        <w:t>本项目不公开报价。</w:t>
      </w:r>
    </w:p>
    <w:bookmarkEnd w:id="455"/>
    <w:p w14:paraId="3E267B5F">
      <w:pPr>
        <w:numPr>
          <w:ilvl w:val="0"/>
          <w:numId w:val="18"/>
        </w:numPr>
        <w:shd w:val="clear" w:color="auto" w:fill="FFFFFF"/>
        <w:tabs>
          <w:tab w:val="left" w:pos="36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磋商小组</w:t>
      </w:r>
    </w:p>
    <w:p w14:paraId="4AFBD7C3">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磋商小组根据政府采购有关规定和本次采购项目的特点进行组建，并负责具体评审与磋商事务，独立履行职责。</w:t>
      </w:r>
      <w:bookmarkStart w:id="456" w:name="_Toc520356166"/>
    </w:p>
    <w:p w14:paraId="24C6F5E0">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6"/>
      <w:bookmarkStart w:id="457" w:name="_Toc520356169"/>
    </w:p>
    <w:p w14:paraId="1691C2AE">
      <w:pPr>
        <w:numPr>
          <w:ilvl w:val="0"/>
          <w:numId w:val="18"/>
        </w:numPr>
        <w:shd w:val="clear" w:color="auto" w:fill="FFFFFF"/>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评审方法和评审标准</w:t>
      </w:r>
    </w:p>
    <w:p w14:paraId="783C6D3D">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见第三章《评审方法和评审标准》。</w:t>
      </w:r>
    </w:p>
    <w:p w14:paraId="78B67D7E">
      <w:pPr>
        <w:shd w:val="clear" w:color="auto" w:fill="FFFFFF"/>
        <w:tabs>
          <w:tab w:val="left" w:pos="360"/>
          <w:tab w:val="left" w:pos="1080"/>
        </w:tabs>
        <w:snapToGrid w:val="0"/>
        <w:spacing w:line="360" w:lineRule="auto"/>
        <w:ind w:left="1080"/>
        <w:rPr>
          <w:rFonts w:ascii="宋体" w:hAnsi="宋体" w:cs="宋体"/>
          <w:sz w:val="24"/>
          <w:highlight w:val="none"/>
        </w:rPr>
      </w:pPr>
    </w:p>
    <w:p w14:paraId="63483BE9">
      <w:pPr>
        <w:pStyle w:val="4"/>
        <w:shd w:val="clear" w:color="auto" w:fill="FFFFFF"/>
        <w:spacing w:before="0" w:line="360" w:lineRule="auto"/>
        <w:rPr>
          <w:rFonts w:ascii="宋体" w:hAnsi="宋体" w:eastAsia="宋体" w:cs="宋体"/>
          <w:sz w:val="28"/>
          <w:highlight w:val="none"/>
        </w:rPr>
      </w:pPr>
      <w:bookmarkStart w:id="458" w:name="_Toc151193859"/>
      <w:bookmarkStart w:id="459" w:name="_Toc226965735"/>
      <w:bookmarkStart w:id="460" w:name="_Toc151193933"/>
      <w:bookmarkStart w:id="461" w:name="_Toc226965818"/>
      <w:bookmarkStart w:id="462" w:name="_Toc151193643"/>
      <w:bookmarkStart w:id="463" w:name="_Toc142311047"/>
      <w:bookmarkStart w:id="464" w:name="_Toc150774750"/>
      <w:bookmarkStart w:id="465" w:name="_Toc265228383"/>
      <w:bookmarkStart w:id="466" w:name="_Toc264969235"/>
      <w:bookmarkStart w:id="467" w:name="_Toc151193715"/>
      <w:bookmarkStart w:id="468" w:name="_Toc150509296"/>
      <w:bookmarkStart w:id="469" w:name="_Toc151190172"/>
      <w:bookmarkStart w:id="470" w:name="_Toc305158813"/>
      <w:bookmarkStart w:id="471" w:name="_Toc150480783"/>
      <w:bookmarkStart w:id="472" w:name="_Toc226337241"/>
      <w:bookmarkStart w:id="473" w:name="_Toc150774645"/>
      <w:bookmarkStart w:id="474" w:name="_Toc195842910"/>
      <w:bookmarkStart w:id="475" w:name="_Toc127151545"/>
      <w:bookmarkStart w:id="476" w:name="_Toc226309789"/>
      <w:bookmarkStart w:id="477" w:name="_Toc305158887"/>
      <w:bookmarkStart w:id="478" w:name="_Toc151193787"/>
      <w:r>
        <w:rPr>
          <w:rFonts w:hint="eastAsia" w:ascii="宋体" w:hAnsi="宋体" w:eastAsia="宋体" w:cs="宋体"/>
          <w:sz w:val="28"/>
          <w:highlight w:val="none"/>
        </w:rPr>
        <w:t xml:space="preserve">六   </w:t>
      </w:r>
      <w:bookmarkEnd w:id="457"/>
      <w:r>
        <w:rPr>
          <w:rFonts w:hint="eastAsia" w:ascii="宋体" w:hAnsi="宋体" w:eastAsia="宋体" w:cs="宋体"/>
          <w:sz w:val="28"/>
          <w:highlight w:val="none"/>
        </w:rPr>
        <w:t>确定</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宋体" w:hAnsi="宋体" w:eastAsia="宋体" w:cs="宋体"/>
          <w:sz w:val="28"/>
          <w:highlight w:val="none"/>
        </w:rPr>
        <w:t>成交</w:t>
      </w:r>
    </w:p>
    <w:p w14:paraId="307416DB">
      <w:pPr>
        <w:numPr>
          <w:ilvl w:val="0"/>
          <w:numId w:val="18"/>
        </w:numPr>
        <w:shd w:val="clear" w:color="auto" w:fill="FFFFFF"/>
        <w:tabs>
          <w:tab w:val="left" w:pos="360"/>
        </w:tabs>
        <w:snapToGrid w:val="0"/>
        <w:spacing w:line="360" w:lineRule="auto"/>
        <w:ind w:left="357" w:hanging="357"/>
        <w:outlineLvl w:val="1"/>
        <w:rPr>
          <w:rFonts w:ascii="宋体" w:hAnsi="宋体" w:cs="宋体"/>
          <w:sz w:val="24"/>
          <w:highlight w:val="none"/>
        </w:rPr>
      </w:pPr>
      <w:bookmarkStart w:id="479" w:name="_Toc226337243"/>
      <w:bookmarkStart w:id="480" w:name="_Toc305158889"/>
      <w:bookmarkStart w:id="481" w:name="_Toc151193717"/>
      <w:bookmarkStart w:id="482" w:name="_Toc164608661"/>
      <w:bookmarkStart w:id="483" w:name="_Toc127151748"/>
      <w:bookmarkStart w:id="484" w:name="_Toc151193935"/>
      <w:bookmarkStart w:id="485" w:name="_Toc164229242"/>
      <w:bookmarkStart w:id="486" w:name="_Toc150480785"/>
      <w:bookmarkStart w:id="487" w:name="_Toc151190174"/>
      <w:bookmarkStart w:id="488" w:name="_Toc150774752"/>
      <w:bookmarkStart w:id="489" w:name="_Toc195842912"/>
      <w:bookmarkStart w:id="490" w:name="_Toc164229388"/>
      <w:bookmarkStart w:id="491" w:name="_Toc164608816"/>
      <w:bookmarkStart w:id="492" w:name="_Toc265228385"/>
      <w:bookmarkStart w:id="493" w:name="_Toc226965820"/>
      <w:bookmarkStart w:id="494" w:name="_Toc149720840"/>
      <w:bookmarkStart w:id="495" w:name="_Toc127151547"/>
      <w:bookmarkStart w:id="496" w:name="_Toc150509298"/>
      <w:bookmarkStart w:id="497" w:name="_Toc151193861"/>
      <w:bookmarkStart w:id="498" w:name="_Toc226965737"/>
      <w:bookmarkStart w:id="499" w:name="_Toc226309791"/>
      <w:bookmarkStart w:id="500" w:name="_Toc305158815"/>
      <w:bookmarkStart w:id="501" w:name="_Toc127161461"/>
      <w:bookmarkStart w:id="502" w:name="_Toc151193645"/>
      <w:bookmarkStart w:id="503" w:name="_Toc164351641"/>
      <w:bookmarkStart w:id="504" w:name="_Toc264969237"/>
      <w:bookmarkStart w:id="505" w:name="_Toc151193789"/>
      <w:bookmarkStart w:id="506" w:name="_Toc142311049"/>
      <w:bookmarkStart w:id="507" w:name="_Toc150774647"/>
      <w:r>
        <w:rPr>
          <w:rFonts w:hint="eastAsia" w:ascii="宋体" w:hAnsi="宋体" w:cs="宋体"/>
          <w:sz w:val="24"/>
          <w:highlight w:val="none"/>
        </w:rPr>
        <w:t>确定成交供应商</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36E2FD60">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0CBA8F71">
      <w:pPr>
        <w:numPr>
          <w:ilvl w:val="0"/>
          <w:numId w:val="18"/>
        </w:numPr>
        <w:shd w:val="clear" w:color="auto" w:fill="FFFFFF"/>
        <w:tabs>
          <w:tab w:val="left" w:pos="360"/>
        </w:tabs>
        <w:snapToGrid w:val="0"/>
        <w:spacing w:line="360" w:lineRule="auto"/>
        <w:ind w:left="357" w:hanging="357"/>
        <w:outlineLvl w:val="1"/>
        <w:rPr>
          <w:rFonts w:ascii="宋体" w:hAnsi="宋体" w:cs="宋体"/>
          <w:sz w:val="24"/>
          <w:highlight w:val="none"/>
        </w:rPr>
      </w:pPr>
      <w:bookmarkStart w:id="508" w:name="_Toc305158817"/>
      <w:bookmarkStart w:id="509" w:name="_Toc305158891"/>
      <w:bookmarkStart w:id="510" w:name="_Toc226965822"/>
      <w:bookmarkStart w:id="511" w:name="_Toc150509300"/>
      <w:bookmarkStart w:id="512" w:name="_Toc195842914"/>
      <w:bookmarkStart w:id="513" w:name="_Toc151193863"/>
      <w:bookmarkStart w:id="514" w:name="_Toc151193937"/>
      <w:bookmarkStart w:id="515" w:name="_Toc127161463"/>
      <w:bookmarkStart w:id="516" w:name="_Toc151190176"/>
      <w:bookmarkStart w:id="517" w:name="_Toc164608818"/>
      <w:bookmarkStart w:id="518" w:name="_Toc150480787"/>
      <w:bookmarkStart w:id="519" w:name="_Toc151193791"/>
      <w:bookmarkStart w:id="520" w:name="_Toc150774649"/>
      <w:bookmarkStart w:id="521" w:name="_Toc127151750"/>
      <w:bookmarkStart w:id="522" w:name="_Toc150774754"/>
      <w:bookmarkStart w:id="523" w:name="_Toc164229244"/>
      <w:bookmarkStart w:id="524" w:name="_Toc142311051"/>
      <w:bookmarkStart w:id="525" w:name="_Toc149720842"/>
      <w:bookmarkStart w:id="526" w:name="_Toc226309793"/>
      <w:bookmarkStart w:id="527" w:name="_Toc226965739"/>
      <w:bookmarkStart w:id="528" w:name="_Toc264969239"/>
      <w:bookmarkStart w:id="529" w:name="_Toc151193647"/>
      <w:bookmarkStart w:id="530" w:name="_Toc226337245"/>
      <w:bookmarkStart w:id="531" w:name="_Toc265228387"/>
      <w:bookmarkStart w:id="532" w:name="_Toc151193719"/>
      <w:bookmarkStart w:id="533" w:name="_Toc164351643"/>
      <w:bookmarkStart w:id="534" w:name="_Toc164608663"/>
      <w:bookmarkStart w:id="535" w:name="_Toc127151549"/>
      <w:bookmarkStart w:id="536" w:name="_Toc164229390"/>
      <w:bookmarkStart w:id="537" w:name="_Ref467306425"/>
      <w:bookmarkStart w:id="538" w:name="_Toc520356176"/>
      <w:bookmarkStart w:id="539" w:name="_Ref467307090"/>
      <w:r>
        <w:rPr>
          <w:rFonts w:hint="eastAsia" w:ascii="宋体" w:hAnsi="宋体" w:cs="宋体"/>
          <w:sz w:val="24"/>
          <w:highlight w:val="none"/>
        </w:rPr>
        <w:t>成交公告与成交通知书</w:t>
      </w:r>
      <w:bookmarkEnd w:id="508"/>
      <w:bookmarkEnd w:id="509"/>
    </w:p>
    <w:p w14:paraId="49F429AD">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采购人或采购代理机构将</w:t>
      </w:r>
      <w:r>
        <w:rPr>
          <w:rFonts w:hint="eastAsia" w:ascii="宋体" w:hAnsi="宋体" w:cs="宋体"/>
          <w:kern w:val="0"/>
          <w:sz w:val="24"/>
          <w:highlight w:val="none"/>
        </w:rPr>
        <w:t>在成交供应商确定后2个工作日内，在</w:t>
      </w:r>
      <w:r>
        <w:rPr>
          <w:rFonts w:hint="eastAsia" w:ascii="宋体" w:hAnsi="宋体" w:cs="宋体"/>
          <w:sz w:val="24"/>
          <w:highlight w:val="none"/>
        </w:rPr>
        <w:t>北京市政府采购网</w:t>
      </w:r>
      <w:r>
        <w:rPr>
          <w:rFonts w:hint="eastAsia" w:ascii="宋体" w:hAnsi="宋体" w:cs="宋体"/>
          <w:kern w:val="0"/>
          <w:sz w:val="24"/>
          <w:highlight w:val="none"/>
        </w:rPr>
        <w:t>公告成交结果，同时向成交供应商发出成交通知书，</w:t>
      </w:r>
      <w:r>
        <w:rPr>
          <w:rFonts w:hint="eastAsia" w:ascii="宋体" w:hAnsi="宋体" w:cs="宋体"/>
          <w:sz w:val="24"/>
          <w:highlight w:val="none"/>
        </w:rPr>
        <w:t>成交公告期限为1个工作日。</w:t>
      </w:r>
    </w:p>
    <w:p w14:paraId="71102C8E">
      <w:pPr>
        <w:numPr>
          <w:ilvl w:val="1"/>
          <w:numId w:val="18"/>
        </w:numPr>
        <w:shd w:val="clear" w:color="auto" w:fill="FFFFFF"/>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成交通知书对采购人和成交供应商均具有法律效力。成交通知书发出后，采购人改变成交结果的，或者成交供应商放弃成交项目的，将依法承担法律责任。</w:t>
      </w:r>
    </w:p>
    <w:p w14:paraId="5B7DAEC5">
      <w:pPr>
        <w:numPr>
          <w:ilvl w:val="0"/>
          <w:numId w:val="18"/>
        </w:numPr>
        <w:shd w:val="clear" w:color="auto" w:fill="FFFFFF"/>
        <w:tabs>
          <w:tab w:val="left" w:pos="36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终止</w:t>
      </w:r>
    </w:p>
    <w:p w14:paraId="783EE089">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出现下列情形之一的，采购人或采购代理机构将终止竞争性磋商采购活动，发布项目终止公告并说明原因，重新开展采购活动：</w:t>
      </w:r>
    </w:p>
    <w:p w14:paraId="61052F66">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因情况变化，不再符合规定的竞争性磋商采购方式适用情形的；</w:t>
      </w:r>
    </w:p>
    <w:p w14:paraId="27FEDC88">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出现影响采购公正的违法、违规行为的；</w:t>
      </w:r>
    </w:p>
    <w:p w14:paraId="524D5263">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53A85033">
      <w:pPr>
        <w:numPr>
          <w:ilvl w:val="0"/>
          <w:numId w:val="18"/>
        </w:numPr>
        <w:shd w:val="clear" w:color="auto" w:fill="FFFFFF"/>
        <w:tabs>
          <w:tab w:val="left" w:pos="360"/>
        </w:tabs>
        <w:snapToGrid w:val="0"/>
        <w:spacing w:line="360" w:lineRule="auto"/>
        <w:ind w:left="357" w:hanging="357"/>
        <w:outlineLvl w:val="1"/>
        <w:rPr>
          <w:rFonts w:ascii="宋体" w:hAnsi="宋体" w:cs="宋体"/>
          <w:sz w:val="24"/>
          <w:highlight w:val="none"/>
        </w:rPr>
      </w:pPr>
      <w:bookmarkStart w:id="540" w:name="_Ref467306978"/>
      <w:bookmarkStart w:id="541" w:name="_Toc305158818"/>
      <w:bookmarkStart w:id="542" w:name="_Toc305158892"/>
      <w:bookmarkStart w:id="543" w:name="_Ref467307204"/>
      <w:bookmarkStart w:id="544" w:name="_Toc127161464"/>
      <w:bookmarkStart w:id="545" w:name="_Toc164351644"/>
      <w:bookmarkStart w:id="546" w:name="_Toc265228388"/>
      <w:bookmarkStart w:id="547" w:name="_Toc226309794"/>
      <w:bookmarkStart w:id="548" w:name="_Toc150480788"/>
      <w:bookmarkStart w:id="549" w:name="_Toc149720843"/>
      <w:bookmarkStart w:id="550" w:name="_Toc226965740"/>
      <w:bookmarkStart w:id="551" w:name="_Toc226337246"/>
      <w:bookmarkStart w:id="552" w:name="_Toc142311052"/>
      <w:bookmarkStart w:id="553" w:name="_Toc164608819"/>
      <w:bookmarkStart w:id="554" w:name="_Toc226965823"/>
      <w:bookmarkStart w:id="555" w:name="_Toc150774650"/>
      <w:bookmarkStart w:id="556" w:name="_Toc520356175"/>
      <w:bookmarkStart w:id="557" w:name="_Toc164229391"/>
      <w:bookmarkStart w:id="558" w:name="_Ref467306377"/>
      <w:bookmarkStart w:id="559" w:name="_Toc164608664"/>
      <w:bookmarkStart w:id="560" w:name="_Toc150774755"/>
      <w:bookmarkStart w:id="561" w:name="_Toc164229245"/>
      <w:bookmarkStart w:id="562" w:name="_Toc151193720"/>
      <w:bookmarkStart w:id="563" w:name="_Toc151193938"/>
      <w:bookmarkStart w:id="564" w:name="_Toc127151751"/>
      <w:bookmarkStart w:id="565" w:name="_Toc151193864"/>
      <w:bookmarkStart w:id="566" w:name="_Toc127151550"/>
      <w:bookmarkStart w:id="567" w:name="_Toc150509301"/>
      <w:bookmarkStart w:id="568" w:name="_Toc151193792"/>
      <w:bookmarkStart w:id="569" w:name="_Toc151193648"/>
      <w:bookmarkStart w:id="570" w:name="_Toc195842915"/>
      <w:bookmarkStart w:id="571" w:name="_Toc151190177"/>
      <w:bookmarkStart w:id="572" w:name="_Ref467307062"/>
      <w:bookmarkStart w:id="573" w:name="_Toc264969240"/>
      <w:r>
        <w:rPr>
          <w:rFonts w:hint="eastAsia" w:ascii="宋体" w:hAnsi="宋体" w:cs="宋体"/>
          <w:sz w:val="24"/>
          <w:highlight w:val="none"/>
        </w:rPr>
        <w:t>签订合同</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5E8998E0">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0D2B442F">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EDA4015">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联合体成交的，联合体各方应当共同与采购人签订合同，就采购合同约定的事项向采购人承担连带责任。</w:t>
      </w:r>
    </w:p>
    <w:p w14:paraId="67F59F52">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政府采购合同不能转包。</w:t>
      </w:r>
    </w:p>
    <w:p w14:paraId="06E8CCE4">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cs="宋体"/>
          <w:b/>
          <w:bCs/>
          <w:sz w:val="24"/>
          <w:highlight w:val="none"/>
        </w:rPr>
        <w:t>否则响应无效</w:t>
      </w:r>
      <w:r>
        <w:rPr>
          <w:rFonts w:hint="eastAsia" w:ascii="宋体" w:hAnsi="宋体" w:cs="宋体"/>
          <w:sz w:val="24"/>
          <w:highlight w:val="none"/>
        </w:rPr>
        <w:t>。成交供应商就采购项目和分包项目向采购人负责，分包供应商就分包项目承担责任。</w:t>
      </w:r>
    </w:p>
    <w:p w14:paraId="272D2972">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FZSSK--GBK1-0" w:hAnsi="FZSSK--GBK1-0" w:eastAsia="FZSSK--GBK1-0"/>
          <w:sz w:val="24"/>
          <w:highlight w:val="none"/>
        </w:rPr>
        <w:t>“政采贷”融资指引：详见《供应商须知资料表》。</w:t>
      </w:r>
    </w:p>
    <w:bookmarkEnd w:id="537"/>
    <w:bookmarkEnd w:id="538"/>
    <w:bookmarkEnd w:id="539"/>
    <w:p w14:paraId="24AA4431">
      <w:pPr>
        <w:numPr>
          <w:ilvl w:val="0"/>
          <w:numId w:val="18"/>
        </w:numPr>
        <w:shd w:val="clear" w:color="auto" w:fill="FFFFFF"/>
        <w:tabs>
          <w:tab w:val="left" w:pos="360"/>
        </w:tabs>
        <w:snapToGrid w:val="0"/>
        <w:spacing w:line="360" w:lineRule="auto"/>
        <w:ind w:left="357" w:hanging="357"/>
        <w:outlineLvl w:val="1"/>
        <w:rPr>
          <w:rFonts w:ascii="宋体" w:hAnsi="宋体" w:cs="宋体"/>
          <w:b/>
          <w:bCs/>
          <w:sz w:val="24"/>
          <w:highlight w:val="none"/>
        </w:rPr>
      </w:pPr>
      <w:r>
        <w:rPr>
          <w:rFonts w:hint="eastAsia" w:ascii="宋体" w:hAnsi="宋体" w:cs="宋体"/>
          <w:b/>
          <w:bCs/>
          <w:sz w:val="24"/>
          <w:highlight w:val="none"/>
        </w:rPr>
        <w:t>询问与质疑</w:t>
      </w:r>
    </w:p>
    <w:p w14:paraId="24AC2795">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询问</w:t>
      </w:r>
    </w:p>
    <w:p w14:paraId="46168AA4">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供应商对政府采购活动事项有疑问的,可依法向采购人或采购代理机构提出询问，提出形式见《供应商须知资料表》。</w:t>
      </w:r>
    </w:p>
    <w:p w14:paraId="44A97AE6">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采购人或采购代理机构对供应商依法提出的询问，在3个工作日内作出答复，但答复的内容不得涉及商业秘密。</w:t>
      </w:r>
    </w:p>
    <w:p w14:paraId="59A2E17C">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质疑</w:t>
      </w:r>
    </w:p>
    <w:p w14:paraId="391483CC">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296E587">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256A60A0">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B950051">
      <w:pPr>
        <w:numPr>
          <w:ilvl w:val="2"/>
          <w:numId w:val="18"/>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供应商应在法定质疑期内一次性提出针对同一采购程序环节的质疑。法定质疑期内针对同一采购程序环节再次提出的质疑,采购人、采购代理机构有权不予答复。</w:t>
      </w:r>
    </w:p>
    <w:p w14:paraId="5644361D">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接收询问和质疑的联系部门、联系电话和通讯地址见《供应商须知资料表》。</w:t>
      </w:r>
    </w:p>
    <w:p w14:paraId="77F4EF73">
      <w:pPr>
        <w:numPr>
          <w:ilvl w:val="0"/>
          <w:numId w:val="18"/>
        </w:numPr>
        <w:shd w:val="clear" w:color="auto" w:fill="FFFFFF"/>
        <w:tabs>
          <w:tab w:val="left" w:pos="360"/>
        </w:tabs>
        <w:snapToGrid w:val="0"/>
        <w:spacing w:line="360" w:lineRule="auto"/>
        <w:ind w:left="357" w:hanging="357"/>
        <w:outlineLvl w:val="1"/>
        <w:rPr>
          <w:rFonts w:ascii="宋体" w:hAnsi="宋体" w:cs="宋体"/>
          <w:b/>
          <w:bCs/>
          <w:sz w:val="24"/>
          <w:highlight w:val="none"/>
        </w:rPr>
      </w:pPr>
      <w:r>
        <w:rPr>
          <w:rFonts w:hint="eastAsia" w:ascii="宋体" w:hAnsi="宋体" w:cs="宋体"/>
          <w:b/>
          <w:bCs/>
          <w:sz w:val="24"/>
          <w:highlight w:val="none"/>
        </w:rPr>
        <w:t>代理费</w:t>
      </w:r>
    </w:p>
    <w:p w14:paraId="577D95E3">
      <w:pPr>
        <w:numPr>
          <w:ilvl w:val="1"/>
          <w:numId w:val="18"/>
        </w:numPr>
        <w:shd w:val="clear" w:color="auto" w:fill="FFFFFF"/>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收费对象、收费标准及缴纳时间见《供应商须知资料表》。由成交供应商支付的，成交供应商须一次性向采购代理机构缴纳代理费，报价应包含代理费用。</w:t>
      </w:r>
    </w:p>
    <w:p w14:paraId="2EDDE623">
      <w:pPr>
        <w:shd w:val="clear" w:color="auto" w:fill="FFFFFF"/>
        <w:spacing w:line="360" w:lineRule="auto"/>
        <w:jc w:val="center"/>
        <w:outlineLvl w:val="0"/>
        <w:rPr>
          <w:rFonts w:ascii="宋体" w:hAnsi="宋体" w:cs="宋体"/>
          <w:b/>
          <w:sz w:val="36"/>
          <w:szCs w:val="36"/>
          <w:highlight w:val="none"/>
        </w:rPr>
      </w:pPr>
      <w:bookmarkStart w:id="574" w:name="_Toc305158896"/>
      <w:bookmarkStart w:id="575" w:name="_Toc142311056"/>
      <w:bookmarkStart w:id="576" w:name="_Toc353873934"/>
      <w:bookmarkStart w:id="577" w:name="_Toc305158822"/>
      <w:bookmarkStart w:id="578" w:name="_Toc150480792"/>
      <w:bookmarkStart w:id="579" w:name="_Toc265228392"/>
      <w:bookmarkStart w:id="580" w:name="_Toc353873664"/>
      <w:bookmarkStart w:id="581" w:name="_Toc226965827"/>
      <w:bookmarkStart w:id="582" w:name="_Toc353825544"/>
      <w:bookmarkStart w:id="583" w:name="_Toc127151554"/>
      <w:bookmarkStart w:id="584" w:name="_Toc264969244"/>
      <w:bookmarkStart w:id="585" w:name="_Toc226337250"/>
      <w:bookmarkStart w:id="586" w:name="_Toc150774759"/>
      <w:r>
        <w:rPr>
          <w:rFonts w:hint="eastAsia" w:ascii="宋体" w:hAnsi="宋体" w:cs="宋体"/>
          <w:b/>
          <w:sz w:val="36"/>
          <w:szCs w:val="36"/>
          <w:highlight w:val="none"/>
        </w:rPr>
        <w:br w:type="page"/>
      </w:r>
      <w:bookmarkStart w:id="587" w:name="_Toc24630"/>
      <w:r>
        <w:rPr>
          <w:rFonts w:hint="eastAsia" w:ascii="宋体" w:hAnsi="宋体" w:cs="宋体"/>
          <w:b/>
          <w:sz w:val="36"/>
          <w:szCs w:val="36"/>
          <w:highlight w:val="none"/>
        </w:rPr>
        <w:t xml:space="preserve">第三章   </w:t>
      </w:r>
      <w:bookmarkEnd w:id="574"/>
      <w:bookmarkEnd w:id="575"/>
      <w:bookmarkEnd w:id="576"/>
      <w:bookmarkEnd w:id="577"/>
      <w:bookmarkEnd w:id="578"/>
      <w:bookmarkEnd w:id="579"/>
      <w:bookmarkEnd w:id="580"/>
      <w:bookmarkEnd w:id="581"/>
      <w:bookmarkEnd w:id="582"/>
      <w:bookmarkEnd w:id="583"/>
      <w:bookmarkEnd w:id="584"/>
      <w:bookmarkEnd w:id="585"/>
      <w:bookmarkEnd w:id="586"/>
      <w:r>
        <w:rPr>
          <w:rFonts w:hint="eastAsia" w:ascii="宋体" w:hAnsi="宋体" w:cs="宋体"/>
          <w:b/>
          <w:sz w:val="36"/>
          <w:szCs w:val="36"/>
          <w:highlight w:val="none"/>
        </w:rPr>
        <w:t>评审方法和评审标准</w:t>
      </w:r>
      <w:bookmarkEnd w:id="587"/>
      <w:bookmarkStart w:id="588" w:name="_Toc487900382"/>
    </w:p>
    <w:p w14:paraId="559A56FE">
      <w:pPr>
        <w:pStyle w:val="4"/>
        <w:shd w:val="clear" w:color="auto" w:fill="FFFFFF"/>
        <w:spacing w:before="0" w:line="360" w:lineRule="auto"/>
        <w:rPr>
          <w:rFonts w:ascii="宋体" w:hAnsi="宋体" w:eastAsia="宋体" w:cs="宋体"/>
          <w:sz w:val="24"/>
          <w:szCs w:val="24"/>
          <w:highlight w:val="none"/>
        </w:rPr>
      </w:pPr>
      <w:r>
        <w:rPr>
          <w:rFonts w:hint="eastAsia" w:ascii="宋体" w:hAnsi="宋体" w:eastAsia="宋体" w:cs="宋体"/>
          <w:sz w:val="24"/>
          <w:szCs w:val="24"/>
          <w:highlight w:val="none"/>
        </w:rPr>
        <w:t>一、资格审查程序</w:t>
      </w:r>
    </w:p>
    <w:p w14:paraId="7DED7D72">
      <w:pPr>
        <w:shd w:val="clear" w:color="auto" w:fill="FFFFFF"/>
        <w:tabs>
          <w:tab w:val="left" w:pos="1080"/>
        </w:tabs>
        <w:snapToGrid w:val="0"/>
        <w:jc w:val="left"/>
        <w:rPr>
          <w:rFonts w:ascii="宋体" w:hAnsi="宋体" w:cs="宋体"/>
          <w:b/>
          <w:sz w:val="24"/>
          <w:highlight w:val="none"/>
        </w:rPr>
      </w:pPr>
      <w:r>
        <w:rPr>
          <w:rFonts w:hint="eastAsia" w:ascii="宋体" w:hAnsi="宋体" w:cs="宋体"/>
          <w:b/>
          <w:sz w:val="24"/>
          <w:highlight w:val="none"/>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88"/>
    <w:p w14:paraId="1F76F4C3">
      <w:pPr>
        <w:numPr>
          <w:ilvl w:val="0"/>
          <w:numId w:val="21"/>
        </w:numPr>
        <w:shd w:val="clear" w:color="auto" w:fill="FFFFFF"/>
        <w:tabs>
          <w:tab w:val="left" w:pos="360"/>
        </w:tabs>
        <w:snapToGrid w:val="0"/>
        <w:spacing w:line="360" w:lineRule="auto"/>
        <w:outlineLvl w:val="1"/>
        <w:rPr>
          <w:rFonts w:ascii="宋体" w:hAnsi="宋体" w:cs="宋体"/>
          <w:sz w:val="24"/>
          <w:highlight w:val="none"/>
        </w:rPr>
      </w:pPr>
      <w:bookmarkStart w:id="589" w:name="_Toc127151541"/>
      <w:bookmarkStart w:id="590" w:name="_Toc164608810"/>
      <w:bookmarkStart w:id="591" w:name="_Toc226965814"/>
      <w:bookmarkStart w:id="592" w:name="_Toc164351635"/>
      <w:bookmarkStart w:id="593" w:name="_Toc151190168"/>
      <w:bookmarkStart w:id="594" w:name="_Toc151193929"/>
      <w:bookmarkStart w:id="595" w:name="_Toc164229382"/>
      <w:bookmarkStart w:id="596" w:name="_Toc151193783"/>
      <w:bookmarkStart w:id="597" w:name="_Toc151193639"/>
      <w:bookmarkStart w:id="598" w:name="_Toc195842906"/>
      <w:bookmarkStart w:id="599" w:name="_Toc142311043"/>
      <w:bookmarkStart w:id="600" w:name="_Toc264969231"/>
      <w:bookmarkStart w:id="601" w:name="_Toc305158809"/>
      <w:bookmarkStart w:id="602" w:name="_Toc265228379"/>
      <w:bookmarkStart w:id="603" w:name="_Toc305158883"/>
      <w:bookmarkStart w:id="604" w:name="_Toc149720834"/>
      <w:bookmarkStart w:id="605" w:name="_Toc151193855"/>
      <w:bookmarkStart w:id="606" w:name="_Toc164229236"/>
      <w:bookmarkStart w:id="607" w:name="_Toc127151742"/>
      <w:bookmarkStart w:id="608" w:name="_Toc226337237"/>
      <w:bookmarkStart w:id="609" w:name="_Toc150509292"/>
      <w:bookmarkStart w:id="610" w:name="_Toc150480779"/>
      <w:bookmarkStart w:id="611" w:name="_Toc164608655"/>
      <w:bookmarkStart w:id="612" w:name="_Toc226965731"/>
      <w:bookmarkStart w:id="613" w:name="_Toc150774746"/>
      <w:bookmarkStart w:id="614" w:name="_Toc127161455"/>
      <w:bookmarkStart w:id="615" w:name="_Toc150774641"/>
      <w:bookmarkStart w:id="616" w:name="_Toc151193711"/>
      <w:bookmarkStart w:id="617" w:name="_Toc226309785"/>
      <w:bookmarkStart w:id="618" w:name="_Toc353825551"/>
      <w:bookmarkStart w:id="619" w:name="_Toc353873941"/>
      <w:bookmarkStart w:id="620" w:name="_Toc150480793"/>
      <w:bookmarkStart w:id="621" w:name="_Toc353825545"/>
      <w:bookmarkStart w:id="622" w:name="_Toc226337251"/>
      <w:bookmarkStart w:id="623" w:name="_Toc353873935"/>
      <w:bookmarkStart w:id="624" w:name="_Toc353873665"/>
      <w:bookmarkStart w:id="625" w:name="_Toc264969245"/>
      <w:bookmarkStart w:id="626" w:name="_Toc142311057"/>
      <w:bookmarkStart w:id="627" w:name="_Toc127151555"/>
      <w:bookmarkStart w:id="628" w:name="_Toc195842920"/>
      <w:bookmarkStart w:id="629" w:name="_Toc150774760"/>
      <w:bookmarkStart w:id="630" w:name="_Toc226965828"/>
      <w:bookmarkStart w:id="631" w:name="_Toc305158897"/>
      <w:bookmarkStart w:id="632" w:name="_Toc265228393"/>
      <w:bookmarkStart w:id="633" w:name="_Toc305158823"/>
      <w:r>
        <w:rPr>
          <w:rFonts w:hint="eastAsia" w:ascii="宋体" w:hAnsi="宋体" w:cs="宋体"/>
          <w:sz w:val="24"/>
          <w:highlight w:val="none"/>
        </w:rPr>
        <w:t>响应文件的</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Pr>
          <w:rFonts w:hint="eastAsia" w:ascii="宋体" w:hAnsi="宋体" w:cs="宋体"/>
          <w:sz w:val="24"/>
          <w:highlight w:val="none"/>
        </w:rPr>
        <w:t>资格审查和符合性审查</w:t>
      </w:r>
    </w:p>
    <w:p w14:paraId="538FA9E1">
      <w:pPr>
        <w:numPr>
          <w:ilvl w:val="1"/>
          <w:numId w:val="21"/>
        </w:numPr>
        <w:shd w:val="clear" w:color="auto" w:fill="FFFFFF"/>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cs="宋体"/>
          <w:b/>
          <w:bCs/>
          <w:sz w:val="24"/>
          <w:highlight w:val="none"/>
        </w:rPr>
        <w:t>无效响应</w:t>
      </w:r>
      <w:r>
        <w:rPr>
          <w:rFonts w:hint="eastAsia" w:ascii="宋体" w:hAnsi="宋体" w:cs="宋体"/>
          <w:sz w:val="24"/>
          <w:highlight w:val="none"/>
        </w:rPr>
        <w:t>处理，磋商小组应当告知提交响应文件的供应商。</w:t>
      </w:r>
    </w:p>
    <w:p w14:paraId="5C8C00AE">
      <w:pPr>
        <w:numPr>
          <w:ilvl w:val="1"/>
          <w:numId w:val="21"/>
        </w:numPr>
        <w:shd w:val="clear" w:color="auto" w:fill="FFFFFF"/>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《资格审查要求》中对格式有要求的，除竞争性磋商文件另有规定外，均为“实质性格式”文件。</w:t>
      </w:r>
    </w:p>
    <w:p w14:paraId="05978631">
      <w:pPr>
        <w:numPr>
          <w:ilvl w:val="1"/>
          <w:numId w:val="21"/>
        </w:numPr>
        <w:shd w:val="clear" w:color="auto" w:fill="FFFFFF"/>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《资格审查要求》见下表：</w:t>
      </w:r>
    </w:p>
    <w:p w14:paraId="50E84066">
      <w:pPr>
        <w:shd w:val="clear" w:color="auto" w:fill="FFFFFF"/>
        <w:tabs>
          <w:tab w:val="left" w:pos="900"/>
          <w:tab w:val="left" w:pos="1080"/>
        </w:tabs>
        <w:snapToGrid w:val="0"/>
        <w:spacing w:line="360" w:lineRule="auto"/>
        <w:ind w:left="1077" w:firstLine="2650" w:firstLineChars="1100"/>
        <w:rPr>
          <w:rFonts w:ascii="宋体" w:hAnsi="宋体" w:cs="宋体"/>
          <w:b/>
          <w:sz w:val="24"/>
          <w:highlight w:val="none"/>
        </w:rPr>
      </w:pPr>
      <w:r>
        <w:rPr>
          <w:rFonts w:hint="eastAsia" w:ascii="宋体" w:hAnsi="宋体" w:cs="宋体"/>
          <w:b/>
          <w:sz w:val="24"/>
          <w:highlight w:val="none"/>
        </w:rPr>
        <w:t>资格审查要求</w:t>
      </w:r>
    </w:p>
    <w:tbl>
      <w:tblPr>
        <w:tblStyle w:val="83"/>
        <w:tblW w:w="92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4"/>
        <w:gridCol w:w="1742"/>
        <w:gridCol w:w="4792"/>
        <w:gridCol w:w="1909"/>
      </w:tblGrid>
      <w:tr w14:paraId="4346B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blHeader/>
        </w:trPr>
        <w:tc>
          <w:tcPr>
            <w:tcW w:w="844" w:type="dxa"/>
            <w:vAlign w:val="center"/>
          </w:tcPr>
          <w:p w14:paraId="3F84F939">
            <w:pPr>
              <w:shd w:val="clear" w:color="auto" w:fill="FFFFFF"/>
              <w:tabs>
                <w:tab w:val="left" w:pos="1080"/>
              </w:tabs>
              <w:snapToGrid w:val="0"/>
              <w:jc w:val="center"/>
              <w:rPr>
                <w:rFonts w:ascii="宋体" w:hAnsi="宋体" w:cs="宋体"/>
                <w:b/>
                <w:sz w:val="24"/>
                <w:highlight w:val="none"/>
              </w:rPr>
            </w:pPr>
            <w:bookmarkStart w:id="634" w:name="_Hlt487972895"/>
            <w:bookmarkEnd w:id="634"/>
            <w:r>
              <w:rPr>
                <w:rFonts w:hint="eastAsia" w:ascii="宋体" w:hAnsi="宋体" w:cs="宋体"/>
                <w:b/>
                <w:sz w:val="24"/>
                <w:highlight w:val="none"/>
              </w:rPr>
              <w:t>序号</w:t>
            </w:r>
          </w:p>
        </w:tc>
        <w:tc>
          <w:tcPr>
            <w:tcW w:w="1742" w:type="dxa"/>
            <w:vAlign w:val="center"/>
          </w:tcPr>
          <w:p w14:paraId="0A2373A5">
            <w:pPr>
              <w:shd w:val="clear" w:color="auto" w:fill="FFFFFF"/>
              <w:tabs>
                <w:tab w:val="left" w:pos="1080"/>
              </w:tabs>
              <w:snapToGrid w:val="0"/>
              <w:jc w:val="center"/>
              <w:rPr>
                <w:rFonts w:ascii="宋体" w:hAnsi="宋体" w:cs="宋体"/>
                <w:b/>
                <w:sz w:val="24"/>
                <w:highlight w:val="none"/>
              </w:rPr>
            </w:pPr>
            <w:r>
              <w:rPr>
                <w:rFonts w:hint="eastAsia" w:ascii="宋体" w:hAnsi="宋体" w:cs="宋体"/>
                <w:b/>
                <w:sz w:val="24"/>
                <w:highlight w:val="none"/>
              </w:rPr>
              <w:t>检查因素</w:t>
            </w:r>
          </w:p>
        </w:tc>
        <w:tc>
          <w:tcPr>
            <w:tcW w:w="4792" w:type="dxa"/>
            <w:vAlign w:val="center"/>
          </w:tcPr>
          <w:p w14:paraId="516FC812">
            <w:pPr>
              <w:shd w:val="clear" w:color="auto" w:fill="FFFFFF"/>
              <w:tabs>
                <w:tab w:val="left" w:pos="1080"/>
              </w:tabs>
              <w:snapToGrid w:val="0"/>
              <w:jc w:val="center"/>
              <w:rPr>
                <w:rFonts w:ascii="宋体" w:hAnsi="宋体" w:cs="宋体"/>
                <w:b/>
                <w:sz w:val="24"/>
                <w:highlight w:val="none"/>
              </w:rPr>
            </w:pPr>
            <w:r>
              <w:rPr>
                <w:rFonts w:hint="eastAsia" w:ascii="宋体" w:hAnsi="宋体" w:cs="宋体"/>
                <w:b/>
                <w:sz w:val="24"/>
                <w:highlight w:val="none"/>
              </w:rPr>
              <w:t>检查内容</w:t>
            </w:r>
          </w:p>
        </w:tc>
        <w:tc>
          <w:tcPr>
            <w:tcW w:w="1909" w:type="dxa"/>
            <w:vAlign w:val="center"/>
          </w:tcPr>
          <w:p w14:paraId="46105B35">
            <w:pPr>
              <w:shd w:val="clear" w:color="auto" w:fill="FFFFFF"/>
              <w:tabs>
                <w:tab w:val="left" w:pos="1080"/>
              </w:tabs>
              <w:snapToGrid w:val="0"/>
              <w:jc w:val="center"/>
              <w:rPr>
                <w:rFonts w:ascii="宋体" w:hAnsi="宋体" w:cs="宋体"/>
                <w:b/>
                <w:sz w:val="24"/>
                <w:highlight w:val="none"/>
              </w:rPr>
            </w:pPr>
            <w:r>
              <w:rPr>
                <w:rFonts w:hint="eastAsia" w:ascii="宋体" w:hAnsi="宋体" w:cs="宋体"/>
                <w:b/>
                <w:sz w:val="24"/>
                <w:highlight w:val="none"/>
              </w:rPr>
              <w:t>格式要求</w:t>
            </w:r>
          </w:p>
        </w:tc>
      </w:tr>
      <w:tr w14:paraId="76ECE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0ED2A676">
            <w:pPr>
              <w:shd w:val="clear" w:color="auto" w:fill="FFFFFF"/>
              <w:tabs>
                <w:tab w:val="left" w:pos="1080"/>
              </w:tabs>
              <w:snapToGrid w:val="0"/>
              <w:jc w:val="center"/>
              <w:rPr>
                <w:rFonts w:ascii="宋体" w:hAnsi="宋体" w:cs="宋体"/>
                <w:sz w:val="24"/>
                <w:highlight w:val="none"/>
              </w:rPr>
            </w:pPr>
            <w:r>
              <w:rPr>
                <w:rFonts w:hint="eastAsia" w:ascii="宋体" w:hAnsi="宋体" w:cs="宋体"/>
                <w:sz w:val="24"/>
                <w:highlight w:val="none"/>
              </w:rPr>
              <w:t>1</w:t>
            </w:r>
          </w:p>
        </w:tc>
        <w:tc>
          <w:tcPr>
            <w:tcW w:w="1742" w:type="dxa"/>
            <w:vAlign w:val="center"/>
          </w:tcPr>
          <w:p w14:paraId="212BD439">
            <w:pPr>
              <w:shd w:val="clear" w:color="auto" w:fill="FFFFFF"/>
              <w:tabs>
                <w:tab w:val="left" w:pos="1080"/>
              </w:tabs>
              <w:snapToGrid w:val="0"/>
              <w:jc w:val="left"/>
              <w:rPr>
                <w:rFonts w:ascii="宋体" w:hAnsi="宋体" w:cs="宋体"/>
                <w:sz w:val="24"/>
                <w:highlight w:val="none"/>
              </w:rPr>
            </w:pPr>
            <w:r>
              <w:rPr>
                <w:rFonts w:hint="eastAsia" w:ascii="宋体" w:hAnsi="宋体" w:cs="宋体"/>
                <w:sz w:val="24"/>
                <w:highlight w:val="none"/>
              </w:rPr>
              <w:t>满足《中华人民共和国政府采购法》第二十二条规定</w:t>
            </w:r>
          </w:p>
        </w:tc>
        <w:tc>
          <w:tcPr>
            <w:tcW w:w="4792" w:type="dxa"/>
            <w:vAlign w:val="center"/>
          </w:tcPr>
          <w:p w14:paraId="0E0CBF93">
            <w:pPr>
              <w:shd w:val="clear" w:color="auto" w:fill="FFFFFF"/>
              <w:tabs>
                <w:tab w:val="left" w:pos="1080"/>
              </w:tabs>
              <w:snapToGrid w:val="0"/>
              <w:jc w:val="left"/>
              <w:rPr>
                <w:rFonts w:ascii="宋体" w:hAnsi="宋体" w:cs="宋体"/>
                <w:sz w:val="24"/>
                <w:highlight w:val="none"/>
              </w:rPr>
            </w:pPr>
            <w:r>
              <w:rPr>
                <w:rFonts w:hint="eastAsia" w:ascii="宋体" w:hAnsi="宋体" w:cs="宋体"/>
                <w:sz w:val="24"/>
                <w:highlight w:val="none"/>
              </w:rPr>
              <w:t>具体规定见第一章《采购邀请》</w:t>
            </w:r>
          </w:p>
        </w:tc>
        <w:tc>
          <w:tcPr>
            <w:tcW w:w="1909" w:type="dxa"/>
            <w:vAlign w:val="center"/>
          </w:tcPr>
          <w:p w14:paraId="6BD3A88E">
            <w:pPr>
              <w:shd w:val="clear" w:color="auto" w:fill="FFFFFF"/>
              <w:tabs>
                <w:tab w:val="left" w:pos="1080"/>
              </w:tabs>
              <w:snapToGrid w:val="0"/>
              <w:jc w:val="left"/>
              <w:rPr>
                <w:rFonts w:ascii="宋体" w:hAnsi="宋体" w:cs="宋体"/>
                <w:sz w:val="24"/>
                <w:highlight w:val="none"/>
              </w:rPr>
            </w:pPr>
          </w:p>
        </w:tc>
      </w:tr>
      <w:tr w14:paraId="3E9CC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3C4E4B7D">
            <w:pPr>
              <w:shd w:val="clear" w:color="auto" w:fill="FFFFFF"/>
              <w:tabs>
                <w:tab w:val="left" w:pos="1080"/>
              </w:tabs>
              <w:snapToGrid w:val="0"/>
              <w:jc w:val="center"/>
              <w:rPr>
                <w:rFonts w:ascii="宋体" w:hAnsi="宋体" w:cs="宋体"/>
                <w:sz w:val="24"/>
                <w:highlight w:val="none"/>
              </w:rPr>
            </w:pPr>
            <w:r>
              <w:rPr>
                <w:rFonts w:hint="eastAsia" w:ascii="宋体" w:hAnsi="宋体" w:cs="宋体"/>
                <w:sz w:val="24"/>
                <w:highlight w:val="none"/>
              </w:rPr>
              <w:t>1-1</w:t>
            </w:r>
          </w:p>
        </w:tc>
        <w:tc>
          <w:tcPr>
            <w:tcW w:w="1742" w:type="dxa"/>
            <w:vAlign w:val="center"/>
          </w:tcPr>
          <w:p w14:paraId="3DB91040">
            <w:pPr>
              <w:shd w:val="clear" w:color="auto" w:fill="FFFFFF"/>
              <w:tabs>
                <w:tab w:val="left" w:pos="1080"/>
              </w:tabs>
              <w:snapToGrid w:val="0"/>
              <w:jc w:val="left"/>
              <w:rPr>
                <w:rFonts w:ascii="宋体" w:hAnsi="宋体" w:cs="宋体"/>
                <w:sz w:val="24"/>
                <w:highlight w:val="none"/>
              </w:rPr>
            </w:pPr>
            <w:r>
              <w:rPr>
                <w:rFonts w:hint="eastAsia" w:ascii="宋体" w:hAnsi="宋体" w:cs="宋体"/>
                <w:sz w:val="24"/>
                <w:highlight w:val="none"/>
              </w:rPr>
              <w:t>营业执照等证明文件</w:t>
            </w:r>
          </w:p>
        </w:tc>
        <w:tc>
          <w:tcPr>
            <w:tcW w:w="4792" w:type="dxa"/>
            <w:vAlign w:val="center"/>
          </w:tcPr>
          <w:p w14:paraId="5DA73342">
            <w:pPr>
              <w:pStyle w:val="305"/>
              <w:kinsoku w:val="0"/>
              <w:overflowPunct w:val="0"/>
              <w:spacing w:line="242" w:lineRule="auto"/>
              <w:rPr>
                <w:kern w:val="2"/>
                <w:sz w:val="24"/>
                <w:szCs w:val="24"/>
                <w:highlight w:val="none"/>
                <w:lang w:eastAsia="zh-CN"/>
              </w:rPr>
            </w:pPr>
            <w:r>
              <w:rPr>
                <w:rFonts w:hint="eastAsia"/>
                <w:kern w:val="2"/>
                <w:sz w:val="24"/>
                <w:szCs w:val="24"/>
                <w:highlight w:val="none"/>
                <w:lang w:eastAsia="zh-CN"/>
              </w:rPr>
              <w:t>供应商为企业（包括合伙企业）的，应提供有效的“营业执照”；</w:t>
            </w:r>
          </w:p>
          <w:p w14:paraId="214DE8A0">
            <w:pPr>
              <w:pStyle w:val="305"/>
              <w:kinsoku w:val="0"/>
              <w:overflowPunct w:val="0"/>
              <w:spacing w:line="242" w:lineRule="auto"/>
              <w:rPr>
                <w:kern w:val="2"/>
                <w:sz w:val="24"/>
                <w:szCs w:val="24"/>
                <w:highlight w:val="none"/>
                <w:lang w:eastAsia="zh-CN"/>
              </w:rPr>
            </w:pPr>
            <w:r>
              <w:rPr>
                <w:rFonts w:hint="eastAsia"/>
                <w:kern w:val="2"/>
                <w:sz w:val="24"/>
                <w:szCs w:val="24"/>
                <w:highlight w:val="none"/>
                <w:lang w:eastAsia="zh-CN"/>
              </w:rPr>
              <w:t>供应商为事业单位的，应提供有效的“事业单位法人证书”；</w:t>
            </w:r>
          </w:p>
          <w:p w14:paraId="11B40A64">
            <w:pPr>
              <w:pStyle w:val="305"/>
              <w:kinsoku w:val="0"/>
              <w:overflowPunct w:val="0"/>
              <w:spacing w:line="242" w:lineRule="auto"/>
              <w:rPr>
                <w:kern w:val="2"/>
                <w:sz w:val="24"/>
                <w:szCs w:val="24"/>
                <w:highlight w:val="none"/>
                <w:lang w:eastAsia="zh-CN"/>
              </w:rPr>
            </w:pPr>
            <w:r>
              <w:rPr>
                <w:rFonts w:hint="eastAsia"/>
                <w:kern w:val="2"/>
                <w:sz w:val="24"/>
                <w:szCs w:val="24"/>
                <w:highlight w:val="none"/>
                <w:lang w:eastAsia="zh-CN"/>
              </w:rPr>
              <w:t>供应商是非企业机构的，应提供有效的“执业许可证”、“登记证书”等证明文件；</w:t>
            </w:r>
          </w:p>
          <w:p w14:paraId="013F7FB8">
            <w:pPr>
              <w:pStyle w:val="305"/>
              <w:kinsoku w:val="0"/>
              <w:overflowPunct w:val="0"/>
              <w:spacing w:line="242" w:lineRule="auto"/>
              <w:rPr>
                <w:kern w:val="2"/>
                <w:sz w:val="24"/>
                <w:szCs w:val="24"/>
                <w:highlight w:val="none"/>
                <w:lang w:eastAsia="zh-CN"/>
              </w:rPr>
            </w:pPr>
            <w:r>
              <w:rPr>
                <w:rFonts w:hint="eastAsia"/>
                <w:kern w:val="2"/>
                <w:sz w:val="24"/>
                <w:szCs w:val="24"/>
                <w:highlight w:val="none"/>
                <w:lang w:eastAsia="zh-CN"/>
              </w:rPr>
              <w:t>供应商是个体工商户的，应提供有效的“个体工商户营业执照”；</w:t>
            </w:r>
          </w:p>
          <w:p w14:paraId="1EF50812">
            <w:pPr>
              <w:pStyle w:val="305"/>
              <w:kinsoku w:val="0"/>
              <w:overflowPunct w:val="0"/>
              <w:spacing w:line="242" w:lineRule="auto"/>
              <w:rPr>
                <w:kern w:val="2"/>
                <w:sz w:val="24"/>
                <w:szCs w:val="24"/>
                <w:highlight w:val="none"/>
                <w:lang w:eastAsia="zh-CN"/>
              </w:rPr>
            </w:pPr>
            <w:r>
              <w:rPr>
                <w:rFonts w:hint="eastAsia"/>
                <w:kern w:val="2"/>
                <w:sz w:val="24"/>
                <w:szCs w:val="24"/>
                <w:highlight w:val="none"/>
                <w:lang w:eastAsia="zh-CN"/>
              </w:rPr>
              <w:t>供应商是自然人的，应提供有效的自然人身份证明。</w:t>
            </w:r>
          </w:p>
          <w:p w14:paraId="39C4FFDD">
            <w:pPr>
              <w:pStyle w:val="305"/>
              <w:kinsoku w:val="0"/>
              <w:overflowPunct w:val="0"/>
              <w:spacing w:line="242" w:lineRule="auto"/>
              <w:rPr>
                <w:kern w:val="2"/>
                <w:sz w:val="24"/>
                <w:szCs w:val="24"/>
                <w:highlight w:val="none"/>
                <w:lang w:eastAsia="zh-CN"/>
              </w:rPr>
            </w:pPr>
            <w:r>
              <w:rPr>
                <w:rFonts w:hint="eastAsia"/>
                <w:kern w:val="2"/>
                <w:sz w:val="24"/>
                <w:szCs w:val="24"/>
                <w:highlight w:val="none"/>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w:t>
            </w:r>
          </w:p>
          <w:p w14:paraId="727558D1">
            <w:pPr>
              <w:shd w:val="clear" w:color="auto" w:fill="FFFFFF"/>
              <w:tabs>
                <w:tab w:val="left" w:pos="1080"/>
              </w:tabs>
              <w:snapToGrid w:val="0"/>
              <w:jc w:val="left"/>
              <w:rPr>
                <w:rFonts w:ascii="宋体" w:hAnsi="宋体" w:cs="宋体"/>
                <w:color w:val="000000"/>
                <w:sz w:val="24"/>
                <w:highlight w:val="none"/>
              </w:rPr>
            </w:pPr>
            <w:r>
              <w:rPr>
                <w:rFonts w:hint="eastAsia" w:ascii="宋体" w:hAnsi="宋体" w:cs="宋体"/>
                <w:sz w:val="24"/>
                <w:highlight w:val="none"/>
              </w:rPr>
              <w:t>证明授权其独立开展业务的证明材料。</w:t>
            </w:r>
          </w:p>
        </w:tc>
        <w:tc>
          <w:tcPr>
            <w:tcW w:w="1909" w:type="dxa"/>
            <w:vAlign w:val="center"/>
          </w:tcPr>
          <w:p w14:paraId="3D4F802D">
            <w:pPr>
              <w:shd w:val="clear" w:color="auto" w:fill="FFFFFF"/>
              <w:tabs>
                <w:tab w:val="left" w:pos="1080"/>
              </w:tabs>
              <w:snapToGrid w:val="0"/>
              <w:jc w:val="left"/>
              <w:rPr>
                <w:rFonts w:ascii="宋体" w:hAnsi="宋体" w:cs="宋体"/>
                <w:sz w:val="24"/>
                <w:highlight w:val="none"/>
              </w:rPr>
            </w:pPr>
            <w:r>
              <w:rPr>
                <w:rFonts w:hint="eastAsia" w:ascii="宋体" w:hAnsi="宋体" w:cs="宋体"/>
                <w:sz w:val="24"/>
                <w:highlight w:val="none"/>
              </w:rPr>
              <w:t>提供证明文件的电子件或电子证照</w:t>
            </w:r>
          </w:p>
        </w:tc>
      </w:tr>
      <w:tr w14:paraId="4E5D4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7926A85A">
            <w:pPr>
              <w:shd w:val="clear" w:color="auto" w:fill="FFFFFF"/>
              <w:tabs>
                <w:tab w:val="left" w:pos="1080"/>
              </w:tabs>
              <w:snapToGrid w:val="0"/>
              <w:jc w:val="center"/>
              <w:rPr>
                <w:rFonts w:ascii="宋体" w:hAnsi="宋体" w:cs="宋体"/>
                <w:sz w:val="24"/>
                <w:highlight w:val="none"/>
              </w:rPr>
            </w:pPr>
            <w:r>
              <w:rPr>
                <w:rFonts w:hint="eastAsia" w:ascii="宋体" w:hAnsi="宋体" w:cs="宋体"/>
                <w:sz w:val="24"/>
                <w:highlight w:val="none"/>
              </w:rPr>
              <w:t>1-2</w:t>
            </w:r>
          </w:p>
        </w:tc>
        <w:tc>
          <w:tcPr>
            <w:tcW w:w="1742" w:type="dxa"/>
            <w:vAlign w:val="center"/>
          </w:tcPr>
          <w:p w14:paraId="08BA6669">
            <w:pPr>
              <w:shd w:val="clear" w:color="auto" w:fill="FFFFFF"/>
              <w:tabs>
                <w:tab w:val="left" w:pos="1080"/>
              </w:tabs>
              <w:snapToGrid w:val="0"/>
              <w:jc w:val="left"/>
              <w:rPr>
                <w:rFonts w:ascii="宋体" w:hAnsi="宋体" w:cs="宋体"/>
                <w:sz w:val="24"/>
                <w:highlight w:val="none"/>
              </w:rPr>
            </w:pPr>
            <w:r>
              <w:rPr>
                <w:rFonts w:hint="eastAsia" w:ascii="宋体" w:hAnsi="宋体" w:cs="宋体"/>
                <w:sz w:val="24"/>
                <w:highlight w:val="none"/>
              </w:rPr>
              <w:t>供应商资格声明书</w:t>
            </w:r>
          </w:p>
        </w:tc>
        <w:tc>
          <w:tcPr>
            <w:tcW w:w="4792" w:type="dxa"/>
            <w:vAlign w:val="center"/>
          </w:tcPr>
          <w:p w14:paraId="740095FA">
            <w:pPr>
              <w:shd w:val="clear" w:color="auto" w:fill="FFFFFF"/>
              <w:tabs>
                <w:tab w:val="left" w:pos="1080"/>
              </w:tabs>
              <w:snapToGrid w:val="0"/>
              <w:jc w:val="left"/>
              <w:rPr>
                <w:rFonts w:ascii="宋体" w:hAnsi="宋体" w:cs="宋体"/>
                <w:sz w:val="24"/>
                <w:highlight w:val="none"/>
              </w:rPr>
            </w:pPr>
            <w:r>
              <w:rPr>
                <w:rFonts w:hint="eastAsia" w:ascii="宋体" w:hAnsi="宋体" w:cs="宋体"/>
                <w:sz w:val="24"/>
                <w:highlight w:val="none"/>
              </w:rPr>
              <w:t>提供了符合竞争性磋商文件要求的《供应商资格声明书》。</w:t>
            </w:r>
          </w:p>
        </w:tc>
        <w:tc>
          <w:tcPr>
            <w:tcW w:w="1909" w:type="dxa"/>
            <w:vAlign w:val="center"/>
          </w:tcPr>
          <w:p w14:paraId="39DB0940">
            <w:pPr>
              <w:shd w:val="clear" w:color="auto" w:fill="FFFFFF"/>
              <w:tabs>
                <w:tab w:val="left" w:pos="1080"/>
              </w:tabs>
              <w:snapToGrid w:val="0"/>
              <w:jc w:val="left"/>
              <w:rPr>
                <w:rFonts w:ascii="宋体" w:hAnsi="宋体" w:cs="宋体"/>
                <w:sz w:val="24"/>
                <w:highlight w:val="none"/>
              </w:rPr>
            </w:pPr>
            <w:r>
              <w:rPr>
                <w:rFonts w:hint="eastAsia" w:ascii="宋体" w:hAnsi="宋体" w:cs="宋体"/>
                <w:sz w:val="24"/>
                <w:highlight w:val="none"/>
              </w:rPr>
              <w:t>格式见《响应文件格式》</w:t>
            </w:r>
          </w:p>
        </w:tc>
      </w:tr>
      <w:tr w14:paraId="60010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6FF9AC50">
            <w:pPr>
              <w:shd w:val="clear" w:color="auto" w:fill="FFFFFF"/>
              <w:tabs>
                <w:tab w:val="left" w:pos="1080"/>
              </w:tabs>
              <w:snapToGrid w:val="0"/>
              <w:jc w:val="center"/>
              <w:rPr>
                <w:rFonts w:ascii="宋体" w:hAnsi="宋体" w:cs="宋体"/>
                <w:sz w:val="24"/>
                <w:highlight w:val="none"/>
              </w:rPr>
            </w:pPr>
            <w:r>
              <w:rPr>
                <w:rFonts w:hint="eastAsia" w:ascii="宋体" w:hAnsi="宋体" w:cs="宋体"/>
                <w:sz w:val="24"/>
                <w:highlight w:val="none"/>
              </w:rPr>
              <w:t>1-3</w:t>
            </w:r>
          </w:p>
        </w:tc>
        <w:tc>
          <w:tcPr>
            <w:tcW w:w="1742" w:type="dxa"/>
            <w:vAlign w:val="center"/>
          </w:tcPr>
          <w:p w14:paraId="3D1BAEC3">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供应商信用记录</w:t>
            </w:r>
          </w:p>
        </w:tc>
        <w:tc>
          <w:tcPr>
            <w:tcW w:w="4792" w:type="dxa"/>
            <w:vAlign w:val="center"/>
          </w:tcPr>
          <w:p w14:paraId="27F9A89D">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查询渠道：信用中国网站和中国政府采购网（</w:t>
            </w:r>
            <w:r>
              <w:rPr>
                <w:rFonts w:hint="eastAsia" w:ascii="宋体" w:hAnsi="宋体" w:cs="宋体"/>
                <w:highlight w:val="none"/>
              </w:rPr>
              <w:t>www.creditchina.gov.cn</w:t>
            </w:r>
            <w:r>
              <w:rPr>
                <w:rFonts w:hint="eastAsia" w:ascii="宋体" w:hAnsi="宋体" w:cs="宋体"/>
                <w:sz w:val="24"/>
                <w:highlight w:val="none"/>
              </w:rPr>
              <w:t>、</w:t>
            </w:r>
            <w:r>
              <w:rPr>
                <w:rFonts w:hint="eastAsia" w:ascii="宋体" w:hAnsi="宋体" w:cs="宋体"/>
                <w:highlight w:val="none"/>
              </w:rPr>
              <w:t>www.ccgp.gov.cn</w:t>
            </w:r>
            <w:r>
              <w:rPr>
                <w:rFonts w:hint="eastAsia" w:ascii="宋体" w:hAnsi="宋体" w:cs="宋体"/>
                <w:sz w:val="24"/>
                <w:highlight w:val="none"/>
              </w:rPr>
              <w:t>）；</w:t>
            </w:r>
          </w:p>
          <w:p w14:paraId="7260A2E1">
            <w:pPr>
              <w:shd w:val="clear" w:color="auto" w:fill="FFFFFF"/>
              <w:tabs>
                <w:tab w:val="left" w:pos="900"/>
                <w:tab w:val="left" w:pos="1980"/>
              </w:tabs>
              <w:snapToGrid w:val="0"/>
              <w:rPr>
                <w:rFonts w:ascii="宋体" w:hAnsi="宋体" w:cs="宋体"/>
                <w:sz w:val="24"/>
                <w:highlight w:val="none"/>
              </w:rPr>
            </w:pPr>
            <w:r>
              <w:rPr>
                <w:rFonts w:hint="eastAsia" w:ascii="宋体" w:hAnsi="宋体" w:cs="宋体"/>
                <w:sz w:val="24"/>
                <w:highlight w:val="none"/>
              </w:rPr>
              <w:t>截止时点：</w:t>
            </w:r>
            <w:r>
              <w:rPr>
                <w:rFonts w:hint="eastAsia" w:ascii="宋体" w:hAnsi="宋体" w:cs="宋体"/>
                <w:color w:val="000000"/>
                <w:kern w:val="0"/>
                <w:sz w:val="24"/>
                <w:szCs w:val="20"/>
                <w:highlight w:val="none"/>
              </w:rPr>
              <w:t>首次响应文件提交截止时间以后</w:t>
            </w:r>
            <w:r>
              <w:rPr>
                <w:rFonts w:hint="eastAsia" w:ascii="宋体" w:hAnsi="宋体" w:cs="宋体"/>
                <w:sz w:val="24"/>
                <w:highlight w:val="none"/>
              </w:rPr>
              <w:t>、资格性检查阶段采购人或采购代理机构的实际查询时间为准；</w:t>
            </w:r>
          </w:p>
          <w:p w14:paraId="1F5C9451">
            <w:pPr>
              <w:shd w:val="clear" w:color="auto" w:fill="FFFFFF"/>
              <w:tabs>
                <w:tab w:val="left" w:pos="900"/>
                <w:tab w:val="left" w:pos="1980"/>
              </w:tabs>
              <w:snapToGrid w:val="0"/>
              <w:rPr>
                <w:rFonts w:ascii="宋体" w:hAnsi="宋体" w:cs="宋体"/>
                <w:sz w:val="24"/>
                <w:highlight w:val="none"/>
              </w:rPr>
            </w:pPr>
            <w:r>
              <w:rPr>
                <w:rFonts w:hint="eastAsia" w:ascii="宋体" w:hAnsi="宋体" w:cs="宋体"/>
                <w:sz w:val="24"/>
                <w:highlight w:val="none"/>
              </w:rPr>
              <w:t>信用信息查询记录和证据留存具体方式：查询结果网页打印页作为查询记录和证据，与其他竞争性磋商文件一并保存；</w:t>
            </w:r>
          </w:p>
          <w:p w14:paraId="21539387">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信用信息的使用原则：经认定的被列入失信被执行人、重大税收违法案件当事人名单、政府采购严重违法失信行为记录名单的供应商，其</w:t>
            </w:r>
            <w:r>
              <w:rPr>
                <w:rFonts w:hint="eastAsia" w:ascii="宋体" w:hAnsi="宋体" w:cs="宋体"/>
                <w:b/>
                <w:sz w:val="24"/>
                <w:highlight w:val="none"/>
              </w:rPr>
              <w:t>响应无效</w:t>
            </w:r>
            <w:r>
              <w:rPr>
                <w:rFonts w:hint="eastAsia" w:ascii="宋体" w:hAnsi="宋体" w:cs="宋体"/>
                <w:sz w:val="24"/>
                <w:highlight w:val="none"/>
              </w:rPr>
              <w:t>。联合体形式磋商的，联合体成员存在不良信用记录，视同联合体存在不良信用记录。</w:t>
            </w:r>
          </w:p>
        </w:tc>
        <w:tc>
          <w:tcPr>
            <w:tcW w:w="1909" w:type="dxa"/>
            <w:vAlign w:val="center"/>
          </w:tcPr>
          <w:p w14:paraId="4AC58D27">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无须供应商提供，由采购人或采购代理机构查询。</w:t>
            </w:r>
          </w:p>
        </w:tc>
      </w:tr>
      <w:tr w14:paraId="45CAE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3E28024D">
            <w:pPr>
              <w:shd w:val="clear" w:color="auto" w:fill="FFFFFF"/>
              <w:tabs>
                <w:tab w:val="left" w:pos="1080"/>
              </w:tabs>
              <w:snapToGrid w:val="0"/>
              <w:jc w:val="center"/>
              <w:rPr>
                <w:rFonts w:ascii="宋体" w:hAnsi="宋体" w:cs="宋体"/>
                <w:sz w:val="24"/>
                <w:highlight w:val="none"/>
              </w:rPr>
            </w:pPr>
            <w:r>
              <w:rPr>
                <w:rFonts w:hint="eastAsia" w:ascii="宋体" w:hAnsi="宋体" w:cs="宋体"/>
                <w:sz w:val="24"/>
                <w:highlight w:val="none"/>
              </w:rPr>
              <w:t>1-4</w:t>
            </w:r>
          </w:p>
        </w:tc>
        <w:tc>
          <w:tcPr>
            <w:tcW w:w="1742" w:type="dxa"/>
          </w:tcPr>
          <w:p w14:paraId="6BC76291">
            <w:pPr>
              <w:shd w:val="clear" w:color="auto" w:fill="FFFFFF"/>
              <w:tabs>
                <w:tab w:val="left" w:pos="1080"/>
              </w:tabs>
              <w:snapToGrid w:val="0"/>
              <w:jc w:val="left"/>
              <w:rPr>
                <w:rFonts w:ascii="宋体" w:hAnsi="宋体" w:cs="宋体"/>
                <w:sz w:val="24"/>
                <w:highlight w:val="none"/>
              </w:rPr>
            </w:pPr>
            <w:r>
              <w:rPr>
                <w:rFonts w:hint="eastAsia" w:ascii="宋体" w:hAnsi="宋体" w:cs="宋体"/>
                <w:sz w:val="24"/>
                <w:highlight w:val="none"/>
              </w:rPr>
              <w:t>法律、行政法规规定的其他条件</w:t>
            </w:r>
          </w:p>
        </w:tc>
        <w:tc>
          <w:tcPr>
            <w:tcW w:w="4792" w:type="dxa"/>
          </w:tcPr>
          <w:p w14:paraId="5FB4E62C">
            <w:pPr>
              <w:shd w:val="clear" w:color="auto" w:fill="FFFFFF"/>
              <w:tabs>
                <w:tab w:val="left" w:pos="1080"/>
              </w:tabs>
              <w:snapToGrid w:val="0"/>
              <w:jc w:val="center"/>
              <w:rPr>
                <w:rFonts w:ascii="宋体" w:hAnsi="宋体" w:cs="宋体"/>
                <w:sz w:val="24"/>
                <w:highlight w:val="none"/>
              </w:rPr>
            </w:pPr>
          </w:p>
          <w:p w14:paraId="737A555C">
            <w:pPr>
              <w:shd w:val="clear" w:color="auto" w:fill="FFFFFF"/>
              <w:tabs>
                <w:tab w:val="left" w:pos="1080"/>
              </w:tabs>
              <w:snapToGrid w:val="0"/>
              <w:jc w:val="left"/>
              <w:rPr>
                <w:rFonts w:ascii="宋体" w:hAnsi="宋体" w:cs="宋体"/>
                <w:sz w:val="24"/>
                <w:highlight w:val="none"/>
              </w:rPr>
            </w:pPr>
            <w:r>
              <w:rPr>
                <w:rFonts w:hint="eastAsia" w:ascii="宋体" w:hAnsi="宋体" w:cs="宋体"/>
                <w:sz w:val="24"/>
                <w:highlight w:val="none"/>
              </w:rPr>
              <w:t>法律、行政法规规定的其他条件</w:t>
            </w:r>
          </w:p>
        </w:tc>
        <w:tc>
          <w:tcPr>
            <w:tcW w:w="1909" w:type="dxa"/>
          </w:tcPr>
          <w:p w14:paraId="3E158DAC">
            <w:pPr>
              <w:shd w:val="clear" w:color="auto" w:fill="FFFFFF"/>
              <w:tabs>
                <w:tab w:val="left" w:pos="1080"/>
              </w:tabs>
              <w:snapToGrid w:val="0"/>
              <w:jc w:val="center"/>
              <w:rPr>
                <w:rFonts w:ascii="宋体" w:hAnsi="宋体" w:cs="宋体"/>
                <w:sz w:val="24"/>
                <w:highlight w:val="none"/>
              </w:rPr>
            </w:pPr>
          </w:p>
          <w:p w14:paraId="26FF54F3">
            <w:pPr>
              <w:shd w:val="clear" w:color="auto" w:fill="FFFFFF"/>
              <w:tabs>
                <w:tab w:val="left" w:pos="1080"/>
              </w:tabs>
              <w:snapToGrid w:val="0"/>
              <w:jc w:val="center"/>
              <w:rPr>
                <w:rFonts w:ascii="宋体" w:hAnsi="宋体" w:cs="宋体"/>
                <w:sz w:val="24"/>
                <w:highlight w:val="none"/>
              </w:rPr>
            </w:pPr>
            <w:r>
              <w:rPr>
                <w:rFonts w:hint="eastAsia" w:ascii="宋体" w:hAnsi="宋体" w:cs="宋体"/>
                <w:sz w:val="24"/>
                <w:highlight w:val="none"/>
              </w:rPr>
              <w:t>/</w:t>
            </w:r>
          </w:p>
        </w:tc>
      </w:tr>
      <w:tr w14:paraId="0844A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56B16F77">
            <w:pPr>
              <w:shd w:val="clear" w:color="auto" w:fill="FFFFFF"/>
              <w:tabs>
                <w:tab w:val="left" w:pos="1080"/>
              </w:tabs>
              <w:snapToGrid w:val="0"/>
              <w:jc w:val="center"/>
              <w:rPr>
                <w:rFonts w:ascii="宋体" w:hAnsi="宋体" w:cs="宋体"/>
                <w:sz w:val="24"/>
                <w:highlight w:val="none"/>
              </w:rPr>
            </w:pPr>
            <w:r>
              <w:rPr>
                <w:rFonts w:hint="eastAsia" w:ascii="宋体" w:hAnsi="宋体" w:cs="宋体"/>
                <w:sz w:val="24"/>
                <w:highlight w:val="none"/>
              </w:rPr>
              <w:t>2</w:t>
            </w:r>
          </w:p>
        </w:tc>
        <w:tc>
          <w:tcPr>
            <w:tcW w:w="1742" w:type="dxa"/>
            <w:vAlign w:val="center"/>
          </w:tcPr>
          <w:p w14:paraId="3A4D15C2">
            <w:pPr>
              <w:shd w:val="clear" w:color="auto" w:fill="FFFFFF"/>
              <w:tabs>
                <w:tab w:val="left" w:pos="1080"/>
              </w:tabs>
              <w:snapToGrid w:val="0"/>
              <w:jc w:val="left"/>
              <w:rPr>
                <w:rFonts w:ascii="宋体" w:hAnsi="宋体" w:cs="宋体"/>
                <w:sz w:val="24"/>
                <w:highlight w:val="none"/>
              </w:rPr>
            </w:pPr>
            <w:r>
              <w:rPr>
                <w:rFonts w:hint="eastAsia" w:ascii="宋体" w:hAnsi="宋体" w:cs="宋体"/>
                <w:sz w:val="24"/>
                <w:highlight w:val="none"/>
              </w:rPr>
              <w:t>落实政府采购政策需满足的资格要求</w:t>
            </w:r>
          </w:p>
        </w:tc>
        <w:tc>
          <w:tcPr>
            <w:tcW w:w="4792" w:type="dxa"/>
            <w:vAlign w:val="center"/>
          </w:tcPr>
          <w:p w14:paraId="778CE537">
            <w:pPr>
              <w:shd w:val="clear" w:color="auto" w:fill="FFFFFF"/>
              <w:tabs>
                <w:tab w:val="left" w:pos="1080"/>
              </w:tabs>
              <w:snapToGrid w:val="0"/>
              <w:jc w:val="left"/>
              <w:rPr>
                <w:rFonts w:ascii="宋体" w:hAnsi="宋体" w:cs="宋体"/>
                <w:sz w:val="24"/>
                <w:highlight w:val="none"/>
              </w:rPr>
            </w:pPr>
            <w:r>
              <w:rPr>
                <w:rFonts w:hint="eastAsia" w:ascii="宋体" w:hAnsi="宋体" w:cs="宋体"/>
                <w:sz w:val="24"/>
                <w:highlight w:val="none"/>
              </w:rPr>
              <w:t>具体要求见第一章《采购邀请》</w:t>
            </w:r>
          </w:p>
        </w:tc>
        <w:tc>
          <w:tcPr>
            <w:tcW w:w="1909" w:type="dxa"/>
            <w:vAlign w:val="center"/>
          </w:tcPr>
          <w:p w14:paraId="15DC5C79">
            <w:pPr>
              <w:shd w:val="clear" w:color="auto" w:fill="FFFFFF"/>
              <w:tabs>
                <w:tab w:val="left" w:pos="1080"/>
              </w:tabs>
              <w:snapToGrid w:val="0"/>
              <w:jc w:val="left"/>
              <w:rPr>
                <w:rFonts w:ascii="宋体" w:hAnsi="宋体" w:cs="宋体"/>
                <w:sz w:val="24"/>
                <w:highlight w:val="none"/>
              </w:rPr>
            </w:pPr>
          </w:p>
        </w:tc>
      </w:tr>
      <w:tr w14:paraId="70CC5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4E35E0AD">
            <w:pPr>
              <w:shd w:val="clear" w:color="auto" w:fill="FFFFFF"/>
              <w:tabs>
                <w:tab w:val="left" w:pos="1080"/>
              </w:tabs>
              <w:snapToGrid w:val="0"/>
              <w:jc w:val="center"/>
              <w:rPr>
                <w:rFonts w:ascii="宋体" w:hAnsi="宋体" w:cs="宋体"/>
                <w:sz w:val="24"/>
                <w:highlight w:val="none"/>
              </w:rPr>
            </w:pPr>
            <w:r>
              <w:rPr>
                <w:rFonts w:hint="eastAsia" w:ascii="宋体" w:hAnsi="宋体" w:cs="宋体"/>
                <w:sz w:val="24"/>
                <w:highlight w:val="none"/>
              </w:rPr>
              <w:t>2-1</w:t>
            </w:r>
          </w:p>
        </w:tc>
        <w:tc>
          <w:tcPr>
            <w:tcW w:w="1742" w:type="dxa"/>
            <w:vAlign w:val="center"/>
          </w:tcPr>
          <w:p w14:paraId="3DFC6FD8">
            <w:pPr>
              <w:shd w:val="clear" w:color="auto" w:fill="FFFFFF"/>
              <w:tabs>
                <w:tab w:val="left" w:pos="1080"/>
              </w:tabs>
              <w:snapToGrid w:val="0"/>
              <w:rPr>
                <w:rFonts w:ascii="宋体" w:hAnsi="宋体" w:cs="宋体"/>
                <w:sz w:val="24"/>
                <w:highlight w:val="none"/>
                <w:lang w:eastAsia="en-US"/>
              </w:rPr>
            </w:pPr>
            <w:r>
              <w:rPr>
                <w:rFonts w:hint="eastAsia" w:ascii="宋体" w:hAnsi="宋体" w:cs="宋体"/>
                <w:sz w:val="24"/>
                <w:highlight w:val="none"/>
              </w:rPr>
              <w:t>中小企业政策</w:t>
            </w:r>
          </w:p>
        </w:tc>
        <w:tc>
          <w:tcPr>
            <w:tcW w:w="4792" w:type="dxa"/>
            <w:vAlign w:val="center"/>
          </w:tcPr>
          <w:p w14:paraId="05EA6EA8">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具体要求见第一章《采购邀请》</w:t>
            </w:r>
          </w:p>
        </w:tc>
        <w:tc>
          <w:tcPr>
            <w:tcW w:w="1909" w:type="dxa"/>
            <w:vAlign w:val="center"/>
          </w:tcPr>
          <w:p w14:paraId="7EB1C886">
            <w:pPr>
              <w:shd w:val="clear" w:color="auto" w:fill="FFFFFF"/>
              <w:tabs>
                <w:tab w:val="left" w:pos="1080"/>
              </w:tabs>
              <w:snapToGrid w:val="0"/>
              <w:rPr>
                <w:rFonts w:ascii="宋体" w:hAnsi="宋体" w:cs="宋体"/>
                <w:sz w:val="24"/>
                <w:highlight w:val="none"/>
              </w:rPr>
            </w:pPr>
          </w:p>
        </w:tc>
      </w:tr>
      <w:tr w14:paraId="29E02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73A591C6">
            <w:pPr>
              <w:shd w:val="clear" w:color="auto" w:fill="FFFFFF"/>
              <w:tabs>
                <w:tab w:val="left" w:pos="1080"/>
              </w:tabs>
              <w:snapToGrid w:val="0"/>
              <w:jc w:val="center"/>
              <w:rPr>
                <w:rFonts w:ascii="宋体" w:hAnsi="宋体" w:cs="宋体"/>
                <w:sz w:val="24"/>
                <w:highlight w:val="none"/>
              </w:rPr>
            </w:pPr>
            <w:r>
              <w:rPr>
                <w:rFonts w:hint="eastAsia" w:ascii="宋体" w:hAnsi="宋体" w:cs="宋体"/>
                <w:sz w:val="24"/>
                <w:highlight w:val="none"/>
              </w:rPr>
              <w:t>2-1-1</w:t>
            </w:r>
          </w:p>
        </w:tc>
        <w:tc>
          <w:tcPr>
            <w:tcW w:w="1742" w:type="dxa"/>
            <w:vAlign w:val="center"/>
          </w:tcPr>
          <w:p w14:paraId="545F725B">
            <w:pPr>
              <w:shd w:val="clear" w:color="auto" w:fill="FFFFFF"/>
              <w:tabs>
                <w:tab w:val="left" w:pos="1080"/>
              </w:tabs>
              <w:snapToGrid w:val="0"/>
              <w:jc w:val="left"/>
              <w:rPr>
                <w:rFonts w:ascii="宋体" w:hAnsi="宋体" w:cs="宋体"/>
                <w:sz w:val="24"/>
                <w:highlight w:val="none"/>
              </w:rPr>
            </w:pPr>
            <w:r>
              <w:rPr>
                <w:rFonts w:hint="eastAsia" w:ascii="宋体" w:hAnsi="宋体" w:cs="宋体"/>
                <w:sz w:val="24"/>
                <w:highlight w:val="none"/>
              </w:rPr>
              <w:t>中小企业声明函</w:t>
            </w:r>
          </w:p>
        </w:tc>
        <w:tc>
          <w:tcPr>
            <w:tcW w:w="4792" w:type="dxa"/>
            <w:vAlign w:val="center"/>
          </w:tcPr>
          <w:p w14:paraId="062ADC45">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当本项目（包）涉及预留份额专门面向中小企业采购，提供如下资料：</w:t>
            </w:r>
          </w:p>
          <w:p w14:paraId="783AA0D1">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1、供应商单独响应的，应提供《中小企业声明函》或《残疾人福利性单位声明函》或由省级以上监狱管理局、戒毒管理局（含新疆生产建设兵团）出具的属于监狱企业的证明文件。</w:t>
            </w:r>
          </w:p>
          <w:p w14:paraId="5D56171A">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2、如磋商文件要求以联合体形式参加或者要求合同分包的，且供应商为联合体或拟进行合同分包的，则联合体中的中小企业、签订分包意向协议的中小企业具体情况须在</w:t>
            </w:r>
          </w:p>
          <w:p w14:paraId="6FAE97C4">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《中小企业声明函》或《残疾人福利性单位声明函》或由省级以上监狱管理局、戒毒管理局（含新疆生产建设兵团）出具的属于监狱企业的证明文件中如实填报，且满足采购</w:t>
            </w:r>
          </w:p>
          <w:p w14:paraId="65B0FB0B">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文件关于预留份额的要求。</w:t>
            </w:r>
          </w:p>
        </w:tc>
        <w:tc>
          <w:tcPr>
            <w:tcW w:w="1909" w:type="dxa"/>
            <w:vAlign w:val="center"/>
          </w:tcPr>
          <w:p w14:paraId="439B0DF7">
            <w:pPr>
              <w:shd w:val="clear" w:color="auto" w:fill="FFFFFF"/>
              <w:tabs>
                <w:tab w:val="left" w:pos="1080"/>
              </w:tabs>
              <w:snapToGrid w:val="0"/>
              <w:jc w:val="left"/>
              <w:rPr>
                <w:rFonts w:ascii="宋体" w:hAnsi="宋体" w:cs="宋体"/>
                <w:sz w:val="24"/>
                <w:highlight w:val="none"/>
              </w:rPr>
            </w:pPr>
            <w:r>
              <w:rPr>
                <w:rFonts w:hint="eastAsia" w:ascii="宋体" w:hAnsi="宋体" w:cs="宋体"/>
                <w:sz w:val="24"/>
                <w:highlight w:val="none"/>
              </w:rPr>
              <w:t>格式见《响应文件格式》</w:t>
            </w:r>
          </w:p>
        </w:tc>
      </w:tr>
      <w:tr w14:paraId="04863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7B7EA9A1">
            <w:pPr>
              <w:shd w:val="clear" w:color="auto" w:fill="FFFFFF"/>
              <w:tabs>
                <w:tab w:val="left" w:pos="1080"/>
              </w:tabs>
              <w:snapToGrid w:val="0"/>
              <w:jc w:val="center"/>
              <w:rPr>
                <w:rFonts w:ascii="宋体" w:hAnsi="宋体" w:cs="宋体"/>
                <w:sz w:val="24"/>
                <w:highlight w:val="none"/>
              </w:rPr>
            </w:pPr>
            <w:r>
              <w:rPr>
                <w:rFonts w:hint="eastAsia" w:ascii="宋体" w:hAnsi="宋体" w:cs="宋体"/>
                <w:sz w:val="24"/>
                <w:highlight w:val="none"/>
              </w:rPr>
              <w:t>2-1-2</w:t>
            </w:r>
          </w:p>
        </w:tc>
        <w:tc>
          <w:tcPr>
            <w:tcW w:w="1742" w:type="dxa"/>
            <w:vAlign w:val="center"/>
          </w:tcPr>
          <w:p w14:paraId="082D43E4">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拟分包情况说</w:t>
            </w:r>
          </w:p>
          <w:p w14:paraId="4A58C2FD">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明及分包意向协议</w:t>
            </w:r>
          </w:p>
        </w:tc>
        <w:tc>
          <w:tcPr>
            <w:tcW w:w="4792" w:type="dxa"/>
            <w:vAlign w:val="center"/>
          </w:tcPr>
          <w:p w14:paraId="2ECA7629">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如本项目（包）要求通过分包措施预留部分</w:t>
            </w:r>
          </w:p>
          <w:p w14:paraId="16BA8088">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采购份额面向中小企业采购、且供应商因落实政府采购政策拟进行分包的，必须提供； 否则无须提供。</w:t>
            </w:r>
          </w:p>
          <w:p w14:paraId="007F2404">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对于预留份额专门面向中小企业采购的项目</w:t>
            </w:r>
          </w:p>
          <w:p w14:paraId="551A8326">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（包），组成联合体或者接受分包合同的中小企业与联合体内其他企业、分包企业之间不得存在直接控股、管理关系。</w:t>
            </w:r>
          </w:p>
        </w:tc>
        <w:tc>
          <w:tcPr>
            <w:tcW w:w="1909" w:type="dxa"/>
            <w:vAlign w:val="center"/>
          </w:tcPr>
          <w:p w14:paraId="1C5776FD">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格式见《响应文</w:t>
            </w:r>
          </w:p>
          <w:p w14:paraId="08761B2C">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件格式》</w:t>
            </w:r>
          </w:p>
        </w:tc>
      </w:tr>
      <w:tr w14:paraId="0736E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116B24FB">
            <w:pPr>
              <w:shd w:val="clear" w:color="auto" w:fill="FFFFFF"/>
              <w:tabs>
                <w:tab w:val="left" w:pos="1080"/>
              </w:tabs>
              <w:snapToGrid w:val="0"/>
              <w:jc w:val="center"/>
              <w:rPr>
                <w:rFonts w:ascii="宋体" w:hAnsi="宋体" w:cs="宋体"/>
                <w:sz w:val="24"/>
                <w:highlight w:val="none"/>
              </w:rPr>
            </w:pPr>
            <w:r>
              <w:rPr>
                <w:rFonts w:hint="eastAsia" w:ascii="宋体" w:hAnsi="宋体" w:cs="宋体"/>
                <w:sz w:val="24"/>
                <w:highlight w:val="none"/>
              </w:rPr>
              <w:t>2-2</w:t>
            </w:r>
          </w:p>
        </w:tc>
        <w:tc>
          <w:tcPr>
            <w:tcW w:w="1742" w:type="dxa"/>
            <w:vAlign w:val="center"/>
          </w:tcPr>
          <w:p w14:paraId="56D01098">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其它落实政府采购政策的资</w:t>
            </w:r>
          </w:p>
          <w:p w14:paraId="2E6EDE9E">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格要求</w:t>
            </w:r>
          </w:p>
        </w:tc>
        <w:tc>
          <w:tcPr>
            <w:tcW w:w="4792" w:type="dxa"/>
            <w:vAlign w:val="center"/>
          </w:tcPr>
          <w:p w14:paraId="51A419CA">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如有，见第一章《采购邀请》</w:t>
            </w:r>
          </w:p>
        </w:tc>
        <w:tc>
          <w:tcPr>
            <w:tcW w:w="1909" w:type="dxa"/>
            <w:vAlign w:val="center"/>
          </w:tcPr>
          <w:p w14:paraId="4D22E829">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提供证明文件的电子件或电子证照</w:t>
            </w:r>
          </w:p>
        </w:tc>
      </w:tr>
      <w:tr w14:paraId="5069F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33F11016">
            <w:pPr>
              <w:shd w:val="clear" w:color="auto" w:fill="FFFFFF"/>
              <w:tabs>
                <w:tab w:val="left" w:pos="1080"/>
              </w:tabs>
              <w:snapToGrid w:val="0"/>
              <w:jc w:val="center"/>
              <w:rPr>
                <w:rFonts w:ascii="宋体" w:hAnsi="宋体" w:cs="宋体"/>
                <w:sz w:val="24"/>
                <w:highlight w:val="none"/>
              </w:rPr>
            </w:pPr>
            <w:r>
              <w:rPr>
                <w:rFonts w:hint="eastAsia" w:ascii="宋体" w:hAnsi="宋体" w:cs="宋体"/>
                <w:sz w:val="24"/>
                <w:highlight w:val="none"/>
              </w:rPr>
              <w:t>3</w:t>
            </w:r>
          </w:p>
        </w:tc>
        <w:tc>
          <w:tcPr>
            <w:tcW w:w="1742" w:type="dxa"/>
            <w:vAlign w:val="center"/>
          </w:tcPr>
          <w:p w14:paraId="37E7031C">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本项目的特定资格要求</w:t>
            </w:r>
          </w:p>
        </w:tc>
        <w:tc>
          <w:tcPr>
            <w:tcW w:w="4792" w:type="dxa"/>
            <w:vAlign w:val="center"/>
          </w:tcPr>
          <w:p w14:paraId="1EA33261">
            <w:pPr>
              <w:shd w:val="clear" w:color="auto" w:fill="FFFFFF"/>
              <w:tabs>
                <w:tab w:val="left" w:pos="1080"/>
              </w:tabs>
              <w:snapToGrid w:val="0"/>
              <w:rPr>
                <w:rFonts w:ascii="宋体" w:hAnsi="宋体" w:cs="宋体"/>
                <w:sz w:val="24"/>
                <w:highlight w:val="none"/>
              </w:rPr>
            </w:pPr>
            <w:r>
              <w:rPr>
                <w:rFonts w:hint="eastAsia" w:ascii="宋体" w:hAnsi="宋体" w:cs="宋体"/>
                <w:color w:val="000000"/>
                <w:sz w:val="24"/>
                <w:highlight w:val="none"/>
              </w:rPr>
              <w:t>如有，见</w:t>
            </w:r>
            <w:r>
              <w:rPr>
                <w:rFonts w:hint="eastAsia" w:ascii="宋体" w:hAnsi="宋体" w:cs="宋体"/>
                <w:sz w:val="24"/>
                <w:highlight w:val="none"/>
              </w:rPr>
              <w:t>第一章《采购邀请》</w:t>
            </w:r>
          </w:p>
        </w:tc>
        <w:tc>
          <w:tcPr>
            <w:tcW w:w="1909" w:type="dxa"/>
            <w:vAlign w:val="center"/>
          </w:tcPr>
          <w:p w14:paraId="41AE7938">
            <w:pPr>
              <w:shd w:val="clear" w:color="auto" w:fill="FFFFFF"/>
              <w:tabs>
                <w:tab w:val="left" w:pos="1080"/>
              </w:tabs>
              <w:snapToGrid w:val="0"/>
              <w:rPr>
                <w:rFonts w:ascii="宋体" w:hAnsi="宋体" w:cs="宋体"/>
                <w:sz w:val="24"/>
                <w:highlight w:val="none"/>
              </w:rPr>
            </w:pPr>
          </w:p>
        </w:tc>
      </w:tr>
      <w:tr w14:paraId="1EC32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6B56657B">
            <w:pPr>
              <w:shd w:val="clear" w:color="auto" w:fill="FFFFFF"/>
              <w:tabs>
                <w:tab w:val="left" w:pos="1080"/>
              </w:tabs>
              <w:snapToGrid w:val="0"/>
              <w:jc w:val="center"/>
              <w:rPr>
                <w:rFonts w:ascii="宋体" w:hAnsi="宋体" w:cs="宋体"/>
                <w:sz w:val="24"/>
                <w:highlight w:val="none"/>
                <w:lang w:eastAsia="en-US"/>
              </w:rPr>
            </w:pPr>
            <w:r>
              <w:rPr>
                <w:rFonts w:hint="eastAsia" w:ascii="宋体" w:hAnsi="宋体" w:cs="宋体"/>
                <w:sz w:val="24"/>
                <w:highlight w:val="none"/>
              </w:rPr>
              <w:t>3-1</w:t>
            </w:r>
          </w:p>
        </w:tc>
        <w:tc>
          <w:tcPr>
            <w:tcW w:w="1742" w:type="dxa"/>
            <w:vAlign w:val="center"/>
          </w:tcPr>
          <w:p w14:paraId="6C5F5806">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本项目对于联合体的要求</w:t>
            </w:r>
          </w:p>
        </w:tc>
        <w:tc>
          <w:tcPr>
            <w:tcW w:w="4792" w:type="dxa"/>
            <w:vAlign w:val="center"/>
          </w:tcPr>
          <w:p w14:paraId="4BC9BDE3">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50A6C732">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2、联合体各成员单位均须提供本表中序号1-1、1-2 的证明文件。联合体各成员单位均应满足本表3-2 项规定。</w:t>
            </w:r>
          </w:p>
          <w:p w14:paraId="47EC2B4E">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3、本表序号3-3 项规定的其他特定资格要求中的每一小项要求，联合体各方中至少应当有一方符合本表中其他资格要求并提供证明文件。</w:t>
            </w:r>
          </w:p>
          <w:p w14:paraId="16EA5544">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4、联合体中有同类资质的供应商按照联合体分工承担相同工作的，应当按照资质等级较低的供应商确定资质等级。</w:t>
            </w:r>
          </w:p>
          <w:p w14:paraId="7D35997C">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5、以联合体形式参加政府采购活动的，联合体各方不得再单独参加或者与其他供应商另外组成联合体参加同一合同项下的政府采购活动。</w:t>
            </w:r>
          </w:p>
          <w:p w14:paraId="040AD4D2">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6、若联合体中任一成员单位中途退出，则该联合体的响应无效。</w:t>
            </w:r>
          </w:p>
          <w:p w14:paraId="0216D434">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7、本项目不接受联合体响应时，供应商不得为联合体。</w:t>
            </w:r>
          </w:p>
        </w:tc>
        <w:tc>
          <w:tcPr>
            <w:tcW w:w="1909" w:type="dxa"/>
            <w:vAlign w:val="center"/>
          </w:tcPr>
          <w:p w14:paraId="55F75FBA">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提供《联合协议》原件的电子件格式见《响应文件格式》</w:t>
            </w:r>
          </w:p>
        </w:tc>
      </w:tr>
      <w:tr w14:paraId="672DA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74B273EE">
            <w:pPr>
              <w:shd w:val="clear" w:color="auto" w:fill="FFFFFF"/>
              <w:tabs>
                <w:tab w:val="left" w:pos="1080"/>
              </w:tabs>
              <w:snapToGrid w:val="0"/>
              <w:jc w:val="center"/>
              <w:rPr>
                <w:rFonts w:ascii="宋体" w:hAnsi="宋体" w:cs="宋体"/>
                <w:sz w:val="24"/>
                <w:highlight w:val="none"/>
                <w:lang w:eastAsia="en-US"/>
              </w:rPr>
            </w:pPr>
            <w:r>
              <w:rPr>
                <w:rFonts w:hint="eastAsia" w:ascii="宋体" w:hAnsi="宋体" w:cs="宋体"/>
                <w:sz w:val="24"/>
                <w:highlight w:val="none"/>
              </w:rPr>
              <w:t>3-2</w:t>
            </w:r>
          </w:p>
        </w:tc>
        <w:tc>
          <w:tcPr>
            <w:tcW w:w="1742" w:type="dxa"/>
            <w:vAlign w:val="center"/>
          </w:tcPr>
          <w:p w14:paraId="4FB079C5">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政府购买服务</w:t>
            </w:r>
          </w:p>
          <w:p w14:paraId="4A760CA1">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承接主体的要求</w:t>
            </w:r>
          </w:p>
        </w:tc>
        <w:tc>
          <w:tcPr>
            <w:tcW w:w="4792" w:type="dxa"/>
            <w:vAlign w:val="center"/>
          </w:tcPr>
          <w:p w14:paraId="181919DB">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如本项目属于政府购买服务，供应商不属于公益一类事业单位、使用事业编制且由财政拨款保障的群团组织。</w:t>
            </w:r>
          </w:p>
        </w:tc>
        <w:tc>
          <w:tcPr>
            <w:tcW w:w="1909" w:type="dxa"/>
            <w:vAlign w:val="center"/>
          </w:tcPr>
          <w:p w14:paraId="68B0E4D1">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格式见《响应文件格式》“ 1-2供应商资格声明书”</w:t>
            </w:r>
          </w:p>
        </w:tc>
      </w:tr>
      <w:tr w14:paraId="54929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4ADC24CB">
            <w:pPr>
              <w:shd w:val="clear" w:color="auto" w:fill="FFFFFF"/>
              <w:tabs>
                <w:tab w:val="left" w:pos="1080"/>
              </w:tabs>
              <w:snapToGrid w:val="0"/>
              <w:jc w:val="center"/>
              <w:rPr>
                <w:rFonts w:ascii="宋体" w:hAnsi="宋体" w:cs="宋体"/>
                <w:sz w:val="24"/>
                <w:highlight w:val="none"/>
                <w:lang w:eastAsia="en-US"/>
              </w:rPr>
            </w:pPr>
            <w:r>
              <w:rPr>
                <w:rFonts w:hint="eastAsia" w:ascii="宋体" w:hAnsi="宋体" w:cs="宋体"/>
                <w:sz w:val="24"/>
                <w:highlight w:val="none"/>
              </w:rPr>
              <w:t>3-3</w:t>
            </w:r>
          </w:p>
        </w:tc>
        <w:tc>
          <w:tcPr>
            <w:tcW w:w="1742" w:type="dxa"/>
            <w:vAlign w:val="center"/>
          </w:tcPr>
          <w:p w14:paraId="2EDE009A">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其他特定资格要求</w:t>
            </w:r>
          </w:p>
        </w:tc>
        <w:tc>
          <w:tcPr>
            <w:tcW w:w="4792" w:type="dxa"/>
            <w:vAlign w:val="center"/>
          </w:tcPr>
          <w:p w14:paraId="2FED4FEB">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如有，见第一章《采购邀请》注：如联合体中有同类资质的供应商按照联合体分工承担相同工作的，均应当提供资质证书电子件或电子证照。</w:t>
            </w:r>
          </w:p>
        </w:tc>
        <w:tc>
          <w:tcPr>
            <w:tcW w:w="1909" w:type="dxa"/>
            <w:vAlign w:val="center"/>
          </w:tcPr>
          <w:p w14:paraId="71F67510">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提供证明文件的电子件或电子证照</w:t>
            </w:r>
          </w:p>
        </w:tc>
      </w:tr>
      <w:tr w14:paraId="2881D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37AD28CC">
            <w:pPr>
              <w:shd w:val="clear" w:color="auto" w:fill="FFFFFF"/>
              <w:tabs>
                <w:tab w:val="left" w:pos="1080"/>
              </w:tabs>
              <w:snapToGrid w:val="0"/>
              <w:jc w:val="center"/>
              <w:rPr>
                <w:rFonts w:ascii="宋体" w:hAnsi="宋体" w:cs="宋体"/>
                <w:sz w:val="24"/>
                <w:highlight w:val="none"/>
                <w:lang w:eastAsia="en-US"/>
              </w:rPr>
            </w:pPr>
            <w:r>
              <w:rPr>
                <w:rFonts w:hint="eastAsia" w:ascii="宋体" w:hAnsi="宋体" w:cs="宋体"/>
                <w:sz w:val="24"/>
                <w:highlight w:val="none"/>
              </w:rPr>
              <w:t>4</w:t>
            </w:r>
          </w:p>
        </w:tc>
        <w:tc>
          <w:tcPr>
            <w:tcW w:w="1742" w:type="dxa"/>
            <w:vAlign w:val="center"/>
          </w:tcPr>
          <w:p w14:paraId="63920D99">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磋商保证金</w:t>
            </w:r>
          </w:p>
        </w:tc>
        <w:tc>
          <w:tcPr>
            <w:tcW w:w="4792" w:type="dxa"/>
            <w:vAlign w:val="center"/>
          </w:tcPr>
          <w:p w14:paraId="49751BFB">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按照竞争性磋商文件的要求提交磋商保证金。</w:t>
            </w:r>
          </w:p>
        </w:tc>
        <w:tc>
          <w:tcPr>
            <w:tcW w:w="1909" w:type="dxa"/>
            <w:vAlign w:val="center"/>
          </w:tcPr>
          <w:p w14:paraId="08230D25">
            <w:pPr>
              <w:shd w:val="clear" w:color="auto" w:fill="FFFFFF"/>
              <w:tabs>
                <w:tab w:val="left" w:pos="1080"/>
              </w:tabs>
              <w:snapToGrid w:val="0"/>
              <w:rPr>
                <w:rFonts w:ascii="宋体" w:hAnsi="宋体" w:cs="宋体"/>
                <w:sz w:val="24"/>
                <w:highlight w:val="none"/>
              </w:rPr>
            </w:pPr>
          </w:p>
        </w:tc>
      </w:tr>
      <w:tr w14:paraId="4A59F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227E1FBA">
            <w:pPr>
              <w:shd w:val="clear" w:color="auto" w:fill="FFFFFF"/>
              <w:tabs>
                <w:tab w:val="left" w:pos="1080"/>
              </w:tabs>
              <w:snapToGrid w:val="0"/>
              <w:jc w:val="center"/>
              <w:rPr>
                <w:rFonts w:ascii="宋体" w:hAnsi="宋体" w:cs="宋体"/>
                <w:sz w:val="24"/>
                <w:highlight w:val="none"/>
              </w:rPr>
            </w:pPr>
            <w:r>
              <w:rPr>
                <w:rFonts w:hint="eastAsia" w:ascii="宋体" w:hAnsi="宋体" w:cs="宋体"/>
                <w:sz w:val="24"/>
                <w:highlight w:val="none"/>
              </w:rPr>
              <w:t>5</w:t>
            </w:r>
          </w:p>
        </w:tc>
        <w:tc>
          <w:tcPr>
            <w:tcW w:w="1742" w:type="dxa"/>
            <w:vAlign w:val="center"/>
          </w:tcPr>
          <w:p w14:paraId="0C574060">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获取磋商文件</w:t>
            </w:r>
          </w:p>
        </w:tc>
        <w:tc>
          <w:tcPr>
            <w:tcW w:w="4792" w:type="dxa"/>
            <w:vAlign w:val="center"/>
          </w:tcPr>
          <w:p w14:paraId="302F4765">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在规定期限内通过采购文件第一章《采购邀请》规定的方式获取所参与包的磋商文件。</w:t>
            </w:r>
          </w:p>
          <w:p w14:paraId="5C22C5E8">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注：如本项目接受联合体，且供应商为联合</w:t>
            </w:r>
          </w:p>
          <w:p w14:paraId="75ACA701">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体时，联合体中任一成员获取文件即视为满</w:t>
            </w:r>
          </w:p>
          <w:p w14:paraId="71F7B592">
            <w:pPr>
              <w:shd w:val="clear" w:color="auto" w:fill="FFFFFF"/>
              <w:tabs>
                <w:tab w:val="left" w:pos="1080"/>
              </w:tabs>
              <w:snapToGrid w:val="0"/>
              <w:rPr>
                <w:rFonts w:ascii="宋体" w:hAnsi="宋体" w:cs="宋体"/>
                <w:sz w:val="24"/>
                <w:highlight w:val="none"/>
              </w:rPr>
            </w:pPr>
            <w:r>
              <w:rPr>
                <w:rFonts w:hint="eastAsia" w:ascii="宋体" w:hAnsi="宋体" w:cs="宋体"/>
                <w:sz w:val="24"/>
                <w:highlight w:val="none"/>
              </w:rPr>
              <w:t>足要求。</w:t>
            </w:r>
          </w:p>
        </w:tc>
        <w:tc>
          <w:tcPr>
            <w:tcW w:w="1909" w:type="dxa"/>
            <w:vAlign w:val="center"/>
          </w:tcPr>
          <w:p w14:paraId="4663BA60">
            <w:pPr>
              <w:shd w:val="clear" w:color="auto" w:fill="FFFFFF"/>
              <w:tabs>
                <w:tab w:val="left" w:pos="1080"/>
              </w:tabs>
              <w:snapToGrid w:val="0"/>
              <w:rPr>
                <w:rFonts w:ascii="宋体" w:hAnsi="宋体" w:cs="宋体"/>
                <w:sz w:val="24"/>
                <w:highlight w:val="none"/>
              </w:rPr>
            </w:pPr>
          </w:p>
        </w:tc>
      </w:tr>
    </w:tbl>
    <w:p w14:paraId="0CFC689A">
      <w:pPr>
        <w:widowControl/>
        <w:shd w:val="clear" w:color="auto" w:fill="FFFFFF"/>
        <w:jc w:val="left"/>
        <w:rPr>
          <w:rFonts w:ascii="宋体" w:hAnsi="宋体" w:cs="宋体"/>
          <w:sz w:val="24"/>
          <w:highlight w:val="none"/>
        </w:rPr>
      </w:pPr>
    </w:p>
    <w:p w14:paraId="72AE5678">
      <w:pPr>
        <w:numPr>
          <w:ilvl w:val="1"/>
          <w:numId w:val="21"/>
        </w:numPr>
        <w:shd w:val="clear" w:color="auto" w:fill="FFFFFF"/>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《符合性审查要求》见下表：</w:t>
      </w:r>
    </w:p>
    <w:p w14:paraId="0EA4BD32">
      <w:pPr>
        <w:widowControl/>
        <w:shd w:val="clear" w:color="auto" w:fill="FFFFFF"/>
        <w:spacing w:line="360" w:lineRule="auto"/>
        <w:jc w:val="center"/>
        <w:rPr>
          <w:rFonts w:ascii="宋体" w:hAnsi="宋体" w:cs="宋体"/>
          <w:b/>
          <w:color w:val="000000"/>
          <w:kern w:val="0"/>
          <w:sz w:val="24"/>
          <w:highlight w:val="none"/>
        </w:rPr>
      </w:pPr>
      <w:r>
        <w:rPr>
          <w:rFonts w:hint="eastAsia" w:ascii="宋体" w:hAnsi="宋体" w:cs="宋体"/>
          <w:b/>
          <w:color w:val="000000"/>
          <w:kern w:val="0"/>
          <w:sz w:val="24"/>
          <w:highlight w:val="none"/>
        </w:rPr>
        <w:t>符合性审查要求</w:t>
      </w:r>
    </w:p>
    <w:tbl>
      <w:tblPr>
        <w:tblStyle w:val="8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842"/>
        <w:gridCol w:w="4533"/>
        <w:gridCol w:w="2031"/>
      </w:tblGrid>
      <w:tr w14:paraId="1A79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3AE9F90F">
            <w:pPr>
              <w:widowControl/>
              <w:shd w:val="clear" w:color="auto" w:fill="FFFFFF"/>
              <w:jc w:val="center"/>
              <w:rPr>
                <w:rFonts w:ascii="宋体" w:hAnsi="宋体" w:cs="宋体"/>
                <w:b/>
                <w:color w:val="000000"/>
                <w:kern w:val="0"/>
                <w:sz w:val="24"/>
                <w:highlight w:val="none"/>
              </w:rPr>
            </w:pPr>
            <w:r>
              <w:rPr>
                <w:rFonts w:hint="eastAsia" w:ascii="宋体" w:hAnsi="宋体" w:cs="宋体"/>
                <w:b/>
                <w:color w:val="000000"/>
                <w:kern w:val="0"/>
                <w:sz w:val="24"/>
                <w:highlight w:val="none"/>
              </w:rPr>
              <w:t>序号</w:t>
            </w:r>
          </w:p>
        </w:tc>
        <w:tc>
          <w:tcPr>
            <w:tcW w:w="1842" w:type="dxa"/>
            <w:shd w:val="clear" w:color="000000" w:fill="FFFFFF"/>
            <w:vAlign w:val="center"/>
          </w:tcPr>
          <w:p w14:paraId="27017F4D">
            <w:pPr>
              <w:widowControl/>
              <w:shd w:val="clear" w:color="auto" w:fill="FFFFFF"/>
              <w:jc w:val="center"/>
              <w:rPr>
                <w:rFonts w:ascii="宋体" w:hAnsi="宋体" w:cs="宋体"/>
                <w:b/>
                <w:color w:val="000000"/>
                <w:kern w:val="0"/>
                <w:sz w:val="24"/>
                <w:highlight w:val="none"/>
              </w:rPr>
            </w:pPr>
            <w:r>
              <w:rPr>
                <w:rFonts w:hint="eastAsia" w:ascii="宋体" w:hAnsi="宋体" w:cs="宋体"/>
                <w:b/>
                <w:sz w:val="24"/>
                <w:highlight w:val="none"/>
              </w:rPr>
              <w:t>检查</w:t>
            </w:r>
            <w:r>
              <w:rPr>
                <w:rFonts w:hint="eastAsia" w:ascii="宋体" w:hAnsi="宋体" w:cs="宋体"/>
                <w:b/>
                <w:color w:val="000000"/>
                <w:kern w:val="0"/>
                <w:sz w:val="24"/>
                <w:highlight w:val="none"/>
              </w:rPr>
              <w:t>因素</w:t>
            </w:r>
          </w:p>
        </w:tc>
        <w:tc>
          <w:tcPr>
            <w:tcW w:w="4533" w:type="dxa"/>
            <w:shd w:val="clear" w:color="000000" w:fill="FFFFFF"/>
            <w:vAlign w:val="center"/>
          </w:tcPr>
          <w:p w14:paraId="14B0FF58">
            <w:pPr>
              <w:widowControl/>
              <w:shd w:val="clear" w:color="auto" w:fill="FFFFFF"/>
              <w:jc w:val="center"/>
              <w:rPr>
                <w:rFonts w:ascii="宋体" w:hAnsi="宋体" w:cs="宋体"/>
                <w:b/>
                <w:color w:val="000000"/>
                <w:kern w:val="0"/>
                <w:sz w:val="24"/>
                <w:highlight w:val="none"/>
              </w:rPr>
            </w:pPr>
            <w:r>
              <w:rPr>
                <w:rFonts w:hint="eastAsia" w:ascii="宋体" w:hAnsi="宋体" w:cs="宋体"/>
                <w:b/>
                <w:sz w:val="24"/>
                <w:highlight w:val="none"/>
              </w:rPr>
              <w:t>检查</w:t>
            </w:r>
            <w:r>
              <w:rPr>
                <w:rFonts w:hint="eastAsia" w:ascii="宋体" w:hAnsi="宋体" w:cs="宋体"/>
                <w:b/>
                <w:color w:val="000000"/>
                <w:kern w:val="0"/>
                <w:sz w:val="24"/>
                <w:highlight w:val="none"/>
              </w:rPr>
              <w:t>内容</w:t>
            </w:r>
          </w:p>
        </w:tc>
        <w:tc>
          <w:tcPr>
            <w:tcW w:w="2031" w:type="dxa"/>
            <w:shd w:val="clear" w:color="000000" w:fill="FFFFFF"/>
            <w:vAlign w:val="center"/>
          </w:tcPr>
          <w:p w14:paraId="3AFF8571">
            <w:pPr>
              <w:widowControl/>
              <w:shd w:val="clear" w:color="auto" w:fill="FFFFFF"/>
              <w:jc w:val="center"/>
              <w:rPr>
                <w:rFonts w:ascii="宋体" w:hAnsi="宋体" w:cs="宋体"/>
                <w:b/>
                <w:color w:val="000000"/>
                <w:kern w:val="0"/>
                <w:sz w:val="24"/>
                <w:highlight w:val="none"/>
              </w:rPr>
            </w:pPr>
            <w:r>
              <w:rPr>
                <w:rFonts w:hint="eastAsia" w:ascii="宋体" w:hAnsi="宋体" w:cs="宋体"/>
                <w:b/>
                <w:color w:val="000000"/>
                <w:kern w:val="0"/>
                <w:sz w:val="24"/>
                <w:highlight w:val="none"/>
              </w:rPr>
              <w:t>是否允许澄清、说明或者更正</w:t>
            </w:r>
          </w:p>
        </w:tc>
      </w:tr>
      <w:tr w14:paraId="0F21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6D85D5D6">
            <w:pPr>
              <w:widowControl/>
              <w:shd w:val="clear" w:color="auto" w:fill="FFFFFF"/>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842" w:type="dxa"/>
            <w:shd w:val="clear" w:color="000000" w:fill="FFFFFF"/>
            <w:vAlign w:val="center"/>
          </w:tcPr>
          <w:p w14:paraId="0BF47AED">
            <w:pPr>
              <w:pStyle w:val="305"/>
              <w:spacing w:before="117"/>
              <w:ind w:left="102"/>
              <w:rPr>
                <w:color w:val="000000"/>
                <w:sz w:val="24"/>
                <w:highlight w:val="none"/>
              </w:rPr>
            </w:pPr>
            <w:r>
              <w:rPr>
                <w:rFonts w:hint="eastAsia"/>
                <w:color w:val="000000"/>
                <w:sz w:val="24"/>
                <w:szCs w:val="24"/>
                <w:highlight w:val="none"/>
              </w:rPr>
              <w:t>授权委托书</w:t>
            </w:r>
          </w:p>
        </w:tc>
        <w:tc>
          <w:tcPr>
            <w:tcW w:w="4533" w:type="dxa"/>
            <w:shd w:val="clear" w:color="000000" w:fill="FFFFFF"/>
            <w:vAlign w:val="center"/>
          </w:tcPr>
          <w:p w14:paraId="2CD144F6">
            <w:pPr>
              <w:pStyle w:val="305"/>
              <w:spacing w:before="117"/>
              <w:ind w:left="102"/>
              <w:rPr>
                <w:color w:val="000000"/>
                <w:sz w:val="24"/>
                <w:highlight w:val="none"/>
                <w:lang w:eastAsia="zh-CN"/>
              </w:rPr>
            </w:pPr>
            <w:r>
              <w:rPr>
                <w:rFonts w:hint="eastAsia"/>
                <w:color w:val="000000"/>
                <w:sz w:val="24"/>
                <w:szCs w:val="24"/>
                <w:highlight w:val="none"/>
                <w:lang w:eastAsia="zh-CN"/>
              </w:rPr>
              <w:t>按磋商文件要求提供授权委托书；</w:t>
            </w:r>
          </w:p>
        </w:tc>
        <w:tc>
          <w:tcPr>
            <w:tcW w:w="2031" w:type="dxa"/>
            <w:shd w:val="clear" w:color="000000" w:fill="FFFFFF"/>
            <w:vAlign w:val="center"/>
          </w:tcPr>
          <w:p w14:paraId="4C60DAF9">
            <w:pPr>
              <w:widowControl/>
              <w:shd w:val="clear" w:color="auto" w:fill="FFFFFF"/>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BE1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57936662">
            <w:pPr>
              <w:widowControl/>
              <w:shd w:val="clear" w:color="auto" w:fill="FFFFFF"/>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1842" w:type="dxa"/>
            <w:shd w:val="clear" w:color="000000" w:fill="FFFFFF"/>
            <w:vAlign w:val="center"/>
          </w:tcPr>
          <w:p w14:paraId="3F6E5233">
            <w:pPr>
              <w:pStyle w:val="305"/>
              <w:spacing w:before="117"/>
              <w:ind w:left="102"/>
              <w:rPr>
                <w:color w:val="000000"/>
                <w:sz w:val="24"/>
                <w:highlight w:val="none"/>
              </w:rPr>
            </w:pPr>
            <w:r>
              <w:rPr>
                <w:rFonts w:hint="eastAsia"/>
                <w:color w:val="000000"/>
                <w:sz w:val="24"/>
                <w:szCs w:val="24"/>
                <w:highlight w:val="none"/>
              </w:rPr>
              <w:t>响应文件完整性</w:t>
            </w:r>
          </w:p>
        </w:tc>
        <w:tc>
          <w:tcPr>
            <w:tcW w:w="4533" w:type="dxa"/>
            <w:shd w:val="clear" w:color="000000" w:fill="FFFFFF"/>
            <w:vAlign w:val="center"/>
          </w:tcPr>
          <w:p w14:paraId="107E4A25">
            <w:pPr>
              <w:pStyle w:val="305"/>
              <w:spacing w:before="117"/>
              <w:ind w:left="102"/>
              <w:rPr>
                <w:color w:val="000000"/>
                <w:sz w:val="24"/>
                <w:highlight w:val="none"/>
                <w:lang w:eastAsia="zh-CN"/>
              </w:rPr>
            </w:pPr>
            <w:r>
              <w:rPr>
                <w:rFonts w:hint="eastAsia"/>
                <w:color w:val="000000"/>
                <w:sz w:val="24"/>
                <w:szCs w:val="24"/>
                <w:highlight w:val="none"/>
                <w:lang w:eastAsia="zh-CN"/>
              </w:rPr>
              <w:t>未将一个采购包中的内容拆开投标；</w:t>
            </w:r>
          </w:p>
        </w:tc>
        <w:tc>
          <w:tcPr>
            <w:tcW w:w="2031" w:type="dxa"/>
            <w:shd w:val="clear" w:color="000000" w:fill="FFFFFF"/>
            <w:vAlign w:val="center"/>
          </w:tcPr>
          <w:p w14:paraId="2ECFF893">
            <w:pPr>
              <w:widowControl/>
              <w:shd w:val="clear" w:color="auto" w:fill="FFFFFF"/>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2E5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426666E9">
            <w:pPr>
              <w:widowControl/>
              <w:shd w:val="clear" w:color="auto" w:fill="FFFFFF"/>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1842" w:type="dxa"/>
            <w:shd w:val="clear" w:color="000000" w:fill="FFFFFF"/>
            <w:vAlign w:val="center"/>
          </w:tcPr>
          <w:p w14:paraId="13912B8D">
            <w:pPr>
              <w:pStyle w:val="305"/>
              <w:spacing w:before="117"/>
              <w:ind w:left="102"/>
              <w:rPr>
                <w:color w:val="000000"/>
                <w:sz w:val="24"/>
                <w:highlight w:val="none"/>
              </w:rPr>
            </w:pPr>
            <w:r>
              <w:rPr>
                <w:rFonts w:hint="eastAsia"/>
                <w:color w:val="000000"/>
                <w:sz w:val="24"/>
                <w:szCs w:val="24"/>
                <w:highlight w:val="none"/>
              </w:rPr>
              <w:t>响应报价</w:t>
            </w:r>
          </w:p>
        </w:tc>
        <w:tc>
          <w:tcPr>
            <w:tcW w:w="4533" w:type="dxa"/>
            <w:shd w:val="clear" w:color="000000" w:fill="FFFFFF"/>
            <w:vAlign w:val="center"/>
          </w:tcPr>
          <w:p w14:paraId="641CF3D3">
            <w:pPr>
              <w:pStyle w:val="305"/>
              <w:spacing w:before="117"/>
              <w:ind w:left="102"/>
              <w:rPr>
                <w:color w:val="000000"/>
                <w:sz w:val="24"/>
                <w:highlight w:val="none"/>
                <w:lang w:eastAsia="zh-CN"/>
              </w:rPr>
            </w:pPr>
            <w:r>
              <w:rPr>
                <w:rFonts w:hint="eastAsia"/>
                <w:color w:val="000000"/>
                <w:sz w:val="24"/>
                <w:szCs w:val="24"/>
                <w:highlight w:val="none"/>
                <w:lang w:eastAsia="zh-CN"/>
              </w:rPr>
              <w:t>响应报价未超过磋商文件中规定的项目</w:t>
            </w:r>
            <w:r>
              <w:rPr>
                <w:color w:val="000000"/>
                <w:sz w:val="24"/>
                <w:szCs w:val="24"/>
                <w:highlight w:val="none"/>
                <w:lang w:eastAsia="zh-CN"/>
              </w:rPr>
              <w:t>/</w:t>
            </w:r>
            <w:r>
              <w:rPr>
                <w:rFonts w:hint="eastAsia"/>
                <w:color w:val="000000"/>
                <w:sz w:val="24"/>
                <w:szCs w:val="24"/>
                <w:highlight w:val="none"/>
                <w:lang w:eastAsia="zh-CN"/>
              </w:rPr>
              <w:t>采购包预算金额或者项目</w:t>
            </w:r>
            <w:r>
              <w:rPr>
                <w:color w:val="000000"/>
                <w:sz w:val="24"/>
                <w:szCs w:val="24"/>
                <w:highlight w:val="none"/>
                <w:lang w:eastAsia="zh-CN"/>
              </w:rPr>
              <w:t>/</w:t>
            </w:r>
            <w:r>
              <w:rPr>
                <w:rFonts w:hint="eastAsia"/>
                <w:color w:val="000000"/>
                <w:sz w:val="24"/>
                <w:szCs w:val="24"/>
                <w:highlight w:val="none"/>
                <w:lang w:eastAsia="zh-CN"/>
              </w:rPr>
              <w:t>采购包最高限价；</w:t>
            </w:r>
          </w:p>
        </w:tc>
        <w:tc>
          <w:tcPr>
            <w:tcW w:w="2031" w:type="dxa"/>
            <w:shd w:val="clear" w:color="000000" w:fill="FFFFFF"/>
            <w:vAlign w:val="center"/>
          </w:tcPr>
          <w:p w14:paraId="78DCA6C1">
            <w:pPr>
              <w:widowControl/>
              <w:shd w:val="clear" w:color="auto" w:fill="FFFFFF"/>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34D3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471BA3B7">
            <w:pPr>
              <w:widowControl/>
              <w:shd w:val="clear" w:color="auto" w:fill="FFFFFF"/>
              <w:jc w:val="center"/>
              <w:rPr>
                <w:rFonts w:ascii="宋体" w:hAnsi="宋体" w:cs="宋体"/>
                <w:color w:val="000000"/>
                <w:kern w:val="0"/>
                <w:sz w:val="24"/>
                <w:highlight w:val="none"/>
              </w:rPr>
            </w:pPr>
            <w:r>
              <w:rPr>
                <w:rFonts w:hint="eastAsia" w:ascii="宋体" w:hAnsi="宋体" w:cs="宋体"/>
                <w:color w:val="000000"/>
                <w:kern w:val="0"/>
                <w:sz w:val="24"/>
                <w:highlight w:val="none"/>
              </w:rPr>
              <w:t>4</w:t>
            </w:r>
          </w:p>
        </w:tc>
        <w:tc>
          <w:tcPr>
            <w:tcW w:w="1842" w:type="dxa"/>
            <w:shd w:val="clear" w:color="000000" w:fill="FFFFFF"/>
            <w:vAlign w:val="center"/>
          </w:tcPr>
          <w:p w14:paraId="564D089D">
            <w:pPr>
              <w:pStyle w:val="305"/>
              <w:spacing w:before="117"/>
              <w:ind w:left="102"/>
              <w:rPr>
                <w:color w:val="000000"/>
                <w:sz w:val="24"/>
                <w:highlight w:val="none"/>
              </w:rPr>
            </w:pPr>
            <w:r>
              <w:rPr>
                <w:rFonts w:hint="eastAsia"/>
                <w:color w:val="000000"/>
                <w:sz w:val="24"/>
                <w:szCs w:val="24"/>
                <w:highlight w:val="none"/>
              </w:rPr>
              <w:t>响应有效期</w:t>
            </w:r>
          </w:p>
        </w:tc>
        <w:tc>
          <w:tcPr>
            <w:tcW w:w="4533" w:type="dxa"/>
            <w:shd w:val="clear" w:color="000000" w:fill="FFFFFF"/>
            <w:vAlign w:val="center"/>
          </w:tcPr>
          <w:p w14:paraId="6784BB52">
            <w:pPr>
              <w:pStyle w:val="305"/>
              <w:spacing w:before="117"/>
              <w:ind w:left="102"/>
              <w:rPr>
                <w:color w:val="000000"/>
                <w:sz w:val="24"/>
                <w:highlight w:val="none"/>
                <w:lang w:eastAsia="zh-CN"/>
              </w:rPr>
            </w:pPr>
            <w:r>
              <w:rPr>
                <w:rFonts w:hint="eastAsia"/>
                <w:color w:val="000000"/>
                <w:sz w:val="24"/>
                <w:szCs w:val="24"/>
                <w:highlight w:val="none"/>
                <w:lang w:eastAsia="zh-CN"/>
              </w:rPr>
              <w:t>响应文件中承诺的响应有效期满足磋商文件中载明的响应有效期的；</w:t>
            </w:r>
          </w:p>
        </w:tc>
        <w:tc>
          <w:tcPr>
            <w:tcW w:w="2031" w:type="dxa"/>
            <w:shd w:val="clear" w:color="000000" w:fill="FFFFFF"/>
            <w:vAlign w:val="center"/>
          </w:tcPr>
          <w:p w14:paraId="239B7896">
            <w:pPr>
              <w:widowControl/>
              <w:shd w:val="clear" w:color="auto" w:fill="FFFFFF"/>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8FB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55554DB9">
            <w:pPr>
              <w:widowControl/>
              <w:shd w:val="clear" w:color="auto" w:fill="FFFFFF"/>
              <w:jc w:val="center"/>
              <w:rPr>
                <w:rFonts w:ascii="宋体" w:hAnsi="宋体" w:cs="宋体"/>
                <w:color w:val="000000"/>
                <w:kern w:val="0"/>
                <w:sz w:val="24"/>
                <w:highlight w:val="none"/>
              </w:rPr>
            </w:pPr>
            <w:r>
              <w:rPr>
                <w:rFonts w:hint="eastAsia" w:ascii="宋体" w:hAnsi="宋体" w:cs="宋体"/>
                <w:color w:val="000000"/>
                <w:kern w:val="0"/>
                <w:sz w:val="24"/>
                <w:highlight w:val="none"/>
              </w:rPr>
              <w:t>5</w:t>
            </w:r>
          </w:p>
        </w:tc>
        <w:tc>
          <w:tcPr>
            <w:tcW w:w="1842" w:type="dxa"/>
            <w:shd w:val="clear" w:color="auto" w:fill="auto"/>
            <w:vAlign w:val="center"/>
          </w:tcPr>
          <w:p w14:paraId="1463D877">
            <w:pPr>
              <w:pStyle w:val="305"/>
              <w:spacing w:before="117"/>
              <w:ind w:left="102"/>
              <w:rPr>
                <w:sz w:val="24"/>
                <w:highlight w:val="none"/>
              </w:rPr>
            </w:pPr>
            <w:r>
              <w:rPr>
                <w:rFonts w:hint="eastAsia"/>
                <w:color w:val="000000"/>
                <w:sz w:val="24"/>
                <w:szCs w:val="24"/>
                <w:highlight w:val="none"/>
              </w:rPr>
              <w:t>签署、盖章</w:t>
            </w:r>
          </w:p>
        </w:tc>
        <w:tc>
          <w:tcPr>
            <w:tcW w:w="4533" w:type="dxa"/>
            <w:shd w:val="clear" w:color="auto" w:fill="auto"/>
            <w:vAlign w:val="center"/>
          </w:tcPr>
          <w:p w14:paraId="6C6FB4DF">
            <w:pPr>
              <w:pStyle w:val="305"/>
              <w:spacing w:before="117"/>
              <w:ind w:left="102"/>
              <w:rPr>
                <w:sz w:val="24"/>
                <w:highlight w:val="none"/>
                <w:lang w:eastAsia="zh-CN"/>
              </w:rPr>
            </w:pPr>
            <w:r>
              <w:rPr>
                <w:rFonts w:hint="eastAsia"/>
                <w:color w:val="000000"/>
                <w:sz w:val="24"/>
                <w:szCs w:val="24"/>
                <w:highlight w:val="none"/>
                <w:lang w:eastAsia="zh-CN"/>
              </w:rPr>
              <w:t>按照磋商文件要求签署、盖章的；</w:t>
            </w:r>
          </w:p>
        </w:tc>
        <w:tc>
          <w:tcPr>
            <w:tcW w:w="2031" w:type="dxa"/>
            <w:shd w:val="clear" w:color="000000" w:fill="FFFFFF"/>
            <w:vAlign w:val="center"/>
          </w:tcPr>
          <w:p w14:paraId="2BF98312">
            <w:pPr>
              <w:widowControl/>
              <w:shd w:val="clear" w:color="auto" w:fill="FFFFFF"/>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BFC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7FB3818B">
            <w:pPr>
              <w:widowControl/>
              <w:shd w:val="clear" w:color="auto" w:fill="FFFFFF"/>
              <w:jc w:val="center"/>
              <w:rPr>
                <w:rFonts w:ascii="宋体" w:hAnsi="宋体" w:cs="宋体"/>
                <w:color w:val="000000"/>
                <w:kern w:val="0"/>
                <w:sz w:val="24"/>
                <w:highlight w:val="none"/>
              </w:rPr>
            </w:pPr>
            <w:r>
              <w:rPr>
                <w:rFonts w:hint="eastAsia" w:ascii="宋体" w:hAnsi="宋体" w:cs="宋体"/>
                <w:color w:val="000000"/>
                <w:kern w:val="0"/>
                <w:sz w:val="24"/>
                <w:highlight w:val="none"/>
              </w:rPr>
              <w:t>6</w:t>
            </w:r>
          </w:p>
        </w:tc>
        <w:tc>
          <w:tcPr>
            <w:tcW w:w="1842" w:type="dxa"/>
            <w:shd w:val="clear" w:color="000000" w:fill="FFFFFF"/>
            <w:vAlign w:val="center"/>
          </w:tcPr>
          <w:p w14:paraId="553B3CE8">
            <w:pPr>
              <w:pStyle w:val="305"/>
              <w:spacing w:before="117"/>
              <w:ind w:left="102"/>
              <w:rPr>
                <w:color w:val="000000"/>
                <w:sz w:val="24"/>
                <w:highlight w:val="none"/>
              </w:rPr>
            </w:pPr>
            <w:r>
              <w:rPr>
                <w:rFonts w:hint="eastAsia"/>
                <w:color w:val="000000"/>
                <w:sz w:val="24"/>
                <w:szCs w:val="24"/>
                <w:highlight w:val="none"/>
              </w:rPr>
              <w:t>实质性格式</w:t>
            </w:r>
          </w:p>
        </w:tc>
        <w:tc>
          <w:tcPr>
            <w:tcW w:w="4533" w:type="dxa"/>
            <w:shd w:val="clear" w:color="000000" w:fill="FFFFFF"/>
            <w:vAlign w:val="center"/>
          </w:tcPr>
          <w:p w14:paraId="78633E08">
            <w:pPr>
              <w:pStyle w:val="305"/>
              <w:spacing w:before="117"/>
              <w:ind w:left="102"/>
              <w:rPr>
                <w:color w:val="000000"/>
                <w:sz w:val="24"/>
                <w:highlight w:val="none"/>
                <w:lang w:eastAsia="zh-CN"/>
              </w:rPr>
            </w:pPr>
            <w:r>
              <w:rPr>
                <w:rFonts w:hint="eastAsia"/>
                <w:color w:val="000000"/>
                <w:sz w:val="24"/>
                <w:szCs w:val="24"/>
                <w:highlight w:val="none"/>
                <w:lang w:eastAsia="zh-CN"/>
              </w:rPr>
              <w:t>标记为</w:t>
            </w:r>
            <w:r>
              <w:rPr>
                <w:color w:val="000000"/>
                <w:sz w:val="24"/>
                <w:szCs w:val="24"/>
                <w:highlight w:val="none"/>
                <w:lang w:eastAsia="zh-CN"/>
              </w:rPr>
              <w:t>“</w:t>
            </w:r>
            <w:r>
              <w:rPr>
                <w:rFonts w:hint="eastAsia"/>
                <w:color w:val="000000"/>
                <w:sz w:val="24"/>
                <w:szCs w:val="24"/>
                <w:highlight w:val="none"/>
                <w:lang w:eastAsia="zh-CN"/>
              </w:rPr>
              <w:t>实质性格式</w:t>
            </w:r>
            <w:r>
              <w:rPr>
                <w:color w:val="000000"/>
                <w:sz w:val="24"/>
                <w:szCs w:val="24"/>
                <w:highlight w:val="none"/>
                <w:lang w:eastAsia="zh-CN"/>
              </w:rPr>
              <w:t>”</w:t>
            </w:r>
            <w:r>
              <w:rPr>
                <w:rFonts w:hint="eastAsia"/>
                <w:color w:val="000000"/>
                <w:sz w:val="24"/>
                <w:szCs w:val="24"/>
                <w:highlight w:val="none"/>
                <w:lang w:eastAsia="zh-CN"/>
              </w:rPr>
              <w:t>的文件均按磋商文件要求提供；</w:t>
            </w:r>
          </w:p>
        </w:tc>
        <w:tc>
          <w:tcPr>
            <w:tcW w:w="2031" w:type="dxa"/>
            <w:shd w:val="clear" w:color="000000" w:fill="FFFFFF"/>
            <w:vAlign w:val="center"/>
          </w:tcPr>
          <w:p w14:paraId="33D29D55">
            <w:pPr>
              <w:widowControl/>
              <w:shd w:val="clear" w:color="auto" w:fill="FFFFFF"/>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BCE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6A44B950">
            <w:pPr>
              <w:widowControl/>
              <w:shd w:val="clear" w:color="auto" w:fill="FFFFFF"/>
              <w:jc w:val="center"/>
              <w:rPr>
                <w:rFonts w:ascii="宋体" w:hAnsi="宋体" w:cs="宋体"/>
                <w:color w:val="000000"/>
                <w:kern w:val="0"/>
                <w:sz w:val="24"/>
                <w:highlight w:val="none"/>
              </w:rPr>
            </w:pPr>
            <w:r>
              <w:rPr>
                <w:rFonts w:hint="eastAsia" w:ascii="宋体" w:hAnsi="宋体" w:cs="宋体"/>
                <w:color w:val="000000"/>
                <w:kern w:val="0"/>
                <w:sz w:val="24"/>
                <w:highlight w:val="none"/>
              </w:rPr>
              <w:t>7</w:t>
            </w:r>
          </w:p>
        </w:tc>
        <w:tc>
          <w:tcPr>
            <w:tcW w:w="1842" w:type="dxa"/>
            <w:shd w:val="clear" w:color="000000" w:fill="FFFFFF"/>
            <w:vAlign w:val="center"/>
          </w:tcPr>
          <w:p w14:paraId="11D0399D">
            <w:pPr>
              <w:pStyle w:val="305"/>
              <w:spacing w:before="117"/>
              <w:ind w:left="102"/>
              <w:rPr>
                <w:color w:val="000000"/>
                <w:sz w:val="24"/>
                <w:highlight w:val="none"/>
              </w:rPr>
            </w:pPr>
            <w:r>
              <w:rPr>
                <w:color w:val="000000"/>
                <w:sz w:val="24"/>
                <w:szCs w:val="24"/>
                <w:highlight w:val="none"/>
              </w:rPr>
              <w:t>★</w:t>
            </w:r>
            <w:r>
              <w:rPr>
                <w:rFonts w:hint="eastAsia"/>
                <w:color w:val="000000"/>
                <w:sz w:val="24"/>
                <w:szCs w:val="24"/>
                <w:highlight w:val="none"/>
              </w:rPr>
              <w:t>号条款响应</w:t>
            </w:r>
          </w:p>
        </w:tc>
        <w:tc>
          <w:tcPr>
            <w:tcW w:w="4533" w:type="dxa"/>
            <w:shd w:val="clear" w:color="000000" w:fill="FFFFFF"/>
            <w:vAlign w:val="center"/>
          </w:tcPr>
          <w:p w14:paraId="17721513">
            <w:pPr>
              <w:pStyle w:val="305"/>
              <w:spacing w:before="117"/>
              <w:ind w:left="102"/>
              <w:rPr>
                <w:color w:val="000000"/>
                <w:sz w:val="24"/>
                <w:highlight w:val="none"/>
                <w:lang w:eastAsia="zh-CN"/>
              </w:rPr>
            </w:pPr>
            <w:r>
              <w:rPr>
                <w:rFonts w:hint="eastAsia"/>
                <w:color w:val="000000"/>
                <w:sz w:val="24"/>
                <w:szCs w:val="24"/>
                <w:highlight w:val="none"/>
                <w:lang w:eastAsia="zh-CN"/>
              </w:rPr>
              <w:t>响应文件满足磋商文件第四章《采购需求》中</w:t>
            </w:r>
            <w:r>
              <w:rPr>
                <w:color w:val="000000"/>
                <w:sz w:val="24"/>
                <w:szCs w:val="24"/>
                <w:highlight w:val="none"/>
                <w:lang w:eastAsia="zh-CN"/>
              </w:rPr>
              <w:t>★</w:t>
            </w:r>
            <w:r>
              <w:rPr>
                <w:rFonts w:hint="eastAsia"/>
                <w:color w:val="000000"/>
                <w:sz w:val="24"/>
                <w:szCs w:val="24"/>
                <w:highlight w:val="none"/>
                <w:lang w:eastAsia="zh-CN"/>
              </w:rPr>
              <w:t>号条款要求的；</w:t>
            </w:r>
          </w:p>
        </w:tc>
        <w:tc>
          <w:tcPr>
            <w:tcW w:w="2031" w:type="dxa"/>
            <w:shd w:val="clear" w:color="000000" w:fill="FFFFFF"/>
            <w:vAlign w:val="center"/>
          </w:tcPr>
          <w:p w14:paraId="67C68767">
            <w:pPr>
              <w:widowControl/>
              <w:shd w:val="clear" w:color="auto" w:fill="FFFFFF"/>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7F5B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3644CF41">
            <w:pPr>
              <w:widowControl/>
              <w:shd w:val="clear" w:color="auto" w:fill="FFFFFF"/>
              <w:jc w:val="center"/>
              <w:rPr>
                <w:rFonts w:ascii="宋体" w:hAnsi="宋体" w:cs="宋体"/>
                <w:color w:val="000000"/>
                <w:kern w:val="0"/>
                <w:sz w:val="24"/>
                <w:highlight w:val="none"/>
              </w:rPr>
            </w:pPr>
            <w:r>
              <w:rPr>
                <w:rFonts w:hint="eastAsia" w:ascii="宋体" w:hAnsi="宋体" w:cs="宋体"/>
                <w:color w:val="000000"/>
                <w:kern w:val="0"/>
                <w:sz w:val="24"/>
                <w:highlight w:val="none"/>
              </w:rPr>
              <w:t>8</w:t>
            </w:r>
          </w:p>
        </w:tc>
        <w:tc>
          <w:tcPr>
            <w:tcW w:w="1842" w:type="dxa"/>
            <w:shd w:val="clear" w:color="000000" w:fill="FFFFFF"/>
            <w:vAlign w:val="center"/>
          </w:tcPr>
          <w:p w14:paraId="05A747DE">
            <w:pPr>
              <w:pStyle w:val="305"/>
              <w:spacing w:before="117"/>
              <w:ind w:left="102"/>
              <w:rPr>
                <w:sz w:val="24"/>
                <w:highlight w:val="none"/>
                <w:lang w:eastAsia="zh-CN"/>
              </w:rPr>
            </w:pPr>
            <w:r>
              <w:rPr>
                <w:rFonts w:hint="eastAsia"/>
                <w:color w:val="000000"/>
                <w:sz w:val="24"/>
                <w:szCs w:val="24"/>
                <w:highlight w:val="none"/>
                <w:lang w:eastAsia="zh-CN"/>
              </w:rPr>
              <w:t>分包承担主体资质（如有）</w:t>
            </w:r>
          </w:p>
        </w:tc>
        <w:tc>
          <w:tcPr>
            <w:tcW w:w="4533" w:type="dxa"/>
            <w:shd w:val="clear" w:color="000000" w:fill="FFFFFF"/>
            <w:vAlign w:val="center"/>
          </w:tcPr>
          <w:p w14:paraId="22B1BA26">
            <w:pPr>
              <w:pStyle w:val="305"/>
              <w:spacing w:before="117"/>
              <w:ind w:left="102"/>
              <w:rPr>
                <w:sz w:val="24"/>
                <w:highlight w:val="none"/>
                <w:lang w:eastAsia="zh-CN"/>
              </w:rPr>
            </w:pPr>
            <w:r>
              <w:rPr>
                <w:rFonts w:hint="eastAsia"/>
                <w:color w:val="000000"/>
                <w:sz w:val="24"/>
                <w:szCs w:val="24"/>
                <w:highlight w:val="none"/>
                <w:lang w:eastAsia="zh-CN"/>
              </w:rPr>
              <w:t>分包承担主体具备《供应商须知资料表》载明的资质条件且提供了资质证书；</w:t>
            </w:r>
          </w:p>
        </w:tc>
        <w:tc>
          <w:tcPr>
            <w:tcW w:w="2031" w:type="dxa"/>
            <w:shd w:val="clear" w:color="000000" w:fill="FFFFFF"/>
            <w:vAlign w:val="center"/>
          </w:tcPr>
          <w:p w14:paraId="72F0675A">
            <w:pPr>
              <w:widowControl/>
              <w:shd w:val="clear" w:color="auto" w:fill="FFFFFF"/>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6307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113063E6">
            <w:pPr>
              <w:widowControl/>
              <w:shd w:val="clear" w:color="auto" w:fill="FFFFFF"/>
              <w:jc w:val="center"/>
              <w:rPr>
                <w:rFonts w:ascii="宋体" w:hAnsi="宋体" w:cs="宋体"/>
                <w:color w:val="000000"/>
                <w:kern w:val="0"/>
                <w:sz w:val="24"/>
                <w:highlight w:val="none"/>
              </w:rPr>
            </w:pPr>
            <w:r>
              <w:rPr>
                <w:rFonts w:hint="eastAsia" w:ascii="宋体" w:hAnsi="宋体" w:cs="宋体"/>
                <w:color w:val="000000"/>
                <w:kern w:val="0"/>
                <w:sz w:val="24"/>
                <w:highlight w:val="none"/>
              </w:rPr>
              <w:t>9</w:t>
            </w:r>
          </w:p>
        </w:tc>
        <w:tc>
          <w:tcPr>
            <w:tcW w:w="1842" w:type="dxa"/>
            <w:shd w:val="clear" w:color="000000" w:fill="FFFFFF"/>
            <w:vAlign w:val="center"/>
          </w:tcPr>
          <w:p w14:paraId="02D04495">
            <w:pPr>
              <w:pStyle w:val="305"/>
              <w:spacing w:before="117"/>
              <w:ind w:left="102"/>
              <w:rPr>
                <w:sz w:val="24"/>
                <w:highlight w:val="none"/>
                <w:lang w:eastAsia="zh-CN"/>
              </w:rPr>
            </w:pPr>
            <w:r>
              <w:rPr>
                <w:rFonts w:hint="eastAsia"/>
                <w:color w:val="000000"/>
                <w:sz w:val="24"/>
                <w:szCs w:val="24"/>
                <w:highlight w:val="none"/>
                <w:lang w:eastAsia="zh-CN"/>
              </w:rPr>
              <w:t>分包意向协议（如有）</w:t>
            </w:r>
          </w:p>
        </w:tc>
        <w:tc>
          <w:tcPr>
            <w:tcW w:w="4533" w:type="dxa"/>
            <w:shd w:val="clear" w:color="000000" w:fill="FFFFFF"/>
            <w:vAlign w:val="center"/>
          </w:tcPr>
          <w:p w14:paraId="332543A7">
            <w:pPr>
              <w:pStyle w:val="305"/>
              <w:spacing w:before="117"/>
              <w:ind w:left="102"/>
              <w:rPr>
                <w:sz w:val="24"/>
                <w:highlight w:val="none"/>
                <w:lang w:eastAsia="zh-CN"/>
              </w:rPr>
            </w:pPr>
            <w:r>
              <w:rPr>
                <w:rFonts w:hint="eastAsia"/>
                <w:color w:val="000000"/>
                <w:sz w:val="24"/>
                <w:szCs w:val="24"/>
                <w:highlight w:val="none"/>
                <w:lang w:eastAsia="zh-CN"/>
              </w:rPr>
              <w:t>按磋商文件规定签订并提供分包意向协议原件的复印件的；</w:t>
            </w:r>
            <w:r>
              <w:rPr>
                <w:rFonts w:hint="eastAsia"/>
                <w:sz w:val="24"/>
                <w:highlight w:val="none"/>
                <w:lang w:eastAsia="zh-CN"/>
              </w:rPr>
              <w:t xml:space="preserve"> </w:t>
            </w:r>
          </w:p>
        </w:tc>
        <w:tc>
          <w:tcPr>
            <w:tcW w:w="2031" w:type="dxa"/>
            <w:shd w:val="clear" w:color="000000" w:fill="FFFFFF"/>
            <w:vAlign w:val="center"/>
          </w:tcPr>
          <w:p w14:paraId="59EE74C5">
            <w:pPr>
              <w:widowControl/>
              <w:shd w:val="clear" w:color="auto" w:fill="FFFFFF"/>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6A7A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4563604A">
            <w:pPr>
              <w:widowControl/>
              <w:shd w:val="clear" w:color="auto" w:fill="FFFFFF"/>
              <w:jc w:val="center"/>
              <w:rPr>
                <w:rFonts w:ascii="宋体" w:hAnsi="宋体" w:cs="宋体"/>
                <w:color w:val="000000"/>
                <w:kern w:val="0"/>
                <w:sz w:val="24"/>
                <w:highlight w:val="none"/>
              </w:rPr>
            </w:pPr>
            <w:r>
              <w:rPr>
                <w:rFonts w:hint="eastAsia" w:ascii="宋体" w:hAnsi="宋体" w:cs="宋体"/>
                <w:color w:val="000000"/>
                <w:kern w:val="0"/>
                <w:sz w:val="24"/>
                <w:highlight w:val="none"/>
              </w:rPr>
              <w:t>10</w:t>
            </w:r>
          </w:p>
        </w:tc>
        <w:tc>
          <w:tcPr>
            <w:tcW w:w="1842" w:type="dxa"/>
            <w:shd w:val="clear" w:color="000000" w:fill="FFFFFF"/>
            <w:vAlign w:val="center"/>
          </w:tcPr>
          <w:p w14:paraId="03B5251B">
            <w:pPr>
              <w:pStyle w:val="305"/>
              <w:spacing w:before="117"/>
              <w:ind w:left="102"/>
              <w:rPr>
                <w:sz w:val="24"/>
                <w:highlight w:val="none"/>
              </w:rPr>
            </w:pPr>
            <w:r>
              <w:rPr>
                <w:rFonts w:hint="eastAsia"/>
                <w:color w:val="000000"/>
                <w:sz w:val="24"/>
                <w:szCs w:val="24"/>
                <w:highlight w:val="none"/>
              </w:rPr>
              <w:t>附加条件</w:t>
            </w:r>
          </w:p>
        </w:tc>
        <w:tc>
          <w:tcPr>
            <w:tcW w:w="4533" w:type="dxa"/>
            <w:shd w:val="clear" w:color="000000" w:fill="FFFFFF"/>
            <w:vAlign w:val="center"/>
          </w:tcPr>
          <w:p w14:paraId="6737D15E">
            <w:pPr>
              <w:pStyle w:val="305"/>
              <w:spacing w:before="117"/>
              <w:ind w:left="102"/>
              <w:rPr>
                <w:sz w:val="24"/>
                <w:highlight w:val="none"/>
                <w:lang w:eastAsia="zh-CN"/>
              </w:rPr>
            </w:pPr>
            <w:r>
              <w:rPr>
                <w:rFonts w:hint="eastAsia"/>
                <w:color w:val="000000"/>
                <w:sz w:val="24"/>
                <w:szCs w:val="24"/>
                <w:highlight w:val="none"/>
                <w:lang w:eastAsia="zh-CN"/>
              </w:rPr>
              <w:t>响应文件未含有采购人不能接受的附加条件的；</w:t>
            </w:r>
          </w:p>
        </w:tc>
        <w:tc>
          <w:tcPr>
            <w:tcW w:w="2031" w:type="dxa"/>
            <w:shd w:val="clear" w:color="000000" w:fill="FFFFFF"/>
            <w:vAlign w:val="center"/>
          </w:tcPr>
          <w:p w14:paraId="06FB13E0">
            <w:pPr>
              <w:widowControl/>
              <w:shd w:val="clear" w:color="auto" w:fill="FFFFFF"/>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A33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1DCCD887">
            <w:pPr>
              <w:widowControl/>
              <w:shd w:val="clear" w:color="auto" w:fill="FFFFFF"/>
              <w:jc w:val="center"/>
              <w:rPr>
                <w:rFonts w:ascii="宋体" w:hAnsi="宋体" w:cs="宋体"/>
                <w:color w:val="000000"/>
                <w:kern w:val="0"/>
                <w:sz w:val="24"/>
                <w:highlight w:val="none"/>
              </w:rPr>
            </w:pPr>
            <w:r>
              <w:rPr>
                <w:rFonts w:hint="eastAsia" w:ascii="宋体" w:hAnsi="宋体" w:cs="宋体"/>
                <w:color w:val="000000"/>
                <w:kern w:val="0"/>
                <w:sz w:val="24"/>
                <w:highlight w:val="none"/>
              </w:rPr>
              <w:t>11</w:t>
            </w:r>
          </w:p>
        </w:tc>
        <w:tc>
          <w:tcPr>
            <w:tcW w:w="1842" w:type="dxa"/>
            <w:shd w:val="clear" w:color="000000" w:fill="FFFFFF"/>
            <w:vAlign w:val="center"/>
          </w:tcPr>
          <w:p w14:paraId="6A360199">
            <w:pPr>
              <w:pStyle w:val="305"/>
              <w:spacing w:before="117"/>
              <w:ind w:left="102"/>
              <w:rPr>
                <w:sz w:val="24"/>
                <w:highlight w:val="none"/>
              </w:rPr>
            </w:pPr>
            <w:r>
              <w:rPr>
                <w:rFonts w:hint="eastAsia"/>
                <w:color w:val="000000"/>
                <w:sz w:val="24"/>
                <w:szCs w:val="24"/>
                <w:highlight w:val="none"/>
              </w:rPr>
              <w:t>其他无效情形</w:t>
            </w:r>
          </w:p>
        </w:tc>
        <w:tc>
          <w:tcPr>
            <w:tcW w:w="4533" w:type="dxa"/>
            <w:shd w:val="clear" w:color="000000" w:fill="FFFFFF"/>
            <w:vAlign w:val="center"/>
          </w:tcPr>
          <w:p w14:paraId="6DA2F282">
            <w:pPr>
              <w:pStyle w:val="305"/>
              <w:spacing w:before="117"/>
              <w:ind w:left="102"/>
              <w:rPr>
                <w:sz w:val="24"/>
                <w:highlight w:val="none"/>
                <w:lang w:eastAsia="zh-CN"/>
              </w:rPr>
            </w:pPr>
            <w:r>
              <w:rPr>
                <w:rFonts w:hint="eastAsia"/>
                <w:color w:val="000000"/>
                <w:sz w:val="24"/>
                <w:szCs w:val="24"/>
                <w:highlight w:val="none"/>
                <w:lang w:eastAsia="zh-CN"/>
              </w:rPr>
              <w:t>响应人、响应文件不存在不符合法律、法规和磋商文件规定的其他无效情形。</w:t>
            </w:r>
          </w:p>
        </w:tc>
        <w:tc>
          <w:tcPr>
            <w:tcW w:w="2031" w:type="dxa"/>
            <w:shd w:val="clear" w:color="000000" w:fill="FFFFFF"/>
            <w:vAlign w:val="center"/>
          </w:tcPr>
          <w:p w14:paraId="5B3771AE">
            <w:pPr>
              <w:widowControl/>
              <w:shd w:val="clear" w:color="auto" w:fill="FFFFFF"/>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bl>
    <w:p w14:paraId="5DB1BB97">
      <w:pPr>
        <w:shd w:val="clear" w:color="auto" w:fill="FFFFFF"/>
        <w:tabs>
          <w:tab w:val="left" w:pos="900"/>
          <w:tab w:val="left" w:pos="1080"/>
          <w:tab w:val="left" w:pos="1589"/>
        </w:tabs>
        <w:snapToGrid w:val="0"/>
        <w:spacing w:line="360" w:lineRule="auto"/>
        <w:rPr>
          <w:rFonts w:ascii="宋体" w:hAnsi="宋体" w:cs="宋体"/>
          <w:sz w:val="24"/>
          <w:highlight w:val="none"/>
        </w:rPr>
      </w:pPr>
    </w:p>
    <w:p w14:paraId="477D2A25">
      <w:pPr>
        <w:numPr>
          <w:ilvl w:val="0"/>
          <w:numId w:val="21"/>
        </w:numPr>
        <w:shd w:val="clear" w:color="auto" w:fill="FFFFFF"/>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磋商、响应文件有关事项的澄清、说明或者更正和最后报价</w:t>
      </w:r>
    </w:p>
    <w:p w14:paraId="1BD7C23B">
      <w:pPr>
        <w:numPr>
          <w:ilvl w:val="1"/>
          <w:numId w:val="21"/>
        </w:numPr>
        <w:shd w:val="clear" w:color="auto" w:fill="FFFFFF"/>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磋商小组所有成员应当集中与单一供应商分别进行磋商，并给予所有参加磋商的供应商平等的磋商机会。</w:t>
      </w:r>
    </w:p>
    <w:p w14:paraId="6BC7CE8D">
      <w:pPr>
        <w:numPr>
          <w:ilvl w:val="1"/>
          <w:numId w:val="21"/>
        </w:numPr>
        <w:shd w:val="clear" w:color="auto" w:fill="FFFFFF"/>
        <w:tabs>
          <w:tab w:val="left" w:pos="1080"/>
          <w:tab w:val="left" w:pos="1872"/>
        </w:tabs>
        <w:snapToGrid w:val="0"/>
        <w:spacing w:line="360" w:lineRule="auto"/>
        <w:ind w:left="1077" w:hanging="720"/>
        <w:rPr>
          <w:rFonts w:ascii="宋体" w:hAnsi="宋体" w:cs="宋体"/>
          <w:kern w:val="0"/>
          <w:sz w:val="24"/>
          <w:highlight w:val="none"/>
        </w:rPr>
      </w:pPr>
      <w:r>
        <w:rPr>
          <w:rFonts w:hint="eastAsia" w:ascii="宋体" w:hAnsi="宋体" w:cs="宋体"/>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79B6944C">
      <w:pPr>
        <w:numPr>
          <w:ilvl w:val="1"/>
          <w:numId w:val="21"/>
        </w:numPr>
        <w:shd w:val="clear" w:color="auto" w:fill="FFFFFF"/>
        <w:tabs>
          <w:tab w:val="left" w:pos="1080"/>
          <w:tab w:val="left" w:pos="1872"/>
        </w:tabs>
        <w:snapToGrid w:val="0"/>
        <w:spacing w:line="360" w:lineRule="auto"/>
        <w:ind w:left="1077" w:hanging="720"/>
        <w:rPr>
          <w:rFonts w:ascii="宋体" w:hAnsi="宋体" w:cs="宋体"/>
          <w:kern w:val="0"/>
          <w:sz w:val="24"/>
          <w:highlight w:val="none"/>
        </w:rPr>
      </w:pPr>
      <w:r>
        <w:rPr>
          <w:rFonts w:hint="eastAsia" w:ascii="宋体" w:hAnsi="宋体" w:cs="宋体"/>
          <w:kern w:val="0"/>
          <w:sz w:val="24"/>
          <w:highlight w:val="none"/>
        </w:rPr>
        <w:t>对磋商文件作出的实质性变动是磋商文件的有效组成部分，磋商小组应当及时以书面形式同时通知所有参加磋商的供应商。</w:t>
      </w:r>
    </w:p>
    <w:p w14:paraId="2A96D777">
      <w:pPr>
        <w:numPr>
          <w:ilvl w:val="1"/>
          <w:numId w:val="21"/>
        </w:numPr>
        <w:shd w:val="clear" w:color="auto" w:fill="FFFFFF"/>
        <w:tabs>
          <w:tab w:val="left" w:pos="1080"/>
          <w:tab w:val="left" w:pos="1872"/>
        </w:tabs>
        <w:snapToGrid w:val="0"/>
        <w:spacing w:line="360" w:lineRule="auto"/>
        <w:ind w:left="1077" w:hanging="720"/>
        <w:rPr>
          <w:rFonts w:ascii="宋体" w:hAnsi="宋体" w:cs="宋体"/>
          <w:kern w:val="0"/>
          <w:sz w:val="24"/>
          <w:highlight w:val="none"/>
        </w:rPr>
      </w:pPr>
      <w:r>
        <w:rPr>
          <w:rFonts w:hint="eastAsia" w:ascii="宋体" w:hAnsi="宋体" w:cs="宋体"/>
          <w:kern w:val="0"/>
          <w:sz w:val="24"/>
          <w:highlight w:val="none"/>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268CA356">
      <w:pPr>
        <w:numPr>
          <w:ilvl w:val="1"/>
          <w:numId w:val="21"/>
        </w:numPr>
        <w:shd w:val="clear" w:color="auto" w:fill="FFFFFF"/>
        <w:tabs>
          <w:tab w:val="left" w:pos="1080"/>
          <w:tab w:val="left" w:pos="1872"/>
        </w:tabs>
        <w:snapToGrid w:val="0"/>
        <w:spacing w:line="360" w:lineRule="auto"/>
        <w:ind w:left="1077" w:hanging="720"/>
        <w:rPr>
          <w:rFonts w:ascii="宋体" w:hAnsi="宋体" w:cs="宋体"/>
          <w:sz w:val="24"/>
          <w:highlight w:val="none"/>
        </w:rPr>
      </w:pPr>
      <w:r>
        <w:rPr>
          <w:rFonts w:hint="eastAsia" w:ascii="宋体" w:hAnsi="宋体" w:cs="宋体"/>
          <w:sz w:val="24"/>
          <w:highlight w:val="none"/>
        </w:rPr>
        <w:t>响应文件的澄清、说明或者更正：</w:t>
      </w:r>
    </w:p>
    <w:p w14:paraId="70882590">
      <w:pPr>
        <w:numPr>
          <w:ilvl w:val="2"/>
          <w:numId w:val="21"/>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0311EADC">
      <w:pPr>
        <w:numPr>
          <w:ilvl w:val="2"/>
          <w:numId w:val="21"/>
        </w:numPr>
        <w:shd w:val="clear" w:color="auto" w:fill="FFFFFF"/>
        <w:snapToGrid w:val="0"/>
        <w:spacing w:line="360" w:lineRule="auto"/>
        <w:rPr>
          <w:rFonts w:ascii="宋体" w:hAnsi="宋体" w:cs="宋体"/>
          <w:sz w:val="24"/>
          <w:highlight w:val="none"/>
        </w:rPr>
      </w:pPr>
      <w:r>
        <w:rPr>
          <w:rFonts w:hint="eastAsia" w:ascii="宋体" w:hAnsi="宋体" w:cs="宋体"/>
          <w:sz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bCs/>
          <w:sz w:val="24"/>
          <w:highlight w:val="none"/>
        </w:rPr>
        <w:t>无效处理</w:t>
      </w:r>
      <w:r>
        <w:rPr>
          <w:rFonts w:hint="eastAsia" w:ascii="宋体" w:hAnsi="宋体" w:cs="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bCs/>
          <w:sz w:val="24"/>
          <w:highlight w:val="none"/>
        </w:rPr>
        <w:t>无效处理。</w:t>
      </w:r>
    </w:p>
    <w:p w14:paraId="58D44B8D">
      <w:pPr>
        <w:numPr>
          <w:ilvl w:val="2"/>
          <w:numId w:val="21"/>
        </w:numPr>
        <w:shd w:val="clear" w:color="auto" w:fill="FFFFFF"/>
        <w:snapToGrid w:val="0"/>
        <w:spacing w:line="360" w:lineRule="auto"/>
        <w:rPr>
          <w:rFonts w:ascii="宋体" w:hAnsi="宋体" w:cs="宋体"/>
          <w:sz w:val="24"/>
          <w:highlight w:val="none"/>
        </w:rPr>
      </w:pPr>
      <w:r>
        <w:rPr>
          <w:rFonts w:hint="eastAsia" w:ascii="宋体" w:hAnsi="宋体" w:cs="宋体"/>
          <w:spacing w:val="-11"/>
          <w:sz w:val="24"/>
          <w:highlight w:val="none"/>
        </w:rPr>
        <w:t>供应商的澄清、说明或者更正不得超出响应文件的范围或者改变响应</w:t>
      </w:r>
      <w:r>
        <w:rPr>
          <w:rFonts w:hint="eastAsia" w:ascii="宋体" w:hAnsi="宋体" w:cs="宋体"/>
          <w:spacing w:val="-14"/>
          <w:sz w:val="24"/>
          <w:highlight w:val="none"/>
        </w:rPr>
        <w:t>文件的实质性内容。磋商小组要求供应商澄清、说明或者更正响应文</w:t>
      </w:r>
      <w:r>
        <w:rPr>
          <w:rFonts w:hint="eastAsia" w:ascii="宋体" w:hAnsi="宋体" w:cs="宋体"/>
          <w:spacing w:val="-17"/>
          <w:sz w:val="24"/>
          <w:highlight w:val="none"/>
        </w:rPr>
        <w:t>件应当以书面形式作出。供应商的澄清、说明或者更正应当由法定代</w:t>
      </w:r>
      <w:r>
        <w:rPr>
          <w:rFonts w:hint="eastAsia" w:ascii="宋体" w:hAnsi="宋体" w:cs="宋体"/>
          <w:spacing w:val="-67"/>
          <w:sz w:val="24"/>
          <w:highlight w:val="none"/>
        </w:rPr>
        <w:t>表人</w:t>
      </w:r>
      <w:r>
        <w:rPr>
          <w:rFonts w:hint="eastAsia" w:ascii="宋体" w:hAnsi="宋体" w:cs="宋体"/>
          <w:sz w:val="24"/>
          <w:highlight w:val="none"/>
        </w:rPr>
        <w:t>（</w:t>
      </w:r>
      <w:r>
        <w:rPr>
          <w:rFonts w:hint="eastAsia" w:ascii="宋体" w:hAnsi="宋体" w:cs="宋体"/>
          <w:spacing w:val="-6"/>
          <w:sz w:val="24"/>
          <w:highlight w:val="none"/>
        </w:rPr>
        <w:t>若供应商为事业单位或其他组织或分支机构，可为单位负责人</w:t>
      </w:r>
      <w:r>
        <w:rPr>
          <w:rFonts w:hint="eastAsia" w:ascii="宋体" w:hAnsi="宋体" w:cs="宋体"/>
          <w:spacing w:val="-16"/>
          <w:sz w:val="24"/>
          <w:highlight w:val="none"/>
        </w:rPr>
        <w:t xml:space="preserve">） </w:t>
      </w:r>
      <w:r>
        <w:rPr>
          <w:rFonts w:hint="eastAsia" w:ascii="宋体" w:hAnsi="宋体" w:cs="宋体"/>
          <w:spacing w:val="-7"/>
          <w:sz w:val="24"/>
          <w:highlight w:val="none"/>
        </w:rPr>
        <w:t>或其授权代表签字或者加盖公章。由授权代表签字的，应当附授权委</w:t>
      </w:r>
      <w:r>
        <w:rPr>
          <w:rFonts w:hint="eastAsia" w:ascii="宋体" w:hAnsi="宋体" w:cs="宋体"/>
          <w:spacing w:val="-11"/>
          <w:sz w:val="24"/>
          <w:highlight w:val="none"/>
        </w:rPr>
        <w:t>托书。供应商为自然人的，应当由本人签字并附身份证明。澄清、说明或者更正文件将作为响应文件内容的一部分。</w:t>
      </w:r>
    </w:p>
    <w:p w14:paraId="4A849987">
      <w:pPr>
        <w:numPr>
          <w:ilvl w:val="1"/>
          <w:numId w:val="21"/>
        </w:numPr>
        <w:shd w:val="clear" w:color="auto" w:fill="FFFFFF"/>
        <w:tabs>
          <w:tab w:val="left" w:pos="1080"/>
          <w:tab w:val="left" w:pos="1872"/>
        </w:tabs>
        <w:snapToGrid w:val="0"/>
        <w:spacing w:line="360" w:lineRule="auto"/>
        <w:ind w:left="1077" w:hanging="720"/>
        <w:rPr>
          <w:rFonts w:ascii="宋体" w:hAnsi="宋体" w:cs="宋体"/>
          <w:sz w:val="24"/>
          <w:highlight w:val="none"/>
        </w:rPr>
      </w:pPr>
      <w:r>
        <w:rPr>
          <w:rFonts w:hint="eastAsia" w:ascii="宋体" w:hAnsi="宋体" w:cs="宋体"/>
          <w:sz w:val="24"/>
          <w:highlight w:val="none"/>
        </w:rPr>
        <w:t>磋商结束后，磋商小组将要求所有实质性响应的供应商在规定时间内提交最后报价。最后报价时间为磋商小组指定的时间，具体时间根据磋商进度另行通知。</w:t>
      </w:r>
    </w:p>
    <w:p w14:paraId="65713081">
      <w:pPr>
        <w:numPr>
          <w:ilvl w:val="1"/>
          <w:numId w:val="21"/>
        </w:numPr>
        <w:shd w:val="clear" w:color="auto" w:fill="FFFFFF"/>
        <w:tabs>
          <w:tab w:val="left" w:pos="1080"/>
          <w:tab w:val="left" w:pos="1872"/>
        </w:tabs>
        <w:snapToGrid w:val="0"/>
        <w:spacing w:line="360" w:lineRule="auto"/>
        <w:ind w:left="1077" w:hanging="720"/>
        <w:rPr>
          <w:rFonts w:ascii="宋体" w:hAnsi="宋体" w:cs="宋体"/>
          <w:sz w:val="24"/>
          <w:highlight w:val="none"/>
        </w:rPr>
      </w:pPr>
      <w:r>
        <w:rPr>
          <w:rFonts w:hint="eastAsia" w:ascii="宋体" w:hAnsi="宋体" w:cs="宋体"/>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Pr>
          <w:rFonts w:hint="eastAsia" w:ascii="宋体" w:hAnsi="宋体" w:cs="宋体"/>
          <w:sz w:val="24"/>
          <w:highlight w:val="none"/>
        </w:rPr>
        <w:t>。</w:t>
      </w:r>
    </w:p>
    <w:p w14:paraId="46EC1903">
      <w:pPr>
        <w:numPr>
          <w:ilvl w:val="1"/>
          <w:numId w:val="21"/>
        </w:numPr>
        <w:shd w:val="clear" w:color="auto" w:fill="FFFFFF"/>
        <w:tabs>
          <w:tab w:val="left" w:pos="1080"/>
          <w:tab w:val="left" w:pos="1872"/>
        </w:tabs>
        <w:snapToGrid w:val="0"/>
        <w:spacing w:line="360" w:lineRule="auto"/>
        <w:ind w:left="1077" w:hanging="720"/>
        <w:rPr>
          <w:rFonts w:ascii="宋体" w:hAnsi="宋体" w:cs="宋体"/>
          <w:sz w:val="24"/>
          <w:highlight w:val="none"/>
        </w:rPr>
      </w:pPr>
      <w:r>
        <w:rPr>
          <w:rFonts w:hint="eastAsia" w:ascii="宋体" w:hAnsi="宋体" w:cs="宋体"/>
          <w:sz w:val="24"/>
          <w:highlight w:val="none"/>
        </w:rPr>
        <w:t>最后报价是供应商响应文件的有效组成部分。</w:t>
      </w:r>
    </w:p>
    <w:p w14:paraId="53E0C3B8">
      <w:pPr>
        <w:numPr>
          <w:ilvl w:val="1"/>
          <w:numId w:val="21"/>
        </w:numPr>
        <w:shd w:val="clear" w:color="auto" w:fill="FFFFFF"/>
        <w:tabs>
          <w:tab w:val="left" w:pos="1080"/>
          <w:tab w:val="left" w:pos="1872"/>
        </w:tabs>
        <w:snapToGrid w:val="0"/>
        <w:spacing w:line="360" w:lineRule="auto"/>
        <w:ind w:left="1077" w:hanging="720"/>
        <w:rPr>
          <w:rFonts w:ascii="宋体" w:hAnsi="宋体" w:cs="宋体"/>
          <w:sz w:val="24"/>
          <w:highlight w:val="none"/>
        </w:rPr>
      </w:pPr>
      <w:r>
        <w:rPr>
          <w:rFonts w:hint="eastAsia" w:ascii="宋体" w:hAnsi="宋体" w:cs="宋体"/>
          <w:sz w:val="24"/>
          <w:highlight w:val="none"/>
        </w:rPr>
        <w:t>已提交响应文件的供应商，在提交最后报价之前，可以根据磋商情况退出磋商。</w:t>
      </w:r>
    </w:p>
    <w:p w14:paraId="65CFF996">
      <w:pPr>
        <w:numPr>
          <w:ilvl w:val="0"/>
          <w:numId w:val="21"/>
        </w:numPr>
        <w:shd w:val="clear" w:color="auto" w:fill="FFFFFF"/>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最后报价的算术修正及政策调整</w:t>
      </w:r>
    </w:p>
    <w:p w14:paraId="66B17DDC">
      <w:pPr>
        <w:numPr>
          <w:ilvl w:val="1"/>
          <w:numId w:val="21"/>
        </w:numPr>
        <w:shd w:val="clear" w:color="auto" w:fill="FFFFFF"/>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hint="eastAsia" w:ascii="宋体" w:hAnsi="宋体" w:cs="宋体"/>
          <w:b/>
          <w:sz w:val="24"/>
          <w:highlight w:val="none"/>
        </w:rPr>
        <w:t>响应无效</w:t>
      </w:r>
      <w:r>
        <w:rPr>
          <w:rFonts w:hint="eastAsia" w:ascii="宋体" w:hAnsi="宋体" w:cs="宋体"/>
          <w:sz w:val="24"/>
          <w:highlight w:val="none"/>
        </w:rPr>
        <w:t>。</w:t>
      </w:r>
    </w:p>
    <w:p w14:paraId="6A438924">
      <w:pPr>
        <w:numPr>
          <w:ilvl w:val="1"/>
          <w:numId w:val="21"/>
        </w:numPr>
        <w:shd w:val="clear" w:color="auto" w:fill="FFFFFF"/>
        <w:tabs>
          <w:tab w:val="left" w:pos="1080"/>
          <w:tab w:val="left" w:pos="1872"/>
        </w:tabs>
        <w:snapToGrid w:val="0"/>
        <w:spacing w:line="360" w:lineRule="auto"/>
        <w:ind w:left="1077" w:hanging="720"/>
        <w:rPr>
          <w:rFonts w:ascii="宋体" w:hAnsi="宋体" w:cs="宋体"/>
          <w:sz w:val="24"/>
          <w:highlight w:val="none"/>
        </w:rPr>
      </w:pPr>
      <w:r>
        <w:rPr>
          <w:rFonts w:hint="eastAsia" w:ascii="宋体" w:hAnsi="宋体" w:cs="宋体"/>
          <w:sz w:val="24"/>
          <w:highlight w:val="none"/>
        </w:rPr>
        <w:t>最后报价出现前后不一致的，按照下列规定修正：</w:t>
      </w:r>
    </w:p>
    <w:p w14:paraId="0A587DBC">
      <w:pPr>
        <w:numPr>
          <w:ilvl w:val="2"/>
          <w:numId w:val="21"/>
        </w:numPr>
        <w:shd w:val="clear" w:color="auto" w:fill="FFFFFF"/>
        <w:tabs>
          <w:tab w:val="left" w:pos="1080"/>
          <w:tab w:val="left" w:pos="1589"/>
          <w:tab w:val="left" w:pos="2035"/>
          <w:tab w:val="left" w:pos="2114"/>
        </w:tabs>
        <w:snapToGrid w:val="0"/>
        <w:spacing w:line="360" w:lineRule="auto"/>
        <w:ind w:left="2035"/>
        <w:rPr>
          <w:rFonts w:ascii="宋体" w:hAnsi="宋体" w:cs="宋体"/>
          <w:sz w:val="24"/>
          <w:highlight w:val="none"/>
        </w:rPr>
      </w:pPr>
      <w:r>
        <w:rPr>
          <w:rFonts w:hint="eastAsia" w:ascii="宋体" w:hAnsi="宋体" w:cs="宋体"/>
          <w:sz w:val="24"/>
          <w:highlight w:val="none"/>
        </w:rPr>
        <w:t>竞争性磋商文件对于报价修正是否另有规定：</w:t>
      </w:r>
    </w:p>
    <w:p w14:paraId="78538B6E">
      <w:pPr>
        <w:shd w:val="clear" w:color="auto" w:fill="FFFFFF"/>
        <w:tabs>
          <w:tab w:val="left" w:pos="1080"/>
          <w:tab w:val="left" w:pos="1589"/>
          <w:tab w:val="left" w:pos="2035"/>
          <w:tab w:val="left" w:pos="2114"/>
        </w:tabs>
        <w:snapToGrid w:val="0"/>
        <w:spacing w:line="360" w:lineRule="auto"/>
        <w:ind w:left="2035"/>
        <w:rPr>
          <w:rFonts w:ascii="宋体" w:hAnsi="宋体" w:cs="宋体"/>
          <w:sz w:val="24"/>
          <w:highlight w:val="none"/>
          <w:u w:val="single"/>
        </w:rPr>
      </w:pPr>
      <w:r>
        <w:rPr>
          <w:rFonts w:hint="eastAsia" w:ascii="宋体" w:hAnsi="宋体" w:cs="宋体"/>
          <w:sz w:val="24"/>
          <w:highlight w:val="none"/>
        </w:rPr>
        <w:t>□有，具体规定为：___________</w:t>
      </w:r>
    </w:p>
    <w:p w14:paraId="35BB3B83">
      <w:pPr>
        <w:shd w:val="clear" w:color="auto" w:fill="FFFFFF"/>
        <w:tabs>
          <w:tab w:val="left" w:pos="1080"/>
          <w:tab w:val="left" w:pos="1589"/>
          <w:tab w:val="left" w:pos="2035"/>
          <w:tab w:val="left" w:pos="2114"/>
        </w:tabs>
        <w:snapToGrid w:val="0"/>
        <w:spacing w:line="360" w:lineRule="auto"/>
        <w:ind w:left="2035"/>
        <w:rPr>
          <w:rFonts w:ascii="宋体" w:hAnsi="宋体" w:cs="宋体"/>
          <w:sz w:val="24"/>
          <w:highlight w:val="none"/>
        </w:rPr>
      </w:pPr>
      <w:r>
        <w:rPr>
          <w:rFonts w:hint="eastAsia" w:ascii="宋体" w:hAnsi="宋体" w:cs="宋体"/>
          <w:b/>
          <w:color w:val="000000"/>
          <w:sz w:val="24"/>
          <w:highlight w:val="none"/>
        </w:rPr>
        <w:t>■</w:t>
      </w:r>
      <w:r>
        <w:rPr>
          <w:rFonts w:hint="eastAsia" w:ascii="宋体" w:hAnsi="宋体" w:cs="宋体"/>
          <w:sz w:val="24"/>
          <w:highlight w:val="none"/>
        </w:rPr>
        <w:t>无，按下述3.2.2-3.2.5项规定修正。</w:t>
      </w:r>
    </w:p>
    <w:p w14:paraId="3DB14A03">
      <w:pPr>
        <w:numPr>
          <w:ilvl w:val="2"/>
          <w:numId w:val="21"/>
        </w:numPr>
        <w:shd w:val="clear" w:color="auto" w:fill="FFFFFF"/>
        <w:tabs>
          <w:tab w:val="left" w:pos="2035"/>
          <w:tab w:val="left" w:pos="2114"/>
          <w:tab w:val="left" w:pos="2977"/>
        </w:tabs>
        <w:snapToGrid w:val="0"/>
        <w:spacing w:line="360" w:lineRule="auto"/>
        <w:ind w:left="2035"/>
        <w:rPr>
          <w:rFonts w:ascii="宋体" w:hAnsi="宋体" w:cs="宋体"/>
          <w:color w:val="000000"/>
          <w:sz w:val="24"/>
          <w:highlight w:val="none"/>
        </w:rPr>
      </w:pPr>
      <w:r>
        <w:rPr>
          <w:rFonts w:hint="eastAsia" w:ascii="宋体" w:hAnsi="宋体" w:cs="宋体"/>
          <w:color w:val="000000"/>
          <w:sz w:val="24"/>
          <w:highlight w:val="none"/>
        </w:rPr>
        <w:t>大写金额和小写金额不一致的，以大写金额为准；</w:t>
      </w:r>
    </w:p>
    <w:p w14:paraId="533D3E7D">
      <w:pPr>
        <w:numPr>
          <w:ilvl w:val="2"/>
          <w:numId w:val="21"/>
        </w:numPr>
        <w:shd w:val="clear" w:color="auto" w:fill="FFFFFF"/>
        <w:tabs>
          <w:tab w:val="left" w:pos="2035"/>
          <w:tab w:val="left" w:pos="2114"/>
          <w:tab w:val="left" w:pos="2977"/>
        </w:tabs>
        <w:snapToGrid w:val="0"/>
        <w:spacing w:line="360" w:lineRule="auto"/>
        <w:ind w:left="2035"/>
        <w:rPr>
          <w:rFonts w:ascii="宋体" w:hAnsi="宋体" w:cs="宋体"/>
          <w:color w:val="000000"/>
          <w:sz w:val="24"/>
          <w:highlight w:val="none"/>
        </w:rPr>
      </w:pPr>
      <w:r>
        <w:rPr>
          <w:rFonts w:hint="eastAsia" w:ascii="宋体" w:hAnsi="宋体" w:cs="宋体"/>
          <w:color w:val="000000"/>
          <w:sz w:val="24"/>
          <w:highlight w:val="none"/>
        </w:rPr>
        <w:t>单价金额小数点或者百分比有明显错位的，以总价为准，并修改单价；</w:t>
      </w:r>
    </w:p>
    <w:p w14:paraId="3B089EB7">
      <w:pPr>
        <w:numPr>
          <w:ilvl w:val="2"/>
          <w:numId w:val="21"/>
        </w:numPr>
        <w:shd w:val="clear" w:color="auto" w:fill="FFFFFF"/>
        <w:tabs>
          <w:tab w:val="left" w:pos="2035"/>
          <w:tab w:val="left" w:pos="2114"/>
          <w:tab w:val="left" w:pos="2977"/>
        </w:tabs>
        <w:snapToGrid w:val="0"/>
        <w:spacing w:line="360" w:lineRule="auto"/>
        <w:ind w:left="2035"/>
        <w:rPr>
          <w:rFonts w:ascii="宋体" w:hAnsi="宋体" w:cs="宋体"/>
          <w:color w:val="000000"/>
          <w:sz w:val="24"/>
          <w:highlight w:val="none"/>
        </w:rPr>
      </w:pPr>
      <w:r>
        <w:rPr>
          <w:rFonts w:hint="eastAsia" w:ascii="宋体" w:hAnsi="宋体" w:cs="宋体"/>
          <w:color w:val="000000"/>
          <w:sz w:val="24"/>
          <w:highlight w:val="none"/>
        </w:rPr>
        <w:t>总价金额与按单价汇总金额不一致的，以单价金额计算结果为准。</w:t>
      </w:r>
    </w:p>
    <w:p w14:paraId="31819E7F">
      <w:pPr>
        <w:numPr>
          <w:ilvl w:val="2"/>
          <w:numId w:val="21"/>
        </w:numPr>
        <w:shd w:val="clear" w:color="auto" w:fill="FFFFFF"/>
        <w:tabs>
          <w:tab w:val="left" w:pos="1080"/>
          <w:tab w:val="left" w:pos="1589"/>
          <w:tab w:val="left" w:pos="2035"/>
          <w:tab w:val="left" w:pos="2114"/>
        </w:tabs>
        <w:snapToGrid w:val="0"/>
        <w:spacing w:line="360" w:lineRule="auto"/>
        <w:ind w:left="2035"/>
        <w:rPr>
          <w:rFonts w:ascii="宋体" w:hAnsi="宋体" w:cs="宋体"/>
          <w:sz w:val="24"/>
          <w:highlight w:val="none"/>
        </w:rPr>
      </w:pPr>
      <w:r>
        <w:rPr>
          <w:rFonts w:hint="eastAsia" w:ascii="宋体" w:hAnsi="宋体" w:cs="宋体"/>
          <w:sz w:val="24"/>
          <w:highlight w:val="none"/>
        </w:rPr>
        <w:t>同时出现两种以上不一致的，按照前款规定的顺序修正。</w:t>
      </w:r>
    </w:p>
    <w:p w14:paraId="6917BE0C">
      <w:pPr>
        <w:numPr>
          <w:ilvl w:val="2"/>
          <w:numId w:val="21"/>
        </w:numPr>
        <w:shd w:val="clear" w:color="auto" w:fill="FFFFFF"/>
        <w:tabs>
          <w:tab w:val="left" w:pos="1080"/>
          <w:tab w:val="left" w:pos="1589"/>
          <w:tab w:val="left" w:pos="2035"/>
          <w:tab w:val="left" w:pos="2114"/>
        </w:tabs>
        <w:snapToGrid w:val="0"/>
        <w:spacing w:line="360" w:lineRule="auto"/>
        <w:ind w:left="2035"/>
        <w:rPr>
          <w:rFonts w:ascii="宋体" w:hAnsi="宋体" w:cs="宋体"/>
          <w:sz w:val="24"/>
          <w:highlight w:val="none"/>
        </w:rPr>
      </w:pPr>
      <w:r>
        <w:rPr>
          <w:rFonts w:hint="eastAsia" w:ascii="宋体" w:hAnsi="宋体" w:cs="宋体"/>
          <w:sz w:val="24"/>
          <w:highlight w:val="none"/>
        </w:rPr>
        <w:t>修正后的报价经供应商书面确认后产生约束力，供应商不确认的，</w:t>
      </w:r>
      <w:r>
        <w:rPr>
          <w:rFonts w:hint="eastAsia" w:ascii="宋体" w:hAnsi="宋体" w:cs="宋体"/>
          <w:b/>
          <w:sz w:val="24"/>
          <w:highlight w:val="none"/>
        </w:rPr>
        <w:t>其响应无效</w:t>
      </w:r>
      <w:r>
        <w:rPr>
          <w:rFonts w:hint="eastAsia" w:ascii="宋体" w:hAnsi="宋体" w:cs="宋体"/>
          <w:sz w:val="24"/>
          <w:highlight w:val="none"/>
        </w:rPr>
        <w:t>。</w:t>
      </w:r>
    </w:p>
    <w:p w14:paraId="423F6EE5">
      <w:pPr>
        <w:numPr>
          <w:ilvl w:val="1"/>
          <w:numId w:val="21"/>
        </w:numPr>
        <w:shd w:val="clear" w:color="auto" w:fill="FFFFFF"/>
        <w:tabs>
          <w:tab w:val="left" w:pos="1080"/>
          <w:tab w:val="left" w:pos="1872"/>
        </w:tabs>
        <w:snapToGrid w:val="0"/>
        <w:spacing w:line="360" w:lineRule="auto"/>
        <w:ind w:left="1077" w:hanging="720"/>
        <w:rPr>
          <w:rFonts w:ascii="宋体" w:hAnsi="宋体" w:cs="宋体"/>
          <w:sz w:val="24"/>
          <w:highlight w:val="none"/>
        </w:rPr>
      </w:pPr>
      <w:r>
        <w:rPr>
          <w:rFonts w:hint="eastAsia" w:ascii="宋体" w:hAnsi="宋体" w:cs="宋体"/>
          <w:sz w:val="24"/>
          <w:highlight w:val="none"/>
        </w:rPr>
        <w:t>落实政府采购政策的价格调整：只有符合第二章《供应商须知》4.2条规定情形的，可以享受中小企业扶持政策，用扣除后的价格参加评审；否则，评审时价格不予扣除。</w:t>
      </w:r>
    </w:p>
    <w:p w14:paraId="5F5A4298">
      <w:pPr>
        <w:numPr>
          <w:ilvl w:val="2"/>
          <w:numId w:val="21"/>
        </w:numPr>
        <w:tabs>
          <w:tab w:val="left" w:pos="1080"/>
          <w:tab w:val="left" w:pos="1589"/>
          <w:tab w:val="left" w:pos="2035"/>
        </w:tabs>
        <w:snapToGrid w:val="0"/>
        <w:spacing w:line="360" w:lineRule="auto"/>
        <w:rPr>
          <w:rFonts w:ascii="宋体" w:hAnsi="宋体"/>
          <w:sz w:val="24"/>
          <w:highlight w:val="none"/>
        </w:rPr>
      </w:pPr>
      <w:r>
        <w:rPr>
          <w:rFonts w:ascii="宋体" w:hAnsi="宋体"/>
          <w:sz w:val="24"/>
          <w:highlight w:val="none"/>
        </w:rPr>
        <w:t>对于未预留份额专门面向中小企业采购的，以及预留份额项目中的非预留部分采购包，对小微企业报价给予</w:t>
      </w:r>
      <w:r>
        <w:rPr>
          <w:rFonts w:hint="eastAsia" w:ascii="宋体" w:hAnsi="宋体"/>
          <w:sz w:val="24"/>
          <w:highlight w:val="none"/>
          <w:u w:val="single"/>
        </w:rPr>
        <w:t xml:space="preserve">  </w:t>
      </w:r>
      <w:r>
        <w:rPr>
          <w:rFonts w:ascii="宋体" w:hAnsi="宋体"/>
          <w:sz w:val="24"/>
          <w:highlight w:val="none"/>
          <w:u w:val="single"/>
        </w:rPr>
        <w:t>3</w:t>
      </w:r>
      <w:r>
        <w:rPr>
          <w:rFonts w:hint="eastAsia" w:ascii="宋体" w:hAnsi="宋体"/>
          <w:sz w:val="24"/>
          <w:highlight w:val="none"/>
          <w:u w:val="single"/>
        </w:rPr>
        <w:t xml:space="preserve">  </w:t>
      </w:r>
      <w:r>
        <w:rPr>
          <w:rFonts w:ascii="宋体" w:hAnsi="宋体"/>
          <w:sz w:val="24"/>
          <w:highlight w:val="none"/>
        </w:rPr>
        <w:t>%的扣除，用扣除后的价格参加评审。</w:t>
      </w:r>
    </w:p>
    <w:p w14:paraId="70E7089A">
      <w:pPr>
        <w:numPr>
          <w:ilvl w:val="2"/>
          <w:numId w:val="21"/>
        </w:numPr>
        <w:tabs>
          <w:tab w:val="left" w:pos="1080"/>
          <w:tab w:val="left" w:pos="1589"/>
          <w:tab w:val="left" w:pos="2035"/>
        </w:tabs>
        <w:snapToGrid w:val="0"/>
        <w:spacing w:line="360" w:lineRule="auto"/>
        <w:rPr>
          <w:rFonts w:ascii="宋体" w:hAnsi="宋体" w:cs="宋体"/>
          <w:sz w:val="24"/>
          <w:highlight w:val="none"/>
        </w:rPr>
      </w:pPr>
      <w:r>
        <w:rPr>
          <w:rFonts w:hint="eastAsia" w:ascii="宋体" w:hAnsi="宋体"/>
          <w:sz w:val="24"/>
          <w:highlight w:val="none"/>
        </w:rPr>
        <w:t>对</w:t>
      </w:r>
      <w:r>
        <w:rPr>
          <w:rFonts w:ascii="宋体" w:hAnsi="宋体"/>
          <w:sz w:val="24"/>
          <w:highlight w:val="none"/>
        </w:rPr>
        <w:t>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w:t>
      </w:r>
      <w:r>
        <w:rPr>
          <w:rFonts w:ascii="宋体" w:hAnsi="宋体"/>
          <w:sz w:val="24"/>
          <w:highlight w:val="none"/>
          <w:u w:val="single"/>
        </w:rPr>
        <w:t xml:space="preserve">1 </w:t>
      </w:r>
      <w:r>
        <w:rPr>
          <w:rFonts w:ascii="宋体" w:hAnsi="宋体"/>
          <w:sz w:val="24"/>
          <w:highlight w:val="none"/>
        </w:rPr>
        <w:t>_%的扣除，用扣除后的价格参加评审。</w:t>
      </w:r>
    </w:p>
    <w:p w14:paraId="6361E252">
      <w:pPr>
        <w:numPr>
          <w:ilvl w:val="2"/>
          <w:numId w:val="21"/>
        </w:numPr>
        <w:shd w:val="clear" w:color="auto" w:fill="FFFFFF"/>
        <w:tabs>
          <w:tab w:val="left" w:pos="1080"/>
          <w:tab w:val="left" w:pos="1589"/>
          <w:tab w:val="left" w:pos="2035"/>
        </w:tabs>
        <w:snapToGrid w:val="0"/>
        <w:spacing w:line="360" w:lineRule="auto"/>
        <w:ind w:left="2035"/>
        <w:rPr>
          <w:rFonts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452E3231">
      <w:pPr>
        <w:numPr>
          <w:ilvl w:val="2"/>
          <w:numId w:val="21"/>
        </w:numPr>
        <w:shd w:val="clear" w:color="auto" w:fill="FFFFFF"/>
        <w:tabs>
          <w:tab w:val="left" w:pos="1080"/>
          <w:tab w:val="left" w:pos="1589"/>
          <w:tab w:val="left" w:pos="2035"/>
        </w:tabs>
        <w:snapToGrid w:val="0"/>
        <w:spacing w:line="360" w:lineRule="auto"/>
        <w:ind w:left="2035"/>
        <w:rPr>
          <w:rFonts w:ascii="宋体" w:hAnsi="宋体" w:cs="宋体"/>
          <w:sz w:val="24"/>
          <w:highlight w:val="none"/>
        </w:rPr>
      </w:pPr>
      <w:r>
        <w:rPr>
          <w:rFonts w:hint="eastAsia" w:ascii="宋体" w:hAnsi="宋体" w:cs="宋体"/>
          <w:sz w:val="24"/>
          <w:highlight w:val="none"/>
        </w:rPr>
        <w:t>价格扣除比例对小型企业和微型企业同等对待，不作区分。</w:t>
      </w:r>
    </w:p>
    <w:p w14:paraId="6DCF4D99">
      <w:pPr>
        <w:numPr>
          <w:ilvl w:val="2"/>
          <w:numId w:val="21"/>
        </w:numPr>
        <w:shd w:val="clear" w:color="auto" w:fill="FFFFFF"/>
        <w:tabs>
          <w:tab w:val="left" w:pos="1080"/>
          <w:tab w:val="left" w:pos="1589"/>
          <w:tab w:val="left" w:pos="2035"/>
        </w:tabs>
        <w:snapToGrid w:val="0"/>
        <w:spacing w:line="360" w:lineRule="auto"/>
        <w:ind w:left="2035"/>
        <w:rPr>
          <w:rFonts w:ascii="宋体" w:hAnsi="宋体" w:cs="宋体"/>
          <w:sz w:val="24"/>
          <w:highlight w:val="none"/>
        </w:rPr>
      </w:pPr>
      <w:r>
        <w:rPr>
          <w:rFonts w:hint="eastAsia" w:ascii="宋体" w:hAnsi="宋体" w:cs="宋体"/>
          <w:color w:val="000000"/>
          <w:sz w:val="24"/>
          <w:highlight w:val="none"/>
        </w:rPr>
        <w:t>中小企业参加政府采购活动，应当按照竞争性磋商文件给定的格式出具《中小企业声明函》，否则不得享受相关中小企业扶持政策。</w:t>
      </w:r>
    </w:p>
    <w:p w14:paraId="14240A7D">
      <w:pPr>
        <w:numPr>
          <w:ilvl w:val="2"/>
          <w:numId w:val="21"/>
        </w:numPr>
        <w:shd w:val="clear" w:color="auto" w:fill="FFFFFF"/>
        <w:tabs>
          <w:tab w:val="left" w:pos="1080"/>
          <w:tab w:val="left" w:pos="1589"/>
          <w:tab w:val="left" w:pos="2035"/>
        </w:tabs>
        <w:snapToGrid w:val="0"/>
        <w:spacing w:line="360" w:lineRule="auto"/>
        <w:ind w:left="2035"/>
        <w:rPr>
          <w:rFonts w:ascii="宋体" w:hAnsi="宋体" w:cs="宋体"/>
          <w:sz w:val="24"/>
          <w:highlight w:val="none"/>
        </w:rPr>
      </w:pPr>
      <w:r>
        <w:rPr>
          <w:rFonts w:hint="eastAsia" w:ascii="宋体" w:hAnsi="宋体" w:cs="宋体"/>
          <w:sz w:val="24"/>
          <w:highlight w:val="none"/>
        </w:rPr>
        <w:t>监狱企业提供了由省级以上监狱管理局、戒毒管理局（含新疆生产建设兵团）出具的属于监狱企业的证明文件的，视同小微企业。</w:t>
      </w:r>
    </w:p>
    <w:p w14:paraId="1DFA047C">
      <w:pPr>
        <w:numPr>
          <w:ilvl w:val="2"/>
          <w:numId w:val="21"/>
        </w:numPr>
        <w:shd w:val="clear" w:color="auto" w:fill="FFFFFF"/>
        <w:tabs>
          <w:tab w:val="left" w:pos="1080"/>
          <w:tab w:val="left" w:pos="1589"/>
          <w:tab w:val="left" w:pos="2035"/>
        </w:tabs>
        <w:snapToGrid w:val="0"/>
        <w:spacing w:line="360" w:lineRule="auto"/>
        <w:ind w:left="2035"/>
        <w:rPr>
          <w:rFonts w:ascii="宋体" w:hAnsi="宋体" w:cs="宋体"/>
          <w:sz w:val="24"/>
          <w:highlight w:val="none"/>
        </w:rPr>
      </w:pPr>
      <w:r>
        <w:rPr>
          <w:rFonts w:hint="eastAsia" w:ascii="宋体" w:hAnsi="宋体" w:cs="宋体"/>
          <w:sz w:val="24"/>
          <w:highlight w:val="none"/>
        </w:rPr>
        <w:t>残疾人福利性单位按竞争性磋商文件要求提供了《残疾人福利性单位声明函》的，视同小微企业。</w:t>
      </w:r>
    </w:p>
    <w:p w14:paraId="463AB7E4">
      <w:pPr>
        <w:numPr>
          <w:ilvl w:val="2"/>
          <w:numId w:val="21"/>
        </w:numPr>
        <w:shd w:val="clear" w:color="auto" w:fill="FFFFFF"/>
        <w:tabs>
          <w:tab w:val="left" w:pos="1080"/>
          <w:tab w:val="left" w:pos="1589"/>
          <w:tab w:val="left" w:pos="2014"/>
        </w:tabs>
        <w:snapToGrid w:val="0"/>
        <w:spacing w:line="360" w:lineRule="auto"/>
        <w:ind w:left="2035"/>
        <w:rPr>
          <w:rFonts w:ascii="宋体" w:hAnsi="宋体" w:cs="宋体"/>
          <w:sz w:val="24"/>
          <w:highlight w:val="none"/>
        </w:rPr>
      </w:pPr>
      <w:r>
        <w:rPr>
          <w:rFonts w:hint="eastAsia" w:ascii="宋体" w:hAnsi="宋体" w:cs="宋体"/>
          <w:sz w:val="24"/>
          <w:highlight w:val="none"/>
        </w:rPr>
        <w:t>若供应商同时属于小型或微型企业、监狱企业、残疾人福利性单位中的两种及以上，将不重复享受小微企业价格扣减的优惠政策。</w:t>
      </w:r>
    </w:p>
    <w:p w14:paraId="401488A0">
      <w:pPr>
        <w:numPr>
          <w:ilvl w:val="2"/>
          <w:numId w:val="21"/>
        </w:numPr>
        <w:shd w:val="clear" w:color="auto" w:fill="FFFFFF"/>
        <w:tabs>
          <w:tab w:val="left" w:pos="1080"/>
          <w:tab w:val="left" w:pos="1589"/>
          <w:tab w:val="left" w:pos="2014"/>
        </w:tabs>
        <w:snapToGrid w:val="0"/>
        <w:spacing w:line="360" w:lineRule="auto"/>
        <w:ind w:left="2035"/>
        <w:rPr>
          <w:rFonts w:ascii="宋体" w:hAnsi="宋体" w:cs="宋体"/>
          <w:sz w:val="24"/>
          <w:highlight w:val="none"/>
        </w:rPr>
      </w:pPr>
      <w:r>
        <w:rPr>
          <w:rFonts w:hint="eastAsia" w:ascii="宋体" w:hAnsi="宋体" w:cs="宋体"/>
          <w:sz w:val="24"/>
          <w:highlight w:val="none"/>
        </w:rPr>
        <w:t>其他为落实政府采购政策实施的优先采购：</w:t>
      </w:r>
      <w:r>
        <w:rPr>
          <w:rFonts w:hint="eastAsia" w:ascii="宋体" w:hAnsi="宋体" w:cs="宋体"/>
          <w:sz w:val="24"/>
          <w:highlight w:val="none"/>
          <w:u w:val="single"/>
        </w:rPr>
        <w:t xml:space="preserve"> / </w:t>
      </w:r>
      <w:r>
        <w:rPr>
          <w:rFonts w:hint="eastAsia" w:ascii="宋体" w:hAnsi="宋体" w:cs="宋体"/>
          <w:sz w:val="24"/>
          <w:highlight w:val="none"/>
        </w:rPr>
        <w:t>。</w:t>
      </w:r>
    </w:p>
    <w:p w14:paraId="72235358">
      <w:pPr>
        <w:numPr>
          <w:ilvl w:val="0"/>
          <w:numId w:val="21"/>
        </w:numPr>
        <w:shd w:val="clear" w:color="auto" w:fill="FFFFFF"/>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磋商环节及提交最后报价后如出现以下情况的，供应商的</w:t>
      </w:r>
      <w:r>
        <w:rPr>
          <w:rFonts w:hint="eastAsia" w:ascii="宋体" w:hAnsi="宋体" w:cs="宋体"/>
          <w:b/>
          <w:sz w:val="24"/>
          <w:highlight w:val="none"/>
        </w:rPr>
        <w:t>响应文件无效</w:t>
      </w:r>
      <w:r>
        <w:rPr>
          <w:rFonts w:hint="eastAsia" w:ascii="宋体" w:hAnsi="宋体" w:cs="宋体"/>
          <w:sz w:val="24"/>
          <w:highlight w:val="none"/>
        </w:rPr>
        <w:t>：</w:t>
      </w:r>
    </w:p>
    <w:p w14:paraId="7FEB593C">
      <w:pPr>
        <w:numPr>
          <w:ilvl w:val="1"/>
          <w:numId w:val="21"/>
        </w:numPr>
        <w:shd w:val="clear" w:color="auto" w:fill="FFFFFF"/>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供应商对实质性变动不予确认的；</w:t>
      </w:r>
    </w:p>
    <w:p w14:paraId="0F8C209A">
      <w:pPr>
        <w:numPr>
          <w:ilvl w:val="1"/>
          <w:numId w:val="21"/>
        </w:numPr>
        <w:shd w:val="clear" w:color="auto" w:fill="FFFFFF"/>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不满足磋商文件★号条款或磋商文件技术指标超出磋商文件《采购需求》中主要技术参数允许偏差的最大范围的（如有）；</w:t>
      </w:r>
    </w:p>
    <w:p w14:paraId="22D95F2A">
      <w:pPr>
        <w:numPr>
          <w:ilvl w:val="1"/>
          <w:numId w:val="21"/>
        </w:numPr>
        <w:shd w:val="clear" w:color="auto" w:fill="FFFFFF"/>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未按照磋商小组规定的时间、逾期提交最后报价的；</w:t>
      </w:r>
    </w:p>
    <w:p w14:paraId="0C404D22">
      <w:pPr>
        <w:numPr>
          <w:ilvl w:val="1"/>
          <w:numId w:val="21"/>
        </w:numPr>
        <w:shd w:val="clear" w:color="auto" w:fill="FFFFFF"/>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如供应商的最后报价超过竞争性磋商文件中规定的项目/采购包预算金额或者项目/采购包最高限价的；</w:t>
      </w:r>
    </w:p>
    <w:p w14:paraId="748759FF">
      <w:pPr>
        <w:numPr>
          <w:ilvl w:val="1"/>
          <w:numId w:val="21"/>
        </w:numPr>
        <w:shd w:val="clear" w:color="auto" w:fill="FFFFFF"/>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响应文件中出现可选择性或可调整的报价的（竞争性磋商文件另有规定的除外）；</w:t>
      </w:r>
    </w:p>
    <w:p w14:paraId="507291F0">
      <w:pPr>
        <w:numPr>
          <w:ilvl w:val="1"/>
          <w:numId w:val="21"/>
        </w:numPr>
        <w:shd w:val="clear" w:color="auto" w:fill="FFFFFF"/>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最后报价出现前后不一致，供应商对修正后的报价不予确认的；</w:t>
      </w:r>
    </w:p>
    <w:p w14:paraId="4E362A1F">
      <w:pPr>
        <w:numPr>
          <w:ilvl w:val="1"/>
          <w:numId w:val="21"/>
        </w:numPr>
        <w:shd w:val="clear" w:color="auto" w:fill="FFFFFF"/>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其他：</w:t>
      </w:r>
      <w:r>
        <w:rPr>
          <w:rFonts w:hint="eastAsia" w:ascii="宋体" w:hAnsi="宋体" w:cs="宋体"/>
          <w:sz w:val="24"/>
          <w:highlight w:val="none"/>
          <w:u w:val="single"/>
        </w:rPr>
        <w:t xml:space="preserve"> / </w:t>
      </w:r>
      <w:r>
        <w:rPr>
          <w:rFonts w:hint="eastAsia" w:ascii="宋体" w:hAnsi="宋体" w:cs="宋体"/>
          <w:sz w:val="24"/>
          <w:highlight w:val="none"/>
        </w:rPr>
        <w:t>。</w:t>
      </w:r>
    </w:p>
    <w:bookmarkEnd w:id="618"/>
    <w:bookmarkEnd w:id="619"/>
    <w:p w14:paraId="27725F36">
      <w:pPr>
        <w:numPr>
          <w:ilvl w:val="0"/>
          <w:numId w:val="21"/>
        </w:numPr>
        <w:shd w:val="clear" w:color="auto" w:fill="FFFFFF"/>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评审方法和评审标准</w:t>
      </w:r>
    </w:p>
    <w:p w14:paraId="5DE04932">
      <w:pPr>
        <w:numPr>
          <w:ilvl w:val="1"/>
          <w:numId w:val="21"/>
        </w:numPr>
        <w:shd w:val="clear" w:color="auto" w:fill="FFFFFF"/>
        <w:tabs>
          <w:tab w:val="left" w:pos="1080"/>
          <w:tab w:val="left" w:pos="1872"/>
        </w:tabs>
        <w:snapToGrid w:val="0"/>
        <w:spacing w:line="360" w:lineRule="auto"/>
        <w:ind w:left="1077" w:hanging="720"/>
        <w:rPr>
          <w:rFonts w:ascii="宋体" w:hAnsi="宋体" w:cs="宋体"/>
          <w:sz w:val="24"/>
          <w:highlight w:val="none"/>
        </w:rPr>
      </w:pPr>
      <w:r>
        <w:rPr>
          <w:rFonts w:hint="eastAsia" w:ascii="宋体" w:hAnsi="宋体" w:cs="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6F61810C">
      <w:pPr>
        <w:numPr>
          <w:ilvl w:val="1"/>
          <w:numId w:val="21"/>
        </w:numPr>
        <w:shd w:val="clear" w:color="auto" w:fill="FFFFFF"/>
        <w:tabs>
          <w:tab w:val="left" w:pos="1080"/>
          <w:tab w:val="left" w:pos="1872"/>
        </w:tabs>
        <w:snapToGrid w:val="0"/>
        <w:spacing w:line="360" w:lineRule="auto"/>
        <w:ind w:left="1077" w:hanging="720"/>
        <w:rPr>
          <w:rFonts w:ascii="宋体" w:hAnsi="宋体" w:cs="宋体"/>
          <w:sz w:val="24"/>
          <w:highlight w:val="none"/>
        </w:rPr>
      </w:pPr>
      <w:r>
        <w:rPr>
          <w:rFonts w:hint="eastAsia" w:ascii="宋体" w:hAnsi="宋体" w:cs="宋体"/>
          <w:sz w:val="24"/>
          <w:highlight w:val="none"/>
        </w:rPr>
        <w:t>竞争性磋商文件中没有规定的评审标准不得作为评审依据。</w:t>
      </w:r>
    </w:p>
    <w:p w14:paraId="250C6CE8">
      <w:pPr>
        <w:numPr>
          <w:ilvl w:val="1"/>
          <w:numId w:val="21"/>
        </w:numPr>
        <w:shd w:val="clear" w:color="auto" w:fill="FFFFFF"/>
        <w:tabs>
          <w:tab w:val="left" w:pos="1080"/>
          <w:tab w:val="left" w:pos="1872"/>
        </w:tabs>
        <w:snapToGrid w:val="0"/>
        <w:spacing w:line="360" w:lineRule="auto"/>
        <w:ind w:left="1077" w:hanging="720"/>
        <w:rPr>
          <w:rFonts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r>
        <w:rPr>
          <w:rFonts w:hint="eastAsia" w:ascii="宋体" w:hAnsi="宋体" w:cs="宋体"/>
          <w:sz w:val="24"/>
          <w:highlight w:val="none"/>
          <w:u w:val="single"/>
        </w:rPr>
        <w:t xml:space="preserve">  /  </w:t>
      </w:r>
      <w:r>
        <w:rPr>
          <w:rFonts w:hint="eastAsia" w:ascii="宋体" w:hAnsi="宋体" w:cs="宋体"/>
          <w:sz w:val="24"/>
          <w:highlight w:val="none"/>
        </w:rPr>
        <w:t>。</w:t>
      </w:r>
    </w:p>
    <w:p w14:paraId="4B56B849">
      <w:pPr>
        <w:numPr>
          <w:ilvl w:val="0"/>
          <w:numId w:val="21"/>
        </w:numPr>
        <w:shd w:val="clear" w:color="auto" w:fill="FFFFFF"/>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确定</w:t>
      </w:r>
      <w:bookmarkStart w:id="635" w:name="_Toc264969236"/>
      <w:bookmarkStart w:id="636" w:name="_Toc164608660"/>
      <w:bookmarkStart w:id="637" w:name="_Toc151190173"/>
      <w:bookmarkStart w:id="638" w:name="_Toc164229387"/>
      <w:bookmarkStart w:id="639" w:name="_Toc151193788"/>
      <w:bookmarkStart w:id="640" w:name="_Toc305158814"/>
      <w:bookmarkStart w:id="641" w:name="_Toc226337242"/>
      <w:bookmarkStart w:id="642" w:name="_Toc226309790"/>
      <w:bookmarkStart w:id="643" w:name="_Toc305158888"/>
      <w:bookmarkStart w:id="644" w:name="_Toc195842911"/>
      <w:bookmarkStart w:id="645" w:name="_Toc149720839"/>
      <w:bookmarkStart w:id="646" w:name="_Toc151193716"/>
      <w:bookmarkStart w:id="647" w:name="_Toc226965736"/>
      <w:bookmarkStart w:id="648" w:name="_Toc226965819"/>
      <w:bookmarkStart w:id="649" w:name="_Toc127151747"/>
      <w:bookmarkStart w:id="650" w:name="_Toc520356170"/>
      <w:bookmarkStart w:id="651" w:name="_Toc151193934"/>
      <w:bookmarkStart w:id="652" w:name="_Toc127161460"/>
      <w:bookmarkStart w:id="653" w:name="_Toc127151546"/>
      <w:bookmarkStart w:id="654" w:name="_Toc164229241"/>
      <w:bookmarkStart w:id="655" w:name="_Toc150774751"/>
      <w:bookmarkStart w:id="656" w:name="_Toc164351640"/>
      <w:bookmarkStart w:id="657" w:name="_Ref467307010"/>
      <w:bookmarkStart w:id="658" w:name="_Toc265228384"/>
      <w:bookmarkStart w:id="659" w:name="_Toc150509297"/>
      <w:bookmarkStart w:id="660" w:name="_Toc150480784"/>
      <w:bookmarkStart w:id="661" w:name="_Toc151193644"/>
      <w:bookmarkStart w:id="662" w:name="_Toc142311048"/>
      <w:bookmarkStart w:id="663" w:name="_Toc164608815"/>
      <w:bookmarkStart w:id="664" w:name="_Toc151193860"/>
      <w:bookmarkStart w:id="665" w:name="_Toc150774646"/>
      <w:r>
        <w:rPr>
          <w:rFonts w:hint="eastAsia" w:ascii="宋体" w:hAnsi="宋体" w:cs="宋体"/>
          <w:sz w:val="24"/>
          <w:highlight w:val="none"/>
        </w:rPr>
        <w:t>成交候选人名单</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6A8AF010">
      <w:pPr>
        <w:numPr>
          <w:ilvl w:val="1"/>
          <w:numId w:val="21"/>
        </w:numPr>
        <w:shd w:val="clear" w:color="auto" w:fill="FFFFFF"/>
        <w:tabs>
          <w:tab w:val="left" w:pos="1080"/>
          <w:tab w:val="left" w:pos="1872"/>
        </w:tabs>
        <w:snapToGrid w:val="0"/>
        <w:spacing w:line="360" w:lineRule="auto"/>
        <w:ind w:left="1077" w:hanging="720"/>
        <w:rPr>
          <w:rFonts w:ascii="宋体" w:hAnsi="宋体" w:cs="宋体"/>
          <w:sz w:val="24"/>
          <w:highlight w:val="none"/>
        </w:rPr>
      </w:pPr>
      <w:r>
        <w:rPr>
          <w:rFonts w:hint="eastAsia" w:ascii="宋体" w:hAnsi="宋体" w:cs="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B5B24D0">
      <w:pPr>
        <w:numPr>
          <w:ilvl w:val="1"/>
          <w:numId w:val="21"/>
        </w:numPr>
        <w:shd w:val="clear" w:color="auto" w:fill="FFFFFF"/>
        <w:tabs>
          <w:tab w:val="left" w:pos="1080"/>
          <w:tab w:val="left" w:pos="1872"/>
        </w:tabs>
        <w:snapToGrid w:val="0"/>
        <w:spacing w:line="360" w:lineRule="auto"/>
        <w:ind w:left="1077" w:hanging="720"/>
        <w:rPr>
          <w:rFonts w:ascii="宋体" w:hAnsi="宋体" w:cs="宋体"/>
          <w:sz w:val="24"/>
          <w:highlight w:val="none"/>
        </w:rPr>
      </w:pPr>
      <w:r>
        <w:rPr>
          <w:rFonts w:hint="eastAsia" w:ascii="宋体" w:hAnsi="宋体" w:cs="宋体"/>
          <w:kern w:val="0"/>
          <w:sz w:val="24"/>
          <w:szCs w:val="20"/>
          <w:highlight w:val="none"/>
        </w:rPr>
        <w:t>磋商小组根据上述供应商排序，依次推荐排序前</w:t>
      </w:r>
      <w:r>
        <w:rPr>
          <w:rFonts w:hint="eastAsia" w:ascii="宋体" w:hAnsi="宋体" w:cs="宋体"/>
          <w:sz w:val="24"/>
          <w:highlight w:val="none"/>
          <w:u w:val="single"/>
        </w:rPr>
        <w:t xml:space="preserve">  3  </w:t>
      </w:r>
      <w:r>
        <w:rPr>
          <w:rFonts w:hint="eastAsia" w:ascii="宋体" w:hAnsi="宋体" w:cs="宋体"/>
          <w:sz w:val="24"/>
          <w:highlight w:val="none"/>
        </w:rPr>
        <w:t>名</w:t>
      </w:r>
      <w:r>
        <w:rPr>
          <w:rFonts w:hint="eastAsia" w:ascii="宋体" w:hAnsi="宋体" w:cs="宋体"/>
          <w:kern w:val="0"/>
          <w:sz w:val="24"/>
          <w:szCs w:val="20"/>
          <w:highlight w:val="none"/>
        </w:rPr>
        <w:t>的供应商为</w:t>
      </w:r>
      <w:r>
        <w:rPr>
          <w:rFonts w:hint="eastAsia" w:ascii="宋体" w:hAnsi="宋体" w:cs="宋体"/>
          <w:snapToGrid w:val="0"/>
          <w:kern w:val="0"/>
          <w:sz w:val="24"/>
          <w:szCs w:val="21"/>
          <w:highlight w:val="none"/>
        </w:rPr>
        <w:t>成交候选供应商</w:t>
      </w:r>
      <w:r>
        <w:rPr>
          <w:rFonts w:hint="eastAsia" w:ascii="宋体" w:hAnsi="宋体" w:cs="宋体"/>
          <w:kern w:val="0"/>
          <w:sz w:val="24"/>
          <w:szCs w:val="20"/>
          <w:highlight w:val="none"/>
        </w:rPr>
        <w:t>（若在磋商文件允许的情形下提交最后报价的供应商为二家，则依次推荐二名供应商为成交候选供应商），并编写评审报告。</w:t>
      </w:r>
    </w:p>
    <w:p w14:paraId="1546E787">
      <w:pPr>
        <w:numPr>
          <w:ilvl w:val="1"/>
          <w:numId w:val="21"/>
        </w:numPr>
        <w:shd w:val="clear" w:color="auto" w:fill="FFFFFF"/>
        <w:tabs>
          <w:tab w:val="left" w:pos="1080"/>
          <w:tab w:val="left" w:pos="1872"/>
        </w:tabs>
        <w:snapToGrid w:val="0"/>
        <w:spacing w:line="360" w:lineRule="auto"/>
        <w:ind w:left="1077" w:hanging="720"/>
        <w:rPr>
          <w:rFonts w:ascii="宋体" w:hAnsi="宋体" w:cs="宋体"/>
          <w:sz w:val="24"/>
          <w:highlight w:val="none"/>
        </w:rPr>
      </w:pPr>
      <w:r>
        <w:rPr>
          <w:rFonts w:hint="eastAsia" w:ascii="宋体" w:hAnsi="宋体" w:cs="宋体"/>
          <w:sz w:val="24"/>
          <w:highlight w:val="none"/>
        </w:rPr>
        <w:t>磋商小组要对评分汇总情况进行复核，特别是对排名第一的、报价最低的、响应文件被认定为无效的情形进行重点复核。</w:t>
      </w:r>
    </w:p>
    <w:p w14:paraId="33025DE1">
      <w:pPr>
        <w:numPr>
          <w:ilvl w:val="0"/>
          <w:numId w:val="21"/>
        </w:numPr>
        <w:shd w:val="clear" w:color="auto" w:fill="FFFFFF"/>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报告违法行为</w:t>
      </w:r>
    </w:p>
    <w:p w14:paraId="72C3CB89">
      <w:pPr>
        <w:widowControl/>
        <w:numPr>
          <w:ilvl w:val="1"/>
          <w:numId w:val="21"/>
        </w:numPr>
        <w:shd w:val="clear" w:color="auto" w:fill="FFFFFF"/>
        <w:tabs>
          <w:tab w:val="left" w:pos="1080"/>
          <w:tab w:val="left" w:pos="1872"/>
        </w:tabs>
        <w:snapToGrid w:val="0"/>
        <w:spacing w:line="360" w:lineRule="auto"/>
        <w:ind w:left="1077" w:hanging="720"/>
        <w:jc w:val="left"/>
        <w:rPr>
          <w:rFonts w:ascii="宋体" w:hAnsi="宋体" w:cs="宋体"/>
          <w:b/>
          <w:sz w:val="24"/>
          <w:highlight w:val="none"/>
        </w:rPr>
      </w:pPr>
      <w:r>
        <w:rPr>
          <w:rFonts w:hint="eastAsia" w:ascii="宋体" w:hAnsi="宋体" w:cs="宋体"/>
          <w:sz w:val="24"/>
          <w:highlight w:val="none"/>
        </w:rPr>
        <w:t>磋商小组在评审过程中发现供应商有行贿、提供虚假材料或者串通等违法行为时，应当及时向财政部门报告。</w:t>
      </w:r>
      <w:r>
        <w:rPr>
          <w:rFonts w:hint="eastAsia" w:ascii="宋体" w:hAnsi="宋体" w:cs="宋体"/>
          <w:b/>
          <w:sz w:val="24"/>
          <w:highlight w:val="none"/>
        </w:rPr>
        <w:br w:type="page"/>
      </w:r>
    </w:p>
    <w:p w14:paraId="6B1FF54D">
      <w:pPr>
        <w:pStyle w:val="4"/>
        <w:numPr>
          <w:ilvl w:val="0"/>
          <w:numId w:val="22"/>
        </w:numPr>
        <w:shd w:val="clear" w:color="auto" w:fill="FFFFFF"/>
        <w:spacing w:before="0" w:line="360" w:lineRule="auto"/>
        <w:rPr>
          <w:rFonts w:ascii="宋体" w:hAnsi="宋体" w:eastAsia="宋体" w:cs="宋体"/>
          <w:sz w:val="24"/>
          <w:szCs w:val="24"/>
          <w:highlight w:val="none"/>
        </w:rPr>
      </w:pPr>
      <w:r>
        <w:rPr>
          <w:rFonts w:hint="eastAsia" w:ascii="宋体" w:hAnsi="宋体" w:eastAsia="宋体" w:cs="宋体"/>
          <w:sz w:val="24"/>
          <w:szCs w:val="24"/>
          <w:highlight w:val="none"/>
        </w:rPr>
        <w:t>评审标准</w:t>
      </w:r>
    </w:p>
    <w:p w14:paraId="6557B642">
      <w:pPr>
        <w:tabs>
          <w:tab w:val="left" w:pos="540"/>
        </w:tabs>
        <w:rPr>
          <w:rFonts w:cs="宋体" w:asciiTheme="minorEastAsia" w:hAnsiTheme="minorEastAsia" w:eastAsiaTheme="minorEastAsia"/>
          <w:b/>
          <w:sz w:val="24"/>
          <w:highlight w:val="none"/>
        </w:rPr>
      </w:pPr>
      <w:r>
        <w:rPr>
          <w:rFonts w:cs="宋体" w:asciiTheme="minorEastAsia" w:hAnsiTheme="minorEastAsia" w:eastAsiaTheme="minorEastAsia"/>
          <w:b/>
          <w:sz w:val="24"/>
          <w:highlight w:val="none"/>
        </w:rPr>
        <w:t>1、价格评分标准</w:t>
      </w:r>
    </w:p>
    <w:p w14:paraId="4A69250E">
      <w:pPr>
        <w:tabs>
          <w:tab w:val="left" w:pos="540"/>
        </w:tabs>
        <w:ind w:left="613" w:firstLine="105"/>
        <w:rPr>
          <w:rFonts w:cs="宋体" w:asciiTheme="minorEastAsia" w:hAnsiTheme="minorEastAsia" w:eastAsiaTheme="minorEastAsia"/>
          <w:b/>
          <w:sz w:val="24"/>
          <w:highlight w:val="none"/>
        </w:rPr>
      </w:pPr>
    </w:p>
    <w:tbl>
      <w:tblPr>
        <w:tblStyle w:val="83"/>
        <w:tblW w:w="899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8"/>
        <w:gridCol w:w="2130"/>
        <w:gridCol w:w="655"/>
        <w:gridCol w:w="5545"/>
      </w:tblGrid>
      <w:tr w14:paraId="00C311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668" w:type="dxa"/>
            <w:vAlign w:val="center"/>
          </w:tcPr>
          <w:p w14:paraId="2259619E">
            <w:pPr>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序号</w:t>
            </w:r>
          </w:p>
        </w:tc>
        <w:tc>
          <w:tcPr>
            <w:tcW w:w="2130" w:type="dxa"/>
            <w:vAlign w:val="center"/>
          </w:tcPr>
          <w:p w14:paraId="39510FF6">
            <w:pPr>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评审因素</w:t>
            </w:r>
          </w:p>
        </w:tc>
        <w:tc>
          <w:tcPr>
            <w:tcW w:w="655" w:type="dxa"/>
            <w:vAlign w:val="center"/>
          </w:tcPr>
          <w:p w14:paraId="729F0E91">
            <w:pPr>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分值</w:t>
            </w:r>
          </w:p>
        </w:tc>
        <w:tc>
          <w:tcPr>
            <w:tcW w:w="5545" w:type="dxa"/>
            <w:vAlign w:val="center"/>
          </w:tcPr>
          <w:p w14:paraId="6A681D46">
            <w:pPr>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评分标准说明</w:t>
            </w:r>
          </w:p>
        </w:tc>
      </w:tr>
      <w:tr w14:paraId="1D79E5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15" w:hRule="atLeast"/>
          <w:jc w:val="center"/>
        </w:trPr>
        <w:tc>
          <w:tcPr>
            <w:tcW w:w="668" w:type="dxa"/>
            <w:vAlign w:val="center"/>
          </w:tcPr>
          <w:p w14:paraId="2A0F29B6">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2130" w:type="dxa"/>
            <w:vAlign w:val="center"/>
          </w:tcPr>
          <w:p w14:paraId="7DDA1395">
            <w:pPr>
              <w:jc w:val="center"/>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价格分</w:t>
            </w:r>
          </w:p>
        </w:tc>
        <w:tc>
          <w:tcPr>
            <w:tcW w:w="655" w:type="dxa"/>
            <w:vAlign w:val="center"/>
          </w:tcPr>
          <w:p w14:paraId="150F9731">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15</w:t>
            </w:r>
          </w:p>
        </w:tc>
        <w:tc>
          <w:tcPr>
            <w:tcW w:w="5545" w:type="dxa"/>
            <w:vAlign w:val="center"/>
          </w:tcPr>
          <w:p w14:paraId="146B9656">
            <w:pPr>
              <w:spacing w:line="360" w:lineRule="auto"/>
              <w:rPr>
                <w:rFonts w:asciiTheme="minorEastAsia" w:hAnsiTheme="minorEastAsia" w:eastAsiaTheme="minorEastAsia"/>
                <w:b/>
                <w:sz w:val="24"/>
                <w:highlight w:val="none"/>
              </w:rPr>
            </w:pPr>
            <w:r>
              <w:rPr>
                <w:rFonts w:asciiTheme="minorEastAsia" w:hAnsiTheme="minorEastAsia" w:eastAsiaTheme="minorEastAsia"/>
                <w:sz w:val="24"/>
                <w:highlight w:val="none"/>
              </w:rPr>
              <w:t>1、价格分统一采用低价优先法计算即满足竞争性磋商文件要求且投标价格最低的有效响应报价（即除低于成本报价以外的所有报价）为评审基准价，其价格分为满分。</w:t>
            </w:r>
            <w:r>
              <w:rPr>
                <w:rFonts w:hint="eastAsia" w:asciiTheme="minorEastAsia" w:hAnsiTheme="minorEastAsia" w:eastAsiaTheme="minorEastAsia"/>
                <w:b/>
                <w:sz w:val="24"/>
                <w:highlight w:val="none"/>
              </w:rPr>
              <w:t>磋商小组有权判定明显低于成本的报价是无效报价，经磋商小组判定供应商的报价为无效报价的，将不计入评审基准价计算。</w:t>
            </w:r>
          </w:p>
          <w:p w14:paraId="2553D0EE">
            <w:pPr>
              <w:spacing w:line="360" w:lineRule="auto"/>
              <w:rPr>
                <w:rFonts w:asciiTheme="minorEastAsia" w:hAnsiTheme="minorEastAsia" w:eastAsiaTheme="minorEastAsia"/>
                <w:sz w:val="24"/>
                <w:highlight w:val="none"/>
              </w:rPr>
            </w:pPr>
            <w:r>
              <w:rPr>
                <w:rFonts w:asciiTheme="minorEastAsia" w:hAnsiTheme="minorEastAsia" w:eastAsiaTheme="minorEastAsia"/>
                <w:sz w:val="24"/>
                <w:highlight w:val="none"/>
              </w:rPr>
              <w:t>2、其他供应商的价格分统一按照以下公式计算：</w:t>
            </w:r>
          </w:p>
          <w:p w14:paraId="7D6FE26E">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响应报价得分</w:t>
            </w:r>
            <w:r>
              <w:rPr>
                <w:rFonts w:asciiTheme="minorEastAsia" w:hAnsiTheme="minorEastAsia" w:eastAsiaTheme="minorEastAsia"/>
                <w:sz w:val="24"/>
                <w:highlight w:val="none"/>
              </w:rPr>
              <w:t>=（评审基准价/响应报价）×15</w:t>
            </w:r>
          </w:p>
          <w:p w14:paraId="3AD62BC4">
            <w:pPr>
              <w:spacing w:line="360" w:lineRule="auto"/>
              <w:rPr>
                <w:rFonts w:asciiTheme="minorEastAsia" w:hAnsiTheme="minorEastAsia" w:eastAsiaTheme="minorEastAsia"/>
                <w:b/>
                <w:bCs/>
                <w:sz w:val="24"/>
                <w:highlight w:val="none"/>
              </w:rPr>
            </w:pPr>
            <w:r>
              <w:rPr>
                <w:rFonts w:asciiTheme="minorEastAsia" w:hAnsiTheme="minorEastAsia" w:eastAsiaTheme="minorEastAsia"/>
                <w:b/>
                <w:bCs/>
                <w:sz w:val="24"/>
                <w:highlight w:val="none"/>
              </w:rPr>
              <w:t>3、最低报价不作为成交的保证；且供应商报价明显不合理、过低或明显低于成本报价的，有可能</w:t>
            </w:r>
            <w:r>
              <w:rPr>
                <w:rFonts w:hint="eastAsia" w:asciiTheme="minorEastAsia" w:hAnsiTheme="minorEastAsia" w:eastAsiaTheme="minorEastAsia"/>
                <w:b/>
                <w:sz w:val="24"/>
                <w:highlight w:val="none"/>
              </w:rPr>
              <w:t>经磋商小组判定供应商的报价为无效报价，不可再参与后续评审</w:t>
            </w:r>
          </w:p>
        </w:tc>
      </w:tr>
      <w:tr w14:paraId="2FBC8C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2798" w:type="dxa"/>
            <w:gridSpan w:val="2"/>
            <w:vAlign w:val="center"/>
          </w:tcPr>
          <w:p w14:paraId="63A9F848">
            <w:pPr>
              <w:spacing w:before="120" w:beforeLines="50"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合计</w:t>
            </w:r>
          </w:p>
        </w:tc>
        <w:tc>
          <w:tcPr>
            <w:tcW w:w="6200" w:type="dxa"/>
            <w:gridSpan w:val="2"/>
            <w:vAlign w:val="center"/>
          </w:tcPr>
          <w:p w14:paraId="4EDF555A">
            <w:pPr>
              <w:spacing w:before="120" w:beforeLines="50"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满分</w:t>
            </w:r>
            <w:r>
              <w:rPr>
                <w:rFonts w:asciiTheme="minorEastAsia" w:hAnsiTheme="minorEastAsia" w:eastAsiaTheme="minorEastAsia"/>
                <w:b/>
                <w:sz w:val="24"/>
                <w:highlight w:val="none"/>
              </w:rPr>
              <w:t>15</w:t>
            </w:r>
          </w:p>
        </w:tc>
      </w:tr>
    </w:tbl>
    <w:p w14:paraId="54D0F5F3">
      <w:pPr>
        <w:tabs>
          <w:tab w:val="left" w:pos="540"/>
        </w:tabs>
        <w:ind w:left="613" w:leftChars="292" w:firstLine="120" w:firstLineChars="50"/>
        <w:rPr>
          <w:rFonts w:cs="宋体" w:asciiTheme="minorEastAsia" w:hAnsiTheme="minorEastAsia" w:eastAsiaTheme="minorEastAsia"/>
          <w:b/>
          <w:sz w:val="24"/>
          <w:highlight w:val="none"/>
        </w:rPr>
      </w:pPr>
    </w:p>
    <w:p w14:paraId="0E1A945C">
      <w:pPr>
        <w:tabs>
          <w:tab w:val="left" w:pos="540"/>
        </w:tabs>
        <w:ind w:left="613" w:leftChars="292" w:firstLine="120" w:firstLineChars="50"/>
        <w:rPr>
          <w:rFonts w:cs="宋体" w:asciiTheme="minorEastAsia" w:hAnsiTheme="minorEastAsia" w:eastAsiaTheme="minorEastAsia"/>
          <w:b/>
          <w:sz w:val="24"/>
          <w:highlight w:val="none"/>
        </w:rPr>
      </w:pPr>
    </w:p>
    <w:p w14:paraId="43A46B41">
      <w:pPr>
        <w:tabs>
          <w:tab w:val="left" w:pos="540"/>
        </w:tabs>
        <w:rPr>
          <w:rFonts w:cs="宋体" w:asciiTheme="minorEastAsia" w:hAnsiTheme="minorEastAsia" w:eastAsiaTheme="minorEastAsia"/>
          <w:b/>
          <w:sz w:val="24"/>
          <w:highlight w:val="none"/>
        </w:rPr>
      </w:pPr>
      <w:r>
        <w:rPr>
          <w:rFonts w:cs="宋体" w:asciiTheme="minorEastAsia" w:hAnsiTheme="minorEastAsia" w:eastAsiaTheme="minorEastAsia"/>
          <w:b/>
          <w:sz w:val="24"/>
          <w:highlight w:val="none"/>
        </w:rPr>
        <w:t>2、商务评分标准</w:t>
      </w:r>
    </w:p>
    <w:p w14:paraId="53E4D541">
      <w:pPr>
        <w:tabs>
          <w:tab w:val="left" w:pos="540"/>
        </w:tabs>
        <w:ind w:left="613" w:leftChars="292" w:firstLine="120" w:firstLineChars="50"/>
        <w:rPr>
          <w:rFonts w:cs="宋体" w:asciiTheme="minorEastAsia" w:hAnsiTheme="minorEastAsia" w:eastAsiaTheme="minorEastAsia"/>
          <w:b/>
          <w:sz w:val="24"/>
          <w:highlight w:val="none"/>
        </w:rPr>
      </w:pPr>
    </w:p>
    <w:tbl>
      <w:tblPr>
        <w:tblStyle w:val="83"/>
        <w:tblW w:w="900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2091"/>
        <w:gridCol w:w="709"/>
        <w:gridCol w:w="5493"/>
      </w:tblGrid>
      <w:tr w14:paraId="1C4541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709" w:type="dxa"/>
            <w:vAlign w:val="center"/>
          </w:tcPr>
          <w:p w14:paraId="36F24870">
            <w:pPr>
              <w:spacing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序号</w:t>
            </w:r>
          </w:p>
        </w:tc>
        <w:tc>
          <w:tcPr>
            <w:tcW w:w="2091" w:type="dxa"/>
            <w:vAlign w:val="center"/>
          </w:tcPr>
          <w:p w14:paraId="34F0D10F">
            <w:pPr>
              <w:spacing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评审因素</w:t>
            </w:r>
          </w:p>
        </w:tc>
        <w:tc>
          <w:tcPr>
            <w:tcW w:w="709" w:type="dxa"/>
            <w:vAlign w:val="center"/>
          </w:tcPr>
          <w:p w14:paraId="5F74F792">
            <w:pPr>
              <w:spacing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分值</w:t>
            </w:r>
          </w:p>
        </w:tc>
        <w:tc>
          <w:tcPr>
            <w:tcW w:w="5493" w:type="dxa"/>
            <w:vAlign w:val="center"/>
          </w:tcPr>
          <w:p w14:paraId="7EAEFF38">
            <w:pPr>
              <w:spacing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评分标准说明</w:t>
            </w:r>
          </w:p>
        </w:tc>
      </w:tr>
      <w:tr w14:paraId="2291E9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709" w:type="dxa"/>
            <w:vAlign w:val="center"/>
          </w:tcPr>
          <w:p w14:paraId="6C640754">
            <w:pPr>
              <w:spacing w:line="360" w:lineRule="auto"/>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1</w:t>
            </w:r>
          </w:p>
        </w:tc>
        <w:tc>
          <w:tcPr>
            <w:tcW w:w="2091" w:type="dxa"/>
            <w:vAlign w:val="center"/>
          </w:tcPr>
          <w:p w14:paraId="5D1C96F1">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项目经理</w:t>
            </w:r>
          </w:p>
        </w:tc>
        <w:tc>
          <w:tcPr>
            <w:tcW w:w="709" w:type="dxa"/>
            <w:vAlign w:val="center"/>
          </w:tcPr>
          <w:p w14:paraId="03110209">
            <w:pPr>
              <w:spacing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7</w:t>
            </w:r>
          </w:p>
        </w:tc>
        <w:tc>
          <w:tcPr>
            <w:tcW w:w="5493" w:type="dxa"/>
            <w:vAlign w:val="center"/>
          </w:tcPr>
          <w:p w14:paraId="26CEC369">
            <w:pPr>
              <w:spacing w:line="360" w:lineRule="auto"/>
              <w:rPr>
                <w:rFonts w:asciiTheme="minorEastAsia" w:hAnsiTheme="minorEastAsia" w:eastAsiaTheme="minorEastAsia"/>
                <w:sz w:val="24"/>
                <w:highlight w:val="none"/>
              </w:rPr>
            </w:pPr>
            <w:r>
              <w:rPr>
                <w:rFonts w:hint="eastAsia" w:asciiTheme="minorEastAsia" w:hAnsiTheme="minorEastAsia" w:eastAsiaTheme="minorEastAsia"/>
                <w:bCs/>
                <w:sz w:val="24"/>
                <w:highlight w:val="none"/>
              </w:rPr>
              <w:t>拟派项目经理具有</w:t>
            </w:r>
            <w:r>
              <w:rPr>
                <w:rFonts w:asciiTheme="minorEastAsia" w:hAnsiTheme="minorEastAsia" w:eastAsiaTheme="minorEastAsia"/>
                <w:bCs/>
                <w:sz w:val="24"/>
                <w:highlight w:val="none"/>
              </w:rPr>
              <w:t>5年以上工作经验</w:t>
            </w:r>
            <w:r>
              <w:rPr>
                <w:rFonts w:hint="eastAsia" w:asciiTheme="minorEastAsia" w:hAnsiTheme="minorEastAsia" w:eastAsiaTheme="minorEastAsia"/>
                <w:sz w:val="24"/>
                <w:highlight w:val="none"/>
              </w:rPr>
              <w:t>得</w:t>
            </w:r>
            <w:r>
              <w:rPr>
                <w:rFonts w:asciiTheme="minorEastAsia" w:hAnsiTheme="minorEastAsia" w:eastAsiaTheme="minorEastAsia"/>
                <w:sz w:val="24"/>
                <w:highlight w:val="none"/>
              </w:rPr>
              <w:t>2分，具有中级职称以上得</w:t>
            </w:r>
            <w:r>
              <w:rPr>
                <w:rFonts w:hint="eastAsia" w:asciiTheme="minorEastAsia" w:hAnsiTheme="minorEastAsia" w:eastAsiaTheme="minorEastAsia"/>
                <w:sz w:val="24"/>
                <w:highlight w:val="none"/>
              </w:rPr>
              <w:t>2分，需提供证明材料。</w:t>
            </w:r>
          </w:p>
          <w:p w14:paraId="7B711704">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拟派项目经理近三年具有类似项目业绩，每提供一项得</w:t>
            </w:r>
            <w:r>
              <w:rPr>
                <w:rFonts w:asciiTheme="minorEastAsia" w:hAnsiTheme="minorEastAsia" w:eastAsiaTheme="minorEastAsia"/>
                <w:sz w:val="24"/>
                <w:highlight w:val="none"/>
              </w:rPr>
              <w:t>1分，最多得3分，需提供能够证明上述项目业绩真实性的</w:t>
            </w:r>
            <w:r>
              <w:rPr>
                <w:rFonts w:hint="eastAsia" w:asciiTheme="minorEastAsia" w:hAnsiTheme="minorEastAsia" w:eastAsiaTheme="minorEastAsia"/>
                <w:sz w:val="24"/>
                <w:highlight w:val="none"/>
              </w:rPr>
              <w:t>合同复印件及</w:t>
            </w:r>
            <w:r>
              <w:rPr>
                <w:rFonts w:hint="eastAsia"/>
                <w:sz w:val="24"/>
                <w:highlight w:val="none"/>
              </w:rPr>
              <w:t>竣工验收单复印件并加盖单位公章</w:t>
            </w:r>
            <w:r>
              <w:rPr>
                <w:rFonts w:hint="eastAsia" w:asciiTheme="minorEastAsia" w:hAnsiTheme="minorEastAsia" w:eastAsiaTheme="minorEastAsia"/>
                <w:sz w:val="24"/>
                <w:highlight w:val="none"/>
              </w:rPr>
              <w:t>。</w:t>
            </w:r>
          </w:p>
        </w:tc>
      </w:tr>
      <w:tr w14:paraId="1ED3F9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709" w:type="dxa"/>
            <w:vAlign w:val="center"/>
          </w:tcPr>
          <w:p w14:paraId="12EA7819">
            <w:pPr>
              <w:spacing w:line="360" w:lineRule="auto"/>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2</w:t>
            </w:r>
          </w:p>
        </w:tc>
        <w:tc>
          <w:tcPr>
            <w:tcW w:w="2091" w:type="dxa"/>
            <w:vAlign w:val="center"/>
          </w:tcPr>
          <w:p w14:paraId="6A39983D">
            <w:pPr>
              <w:spacing w:line="360" w:lineRule="auto"/>
              <w:jc w:val="center"/>
              <w:rPr>
                <w:rFonts w:cs="宋体" w:asciiTheme="minorEastAsia" w:hAnsiTheme="minorEastAsia" w:eastAsiaTheme="minorEastAsia"/>
                <w:sz w:val="24"/>
                <w:highlight w:val="none"/>
              </w:rPr>
            </w:pPr>
            <w:r>
              <w:rPr>
                <w:rFonts w:hint="eastAsia" w:asciiTheme="minorEastAsia" w:hAnsiTheme="minorEastAsia" w:eastAsiaTheme="minorEastAsia"/>
                <w:sz w:val="24"/>
                <w:highlight w:val="none"/>
              </w:rPr>
              <w:t>其他主要人员</w:t>
            </w:r>
          </w:p>
        </w:tc>
        <w:tc>
          <w:tcPr>
            <w:tcW w:w="709" w:type="dxa"/>
            <w:vAlign w:val="center"/>
          </w:tcPr>
          <w:p w14:paraId="363DA5EF">
            <w:pPr>
              <w:spacing w:line="360" w:lineRule="auto"/>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8</w:t>
            </w:r>
          </w:p>
        </w:tc>
        <w:tc>
          <w:tcPr>
            <w:tcW w:w="5493" w:type="dxa"/>
            <w:vAlign w:val="center"/>
          </w:tcPr>
          <w:p w14:paraId="65929C6B">
            <w:pPr>
              <w:spacing w:line="360" w:lineRule="auto"/>
              <w:jc w:val="left"/>
              <w:rPr>
                <w:rFonts w:cs="Arial" w:asciiTheme="minorEastAsia" w:hAnsiTheme="minorEastAsia" w:eastAsiaTheme="minorEastAsia"/>
                <w:sz w:val="24"/>
                <w:highlight w:val="none"/>
              </w:rPr>
            </w:pPr>
            <w:r>
              <w:rPr>
                <w:rFonts w:hint="eastAsia" w:cs="Arial" w:asciiTheme="minorEastAsia" w:hAnsiTheme="minorEastAsia" w:eastAsiaTheme="minorEastAsia"/>
                <w:sz w:val="24"/>
                <w:highlight w:val="none"/>
              </w:rPr>
              <w:t>供应商应</w:t>
            </w:r>
            <w:r>
              <w:rPr>
                <w:rFonts w:cs="Arial" w:asciiTheme="minorEastAsia" w:hAnsiTheme="minorEastAsia" w:eastAsiaTheme="minorEastAsia"/>
                <w:sz w:val="24"/>
                <w:highlight w:val="none"/>
              </w:rPr>
              <w:t>根据</w:t>
            </w:r>
            <w:r>
              <w:rPr>
                <w:rFonts w:hint="eastAsia" w:cs="Arial" w:asciiTheme="minorEastAsia" w:hAnsiTheme="minorEastAsia" w:eastAsiaTheme="minorEastAsia"/>
                <w:sz w:val="24"/>
                <w:highlight w:val="none"/>
              </w:rPr>
              <w:t>项目</w:t>
            </w:r>
            <w:r>
              <w:rPr>
                <w:rFonts w:cs="Arial" w:asciiTheme="minorEastAsia" w:hAnsiTheme="minorEastAsia" w:eastAsiaTheme="minorEastAsia"/>
                <w:sz w:val="24"/>
                <w:highlight w:val="none"/>
              </w:rPr>
              <w:t>特点提供团队</w:t>
            </w:r>
            <w:r>
              <w:rPr>
                <w:rFonts w:hint="eastAsia" w:cs="Arial" w:asciiTheme="minorEastAsia" w:hAnsiTheme="minorEastAsia" w:eastAsiaTheme="minorEastAsia"/>
                <w:sz w:val="24"/>
                <w:highlight w:val="none"/>
              </w:rPr>
              <w:t>人员</w:t>
            </w:r>
            <w:r>
              <w:rPr>
                <w:rFonts w:cs="Arial" w:asciiTheme="minorEastAsia" w:hAnsiTheme="minorEastAsia" w:eastAsiaTheme="minorEastAsia"/>
                <w:sz w:val="24"/>
                <w:highlight w:val="none"/>
              </w:rPr>
              <w:t>，</w:t>
            </w:r>
            <w:r>
              <w:rPr>
                <w:rFonts w:hint="eastAsia" w:cs="Arial" w:asciiTheme="minorEastAsia" w:hAnsiTheme="minorEastAsia" w:eastAsiaTheme="minorEastAsia"/>
                <w:sz w:val="24"/>
                <w:highlight w:val="none"/>
              </w:rPr>
              <w:t>包括但不限于施工管理、质量管理、安全管理、工程建设标准管理、机械管理、材料管理、预算管理、资料管理</w:t>
            </w:r>
            <w:r>
              <w:rPr>
                <w:rFonts w:cs="Arial" w:asciiTheme="minorEastAsia" w:hAnsiTheme="minorEastAsia" w:eastAsiaTheme="minorEastAsia"/>
                <w:sz w:val="24"/>
                <w:highlight w:val="none"/>
              </w:rPr>
              <w:t>等专业</w:t>
            </w:r>
            <w:r>
              <w:rPr>
                <w:rFonts w:hint="eastAsia" w:cs="Arial" w:asciiTheme="minorEastAsia" w:hAnsiTheme="minorEastAsia" w:eastAsiaTheme="minorEastAsia"/>
                <w:sz w:val="24"/>
                <w:highlight w:val="none"/>
              </w:rPr>
              <w:t>。专业齐全，人员配置合理，每有一个专业得</w:t>
            </w:r>
            <w:r>
              <w:rPr>
                <w:rFonts w:cs="Arial" w:asciiTheme="minorEastAsia" w:hAnsiTheme="minorEastAsia" w:eastAsiaTheme="minorEastAsia"/>
                <w:sz w:val="24"/>
                <w:highlight w:val="none"/>
              </w:rPr>
              <w:t>1分，</w:t>
            </w:r>
            <w:r>
              <w:rPr>
                <w:rFonts w:hint="eastAsia" w:cs="宋体" w:asciiTheme="minorEastAsia" w:hAnsiTheme="minorEastAsia" w:eastAsiaTheme="minorEastAsia"/>
                <w:sz w:val="24"/>
                <w:highlight w:val="none"/>
              </w:rPr>
              <w:t>完全满足要求的得</w:t>
            </w:r>
            <w:r>
              <w:rPr>
                <w:rFonts w:cs="宋体" w:asciiTheme="minorEastAsia" w:hAnsiTheme="minorEastAsia" w:eastAsiaTheme="minorEastAsia"/>
                <w:sz w:val="24"/>
                <w:highlight w:val="none"/>
              </w:rPr>
              <w:t>8分，每缺少一项专业扣1分，最低得0分。</w:t>
            </w:r>
          </w:p>
        </w:tc>
      </w:tr>
      <w:tr w14:paraId="7BDE2F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709" w:type="dxa"/>
            <w:vAlign w:val="center"/>
          </w:tcPr>
          <w:p w14:paraId="103D0B31">
            <w:pPr>
              <w:spacing w:line="360" w:lineRule="auto"/>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3</w:t>
            </w:r>
          </w:p>
        </w:tc>
        <w:tc>
          <w:tcPr>
            <w:tcW w:w="2091" w:type="dxa"/>
            <w:vAlign w:val="center"/>
          </w:tcPr>
          <w:p w14:paraId="2607EF25">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业绩</w:t>
            </w:r>
          </w:p>
        </w:tc>
        <w:tc>
          <w:tcPr>
            <w:tcW w:w="709" w:type="dxa"/>
            <w:vAlign w:val="center"/>
          </w:tcPr>
          <w:p w14:paraId="5AC097B1">
            <w:pPr>
              <w:spacing w:line="360" w:lineRule="auto"/>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10</w:t>
            </w:r>
          </w:p>
        </w:tc>
        <w:tc>
          <w:tcPr>
            <w:tcW w:w="5493" w:type="dxa"/>
            <w:vAlign w:val="center"/>
          </w:tcPr>
          <w:p w14:paraId="1EFA7D5A">
            <w:pPr>
              <w:spacing w:line="360" w:lineRule="auto"/>
              <w:jc w:val="left"/>
              <w:rPr>
                <w:rFonts w:asciiTheme="minorEastAsia" w:hAnsiTheme="minorEastAsia" w:eastAsiaTheme="minorEastAsia"/>
                <w:sz w:val="24"/>
                <w:highlight w:val="none"/>
              </w:rPr>
            </w:pPr>
            <w:r>
              <w:rPr>
                <w:rFonts w:asciiTheme="minorEastAsia" w:hAnsiTheme="minorEastAsia" w:eastAsiaTheme="minorEastAsia"/>
                <w:sz w:val="24"/>
                <w:highlight w:val="none"/>
              </w:rPr>
              <w:t>业绩要求：</w:t>
            </w:r>
            <w:r>
              <w:rPr>
                <w:rFonts w:hint="eastAsia" w:asciiTheme="minorEastAsia" w:hAnsiTheme="minorEastAsia" w:eastAsiaTheme="minorEastAsia"/>
                <w:sz w:val="24"/>
                <w:highlight w:val="none"/>
              </w:rPr>
              <w:t>供应商近三年内承担过类似工程项目</w:t>
            </w:r>
            <w:r>
              <w:rPr>
                <w:rFonts w:hint="eastAsia" w:cs="Arial" w:asciiTheme="minorEastAsia" w:hAnsiTheme="minorEastAsia" w:eastAsiaTheme="minorEastAsia"/>
                <w:sz w:val="24"/>
                <w:highlight w:val="none"/>
              </w:rPr>
              <w:t>业</w:t>
            </w:r>
            <w:r>
              <w:rPr>
                <w:rFonts w:hint="eastAsia" w:asciiTheme="minorEastAsia" w:hAnsiTheme="minorEastAsia" w:eastAsiaTheme="minorEastAsia"/>
                <w:sz w:val="24"/>
                <w:highlight w:val="none"/>
              </w:rPr>
              <w:t>绩，每提供一项</w:t>
            </w:r>
            <w:r>
              <w:rPr>
                <w:rFonts w:asciiTheme="minorEastAsia" w:hAnsiTheme="minorEastAsia" w:eastAsiaTheme="minorEastAsia"/>
                <w:sz w:val="24"/>
                <w:highlight w:val="none"/>
              </w:rPr>
              <w:t>2分，最多10分。</w:t>
            </w:r>
          </w:p>
          <w:p w14:paraId="08A255D6">
            <w:pPr>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w:t>
            </w:r>
            <w:r>
              <w:rPr>
                <w:rFonts w:asciiTheme="minorEastAsia" w:hAnsiTheme="minorEastAsia" w:eastAsiaTheme="minorEastAsia"/>
                <w:sz w:val="24"/>
                <w:highlight w:val="none"/>
              </w:rPr>
              <w:t>1、供应商必须提供能够证明上述项目业绩真实性的</w:t>
            </w:r>
            <w:r>
              <w:rPr>
                <w:rFonts w:hint="eastAsia" w:asciiTheme="minorEastAsia" w:hAnsiTheme="minorEastAsia" w:eastAsiaTheme="minorEastAsia"/>
                <w:sz w:val="24"/>
                <w:highlight w:val="none"/>
              </w:rPr>
              <w:t>合同复印件及</w:t>
            </w:r>
            <w:r>
              <w:rPr>
                <w:rFonts w:hint="eastAsia"/>
                <w:sz w:val="24"/>
                <w:highlight w:val="none"/>
              </w:rPr>
              <w:t>竣工验收单复印件并加盖单位公章</w:t>
            </w:r>
            <w:r>
              <w:rPr>
                <w:rFonts w:hint="eastAsia" w:asciiTheme="minorEastAsia" w:hAnsiTheme="minorEastAsia" w:eastAsiaTheme="minorEastAsia"/>
                <w:sz w:val="24"/>
                <w:highlight w:val="none"/>
              </w:rPr>
              <w:t>，否则不予认可。</w:t>
            </w:r>
          </w:p>
        </w:tc>
      </w:tr>
      <w:tr w14:paraId="4FA174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2800" w:type="dxa"/>
            <w:gridSpan w:val="2"/>
            <w:vAlign w:val="center"/>
          </w:tcPr>
          <w:p w14:paraId="11AF5664">
            <w:pPr>
              <w:spacing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合计</w:t>
            </w:r>
          </w:p>
        </w:tc>
        <w:tc>
          <w:tcPr>
            <w:tcW w:w="6202" w:type="dxa"/>
            <w:gridSpan w:val="2"/>
            <w:vAlign w:val="center"/>
          </w:tcPr>
          <w:p w14:paraId="747F1463">
            <w:pPr>
              <w:spacing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满分</w:t>
            </w:r>
            <w:r>
              <w:rPr>
                <w:rFonts w:asciiTheme="minorEastAsia" w:hAnsiTheme="minorEastAsia" w:eastAsiaTheme="minorEastAsia"/>
                <w:b/>
                <w:sz w:val="24"/>
                <w:highlight w:val="none"/>
              </w:rPr>
              <w:t>25</w:t>
            </w:r>
          </w:p>
        </w:tc>
      </w:tr>
    </w:tbl>
    <w:p w14:paraId="5428CC76">
      <w:pPr>
        <w:rPr>
          <w:rFonts w:cs="宋体" w:asciiTheme="minorEastAsia" w:hAnsiTheme="minorEastAsia" w:eastAsiaTheme="minorEastAsia"/>
          <w:b/>
          <w:bCs/>
          <w:sz w:val="24"/>
          <w:highlight w:val="none"/>
        </w:rPr>
      </w:pPr>
    </w:p>
    <w:p w14:paraId="6FA63ED0">
      <w:pPr>
        <w:rPr>
          <w:rFonts w:cs="宋体" w:asciiTheme="minorEastAsia" w:hAnsiTheme="minorEastAsia" w:eastAsiaTheme="minorEastAsia"/>
          <w:b/>
          <w:bCs/>
          <w:sz w:val="24"/>
          <w:highlight w:val="none"/>
        </w:rPr>
      </w:pPr>
      <w:r>
        <w:rPr>
          <w:rFonts w:cs="宋体" w:asciiTheme="minorEastAsia" w:hAnsiTheme="minorEastAsia" w:eastAsiaTheme="minorEastAsia"/>
          <w:b/>
          <w:bCs/>
          <w:sz w:val="24"/>
          <w:highlight w:val="none"/>
        </w:rPr>
        <w:t>3、技术评分标准</w:t>
      </w:r>
    </w:p>
    <w:tbl>
      <w:tblPr>
        <w:tblStyle w:val="83"/>
        <w:tblpPr w:leftFromText="180" w:rightFromText="180" w:vertAnchor="text" w:horzAnchor="margin" w:tblpX="-176" w:tblpY="360"/>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0"/>
        <w:gridCol w:w="1457"/>
        <w:gridCol w:w="675"/>
        <w:gridCol w:w="708"/>
        <w:gridCol w:w="5954"/>
      </w:tblGrid>
      <w:tr w14:paraId="24B09F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trPr>
        <w:tc>
          <w:tcPr>
            <w:tcW w:w="670" w:type="dxa"/>
            <w:tcBorders>
              <w:top w:val="single" w:color="auto" w:sz="4" w:space="0"/>
              <w:left w:val="single" w:color="auto" w:sz="4" w:space="0"/>
              <w:bottom w:val="single" w:color="auto" w:sz="4" w:space="0"/>
              <w:right w:val="single" w:color="auto" w:sz="4" w:space="0"/>
            </w:tcBorders>
            <w:vAlign w:val="center"/>
          </w:tcPr>
          <w:p w14:paraId="42889367">
            <w:pPr>
              <w:spacing w:before="60" w:beforeLines="25" w:after="60" w:afterLines="25"/>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序号</w:t>
            </w:r>
          </w:p>
        </w:tc>
        <w:tc>
          <w:tcPr>
            <w:tcW w:w="1457" w:type="dxa"/>
            <w:tcBorders>
              <w:top w:val="single" w:color="auto" w:sz="4" w:space="0"/>
              <w:left w:val="single" w:color="auto" w:sz="4" w:space="0"/>
              <w:bottom w:val="single" w:color="auto" w:sz="4" w:space="0"/>
              <w:right w:val="single" w:color="auto" w:sz="4" w:space="0"/>
            </w:tcBorders>
            <w:vAlign w:val="center"/>
          </w:tcPr>
          <w:p w14:paraId="10122330">
            <w:pPr>
              <w:spacing w:before="60" w:beforeLines="25" w:after="60" w:afterLines="25"/>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评审因素</w:t>
            </w:r>
          </w:p>
        </w:tc>
        <w:tc>
          <w:tcPr>
            <w:tcW w:w="1383" w:type="dxa"/>
            <w:gridSpan w:val="2"/>
            <w:tcBorders>
              <w:top w:val="single" w:color="auto" w:sz="4" w:space="0"/>
              <w:left w:val="single" w:color="auto" w:sz="4" w:space="0"/>
              <w:bottom w:val="single" w:color="auto" w:sz="4" w:space="0"/>
              <w:right w:val="single" w:color="auto" w:sz="4" w:space="0"/>
            </w:tcBorders>
            <w:vAlign w:val="center"/>
          </w:tcPr>
          <w:p w14:paraId="1DE0B1C3">
            <w:pPr>
              <w:spacing w:before="60" w:beforeLines="25" w:after="60" w:afterLines="25"/>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分值</w:t>
            </w:r>
          </w:p>
        </w:tc>
        <w:tc>
          <w:tcPr>
            <w:tcW w:w="5954" w:type="dxa"/>
            <w:tcBorders>
              <w:top w:val="single" w:color="auto" w:sz="4" w:space="0"/>
              <w:left w:val="single" w:color="auto" w:sz="4" w:space="0"/>
              <w:bottom w:val="single" w:color="auto" w:sz="4" w:space="0"/>
            </w:tcBorders>
            <w:vAlign w:val="center"/>
          </w:tcPr>
          <w:p w14:paraId="30E61A55">
            <w:pPr>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评分标准</w:t>
            </w:r>
          </w:p>
        </w:tc>
      </w:tr>
      <w:tr w14:paraId="3FCCA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restart"/>
            <w:tcBorders>
              <w:top w:val="single" w:color="auto" w:sz="4" w:space="0"/>
              <w:left w:val="single" w:color="auto" w:sz="4" w:space="0"/>
              <w:right w:val="single" w:color="auto" w:sz="4" w:space="0"/>
            </w:tcBorders>
            <w:vAlign w:val="center"/>
          </w:tcPr>
          <w:p w14:paraId="68B86B61">
            <w:pPr>
              <w:spacing w:before="60" w:beforeLines="25" w:after="60" w:afterLines="25"/>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1</w:t>
            </w:r>
          </w:p>
        </w:tc>
        <w:tc>
          <w:tcPr>
            <w:tcW w:w="1457" w:type="dxa"/>
            <w:vMerge w:val="restart"/>
            <w:tcBorders>
              <w:top w:val="single" w:color="auto" w:sz="4" w:space="0"/>
              <w:left w:val="single" w:color="auto" w:sz="4" w:space="0"/>
              <w:right w:val="single" w:color="auto" w:sz="4" w:space="0"/>
            </w:tcBorders>
            <w:vAlign w:val="center"/>
          </w:tcPr>
          <w:p w14:paraId="0C545589">
            <w:pPr>
              <w:spacing w:before="60" w:beforeLines="25" w:after="60" w:afterLines="25"/>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施工方案与技术措施</w:t>
            </w:r>
          </w:p>
        </w:tc>
        <w:tc>
          <w:tcPr>
            <w:tcW w:w="675" w:type="dxa"/>
            <w:vMerge w:val="restart"/>
            <w:tcBorders>
              <w:top w:val="single" w:color="auto" w:sz="4" w:space="0"/>
              <w:left w:val="single" w:color="auto" w:sz="4" w:space="0"/>
              <w:right w:val="single" w:color="auto" w:sz="4" w:space="0"/>
            </w:tcBorders>
            <w:vAlign w:val="center"/>
          </w:tcPr>
          <w:p w14:paraId="69301088">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15</w:t>
            </w:r>
          </w:p>
        </w:tc>
        <w:tc>
          <w:tcPr>
            <w:tcW w:w="708" w:type="dxa"/>
            <w:tcBorders>
              <w:top w:val="single" w:color="auto" w:sz="4" w:space="0"/>
              <w:left w:val="single" w:color="auto" w:sz="4" w:space="0"/>
              <w:bottom w:val="single" w:color="auto" w:sz="4" w:space="0"/>
              <w:right w:val="single" w:color="auto" w:sz="4" w:space="0"/>
            </w:tcBorders>
            <w:vAlign w:val="center"/>
          </w:tcPr>
          <w:p w14:paraId="5FC98003">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15分</w:t>
            </w:r>
          </w:p>
        </w:tc>
        <w:tc>
          <w:tcPr>
            <w:tcW w:w="5954" w:type="dxa"/>
            <w:tcBorders>
              <w:top w:val="single" w:color="auto" w:sz="4" w:space="0"/>
              <w:left w:val="single" w:color="auto" w:sz="4" w:space="0"/>
              <w:bottom w:val="single" w:color="auto" w:sz="4" w:space="0"/>
              <w:right w:val="single" w:color="auto" w:sz="4" w:space="0"/>
            </w:tcBorders>
            <w:vAlign w:val="center"/>
          </w:tcPr>
          <w:p w14:paraId="399BF117">
            <w:pPr>
              <w:spacing w:before="60" w:beforeLines="25" w:after="60" w:afterLine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供应商应针对学校工程特点，提出全面明确的整体实施方案</w:t>
            </w:r>
            <w:r>
              <w:rPr>
                <w:rFonts w:cs="宋体" w:asciiTheme="minorEastAsia" w:hAnsiTheme="minorEastAsia" w:eastAsiaTheme="minorEastAsia"/>
                <w:sz w:val="24"/>
                <w:highlight w:val="none"/>
              </w:rPr>
              <w:t>,包括但不限于施工方案与技术措施、专业技术人员配备、资源配备计划、施工现场平面布置图等方案内容完全满足以上要求并且全面详细、切实可行、针对性强</w:t>
            </w:r>
          </w:p>
        </w:tc>
      </w:tr>
      <w:tr w14:paraId="5AA16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68194ABB">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left w:val="single" w:color="auto" w:sz="4" w:space="0"/>
              <w:right w:val="single" w:color="auto" w:sz="4" w:space="0"/>
            </w:tcBorders>
            <w:vAlign w:val="center"/>
          </w:tcPr>
          <w:p w14:paraId="3DFCA9F9">
            <w:pPr>
              <w:spacing w:before="60" w:beforeLines="25" w:after="60" w:afterLines="25"/>
              <w:rPr>
                <w:rFonts w:cs="宋体" w:asciiTheme="minorEastAsia" w:hAnsiTheme="minorEastAsia" w:eastAsiaTheme="minorEastAsia"/>
                <w:sz w:val="24"/>
                <w:highlight w:val="none"/>
              </w:rPr>
            </w:pPr>
          </w:p>
        </w:tc>
        <w:tc>
          <w:tcPr>
            <w:tcW w:w="675" w:type="dxa"/>
            <w:vMerge w:val="continue"/>
            <w:tcBorders>
              <w:left w:val="single" w:color="auto" w:sz="4" w:space="0"/>
              <w:right w:val="single" w:color="auto" w:sz="4" w:space="0"/>
            </w:tcBorders>
            <w:vAlign w:val="center"/>
          </w:tcPr>
          <w:p w14:paraId="2A456413">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69C59AA">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12分</w:t>
            </w:r>
          </w:p>
        </w:tc>
        <w:tc>
          <w:tcPr>
            <w:tcW w:w="5954" w:type="dxa"/>
            <w:tcBorders>
              <w:top w:val="single" w:color="auto" w:sz="4" w:space="0"/>
              <w:left w:val="single" w:color="auto" w:sz="4" w:space="0"/>
              <w:bottom w:val="single" w:color="auto" w:sz="4" w:space="0"/>
              <w:right w:val="single" w:color="auto" w:sz="4" w:space="0"/>
            </w:tcBorders>
            <w:vAlign w:val="center"/>
          </w:tcPr>
          <w:p w14:paraId="6F7B5A2F">
            <w:pPr>
              <w:spacing w:before="60" w:beforeLines="25" w:after="60" w:afterLine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施工技术方案与技术措施较全面、专业技术人员配备较合理、资源配备计划内容较全面、方案针对性较强</w:t>
            </w:r>
          </w:p>
        </w:tc>
      </w:tr>
      <w:tr w14:paraId="73723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4E84089B">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left w:val="single" w:color="auto" w:sz="4" w:space="0"/>
              <w:right w:val="single" w:color="auto" w:sz="4" w:space="0"/>
            </w:tcBorders>
            <w:vAlign w:val="center"/>
          </w:tcPr>
          <w:p w14:paraId="0444479A">
            <w:pPr>
              <w:spacing w:before="60" w:beforeLines="25" w:after="60" w:afterLines="25"/>
              <w:rPr>
                <w:rFonts w:cs="宋体" w:asciiTheme="minorEastAsia" w:hAnsiTheme="minorEastAsia" w:eastAsiaTheme="minorEastAsia"/>
                <w:sz w:val="24"/>
                <w:highlight w:val="none"/>
              </w:rPr>
            </w:pPr>
          </w:p>
        </w:tc>
        <w:tc>
          <w:tcPr>
            <w:tcW w:w="675" w:type="dxa"/>
            <w:vMerge w:val="continue"/>
            <w:tcBorders>
              <w:left w:val="single" w:color="auto" w:sz="4" w:space="0"/>
              <w:right w:val="single" w:color="auto" w:sz="4" w:space="0"/>
            </w:tcBorders>
            <w:vAlign w:val="center"/>
          </w:tcPr>
          <w:p w14:paraId="3CA1E64B">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3FA485C">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9分</w:t>
            </w:r>
          </w:p>
        </w:tc>
        <w:tc>
          <w:tcPr>
            <w:tcW w:w="5954" w:type="dxa"/>
            <w:tcBorders>
              <w:top w:val="single" w:color="auto" w:sz="4" w:space="0"/>
              <w:left w:val="single" w:color="auto" w:sz="4" w:space="0"/>
              <w:bottom w:val="single" w:color="auto" w:sz="4" w:space="0"/>
              <w:right w:val="single" w:color="auto" w:sz="4" w:space="0"/>
            </w:tcBorders>
            <w:vAlign w:val="center"/>
          </w:tcPr>
          <w:p w14:paraId="760B1CD9">
            <w:pPr>
              <w:spacing w:before="60" w:beforeLines="25" w:after="60" w:afterLine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施工技术方案与技术措施等内容基本完善，方案针对性一般，基本满足项目要求</w:t>
            </w:r>
          </w:p>
        </w:tc>
      </w:tr>
      <w:tr w14:paraId="0F31E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7685B3CF">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left w:val="single" w:color="auto" w:sz="4" w:space="0"/>
              <w:right w:val="single" w:color="auto" w:sz="4" w:space="0"/>
            </w:tcBorders>
            <w:vAlign w:val="center"/>
          </w:tcPr>
          <w:p w14:paraId="569FDB51">
            <w:pPr>
              <w:spacing w:before="60" w:beforeLines="25" w:after="60" w:afterLines="25"/>
              <w:rPr>
                <w:rFonts w:cs="宋体" w:asciiTheme="minorEastAsia" w:hAnsiTheme="minorEastAsia" w:eastAsiaTheme="minorEastAsia"/>
                <w:sz w:val="24"/>
                <w:highlight w:val="none"/>
              </w:rPr>
            </w:pPr>
          </w:p>
        </w:tc>
        <w:tc>
          <w:tcPr>
            <w:tcW w:w="675" w:type="dxa"/>
            <w:vMerge w:val="continue"/>
            <w:tcBorders>
              <w:left w:val="single" w:color="auto" w:sz="4" w:space="0"/>
              <w:right w:val="single" w:color="auto" w:sz="4" w:space="0"/>
            </w:tcBorders>
            <w:vAlign w:val="center"/>
          </w:tcPr>
          <w:p w14:paraId="0BF4B502">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376E207C">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6分</w:t>
            </w:r>
          </w:p>
        </w:tc>
        <w:tc>
          <w:tcPr>
            <w:tcW w:w="5954" w:type="dxa"/>
            <w:tcBorders>
              <w:top w:val="single" w:color="auto" w:sz="4" w:space="0"/>
              <w:left w:val="single" w:color="auto" w:sz="4" w:space="0"/>
              <w:bottom w:val="single" w:color="auto" w:sz="4" w:space="0"/>
              <w:right w:val="single" w:color="auto" w:sz="4" w:space="0"/>
            </w:tcBorders>
            <w:vAlign w:val="center"/>
          </w:tcPr>
          <w:p w14:paraId="7B1FFEBD">
            <w:pPr>
              <w:spacing w:before="60" w:beforeLines="25" w:after="60" w:afterLine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施工技术方案与技术措施内容不全、方案针对性不强，欠合理</w:t>
            </w:r>
          </w:p>
        </w:tc>
      </w:tr>
      <w:tr w14:paraId="055E3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633F321B">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left w:val="single" w:color="auto" w:sz="4" w:space="0"/>
              <w:right w:val="single" w:color="auto" w:sz="4" w:space="0"/>
            </w:tcBorders>
            <w:vAlign w:val="center"/>
          </w:tcPr>
          <w:p w14:paraId="0CD9AD5C">
            <w:pPr>
              <w:spacing w:before="60" w:beforeLines="25" w:after="60" w:afterLines="25"/>
              <w:rPr>
                <w:rFonts w:cs="宋体" w:asciiTheme="minorEastAsia" w:hAnsiTheme="minorEastAsia" w:eastAsiaTheme="minorEastAsia"/>
                <w:sz w:val="24"/>
                <w:highlight w:val="none"/>
              </w:rPr>
            </w:pPr>
          </w:p>
        </w:tc>
        <w:tc>
          <w:tcPr>
            <w:tcW w:w="675" w:type="dxa"/>
            <w:vMerge w:val="continue"/>
            <w:tcBorders>
              <w:left w:val="single" w:color="auto" w:sz="4" w:space="0"/>
              <w:right w:val="single" w:color="auto" w:sz="4" w:space="0"/>
            </w:tcBorders>
            <w:vAlign w:val="center"/>
          </w:tcPr>
          <w:p w14:paraId="7AECD6AD">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2F832F2">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3分</w:t>
            </w:r>
          </w:p>
        </w:tc>
        <w:tc>
          <w:tcPr>
            <w:tcW w:w="5954" w:type="dxa"/>
            <w:tcBorders>
              <w:top w:val="single" w:color="auto" w:sz="4" w:space="0"/>
              <w:left w:val="single" w:color="auto" w:sz="4" w:space="0"/>
              <w:bottom w:val="single" w:color="auto" w:sz="4" w:space="0"/>
              <w:right w:val="single" w:color="auto" w:sz="4" w:space="0"/>
            </w:tcBorders>
            <w:vAlign w:val="center"/>
          </w:tcPr>
          <w:p w14:paraId="12FF745F">
            <w:pPr>
              <w:spacing w:before="60" w:beforeLines="25" w:after="60" w:afterLine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施工技术方案与技术措施内容不全、方案针对性较差，欠合理</w:t>
            </w:r>
          </w:p>
        </w:tc>
      </w:tr>
      <w:tr w14:paraId="73DB9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bottom w:val="single" w:color="auto" w:sz="4" w:space="0"/>
              <w:right w:val="single" w:color="auto" w:sz="4" w:space="0"/>
            </w:tcBorders>
            <w:vAlign w:val="center"/>
          </w:tcPr>
          <w:p w14:paraId="33A45E34">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left w:val="single" w:color="auto" w:sz="4" w:space="0"/>
              <w:bottom w:val="single" w:color="auto" w:sz="4" w:space="0"/>
              <w:right w:val="single" w:color="auto" w:sz="4" w:space="0"/>
            </w:tcBorders>
            <w:vAlign w:val="center"/>
          </w:tcPr>
          <w:p w14:paraId="44B5D9DF">
            <w:pPr>
              <w:spacing w:before="60" w:beforeLines="25" w:after="60" w:afterLines="25"/>
              <w:rPr>
                <w:rFonts w:cs="宋体" w:asciiTheme="minorEastAsia" w:hAnsiTheme="minorEastAsia" w:eastAsiaTheme="minorEastAsia"/>
                <w:sz w:val="24"/>
                <w:highlight w:val="none"/>
              </w:rPr>
            </w:pPr>
          </w:p>
        </w:tc>
        <w:tc>
          <w:tcPr>
            <w:tcW w:w="675" w:type="dxa"/>
            <w:vMerge w:val="continue"/>
            <w:tcBorders>
              <w:left w:val="single" w:color="auto" w:sz="4" w:space="0"/>
              <w:bottom w:val="single" w:color="auto" w:sz="4" w:space="0"/>
              <w:right w:val="single" w:color="auto" w:sz="4" w:space="0"/>
            </w:tcBorders>
            <w:vAlign w:val="center"/>
          </w:tcPr>
          <w:p w14:paraId="632E372E">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7A8A793">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0分</w:t>
            </w:r>
          </w:p>
        </w:tc>
        <w:tc>
          <w:tcPr>
            <w:tcW w:w="5954" w:type="dxa"/>
            <w:tcBorders>
              <w:top w:val="single" w:color="auto" w:sz="4" w:space="0"/>
              <w:left w:val="single" w:color="auto" w:sz="4" w:space="0"/>
              <w:bottom w:val="single" w:color="auto" w:sz="4" w:space="0"/>
              <w:right w:val="single" w:color="auto" w:sz="4" w:space="0"/>
            </w:tcBorders>
            <w:vAlign w:val="center"/>
          </w:tcPr>
          <w:p w14:paraId="6B1F0419">
            <w:pPr>
              <w:spacing w:before="60" w:beforeLines="25" w:after="60" w:afterLine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未提供或不满足工程需要</w:t>
            </w:r>
          </w:p>
        </w:tc>
      </w:tr>
      <w:tr w14:paraId="72C81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restart"/>
            <w:tcBorders>
              <w:left w:val="single" w:color="auto" w:sz="4" w:space="0"/>
              <w:right w:val="single" w:color="auto" w:sz="4" w:space="0"/>
            </w:tcBorders>
            <w:vAlign w:val="center"/>
          </w:tcPr>
          <w:p w14:paraId="7A888CAE">
            <w:pPr>
              <w:spacing w:before="60" w:beforeLines="25" w:after="60" w:afterLines="25"/>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2</w:t>
            </w:r>
          </w:p>
        </w:tc>
        <w:tc>
          <w:tcPr>
            <w:tcW w:w="1457" w:type="dxa"/>
            <w:vMerge w:val="restart"/>
            <w:tcBorders>
              <w:left w:val="single" w:color="auto" w:sz="4" w:space="0"/>
              <w:right w:val="single" w:color="auto" w:sz="4" w:space="0"/>
            </w:tcBorders>
            <w:vAlign w:val="center"/>
          </w:tcPr>
          <w:p w14:paraId="4D236121">
            <w:pPr>
              <w:spacing w:before="60" w:beforeLines="25" w:after="60" w:afterLines="25"/>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质量管理体系与保证措施</w:t>
            </w:r>
          </w:p>
        </w:tc>
        <w:tc>
          <w:tcPr>
            <w:tcW w:w="675" w:type="dxa"/>
            <w:vMerge w:val="restart"/>
            <w:tcBorders>
              <w:left w:val="single" w:color="auto" w:sz="4" w:space="0"/>
              <w:right w:val="single" w:color="auto" w:sz="4" w:space="0"/>
            </w:tcBorders>
            <w:vAlign w:val="center"/>
          </w:tcPr>
          <w:p w14:paraId="55FA1642">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8</w:t>
            </w:r>
          </w:p>
        </w:tc>
        <w:tc>
          <w:tcPr>
            <w:tcW w:w="708" w:type="dxa"/>
            <w:tcBorders>
              <w:left w:val="single" w:color="auto" w:sz="4" w:space="0"/>
              <w:bottom w:val="single" w:color="auto" w:sz="4" w:space="0"/>
              <w:right w:val="single" w:color="auto" w:sz="4" w:space="0"/>
            </w:tcBorders>
            <w:vAlign w:val="center"/>
          </w:tcPr>
          <w:p w14:paraId="0C07910C">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8分</w:t>
            </w:r>
          </w:p>
        </w:tc>
        <w:tc>
          <w:tcPr>
            <w:tcW w:w="5954" w:type="dxa"/>
            <w:tcBorders>
              <w:top w:val="single" w:color="auto" w:sz="4" w:space="0"/>
              <w:left w:val="single" w:color="auto" w:sz="4" w:space="0"/>
              <w:bottom w:val="single" w:color="auto" w:sz="4" w:space="0"/>
              <w:right w:val="single" w:color="auto" w:sz="4" w:space="0"/>
            </w:tcBorders>
            <w:vAlign w:val="center"/>
          </w:tcPr>
          <w:p w14:paraId="2FB25EAB">
            <w:pPr>
              <w:spacing w:before="60" w:beforeLines="25" w:after="60" w:afterLine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供应商应结合学校工程特点，提供质量管理体系与保证措施，包括但不限于施工质量管理方法和保证措施，对关键部位、关键工序环节把控方案等内容，符合项目实际需求，细节考虑完善且切实可行</w:t>
            </w:r>
          </w:p>
        </w:tc>
      </w:tr>
      <w:tr w14:paraId="24153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35FB8D61">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left w:val="single" w:color="auto" w:sz="4" w:space="0"/>
              <w:right w:val="single" w:color="auto" w:sz="4" w:space="0"/>
            </w:tcBorders>
            <w:vAlign w:val="center"/>
          </w:tcPr>
          <w:p w14:paraId="63E79EAC">
            <w:pPr>
              <w:spacing w:before="60" w:beforeLines="25" w:after="60" w:afterLines="25"/>
              <w:jc w:val="center"/>
              <w:rPr>
                <w:rFonts w:cs="宋体" w:asciiTheme="minorEastAsia" w:hAnsiTheme="minorEastAsia" w:eastAsiaTheme="minorEastAsia"/>
                <w:sz w:val="24"/>
                <w:highlight w:val="none"/>
              </w:rPr>
            </w:pPr>
          </w:p>
        </w:tc>
        <w:tc>
          <w:tcPr>
            <w:tcW w:w="675" w:type="dxa"/>
            <w:vMerge w:val="continue"/>
            <w:tcBorders>
              <w:left w:val="single" w:color="auto" w:sz="4" w:space="0"/>
              <w:right w:val="single" w:color="auto" w:sz="4" w:space="0"/>
            </w:tcBorders>
            <w:vAlign w:val="center"/>
          </w:tcPr>
          <w:p w14:paraId="57862AC9">
            <w:pPr>
              <w:jc w:val="center"/>
              <w:rPr>
                <w:rFonts w:cs="宋体" w:asciiTheme="minorEastAsia" w:hAnsiTheme="minorEastAsia" w:eastAsiaTheme="minorEastAsia"/>
                <w:sz w:val="24"/>
                <w:highlight w:val="none"/>
              </w:rPr>
            </w:pPr>
          </w:p>
        </w:tc>
        <w:tc>
          <w:tcPr>
            <w:tcW w:w="708" w:type="dxa"/>
            <w:tcBorders>
              <w:left w:val="single" w:color="auto" w:sz="4" w:space="0"/>
              <w:bottom w:val="single" w:color="auto" w:sz="4" w:space="0"/>
              <w:right w:val="single" w:color="auto" w:sz="4" w:space="0"/>
            </w:tcBorders>
            <w:vAlign w:val="center"/>
          </w:tcPr>
          <w:p w14:paraId="0DD71A26">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6分</w:t>
            </w:r>
          </w:p>
        </w:tc>
        <w:tc>
          <w:tcPr>
            <w:tcW w:w="5954" w:type="dxa"/>
            <w:tcBorders>
              <w:top w:val="single" w:color="auto" w:sz="4" w:space="0"/>
              <w:left w:val="single" w:color="auto" w:sz="4" w:space="0"/>
              <w:bottom w:val="single" w:color="auto" w:sz="4" w:space="0"/>
              <w:right w:val="single" w:color="auto" w:sz="4" w:space="0"/>
            </w:tcBorders>
            <w:vAlign w:val="center"/>
          </w:tcPr>
          <w:p w14:paraId="5C37FEA6">
            <w:pPr>
              <w:spacing w:before="60" w:beforeLines="25" w:after="60" w:afterLine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施工质量管理体系与保证措施内容较全面、方案针对性较强，细节待完善</w:t>
            </w:r>
          </w:p>
        </w:tc>
      </w:tr>
      <w:tr w14:paraId="6C1E8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2558110C">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left w:val="single" w:color="auto" w:sz="4" w:space="0"/>
              <w:right w:val="single" w:color="auto" w:sz="4" w:space="0"/>
            </w:tcBorders>
            <w:vAlign w:val="center"/>
          </w:tcPr>
          <w:p w14:paraId="204D64DD">
            <w:pPr>
              <w:spacing w:before="60" w:beforeLines="25" w:after="60" w:afterLines="25"/>
              <w:jc w:val="center"/>
              <w:rPr>
                <w:rFonts w:cs="宋体" w:asciiTheme="minorEastAsia" w:hAnsiTheme="minorEastAsia" w:eastAsiaTheme="minorEastAsia"/>
                <w:sz w:val="24"/>
                <w:highlight w:val="none"/>
              </w:rPr>
            </w:pPr>
          </w:p>
        </w:tc>
        <w:tc>
          <w:tcPr>
            <w:tcW w:w="675" w:type="dxa"/>
            <w:vMerge w:val="continue"/>
            <w:tcBorders>
              <w:left w:val="single" w:color="auto" w:sz="4" w:space="0"/>
              <w:right w:val="single" w:color="auto" w:sz="4" w:space="0"/>
            </w:tcBorders>
            <w:vAlign w:val="center"/>
          </w:tcPr>
          <w:p w14:paraId="31ADC4B3">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128092D">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4分</w:t>
            </w:r>
          </w:p>
        </w:tc>
        <w:tc>
          <w:tcPr>
            <w:tcW w:w="5954" w:type="dxa"/>
            <w:tcBorders>
              <w:top w:val="single" w:color="auto" w:sz="4" w:space="0"/>
              <w:left w:val="single" w:color="auto" w:sz="4" w:space="0"/>
              <w:bottom w:val="single" w:color="auto" w:sz="4" w:space="0"/>
              <w:right w:val="single" w:color="auto" w:sz="4" w:space="0"/>
            </w:tcBorders>
            <w:vAlign w:val="center"/>
          </w:tcPr>
          <w:p w14:paraId="09B8959D">
            <w:pPr>
              <w:spacing w:before="60" w:beforeLines="25" w:after="60" w:afterLine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施工质量管理体系与保证措施基本满足要求但针对性一般</w:t>
            </w:r>
          </w:p>
        </w:tc>
      </w:tr>
      <w:tr w14:paraId="26795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783A87CB">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left w:val="single" w:color="auto" w:sz="4" w:space="0"/>
              <w:right w:val="single" w:color="auto" w:sz="4" w:space="0"/>
            </w:tcBorders>
            <w:vAlign w:val="center"/>
          </w:tcPr>
          <w:p w14:paraId="270FD0CB">
            <w:pPr>
              <w:spacing w:before="60" w:beforeLines="25" w:after="60" w:afterLines="25"/>
              <w:jc w:val="center"/>
              <w:rPr>
                <w:rFonts w:cs="宋体" w:asciiTheme="minorEastAsia" w:hAnsiTheme="minorEastAsia" w:eastAsiaTheme="minorEastAsia"/>
                <w:sz w:val="24"/>
                <w:highlight w:val="none"/>
              </w:rPr>
            </w:pPr>
          </w:p>
        </w:tc>
        <w:tc>
          <w:tcPr>
            <w:tcW w:w="675" w:type="dxa"/>
            <w:vMerge w:val="continue"/>
            <w:tcBorders>
              <w:left w:val="single" w:color="auto" w:sz="4" w:space="0"/>
              <w:right w:val="single" w:color="auto" w:sz="4" w:space="0"/>
            </w:tcBorders>
            <w:vAlign w:val="center"/>
          </w:tcPr>
          <w:p w14:paraId="4C8E9802">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530810D2">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2分</w:t>
            </w:r>
          </w:p>
        </w:tc>
        <w:tc>
          <w:tcPr>
            <w:tcW w:w="5954" w:type="dxa"/>
            <w:tcBorders>
              <w:top w:val="single" w:color="auto" w:sz="4" w:space="0"/>
              <w:left w:val="single" w:color="auto" w:sz="4" w:space="0"/>
              <w:bottom w:val="single" w:color="auto" w:sz="4" w:space="0"/>
              <w:right w:val="single" w:color="auto" w:sz="4" w:space="0"/>
            </w:tcBorders>
            <w:vAlign w:val="center"/>
          </w:tcPr>
          <w:p w14:paraId="155A5429">
            <w:pPr>
              <w:spacing w:before="60" w:beforeLines="25" w:after="60" w:afterLine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施工质量管理体系与保证措施内容不全、方案针对性不强，欠合理</w:t>
            </w:r>
          </w:p>
        </w:tc>
      </w:tr>
      <w:tr w14:paraId="3BADA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6764459C">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left w:val="single" w:color="auto" w:sz="4" w:space="0"/>
              <w:right w:val="single" w:color="auto" w:sz="4" w:space="0"/>
            </w:tcBorders>
            <w:vAlign w:val="center"/>
          </w:tcPr>
          <w:p w14:paraId="0FB622D7">
            <w:pPr>
              <w:spacing w:before="60" w:beforeLines="25" w:after="60" w:afterLines="25"/>
              <w:jc w:val="center"/>
              <w:rPr>
                <w:rFonts w:cs="宋体" w:asciiTheme="minorEastAsia" w:hAnsiTheme="minorEastAsia" w:eastAsiaTheme="minorEastAsia"/>
                <w:sz w:val="24"/>
                <w:highlight w:val="none"/>
              </w:rPr>
            </w:pPr>
          </w:p>
        </w:tc>
        <w:tc>
          <w:tcPr>
            <w:tcW w:w="675" w:type="dxa"/>
            <w:vMerge w:val="continue"/>
            <w:tcBorders>
              <w:left w:val="single" w:color="auto" w:sz="4" w:space="0"/>
              <w:right w:val="single" w:color="auto" w:sz="4" w:space="0"/>
            </w:tcBorders>
            <w:vAlign w:val="center"/>
          </w:tcPr>
          <w:p w14:paraId="43A3CF3D">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13E138E">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0分</w:t>
            </w:r>
          </w:p>
        </w:tc>
        <w:tc>
          <w:tcPr>
            <w:tcW w:w="5954" w:type="dxa"/>
            <w:tcBorders>
              <w:top w:val="single" w:color="auto" w:sz="4" w:space="0"/>
              <w:left w:val="single" w:color="auto" w:sz="4" w:space="0"/>
              <w:bottom w:val="single" w:color="auto" w:sz="4" w:space="0"/>
              <w:right w:val="single" w:color="auto" w:sz="4" w:space="0"/>
            </w:tcBorders>
            <w:vAlign w:val="center"/>
          </w:tcPr>
          <w:p w14:paraId="2B60E37E">
            <w:pPr>
              <w:spacing w:before="60" w:beforeLines="25" w:after="60" w:afterLine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未提供或不满足工程需要</w:t>
            </w:r>
          </w:p>
        </w:tc>
      </w:tr>
      <w:tr w14:paraId="786001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restart"/>
            <w:tcBorders>
              <w:top w:val="single" w:color="auto" w:sz="4" w:space="0"/>
              <w:left w:val="single" w:color="auto" w:sz="4" w:space="0"/>
              <w:right w:val="single" w:color="auto" w:sz="4" w:space="0"/>
            </w:tcBorders>
            <w:vAlign w:val="center"/>
          </w:tcPr>
          <w:p w14:paraId="671F9545">
            <w:pPr>
              <w:spacing w:before="60" w:beforeLines="25" w:after="60" w:afterLines="25"/>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3</w:t>
            </w:r>
          </w:p>
        </w:tc>
        <w:tc>
          <w:tcPr>
            <w:tcW w:w="1457" w:type="dxa"/>
            <w:vMerge w:val="restart"/>
            <w:tcBorders>
              <w:top w:val="single" w:color="auto" w:sz="4" w:space="0"/>
              <w:left w:val="single" w:color="auto" w:sz="4" w:space="0"/>
              <w:right w:val="single" w:color="auto" w:sz="4" w:space="0"/>
            </w:tcBorders>
            <w:vAlign w:val="center"/>
          </w:tcPr>
          <w:p w14:paraId="265C6425">
            <w:pPr>
              <w:spacing w:before="60" w:beforeLines="25" w:after="60" w:afterLines="25"/>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安全</w:t>
            </w:r>
            <w:r>
              <w:rPr>
                <w:rFonts w:hint="eastAsia" w:cs="宋体" w:asciiTheme="minorEastAsia" w:hAnsiTheme="minorEastAsia" w:eastAsiaTheme="minorEastAsia"/>
                <w:iCs/>
                <w:sz w:val="24"/>
                <w:highlight w:val="none"/>
              </w:rPr>
              <w:t>和文明施工保障</w:t>
            </w:r>
            <w:r>
              <w:rPr>
                <w:rFonts w:hint="eastAsia" w:cs="宋体" w:asciiTheme="minorEastAsia" w:hAnsiTheme="minorEastAsia" w:eastAsiaTheme="minorEastAsia"/>
                <w:sz w:val="24"/>
                <w:highlight w:val="none"/>
              </w:rPr>
              <w:t>措施</w:t>
            </w:r>
          </w:p>
        </w:tc>
        <w:tc>
          <w:tcPr>
            <w:tcW w:w="675" w:type="dxa"/>
            <w:vMerge w:val="restart"/>
            <w:tcBorders>
              <w:top w:val="single" w:color="auto" w:sz="4" w:space="0"/>
              <w:left w:val="single" w:color="auto" w:sz="4" w:space="0"/>
              <w:right w:val="single" w:color="auto" w:sz="4" w:space="0"/>
            </w:tcBorders>
            <w:vAlign w:val="center"/>
          </w:tcPr>
          <w:p w14:paraId="1F38D2F8">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8</w:t>
            </w:r>
          </w:p>
        </w:tc>
        <w:tc>
          <w:tcPr>
            <w:tcW w:w="708" w:type="dxa"/>
            <w:tcBorders>
              <w:top w:val="single" w:color="auto" w:sz="4" w:space="0"/>
              <w:left w:val="single" w:color="auto" w:sz="4" w:space="0"/>
              <w:bottom w:val="single" w:color="auto" w:sz="4" w:space="0"/>
              <w:right w:val="single" w:color="auto" w:sz="4" w:space="0"/>
            </w:tcBorders>
            <w:vAlign w:val="center"/>
          </w:tcPr>
          <w:p w14:paraId="457D1DE6">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8分</w:t>
            </w:r>
          </w:p>
        </w:tc>
        <w:tc>
          <w:tcPr>
            <w:tcW w:w="5954" w:type="dxa"/>
            <w:tcBorders>
              <w:top w:val="single" w:color="auto" w:sz="4" w:space="0"/>
              <w:left w:val="single" w:color="auto" w:sz="4" w:space="0"/>
              <w:bottom w:val="single" w:color="auto" w:sz="4" w:space="0"/>
              <w:right w:val="single" w:color="auto" w:sz="4" w:space="0"/>
            </w:tcBorders>
            <w:vAlign w:val="center"/>
          </w:tcPr>
          <w:p w14:paraId="29E813D4">
            <w:pPr>
              <w:spacing w:before="60" w:beforeLines="25" w:after="60" w:afterLine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供应商结合学校工程特点，提供完整的安全</w:t>
            </w:r>
            <w:r>
              <w:rPr>
                <w:rFonts w:hint="eastAsia" w:cs="宋体" w:asciiTheme="minorEastAsia" w:hAnsiTheme="minorEastAsia" w:eastAsiaTheme="minorEastAsia"/>
                <w:iCs/>
                <w:sz w:val="24"/>
                <w:highlight w:val="none"/>
              </w:rPr>
              <w:t>和文明施工保障</w:t>
            </w:r>
            <w:r>
              <w:rPr>
                <w:rFonts w:hint="eastAsia" w:cs="宋体" w:asciiTheme="minorEastAsia" w:hAnsiTheme="minorEastAsia" w:eastAsiaTheme="minorEastAsia"/>
                <w:sz w:val="24"/>
                <w:highlight w:val="none"/>
              </w:rPr>
              <w:t>措施。</w:t>
            </w:r>
          </w:p>
          <w:p w14:paraId="4124CA88">
            <w:pPr>
              <w:spacing w:before="60" w:beforeLines="25" w:after="60" w:afterLine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包括但不限于各施工环节安全和文明施工保障措施、预防措施、安全技术交底、文明施工管理制度及责任制度、现场环境维护等内容，符合项目实际需求，细节考虑完善且切实可行</w:t>
            </w:r>
          </w:p>
        </w:tc>
      </w:tr>
      <w:tr w14:paraId="02D97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top w:val="single" w:color="auto" w:sz="4" w:space="0"/>
              <w:left w:val="single" w:color="auto" w:sz="4" w:space="0"/>
              <w:right w:val="single" w:color="auto" w:sz="4" w:space="0"/>
            </w:tcBorders>
            <w:vAlign w:val="center"/>
          </w:tcPr>
          <w:p w14:paraId="1560C6C1">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top w:val="single" w:color="auto" w:sz="4" w:space="0"/>
              <w:left w:val="single" w:color="auto" w:sz="4" w:space="0"/>
              <w:right w:val="single" w:color="auto" w:sz="4" w:space="0"/>
            </w:tcBorders>
            <w:vAlign w:val="center"/>
          </w:tcPr>
          <w:p w14:paraId="3E9E978F">
            <w:pPr>
              <w:spacing w:before="60" w:beforeLines="25" w:after="60" w:afterLines="25"/>
              <w:jc w:val="center"/>
              <w:rPr>
                <w:rFonts w:cs="宋体" w:asciiTheme="minorEastAsia" w:hAnsiTheme="minorEastAsia" w:eastAsiaTheme="minorEastAsia"/>
                <w:sz w:val="24"/>
                <w:highlight w:val="none"/>
              </w:rPr>
            </w:pPr>
          </w:p>
        </w:tc>
        <w:tc>
          <w:tcPr>
            <w:tcW w:w="675" w:type="dxa"/>
            <w:vMerge w:val="continue"/>
            <w:tcBorders>
              <w:top w:val="single" w:color="auto" w:sz="4" w:space="0"/>
              <w:left w:val="single" w:color="auto" w:sz="4" w:space="0"/>
              <w:right w:val="single" w:color="auto" w:sz="4" w:space="0"/>
            </w:tcBorders>
            <w:vAlign w:val="center"/>
          </w:tcPr>
          <w:p w14:paraId="5EC123D6">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E53EF60">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6分</w:t>
            </w:r>
          </w:p>
        </w:tc>
        <w:tc>
          <w:tcPr>
            <w:tcW w:w="5954" w:type="dxa"/>
            <w:tcBorders>
              <w:top w:val="single" w:color="auto" w:sz="4" w:space="0"/>
              <w:left w:val="single" w:color="auto" w:sz="4" w:space="0"/>
              <w:bottom w:val="single" w:color="auto" w:sz="4" w:space="0"/>
              <w:right w:val="single" w:color="auto" w:sz="4" w:space="0"/>
            </w:tcBorders>
            <w:vAlign w:val="center"/>
          </w:tcPr>
          <w:p w14:paraId="4253691B">
            <w:pPr>
              <w:spacing w:before="60" w:beforeLines="25" w:after="60" w:afterLine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安全</w:t>
            </w:r>
            <w:r>
              <w:rPr>
                <w:rFonts w:hint="eastAsia" w:cs="宋体" w:asciiTheme="minorEastAsia" w:hAnsiTheme="minorEastAsia" w:eastAsiaTheme="minorEastAsia"/>
                <w:iCs/>
                <w:sz w:val="24"/>
                <w:highlight w:val="none"/>
              </w:rPr>
              <w:t>和文明施工保障</w:t>
            </w:r>
            <w:r>
              <w:rPr>
                <w:rFonts w:hint="eastAsia" w:cs="宋体" w:asciiTheme="minorEastAsia" w:hAnsiTheme="minorEastAsia" w:eastAsiaTheme="minorEastAsia"/>
                <w:sz w:val="24"/>
                <w:highlight w:val="none"/>
              </w:rPr>
              <w:t>措施内容较全面、方案针对性较强，细节待完善</w:t>
            </w:r>
          </w:p>
        </w:tc>
      </w:tr>
      <w:tr w14:paraId="02837E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top w:val="single" w:color="auto" w:sz="4" w:space="0"/>
              <w:left w:val="single" w:color="auto" w:sz="4" w:space="0"/>
              <w:right w:val="single" w:color="auto" w:sz="4" w:space="0"/>
            </w:tcBorders>
            <w:vAlign w:val="center"/>
          </w:tcPr>
          <w:p w14:paraId="5ADB21B2">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top w:val="single" w:color="auto" w:sz="4" w:space="0"/>
              <w:left w:val="single" w:color="auto" w:sz="4" w:space="0"/>
              <w:right w:val="single" w:color="auto" w:sz="4" w:space="0"/>
            </w:tcBorders>
            <w:vAlign w:val="center"/>
          </w:tcPr>
          <w:p w14:paraId="3C489588">
            <w:pPr>
              <w:spacing w:before="60" w:beforeLines="25" w:after="60" w:afterLines="25"/>
              <w:jc w:val="center"/>
              <w:rPr>
                <w:rFonts w:cs="宋体" w:asciiTheme="minorEastAsia" w:hAnsiTheme="minorEastAsia" w:eastAsiaTheme="minorEastAsia"/>
                <w:sz w:val="24"/>
                <w:highlight w:val="none"/>
              </w:rPr>
            </w:pPr>
          </w:p>
        </w:tc>
        <w:tc>
          <w:tcPr>
            <w:tcW w:w="675" w:type="dxa"/>
            <w:vMerge w:val="continue"/>
            <w:tcBorders>
              <w:top w:val="single" w:color="auto" w:sz="4" w:space="0"/>
              <w:left w:val="single" w:color="auto" w:sz="4" w:space="0"/>
              <w:right w:val="single" w:color="auto" w:sz="4" w:space="0"/>
            </w:tcBorders>
            <w:vAlign w:val="center"/>
          </w:tcPr>
          <w:p w14:paraId="64F78868">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328E7CE9">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4分</w:t>
            </w:r>
          </w:p>
        </w:tc>
        <w:tc>
          <w:tcPr>
            <w:tcW w:w="5954" w:type="dxa"/>
            <w:tcBorders>
              <w:top w:val="single" w:color="auto" w:sz="4" w:space="0"/>
              <w:left w:val="single" w:color="auto" w:sz="4" w:space="0"/>
              <w:bottom w:val="single" w:color="auto" w:sz="4" w:space="0"/>
              <w:right w:val="single" w:color="auto" w:sz="4" w:space="0"/>
            </w:tcBorders>
            <w:vAlign w:val="center"/>
          </w:tcPr>
          <w:p w14:paraId="56203E83">
            <w:pPr>
              <w:spacing w:before="60" w:beforeLines="25" w:after="60" w:afterLine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安全</w:t>
            </w:r>
            <w:r>
              <w:rPr>
                <w:rFonts w:hint="eastAsia" w:cs="宋体" w:asciiTheme="minorEastAsia" w:hAnsiTheme="minorEastAsia" w:eastAsiaTheme="minorEastAsia"/>
                <w:iCs/>
                <w:sz w:val="24"/>
                <w:highlight w:val="none"/>
              </w:rPr>
              <w:t>和文明施工保障</w:t>
            </w:r>
            <w:r>
              <w:rPr>
                <w:rFonts w:hint="eastAsia" w:cs="宋体" w:asciiTheme="minorEastAsia" w:hAnsiTheme="minorEastAsia" w:eastAsiaTheme="minorEastAsia"/>
                <w:sz w:val="24"/>
                <w:highlight w:val="none"/>
              </w:rPr>
              <w:t>措施内容一般、方案针对性基本满足需求</w:t>
            </w:r>
          </w:p>
        </w:tc>
      </w:tr>
      <w:tr w14:paraId="4BFBA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top w:val="single" w:color="auto" w:sz="4" w:space="0"/>
              <w:left w:val="single" w:color="auto" w:sz="4" w:space="0"/>
              <w:right w:val="single" w:color="auto" w:sz="4" w:space="0"/>
            </w:tcBorders>
            <w:vAlign w:val="center"/>
          </w:tcPr>
          <w:p w14:paraId="0A3F25A5">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top w:val="single" w:color="auto" w:sz="4" w:space="0"/>
              <w:left w:val="single" w:color="auto" w:sz="4" w:space="0"/>
              <w:right w:val="single" w:color="auto" w:sz="4" w:space="0"/>
            </w:tcBorders>
            <w:vAlign w:val="center"/>
          </w:tcPr>
          <w:p w14:paraId="7EB5DEDB">
            <w:pPr>
              <w:spacing w:before="60" w:beforeLines="25" w:after="60" w:afterLines="25"/>
              <w:jc w:val="center"/>
              <w:rPr>
                <w:rFonts w:cs="宋体" w:asciiTheme="minorEastAsia" w:hAnsiTheme="minorEastAsia" w:eastAsiaTheme="minorEastAsia"/>
                <w:sz w:val="24"/>
                <w:highlight w:val="none"/>
              </w:rPr>
            </w:pPr>
          </w:p>
        </w:tc>
        <w:tc>
          <w:tcPr>
            <w:tcW w:w="675" w:type="dxa"/>
            <w:vMerge w:val="continue"/>
            <w:tcBorders>
              <w:left w:val="single" w:color="auto" w:sz="4" w:space="0"/>
              <w:right w:val="single" w:color="auto" w:sz="4" w:space="0"/>
            </w:tcBorders>
            <w:vAlign w:val="center"/>
          </w:tcPr>
          <w:p w14:paraId="6187E5E4">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D2727F4">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2分</w:t>
            </w:r>
          </w:p>
        </w:tc>
        <w:tc>
          <w:tcPr>
            <w:tcW w:w="5954" w:type="dxa"/>
            <w:tcBorders>
              <w:top w:val="single" w:color="auto" w:sz="4" w:space="0"/>
              <w:left w:val="single" w:color="auto" w:sz="4" w:space="0"/>
              <w:bottom w:val="single" w:color="auto" w:sz="4" w:space="0"/>
              <w:right w:val="single" w:color="auto" w:sz="4" w:space="0"/>
            </w:tcBorders>
            <w:vAlign w:val="center"/>
          </w:tcPr>
          <w:p w14:paraId="305C6047">
            <w:pPr>
              <w:spacing w:before="60" w:beforeLines="25" w:after="60" w:afterLine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安全</w:t>
            </w:r>
            <w:r>
              <w:rPr>
                <w:rFonts w:hint="eastAsia" w:cs="宋体" w:asciiTheme="minorEastAsia" w:hAnsiTheme="minorEastAsia" w:eastAsiaTheme="minorEastAsia"/>
                <w:iCs/>
                <w:sz w:val="24"/>
                <w:highlight w:val="none"/>
              </w:rPr>
              <w:t>和文明施工保障</w:t>
            </w:r>
            <w:r>
              <w:rPr>
                <w:rFonts w:hint="eastAsia" w:cs="宋体" w:asciiTheme="minorEastAsia" w:hAnsiTheme="minorEastAsia" w:eastAsiaTheme="minorEastAsia"/>
                <w:sz w:val="24"/>
                <w:highlight w:val="none"/>
              </w:rPr>
              <w:t>措施内容不全、方案针对性不强，欠合理</w:t>
            </w:r>
          </w:p>
        </w:tc>
      </w:tr>
      <w:tr w14:paraId="18405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50C5E676">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left w:val="single" w:color="auto" w:sz="4" w:space="0"/>
              <w:right w:val="single" w:color="auto" w:sz="4" w:space="0"/>
            </w:tcBorders>
            <w:vAlign w:val="center"/>
          </w:tcPr>
          <w:p w14:paraId="28DF77B0">
            <w:pPr>
              <w:spacing w:before="60" w:beforeLines="25" w:after="60" w:afterLines="25"/>
              <w:jc w:val="center"/>
              <w:rPr>
                <w:rFonts w:cs="宋体" w:asciiTheme="minorEastAsia" w:hAnsiTheme="minorEastAsia" w:eastAsiaTheme="minorEastAsia"/>
                <w:sz w:val="24"/>
                <w:highlight w:val="none"/>
              </w:rPr>
            </w:pPr>
          </w:p>
        </w:tc>
        <w:tc>
          <w:tcPr>
            <w:tcW w:w="675" w:type="dxa"/>
            <w:vMerge w:val="continue"/>
            <w:tcBorders>
              <w:left w:val="single" w:color="auto" w:sz="4" w:space="0"/>
              <w:right w:val="single" w:color="auto" w:sz="4" w:space="0"/>
            </w:tcBorders>
            <w:vAlign w:val="center"/>
          </w:tcPr>
          <w:p w14:paraId="0C5647FD">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837094C">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0分</w:t>
            </w:r>
          </w:p>
        </w:tc>
        <w:tc>
          <w:tcPr>
            <w:tcW w:w="5954" w:type="dxa"/>
            <w:tcBorders>
              <w:top w:val="single" w:color="auto" w:sz="4" w:space="0"/>
              <w:left w:val="single" w:color="auto" w:sz="4" w:space="0"/>
              <w:bottom w:val="single" w:color="auto" w:sz="4" w:space="0"/>
              <w:right w:val="single" w:color="auto" w:sz="4" w:space="0"/>
            </w:tcBorders>
            <w:vAlign w:val="center"/>
          </w:tcPr>
          <w:p w14:paraId="1658DAEC">
            <w:pPr>
              <w:spacing w:before="60" w:beforeLines="25" w:after="60" w:afterLine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未提供或不满足工程需要</w:t>
            </w:r>
          </w:p>
        </w:tc>
      </w:tr>
      <w:tr w14:paraId="1F656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restart"/>
            <w:tcBorders>
              <w:top w:val="single" w:color="auto" w:sz="4" w:space="0"/>
              <w:left w:val="single" w:color="auto" w:sz="4" w:space="0"/>
              <w:right w:val="single" w:color="auto" w:sz="4" w:space="0"/>
            </w:tcBorders>
            <w:vAlign w:val="center"/>
          </w:tcPr>
          <w:p w14:paraId="77796DE9">
            <w:pPr>
              <w:spacing w:before="60" w:beforeLines="25" w:after="60" w:afterLines="25"/>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4</w:t>
            </w:r>
          </w:p>
        </w:tc>
        <w:tc>
          <w:tcPr>
            <w:tcW w:w="1457" w:type="dxa"/>
            <w:vMerge w:val="restart"/>
            <w:tcBorders>
              <w:top w:val="single" w:color="auto" w:sz="4" w:space="0"/>
              <w:left w:val="single" w:color="auto" w:sz="4" w:space="0"/>
              <w:right w:val="single" w:color="auto" w:sz="4" w:space="0"/>
            </w:tcBorders>
            <w:vAlign w:val="center"/>
          </w:tcPr>
          <w:p w14:paraId="03D27546">
            <w:pPr>
              <w:spacing w:before="60" w:beforeLines="25" w:after="60" w:afterLines="25"/>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工程进度计划与保证措施</w:t>
            </w:r>
          </w:p>
        </w:tc>
        <w:tc>
          <w:tcPr>
            <w:tcW w:w="675" w:type="dxa"/>
            <w:vMerge w:val="restart"/>
            <w:tcBorders>
              <w:top w:val="single" w:color="auto" w:sz="4" w:space="0"/>
              <w:left w:val="single" w:color="auto" w:sz="4" w:space="0"/>
              <w:right w:val="single" w:color="auto" w:sz="4" w:space="0"/>
            </w:tcBorders>
            <w:vAlign w:val="center"/>
          </w:tcPr>
          <w:p w14:paraId="58BFD903">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10</w:t>
            </w:r>
          </w:p>
        </w:tc>
        <w:tc>
          <w:tcPr>
            <w:tcW w:w="708" w:type="dxa"/>
            <w:tcBorders>
              <w:top w:val="single" w:color="auto" w:sz="4" w:space="0"/>
              <w:left w:val="single" w:color="auto" w:sz="4" w:space="0"/>
              <w:bottom w:val="single" w:color="auto" w:sz="4" w:space="0"/>
              <w:right w:val="single" w:color="auto" w:sz="4" w:space="0"/>
            </w:tcBorders>
            <w:vAlign w:val="center"/>
          </w:tcPr>
          <w:p w14:paraId="22F1EC94">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10分</w:t>
            </w:r>
          </w:p>
        </w:tc>
        <w:tc>
          <w:tcPr>
            <w:tcW w:w="5954" w:type="dxa"/>
            <w:tcBorders>
              <w:top w:val="single" w:color="auto" w:sz="4" w:space="0"/>
              <w:left w:val="single" w:color="auto" w:sz="4" w:space="0"/>
              <w:bottom w:val="single" w:color="auto" w:sz="4" w:space="0"/>
              <w:right w:val="single" w:color="auto" w:sz="4" w:space="0"/>
            </w:tcBorders>
            <w:vAlign w:val="center"/>
          </w:tcPr>
          <w:p w14:paraId="61265972">
            <w:pPr>
              <w:spacing w:before="60" w:beforeLines="25" w:after="60" w:afterLine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供应商应结合学校工程特点提供进度计划与保证措施，包含但不限于过程划分、材料机械准备、进度计划等，符合项目实际需求，细节考虑完善且切实可行</w:t>
            </w:r>
          </w:p>
        </w:tc>
      </w:tr>
      <w:tr w14:paraId="15CD9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top w:val="single" w:color="auto" w:sz="4" w:space="0"/>
              <w:left w:val="single" w:color="auto" w:sz="4" w:space="0"/>
              <w:right w:val="single" w:color="auto" w:sz="4" w:space="0"/>
            </w:tcBorders>
            <w:vAlign w:val="center"/>
          </w:tcPr>
          <w:p w14:paraId="6A4FC054">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top w:val="single" w:color="auto" w:sz="4" w:space="0"/>
              <w:left w:val="single" w:color="auto" w:sz="4" w:space="0"/>
              <w:right w:val="single" w:color="auto" w:sz="4" w:space="0"/>
            </w:tcBorders>
            <w:vAlign w:val="center"/>
          </w:tcPr>
          <w:p w14:paraId="28394BA0">
            <w:pPr>
              <w:spacing w:before="60" w:beforeLines="25" w:after="60" w:afterLines="25"/>
              <w:jc w:val="center"/>
              <w:rPr>
                <w:rFonts w:cs="宋体" w:asciiTheme="minorEastAsia" w:hAnsiTheme="minorEastAsia" w:eastAsiaTheme="minorEastAsia"/>
                <w:sz w:val="24"/>
                <w:highlight w:val="none"/>
              </w:rPr>
            </w:pPr>
          </w:p>
        </w:tc>
        <w:tc>
          <w:tcPr>
            <w:tcW w:w="675" w:type="dxa"/>
            <w:vMerge w:val="continue"/>
            <w:tcBorders>
              <w:top w:val="single" w:color="auto" w:sz="4" w:space="0"/>
              <w:left w:val="single" w:color="auto" w:sz="4" w:space="0"/>
              <w:right w:val="single" w:color="auto" w:sz="4" w:space="0"/>
            </w:tcBorders>
            <w:vAlign w:val="center"/>
          </w:tcPr>
          <w:p w14:paraId="5CC4BC6A">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473B392">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7分</w:t>
            </w:r>
          </w:p>
        </w:tc>
        <w:tc>
          <w:tcPr>
            <w:tcW w:w="5954" w:type="dxa"/>
            <w:tcBorders>
              <w:top w:val="single" w:color="auto" w:sz="4" w:space="0"/>
              <w:left w:val="single" w:color="auto" w:sz="4" w:space="0"/>
              <w:bottom w:val="single" w:color="auto" w:sz="4" w:space="0"/>
              <w:right w:val="single" w:color="auto" w:sz="4" w:space="0"/>
            </w:tcBorders>
            <w:vAlign w:val="center"/>
          </w:tcPr>
          <w:p w14:paraId="59CE8339">
            <w:pPr>
              <w:spacing w:before="60" w:beforeLines="25" w:after="60" w:afterLine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工程进度计划与保证措施内容较强，细节考虑较完善</w:t>
            </w:r>
          </w:p>
        </w:tc>
      </w:tr>
      <w:tr w14:paraId="3113E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top w:val="single" w:color="auto" w:sz="4" w:space="0"/>
              <w:left w:val="single" w:color="auto" w:sz="4" w:space="0"/>
              <w:right w:val="single" w:color="auto" w:sz="4" w:space="0"/>
            </w:tcBorders>
            <w:vAlign w:val="center"/>
          </w:tcPr>
          <w:p w14:paraId="3BF8CC52">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top w:val="single" w:color="auto" w:sz="4" w:space="0"/>
              <w:left w:val="single" w:color="auto" w:sz="4" w:space="0"/>
              <w:right w:val="single" w:color="auto" w:sz="4" w:space="0"/>
            </w:tcBorders>
            <w:vAlign w:val="center"/>
          </w:tcPr>
          <w:p w14:paraId="2B2C0604">
            <w:pPr>
              <w:spacing w:before="60" w:beforeLines="25" w:after="60" w:afterLines="25"/>
              <w:jc w:val="center"/>
              <w:rPr>
                <w:rFonts w:cs="宋体" w:asciiTheme="minorEastAsia" w:hAnsiTheme="minorEastAsia" w:eastAsiaTheme="minorEastAsia"/>
                <w:sz w:val="24"/>
                <w:highlight w:val="none"/>
              </w:rPr>
            </w:pPr>
          </w:p>
        </w:tc>
        <w:tc>
          <w:tcPr>
            <w:tcW w:w="675" w:type="dxa"/>
            <w:vMerge w:val="continue"/>
            <w:tcBorders>
              <w:top w:val="single" w:color="auto" w:sz="4" w:space="0"/>
              <w:left w:val="single" w:color="auto" w:sz="4" w:space="0"/>
              <w:right w:val="single" w:color="auto" w:sz="4" w:space="0"/>
            </w:tcBorders>
            <w:vAlign w:val="center"/>
          </w:tcPr>
          <w:p w14:paraId="7F3055A5">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48A1D721">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4分</w:t>
            </w:r>
          </w:p>
        </w:tc>
        <w:tc>
          <w:tcPr>
            <w:tcW w:w="5954" w:type="dxa"/>
            <w:tcBorders>
              <w:top w:val="single" w:color="auto" w:sz="4" w:space="0"/>
              <w:left w:val="single" w:color="auto" w:sz="4" w:space="0"/>
              <w:bottom w:val="single" w:color="auto" w:sz="4" w:space="0"/>
              <w:right w:val="single" w:color="auto" w:sz="4" w:space="0"/>
            </w:tcBorders>
            <w:vAlign w:val="center"/>
          </w:tcPr>
          <w:p w14:paraId="193454CC">
            <w:pPr>
              <w:spacing w:before="60" w:beforeLines="25" w:after="60" w:afterLine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工程进度计划与保证措施内容一般，基本满足需求</w:t>
            </w:r>
          </w:p>
        </w:tc>
      </w:tr>
      <w:tr w14:paraId="06420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67B3EC2C">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left w:val="single" w:color="auto" w:sz="4" w:space="0"/>
              <w:right w:val="single" w:color="auto" w:sz="4" w:space="0"/>
            </w:tcBorders>
            <w:vAlign w:val="center"/>
          </w:tcPr>
          <w:p w14:paraId="621AB2DF">
            <w:pPr>
              <w:spacing w:before="60" w:beforeLines="25" w:after="60" w:afterLines="25"/>
              <w:jc w:val="center"/>
              <w:rPr>
                <w:rFonts w:cs="宋体" w:asciiTheme="minorEastAsia" w:hAnsiTheme="minorEastAsia" w:eastAsiaTheme="minorEastAsia"/>
                <w:sz w:val="24"/>
                <w:highlight w:val="none"/>
              </w:rPr>
            </w:pPr>
          </w:p>
        </w:tc>
        <w:tc>
          <w:tcPr>
            <w:tcW w:w="675" w:type="dxa"/>
            <w:vMerge w:val="continue"/>
            <w:tcBorders>
              <w:left w:val="single" w:color="auto" w:sz="4" w:space="0"/>
              <w:right w:val="single" w:color="auto" w:sz="4" w:space="0"/>
            </w:tcBorders>
            <w:vAlign w:val="center"/>
          </w:tcPr>
          <w:p w14:paraId="5EE3FD87">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4153BFEF">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2分</w:t>
            </w:r>
          </w:p>
        </w:tc>
        <w:tc>
          <w:tcPr>
            <w:tcW w:w="5954" w:type="dxa"/>
            <w:tcBorders>
              <w:top w:val="single" w:color="auto" w:sz="4" w:space="0"/>
              <w:left w:val="single" w:color="auto" w:sz="4" w:space="0"/>
              <w:bottom w:val="single" w:color="auto" w:sz="4" w:space="0"/>
              <w:right w:val="single" w:color="auto" w:sz="4" w:space="0"/>
            </w:tcBorders>
            <w:vAlign w:val="center"/>
          </w:tcPr>
          <w:p w14:paraId="65A212E4">
            <w:pPr>
              <w:spacing w:before="60" w:beforeLines="25" w:after="60" w:afterLine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工程进度计划与保证措施内容不全、方案针对性不强，欠合理</w:t>
            </w:r>
          </w:p>
        </w:tc>
      </w:tr>
      <w:tr w14:paraId="49E3B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bottom w:val="single" w:color="auto" w:sz="4" w:space="0"/>
              <w:right w:val="single" w:color="auto" w:sz="4" w:space="0"/>
            </w:tcBorders>
            <w:vAlign w:val="center"/>
          </w:tcPr>
          <w:p w14:paraId="4DF5DCB8">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left w:val="single" w:color="auto" w:sz="4" w:space="0"/>
              <w:bottom w:val="single" w:color="auto" w:sz="4" w:space="0"/>
              <w:right w:val="single" w:color="auto" w:sz="4" w:space="0"/>
            </w:tcBorders>
            <w:vAlign w:val="center"/>
          </w:tcPr>
          <w:p w14:paraId="0C88FA18">
            <w:pPr>
              <w:spacing w:before="60" w:beforeLines="25" w:after="60" w:afterLines="25"/>
              <w:jc w:val="center"/>
              <w:rPr>
                <w:rFonts w:cs="宋体" w:asciiTheme="minorEastAsia" w:hAnsiTheme="minorEastAsia" w:eastAsiaTheme="minorEastAsia"/>
                <w:sz w:val="24"/>
                <w:highlight w:val="none"/>
              </w:rPr>
            </w:pPr>
          </w:p>
        </w:tc>
        <w:tc>
          <w:tcPr>
            <w:tcW w:w="675" w:type="dxa"/>
            <w:vMerge w:val="continue"/>
            <w:tcBorders>
              <w:left w:val="single" w:color="auto" w:sz="4" w:space="0"/>
              <w:bottom w:val="single" w:color="auto" w:sz="4" w:space="0"/>
              <w:right w:val="single" w:color="auto" w:sz="4" w:space="0"/>
            </w:tcBorders>
            <w:vAlign w:val="center"/>
          </w:tcPr>
          <w:p w14:paraId="02073DEE">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3A12643B">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0分</w:t>
            </w:r>
          </w:p>
        </w:tc>
        <w:tc>
          <w:tcPr>
            <w:tcW w:w="5954" w:type="dxa"/>
            <w:tcBorders>
              <w:top w:val="single" w:color="auto" w:sz="4" w:space="0"/>
              <w:left w:val="single" w:color="auto" w:sz="4" w:space="0"/>
              <w:bottom w:val="single" w:color="auto" w:sz="4" w:space="0"/>
              <w:right w:val="single" w:color="auto" w:sz="4" w:space="0"/>
            </w:tcBorders>
            <w:vAlign w:val="center"/>
          </w:tcPr>
          <w:p w14:paraId="718FAF67">
            <w:pPr>
              <w:spacing w:before="60" w:beforeLines="25" w:after="60" w:afterLines="25"/>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未提供或不满足工程需要</w:t>
            </w:r>
          </w:p>
        </w:tc>
      </w:tr>
      <w:tr w14:paraId="60A97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restart"/>
            <w:tcBorders>
              <w:top w:val="single" w:color="auto" w:sz="4" w:space="0"/>
              <w:left w:val="single" w:color="auto" w:sz="4" w:space="0"/>
              <w:right w:val="single" w:color="auto" w:sz="4" w:space="0"/>
            </w:tcBorders>
            <w:vAlign w:val="center"/>
          </w:tcPr>
          <w:p w14:paraId="402087CD">
            <w:pPr>
              <w:spacing w:before="60" w:beforeLines="25" w:after="60" w:afterLines="25"/>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5</w:t>
            </w:r>
          </w:p>
        </w:tc>
        <w:tc>
          <w:tcPr>
            <w:tcW w:w="1457" w:type="dxa"/>
            <w:vMerge w:val="restart"/>
            <w:tcBorders>
              <w:top w:val="single" w:color="auto" w:sz="4" w:space="0"/>
              <w:left w:val="single" w:color="auto" w:sz="4" w:space="0"/>
              <w:right w:val="single" w:color="auto" w:sz="4" w:space="0"/>
            </w:tcBorders>
            <w:vAlign w:val="center"/>
          </w:tcPr>
          <w:p w14:paraId="4FCFC695">
            <w:pPr>
              <w:spacing w:before="60" w:beforeLines="25" w:after="60" w:afterLines="25"/>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劳动力计划及主要设备材料、构件的用量计划</w:t>
            </w:r>
          </w:p>
        </w:tc>
        <w:tc>
          <w:tcPr>
            <w:tcW w:w="675" w:type="dxa"/>
            <w:vMerge w:val="restart"/>
            <w:tcBorders>
              <w:top w:val="single" w:color="auto" w:sz="4" w:space="0"/>
              <w:left w:val="single" w:color="auto" w:sz="4" w:space="0"/>
              <w:right w:val="single" w:color="auto" w:sz="4" w:space="0"/>
            </w:tcBorders>
            <w:vAlign w:val="center"/>
          </w:tcPr>
          <w:p w14:paraId="593B6F82">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8</w:t>
            </w:r>
          </w:p>
        </w:tc>
        <w:tc>
          <w:tcPr>
            <w:tcW w:w="708" w:type="dxa"/>
            <w:tcBorders>
              <w:top w:val="single" w:color="auto" w:sz="4" w:space="0"/>
              <w:left w:val="single" w:color="auto" w:sz="4" w:space="0"/>
              <w:bottom w:val="single" w:color="auto" w:sz="4" w:space="0"/>
              <w:right w:val="single" w:color="auto" w:sz="4" w:space="0"/>
            </w:tcBorders>
            <w:vAlign w:val="center"/>
          </w:tcPr>
          <w:p w14:paraId="4B0CE2B6">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8分</w:t>
            </w:r>
          </w:p>
        </w:tc>
        <w:tc>
          <w:tcPr>
            <w:tcW w:w="5954" w:type="dxa"/>
            <w:tcBorders>
              <w:top w:val="single" w:color="auto" w:sz="4" w:space="0"/>
              <w:left w:val="single" w:color="auto" w:sz="4" w:space="0"/>
              <w:bottom w:val="single" w:color="auto" w:sz="4" w:space="0"/>
              <w:right w:val="single" w:color="auto" w:sz="4" w:space="0"/>
            </w:tcBorders>
            <w:vAlign w:val="center"/>
          </w:tcPr>
          <w:p w14:paraId="6C40D137">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应结合学校工程特点提供劳动力计划及主要设备材料、构件的用量计划与保证措施，包含但不限于劳动力计划及主要设备材料、构件的用量计划表、保证措施等，配置科学合理，符合项目实际需求，细节考虑完善且切实可行</w:t>
            </w:r>
          </w:p>
        </w:tc>
      </w:tr>
      <w:tr w14:paraId="7F6BB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top w:val="single" w:color="auto" w:sz="4" w:space="0"/>
              <w:left w:val="single" w:color="auto" w:sz="4" w:space="0"/>
              <w:right w:val="single" w:color="auto" w:sz="4" w:space="0"/>
            </w:tcBorders>
            <w:vAlign w:val="center"/>
          </w:tcPr>
          <w:p w14:paraId="771C7684">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top w:val="single" w:color="auto" w:sz="4" w:space="0"/>
              <w:left w:val="single" w:color="auto" w:sz="4" w:space="0"/>
              <w:right w:val="single" w:color="auto" w:sz="4" w:space="0"/>
            </w:tcBorders>
            <w:vAlign w:val="center"/>
          </w:tcPr>
          <w:p w14:paraId="6F063214">
            <w:pPr>
              <w:spacing w:before="60" w:beforeLines="25" w:after="60" w:afterLines="25"/>
              <w:jc w:val="center"/>
              <w:rPr>
                <w:rFonts w:cs="宋体" w:asciiTheme="minorEastAsia" w:hAnsiTheme="minorEastAsia" w:eastAsiaTheme="minorEastAsia"/>
                <w:sz w:val="24"/>
                <w:highlight w:val="none"/>
              </w:rPr>
            </w:pPr>
          </w:p>
        </w:tc>
        <w:tc>
          <w:tcPr>
            <w:tcW w:w="675" w:type="dxa"/>
            <w:vMerge w:val="continue"/>
            <w:tcBorders>
              <w:top w:val="single" w:color="auto" w:sz="4" w:space="0"/>
              <w:left w:val="single" w:color="auto" w:sz="4" w:space="0"/>
              <w:right w:val="single" w:color="auto" w:sz="4" w:space="0"/>
            </w:tcBorders>
            <w:vAlign w:val="center"/>
          </w:tcPr>
          <w:p w14:paraId="14B38622">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36245A2F">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6分</w:t>
            </w:r>
          </w:p>
        </w:tc>
        <w:tc>
          <w:tcPr>
            <w:tcW w:w="5954" w:type="dxa"/>
            <w:tcBorders>
              <w:top w:val="single" w:color="auto" w:sz="4" w:space="0"/>
              <w:left w:val="single" w:color="auto" w:sz="4" w:space="0"/>
              <w:bottom w:val="single" w:color="auto" w:sz="4" w:space="0"/>
              <w:right w:val="single" w:color="auto" w:sz="4" w:space="0"/>
            </w:tcBorders>
            <w:vAlign w:val="center"/>
          </w:tcPr>
          <w:p w14:paraId="6BFC2D0F">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劳动力计划及主要设备材料、构件的用量计划与保证措施内容较强，细节考虑较完善</w:t>
            </w:r>
          </w:p>
        </w:tc>
      </w:tr>
      <w:tr w14:paraId="2D4BD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top w:val="single" w:color="auto" w:sz="4" w:space="0"/>
              <w:left w:val="single" w:color="auto" w:sz="4" w:space="0"/>
              <w:right w:val="single" w:color="auto" w:sz="4" w:space="0"/>
            </w:tcBorders>
            <w:vAlign w:val="center"/>
          </w:tcPr>
          <w:p w14:paraId="1621D090">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top w:val="single" w:color="auto" w:sz="4" w:space="0"/>
              <w:left w:val="single" w:color="auto" w:sz="4" w:space="0"/>
              <w:right w:val="single" w:color="auto" w:sz="4" w:space="0"/>
            </w:tcBorders>
            <w:vAlign w:val="center"/>
          </w:tcPr>
          <w:p w14:paraId="0F56A531">
            <w:pPr>
              <w:spacing w:before="60" w:beforeLines="25" w:after="60" w:afterLines="25"/>
              <w:jc w:val="center"/>
              <w:rPr>
                <w:rFonts w:cs="宋体" w:asciiTheme="minorEastAsia" w:hAnsiTheme="minorEastAsia" w:eastAsiaTheme="minorEastAsia"/>
                <w:sz w:val="24"/>
                <w:highlight w:val="none"/>
              </w:rPr>
            </w:pPr>
          </w:p>
        </w:tc>
        <w:tc>
          <w:tcPr>
            <w:tcW w:w="675" w:type="dxa"/>
            <w:vMerge w:val="continue"/>
            <w:tcBorders>
              <w:top w:val="single" w:color="auto" w:sz="4" w:space="0"/>
              <w:left w:val="single" w:color="auto" w:sz="4" w:space="0"/>
              <w:right w:val="single" w:color="auto" w:sz="4" w:space="0"/>
            </w:tcBorders>
            <w:vAlign w:val="center"/>
          </w:tcPr>
          <w:p w14:paraId="3E9A9DBD">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635A23A5">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4分</w:t>
            </w:r>
          </w:p>
        </w:tc>
        <w:tc>
          <w:tcPr>
            <w:tcW w:w="5954" w:type="dxa"/>
            <w:tcBorders>
              <w:top w:val="single" w:color="auto" w:sz="4" w:space="0"/>
              <w:left w:val="single" w:color="auto" w:sz="4" w:space="0"/>
              <w:bottom w:val="single" w:color="auto" w:sz="4" w:space="0"/>
              <w:right w:val="single" w:color="auto" w:sz="4" w:space="0"/>
            </w:tcBorders>
            <w:vAlign w:val="center"/>
          </w:tcPr>
          <w:p w14:paraId="56EA8D34">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劳动力计划及主要设备材料、构件的用量计划与保证措施内容一般、方案针对性基本满足需求</w:t>
            </w:r>
          </w:p>
        </w:tc>
      </w:tr>
      <w:tr w14:paraId="2B301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tcPr>
          <w:p w14:paraId="671E43FE">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left w:val="single" w:color="auto" w:sz="4" w:space="0"/>
              <w:right w:val="single" w:color="auto" w:sz="4" w:space="0"/>
            </w:tcBorders>
          </w:tcPr>
          <w:p w14:paraId="2B8976BD">
            <w:pPr>
              <w:spacing w:before="60" w:beforeLines="25" w:after="60" w:afterLines="25"/>
              <w:jc w:val="center"/>
              <w:rPr>
                <w:rFonts w:cs="宋体" w:asciiTheme="minorEastAsia" w:hAnsiTheme="minorEastAsia" w:eastAsiaTheme="minorEastAsia"/>
                <w:sz w:val="24"/>
                <w:highlight w:val="none"/>
              </w:rPr>
            </w:pPr>
          </w:p>
        </w:tc>
        <w:tc>
          <w:tcPr>
            <w:tcW w:w="675" w:type="dxa"/>
            <w:vMerge w:val="continue"/>
            <w:tcBorders>
              <w:left w:val="single" w:color="auto" w:sz="4" w:space="0"/>
              <w:right w:val="single" w:color="auto" w:sz="4" w:space="0"/>
            </w:tcBorders>
            <w:vAlign w:val="center"/>
          </w:tcPr>
          <w:p w14:paraId="02AA0743">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3160CF49">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2分</w:t>
            </w:r>
          </w:p>
        </w:tc>
        <w:tc>
          <w:tcPr>
            <w:tcW w:w="5954" w:type="dxa"/>
            <w:tcBorders>
              <w:top w:val="single" w:color="auto" w:sz="4" w:space="0"/>
              <w:left w:val="single" w:color="auto" w:sz="4" w:space="0"/>
              <w:bottom w:val="single" w:color="auto" w:sz="4" w:space="0"/>
              <w:right w:val="single" w:color="auto" w:sz="4" w:space="0"/>
            </w:tcBorders>
            <w:vAlign w:val="center"/>
          </w:tcPr>
          <w:p w14:paraId="56427CA0">
            <w:pPr>
              <w:rPr>
                <w:rFonts w:cs="宋体" w:asciiTheme="minorEastAsia" w:hAnsiTheme="minorEastAsia" w:eastAsiaTheme="minorEastAsia"/>
                <w:bCs/>
                <w:sz w:val="24"/>
                <w:highlight w:val="none"/>
              </w:rPr>
            </w:pPr>
            <w:r>
              <w:rPr>
                <w:rFonts w:hint="eastAsia" w:cs="宋体" w:asciiTheme="minorEastAsia" w:hAnsiTheme="minorEastAsia" w:eastAsiaTheme="minorEastAsia"/>
                <w:sz w:val="24"/>
                <w:highlight w:val="none"/>
              </w:rPr>
              <w:t>劳动力计划及主要设备材料、构件的用量计划与保证措施内容不全、方案针对性不强，欠合理</w:t>
            </w:r>
          </w:p>
        </w:tc>
      </w:tr>
      <w:tr w14:paraId="42341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bottom w:val="single" w:color="auto" w:sz="4" w:space="0"/>
              <w:right w:val="single" w:color="auto" w:sz="4" w:space="0"/>
            </w:tcBorders>
          </w:tcPr>
          <w:p w14:paraId="3CDAF29B">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left w:val="single" w:color="auto" w:sz="4" w:space="0"/>
              <w:bottom w:val="single" w:color="auto" w:sz="4" w:space="0"/>
              <w:right w:val="single" w:color="auto" w:sz="4" w:space="0"/>
            </w:tcBorders>
          </w:tcPr>
          <w:p w14:paraId="11902917">
            <w:pPr>
              <w:spacing w:before="60" w:beforeLines="25" w:after="60" w:afterLines="25"/>
              <w:jc w:val="center"/>
              <w:rPr>
                <w:rFonts w:cs="宋体" w:asciiTheme="minorEastAsia" w:hAnsiTheme="minorEastAsia" w:eastAsiaTheme="minorEastAsia"/>
                <w:sz w:val="24"/>
                <w:highlight w:val="none"/>
              </w:rPr>
            </w:pPr>
          </w:p>
        </w:tc>
        <w:tc>
          <w:tcPr>
            <w:tcW w:w="675" w:type="dxa"/>
            <w:vMerge w:val="continue"/>
            <w:tcBorders>
              <w:left w:val="single" w:color="auto" w:sz="4" w:space="0"/>
              <w:bottom w:val="single" w:color="auto" w:sz="4" w:space="0"/>
              <w:right w:val="single" w:color="auto" w:sz="4" w:space="0"/>
            </w:tcBorders>
            <w:vAlign w:val="center"/>
          </w:tcPr>
          <w:p w14:paraId="54321343">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6C7DB06">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0分</w:t>
            </w:r>
          </w:p>
        </w:tc>
        <w:tc>
          <w:tcPr>
            <w:tcW w:w="5954" w:type="dxa"/>
            <w:tcBorders>
              <w:top w:val="single" w:color="auto" w:sz="4" w:space="0"/>
              <w:left w:val="single" w:color="auto" w:sz="4" w:space="0"/>
              <w:bottom w:val="single" w:color="auto" w:sz="4" w:space="0"/>
              <w:right w:val="single" w:color="auto" w:sz="4" w:space="0"/>
            </w:tcBorders>
            <w:vAlign w:val="center"/>
          </w:tcPr>
          <w:p w14:paraId="05E8899E">
            <w:pPr>
              <w:rPr>
                <w:rFonts w:cs="宋体" w:asciiTheme="minorEastAsia" w:hAnsiTheme="minorEastAsia" w:eastAsiaTheme="minorEastAsia"/>
                <w:bCs/>
                <w:sz w:val="24"/>
                <w:highlight w:val="none"/>
              </w:rPr>
            </w:pPr>
            <w:r>
              <w:rPr>
                <w:rFonts w:hint="eastAsia" w:cs="宋体" w:asciiTheme="minorEastAsia" w:hAnsiTheme="minorEastAsia" w:eastAsiaTheme="minorEastAsia"/>
                <w:sz w:val="24"/>
                <w:highlight w:val="none"/>
              </w:rPr>
              <w:t>未提供或不满足工程需要</w:t>
            </w:r>
          </w:p>
        </w:tc>
      </w:tr>
      <w:tr w14:paraId="16B16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restart"/>
            <w:tcBorders>
              <w:top w:val="single" w:color="auto" w:sz="4" w:space="0"/>
              <w:left w:val="single" w:color="auto" w:sz="4" w:space="0"/>
              <w:right w:val="single" w:color="auto" w:sz="4" w:space="0"/>
            </w:tcBorders>
            <w:vAlign w:val="center"/>
          </w:tcPr>
          <w:p w14:paraId="24C110CE">
            <w:pPr>
              <w:spacing w:before="60" w:beforeLines="25" w:after="60" w:afterLines="25"/>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6</w:t>
            </w:r>
          </w:p>
        </w:tc>
        <w:tc>
          <w:tcPr>
            <w:tcW w:w="1457" w:type="dxa"/>
            <w:vMerge w:val="restart"/>
            <w:tcBorders>
              <w:top w:val="single" w:color="auto" w:sz="4" w:space="0"/>
              <w:left w:val="single" w:color="auto" w:sz="4" w:space="0"/>
              <w:right w:val="single" w:color="auto" w:sz="4" w:space="0"/>
            </w:tcBorders>
            <w:vAlign w:val="center"/>
          </w:tcPr>
          <w:p w14:paraId="0CAA641B">
            <w:pPr>
              <w:spacing w:before="60" w:beforeLines="25" w:after="60" w:afterLines="25"/>
              <w:jc w:val="center"/>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成品保护措施</w:t>
            </w:r>
          </w:p>
        </w:tc>
        <w:tc>
          <w:tcPr>
            <w:tcW w:w="675" w:type="dxa"/>
            <w:vMerge w:val="restart"/>
            <w:tcBorders>
              <w:top w:val="single" w:color="auto" w:sz="4" w:space="0"/>
              <w:left w:val="single" w:color="auto" w:sz="4" w:space="0"/>
              <w:right w:val="single" w:color="auto" w:sz="4" w:space="0"/>
            </w:tcBorders>
            <w:vAlign w:val="center"/>
          </w:tcPr>
          <w:p w14:paraId="2D8A6000">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3</w:t>
            </w:r>
          </w:p>
        </w:tc>
        <w:tc>
          <w:tcPr>
            <w:tcW w:w="708" w:type="dxa"/>
            <w:tcBorders>
              <w:top w:val="single" w:color="auto" w:sz="4" w:space="0"/>
              <w:left w:val="single" w:color="auto" w:sz="4" w:space="0"/>
              <w:bottom w:val="single" w:color="auto" w:sz="4" w:space="0"/>
              <w:right w:val="single" w:color="auto" w:sz="4" w:space="0"/>
            </w:tcBorders>
            <w:vAlign w:val="center"/>
          </w:tcPr>
          <w:p w14:paraId="74EE9978">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3分</w:t>
            </w:r>
          </w:p>
        </w:tc>
        <w:tc>
          <w:tcPr>
            <w:tcW w:w="5954" w:type="dxa"/>
            <w:tcBorders>
              <w:top w:val="single" w:color="auto" w:sz="4" w:space="0"/>
              <w:left w:val="single" w:color="auto" w:sz="4" w:space="0"/>
              <w:bottom w:val="single" w:color="auto" w:sz="4" w:space="0"/>
              <w:right w:val="single" w:color="auto" w:sz="4" w:space="0"/>
            </w:tcBorders>
            <w:vAlign w:val="center"/>
          </w:tcPr>
          <w:p w14:paraId="55DD1B4C">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供应商应综合考虑学校工程的特点，提供有针对性的成品保护措施。成品保护措施详细、切实可行</w:t>
            </w:r>
          </w:p>
        </w:tc>
      </w:tr>
      <w:tr w14:paraId="67D1E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05943AB0">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left w:val="single" w:color="auto" w:sz="4" w:space="0"/>
              <w:right w:val="single" w:color="auto" w:sz="4" w:space="0"/>
            </w:tcBorders>
            <w:vAlign w:val="center"/>
          </w:tcPr>
          <w:p w14:paraId="4872C37F">
            <w:pPr>
              <w:spacing w:before="60" w:beforeLines="25" w:after="60" w:afterLines="25"/>
              <w:jc w:val="center"/>
              <w:rPr>
                <w:rFonts w:cs="宋体" w:asciiTheme="minorEastAsia" w:hAnsiTheme="minorEastAsia" w:eastAsiaTheme="minorEastAsia"/>
                <w:sz w:val="24"/>
                <w:highlight w:val="none"/>
              </w:rPr>
            </w:pPr>
          </w:p>
        </w:tc>
        <w:tc>
          <w:tcPr>
            <w:tcW w:w="675" w:type="dxa"/>
            <w:vMerge w:val="continue"/>
            <w:tcBorders>
              <w:left w:val="single" w:color="auto" w:sz="4" w:space="0"/>
              <w:right w:val="single" w:color="auto" w:sz="4" w:space="0"/>
            </w:tcBorders>
            <w:vAlign w:val="center"/>
          </w:tcPr>
          <w:p w14:paraId="3026E31C">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AD57493">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2分</w:t>
            </w:r>
          </w:p>
        </w:tc>
        <w:tc>
          <w:tcPr>
            <w:tcW w:w="5954" w:type="dxa"/>
            <w:tcBorders>
              <w:top w:val="single" w:color="auto" w:sz="4" w:space="0"/>
              <w:left w:val="single" w:color="auto" w:sz="4" w:space="0"/>
              <w:bottom w:val="single" w:color="auto" w:sz="4" w:space="0"/>
              <w:right w:val="single" w:color="auto" w:sz="4" w:space="0"/>
            </w:tcBorders>
            <w:vAlign w:val="center"/>
          </w:tcPr>
          <w:p w14:paraId="22AD5B3C">
            <w:pPr>
              <w:rPr>
                <w:rFonts w:cs="宋体" w:asciiTheme="minorEastAsia" w:hAnsiTheme="minorEastAsia" w:eastAsiaTheme="minorEastAsia"/>
                <w:sz w:val="24"/>
                <w:highlight w:val="none"/>
              </w:rPr>
            </w:pPr>
            <w:r>
              <w:rPr>
                <w:rFonts w:hint="eastAsia" w:cs="宋体" w:asciiTheme="minorEastAsia" w:hAnsiTheme="minorEastAsia" w:eastAsiaTheme="minorEastAsia"/>
                <w:bCs/>
                <w:sz w:val="24"/>
                <w:highlight w:val="none"/>
              </w:rPr>
              <w:t>成品保护措施简略、一般</w:t>
            </w:r>
          </w:p>
        </w:tc>
      </w:tr>
      <w:tr w14:paraId="2BD1B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bottom w:val="single" w:color="auto" w:sz="4" w:space="0"/>
              <w:right w:val="single" w:color="auto" w:sz="4" w:space="0"/>
            </w:tcBorders>
            <w:vAlign w:val="center"/>
          </w:tcPr>
          <w:p w14:paraId="06E777C1">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left w:val="single" w:color="auto" w:sz="4" w:space="0"/>
              <w:bottom w:val="single" w:color="auto" w:sz="4" w:space="0"/>
              <w:right w:val="single" w:color="auto" w:sz="4" w:space="0"/>
            </w:tcBorders>
            <w:vAlign w:val="center"/>
          </w:tcPr>
          <w:p w14:paraId="5D3E894F">
            <w:pPr>
              <w:spacing w:before="60" w:beforeLines="25" w:after="60" w:afterLines="25"/>
              <w:jc w:val="center"/>
              <w:rPr>
                <w:rFonts w:cs="宋体" w:asciiTheme="minorEastAsia" w:hAnsiTheme="minorEastAsia" w:eastAsiaTheme="minorEastAsia"/>
                <w:sz w:val="24"/>
                <w:highlight w:val="none"/>
              </w:rPr>
            </w:pPr>
          </w:p>
        </w:tc>
        <w:tc>
          <w:tcPr>
            <w:tcW w:w="675" w:type="dxa"/>
            <w:vMerge w:val="continue"/>
            <w:tcBorders>
              <w:left w:val="single" w:color="auto" w:sz="4" w:space="0"/>
              <w:bottom w:val="single" w:color="auto" w:sz="4" w:space="0"/>
              <w:right w:val="single" w:color="auto" w:sz="4" w:space="0"/>
            </w:tcBorders>
            <w:vAlign w:val="center"/>
          </w:tcPr>
          <w:p w14:paraId="0EE7804C">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7CEB84D">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0分</w:t>
            </w:r>
          </w:p>
        </w:tc>
        <w:tc>
          <w:tcPr>
            <w:tcW w:w="5954" w:type="dxa"/>
            <w:tcBorders>
              <w:top w:val="single" w:color="auto" w:sz="4" w:space="0"/>
              <w:left w:val="single" w:color="auto" w:sz="4" w:space="0"/>
              <w:bottom w:val="single" w:color="auto" w:sz="4" w:space="0"/>
              <w:right w:val="single" w:color="auto" w:sz="4" w:space="0"/>
            </w:tcBorders>
            <w:vAlign w:val="center"/>
          </w:tcPr>
          <w:p w14:paraId="2047817D">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未提供或不满足工程需要</w:t>
            </w:r>
          </w:p>
        </w:tc>
      </w:tr>
      <w:tr w14:paraId="6122E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670" w:type="dxa"/>
            <w:vMerge w:val="restart"/>
            <w:tcBorders>
              <w:top w:val="single" w:color="auto" w:sz="4" w:space="0"/>
              <w:left w:val="single" w:color="auto" w:sz="4" w:space="0"/>
              <w:right w:val="single" w:color="auto" w:sz="4" w:space="0"/>
            </w:tcBorders>
            <w:vAlign w:val="center"/>
          </w:tcPr>
          <w:p w14:paraId="795B18A8">
            <w:pPr>
              <w:spacing w:before="60" w:beforeLines="25" w:after="60" w:afterLines="25"/>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7</w:t>
            </w:r>
          </w:p>
        </w:tc>
        <w:tc>
          <w:tcPr>
            <w:tcW w:w="1457" w:type="dxa"/>
            <w:vMerge w:val="restart"/>
            <w:tcBorders>
              <w:top w:val="single" w:color="auto" w:sz="4" w:space="0"/>
              <w:left w:val="single" w:color="auto" w:sz="4" w:space="0"/>
              <w:right w:val="single" w:color="auto" w:sz="4" w:space="0"/>
            </w:tcBorders>
            <w:vAlign w:val="center"/>
          </w:tcPr>
          <w:p w14:paraId="00392330">
            <w:pPr>
              <w:spacing w:before="60" w:beforeLines="25" w:after="60" w:afterLines="25"/>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紧急情况的处理措施、预案以及抵抗风险的措施</w:t>
            </w:r>
          </w:p>
        </w:tc>
        <w:tc>
          <w:tcPr>
            <w:tcW w:w="675" w:type="dxa"/>
            <w:vMerge w:val="restart"/>
            <w:tcBorders>
              <w:top w:val="single" w:color="auto" w:sz="4" w:space="0"/>
              <w:left w:val="single" w:color="auto" w:sz="4" w:space="0"/>
              <w:right w:val="single" w:color="auto" w:sz="4" w:space="0"/>
            </w:tcBorders>
            <w:vAlign w:val="center"/>
          </w:tcPr>
          <w:p w14:paraId="441AFEB6">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6</w:t>
            </w:r>
          </w:p>
        </w:tc>
        <w:tc>
          <w:tcPr>
            <w:tcW w:w="708" w:type="dxa"/>
            <w:tcBorders>
              <w:top w:val="single" w:color="auto" w:sz="4" w:space="0"/>
              <w:left w:val="single" w:color="auto" w:sz="4" w:space="0"/>
              <w:bottom w:val="single" w:color="auto" w:sz="4" w:space="0"/>
              <w:right w:val="single" w:color="auto" w:sz="4" w:space="0"/>
            </w:tcBorders>
            <w:vAlign w:val="center"/>
          </w:tcPr>
          <w:p w14:paraId="13257B4F">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6分</w:t>
            </w:r>
          </w:p>
        </w:tc>
        <w:tc>
          <w:tcPr>
            <w:tcW w:w="5954" w:type="dxa"/>
            <w:tcBorders>
              <w:top w:val="single" w:color="auto" w:sz="4" w:space="0"/>
              <w:left w:val="single" w:color="auto" w:sz="4" w:space="0"/>
              <w:bottom w:val="single" w:color="auto" w:sz="4" w:space="0"/>
              <w:right w:val="single" w:color="auto" w:sz="4" w:space="0"/>
            </w:tcBorders>
            <w:vAlign w:val="center"/>
          </w:tcPr>
          <w:p w14:paraId="63ADD2CE">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供应商应针对学校工程特点制定安全应急预案，包括但不限于火灾应急预案、极端恶劣天气等自然灾害应急预案、应急指挥部人员岗位及职责方案等，方案内容完全满足以上要求并且详细、切实可行</w:t>
            </w:r>
          </w:p>
        </w:tc>
      </w:tr>
      <w:tr w14:paraId="6D9DA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670" w:type="dxa"/>
            <w:vMerge w:val="continue"/>
            <w:tcBorders>
              <w:top w:val="single" w:color="auto" w:sz="4" w:space="0"/>
              <w:left w:val="single" w:color="auto" w:sz="4" w:space="0"/>
              <w:right w:val="single" w:color="auto" w:sz="4" w:space="0"/>
            </w:tcBorders>
            <w:vAlign w:val="center"/>
          </w:tcPr>
          <w:p w14:paraId="1B30C03D">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top w:val="single" w:color="auto" w:sz="4" w:space="0"/>
              <w:left w:val="single" w:color="auto" w:sz="4" w:space="0"/>
              <w:right w:val="single" w:color="auto" w:sz="4" w:space="0"/>
            </w:tcBorders>
            <w:vAlign w:val="center"/>
          </w:tcPr>
          <w:p w14:paraId="371CCB4F">
            <w:pPr>
              <w:spacing w:before="60" w:beforeLines="25" w:after="60" w:afterLines="25"/>
              <w:jc w:val="center"/>
              <w:rPr>
                <w:rFonts w:cs="宋体" w:asciiTheme="minorEastAsia" w:hAnsiTheme="minorEastAsia" w:eastAsiaTheme="minorEastAsia"/>
                <w:sz w:val="24"/>
                <w:highlight w:val="none"/>
              </w:rPr>
            </w:pPr>
          </w:p>
        </w:tc>
        <w:tc>
          <w:tcPr>
            <w:tcW w:w="675" w:type="dxa"/>
            <w:vMerge w:val="continue"/>
            <w:tcBorders>
              <w:top w:val="single" w:color="auto" w:sz="4" w:space="0"/>
              <w:left w:val="single" w:color="auto" w:sz="4" w:space="0"/>
              <w:right w:val="single" w:color="auto" w:sz="4" w:space="0"/>
            </w:tcBorders>
            <w:vAlign w:val="center"/>
          </w:tcPr>
          <w:p w14:paraId="25E5BF27">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1EBDFB95">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4分</w:t>
            </w:r>
          </w:p>
        </w:tc>
        <w:tc>
          <w:tcPr>
            <w:tcW w:w="5954" w:type="dxa"/>
            <w:tcBorders>
              <w:top w:val="single" w:color="auto" w:sz="4" w:space="0"/>
              <w:left w:val="single" w:color="auto" w:sz="4" w:space="0"/>
              <w:bottom w:val="single" w:color="auto" w:sz="4" w:space="0"/>
              <w:right w:val="single" w:color="auto" w:sz="4" w:space="0"/>
            </w:tcBorders>
            <w:vAlign w:val="center"/>
          </w:tcPr>
          <w:p w14:paraId="5546A265">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紧急情况的处理措施、预案以及抵抗风险的措施内容一般、细节基本满足需求</w:t>
            </w:r>
          </w:p>
        </w:tc>
      </w:tr>
      <w:tr w14:paraId="128CB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3" w:hRule="atLeast"/>
        </w:trPr>
        <w:tc>
          <w:tcPr>
            <w:tcW w:w="670" w:type="dxa"/>
            <w:vMerge w:val="continue"/>
            <w:tcBorders>
              <w:left w:val="single" w:color="auto" w:sz="4" w:space="0"/>
              <w:right w:val="single" w:color="auto" w:sz="4" w:space="0"/>
            </w:tcBorders>
          </w:tcPr>
          <w:p w14:paraId="4BEE0740">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left w:val="single" w:color="auto" w:sz="4" w:space="0"/>
              <w:right w:val="single" w:color="auto" w:sz="4" w:space="0"/>
            </w:tcBorders>
            <w:vAlign w:val="center"/>
          </w:tcPr>
          <w:p w14:paraId="21DD893E">
            <w:pPr>
              <w:spacing w:before="60" w:beforeLines="25" w:after="60" w:afterLines="25"/>
              <w:rPr>
                <w:rFonts w:cs="宋体" w:asciiTheme="minorEastAsia" w:hAnsiTheme="minorEastAsia" w:eastAsiaTheme="minorEastAsia"/>
                <w:sz w:val="24"/>
                <w:highlight w:val="none"/>
              </w:rPr>
            </w:pPr>
          </w:p>
        </w:tc>
        <w:tc>
          <w:tcPr>
            <w:tcW w:w="675" w:type="dxa"/>
            <w:vMerge w:val="continue"/>
            <w:tcBorders>
              <w:left w:val="single" w:color="auto" w:sz="4" w:space="0"/>
              <w:right w:val="single" w:color="auto" w:sz="4" w:space="0"/>
            </w:tcBorders>
            <w:vAlign w:val="center"/>
          </w:tcPr>
          <w:p w14:paraId="2DBFFD75">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332DBFE9">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2分</w:t>
            </w:r>
          </w:p>
        </w:tc>
        <w:tc>
          <w:tcPr>
            <w:tcW w:w="5954" w:type="dxa"/>
            <w:tcBorders>
              <w:top w:val="single" w:color="auto" w:sz="4" w:space="0"/>
              <w:left w:val="single" w:color="auto" w:sz="4" w:space="0"/>
              <w:bottom w:val="single" w:color="auto" w:sz="4" w:space="0"/>
              <w:right w:val="single" w:color="auto" w:sz="4" w:space="0"/>
            </w:tcBorders>
            <w:vAlign w:val="center"/>
          </w:tcPr>
          <w:p w14:paraId="7C97D2DB">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紧急情况的处理措施、预案以及抵抗风险的措施内容不全、细节待完善</w:t>
            </w:r>
          </w:p>
        </w:tc>
      </w:tr>
      <w:tr w14:paraId="7CA4A6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trPr>
        <w:tc>
          <w:tcPr>
            <w:tcW w:w="670" w:type="dxa"/>
            <w:vMerge w:val="continue"/>
            <w:tcBorders>
              <w:left w:val="single" w:color="auto" w:sz="4" w:space="0"/>
              <w:bottom w:val="single" w:color="auto" w:sz="4" w:space="0"/>
              <w:right w:val="single" w:color="auto" w:sz="4" w:space="0"/>
            </w:tcBorders>
          </w:tcPr>
          <w:p w14:paraId="467494DC">
            <w:pPr>
              <w:spacing w:before="60" w:beforeLines="25" w:after="60" w:afterLines="25"/>
              <w:jc w:val="center"/>
              <w:rPr>
                <w:rFonts w:cs="宋体" w:asciiTheme="minorEastAsia" w:hAnsiTheme="minorEastAsia" w:eastAsiaTheme="minorEastAsia"/>
                <w:sz w:val="24"/>
                <w:highlight w:val="none"/>
              </w:rPr>
            </w:pPr>
          </w:p>
        </w:tc>
        <w:tc>
          <w:tcPr>
            <w:tcW w:w="1457" w:type="dxa"/>
            <w:vMerge w:val="continue"/>
            <w:tcBorders>
              <w:left w:val="single" w:color="auto" w:sz="4" w:space="0"/>
              <w:bottom w:val="single" w:color="auto" w:sz="4" w:space="0"/>
              <w:right w:val="single" w:color="auto" w:sz="4" w:space="0"/>
            </w:tcBorders>
            <w:vAlign w:val="center"/>
          </w:tcPr>
          <w:p w14:paraId="181FEF43">
            <w:pPr>
              <w:spacing w:before="60" w:beforeLines="25" w:after="60" w:afterLines="25"/>
              <w:rPr>
                <w:rFonts w:cs="宋体" w:asciiTheme="minorEastAsia" w:hAnsiTheme="minorEastAsia" w:eastAsiaTheme="minorEastAsia"/>
                <w:sz w:val="24"/>
                <w:highlight w:val="none"/>
              </w:rPr>
            </w:pPr>
          </w:p>
        </w:tc>
        <w:tc>
          <w:tcPr>
            <w:tcW w:w="675" w:type="dxa"/>
            <w:vMerge w:val="continue"/>
            <w:tcBorders>
              <w:left w:val="single" w:color="auto" w:sz="4" w:space="0"/>
              <w:bottom w:val="single" w:color="auto" w:sz="4" w:space="0"/>
              <w:right w:val="single" w:color="auto" w:sz="4" w:space="0"/>
            </w:tcBorders>
            <w:vAlign w:val="center"/>
          </w:tcPr>
          <w:p w14:paraId="51E6EE30">
            <w:pPr>
              <w:jc w:val="center"/>
              <w:rPr>
                <w:rFonts w:cs="宋体" w:asciiTheme="minorEastAsia" w:hAnsiTheme="minorEastAsia" w:eastAsiaTheme="minorEastAsia"/>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46925531">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0分</w:t>
            </w:r>
          </w:p>
        </w:tc>
        <w:tc>
          <w:tcPr>
            <w:tcW w:w="5954" w:type="dxa"/>
            <w:tcBorders>
              <w:top w:val="single" w:color="auto" w:sz="4" w:space="0"/>
              <w:left w:val="single" w:color="auto" w:sz="4" w:space="0"/>
              <w:bottom w:val="single" w:color="auto" w:sz="4" w:space="0"/>
              <w:right w:val="single" w:color="auto" w:sz="4" w:space="0"/>
            </w:tcBorders>
            <w:vAlign w:val="center"/>
          </w:tcPr>
          <w:p w14:paraId="387B1792">
            <w:pP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未提供或不满足工程需要</w:t>
            </w:r>
          </w:p>
        </w:tc>
      </w:tr>
      <w:tr w14:paraId="770DF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86" w:hRule="atLeast"/>
        </w:trPr>
        <w:tc>
          <w:tcPr>
            <w:tcW w:w="670" w:type="dxa"/>
            <w:tcBorders>
              <w:left w:val="single" w:color="auto" w:sz="4" w:space="0"/>
              <w:bottom w:val="single" w:color="auto" w:sz="4" w:space="0"/>
              <w:right w:val="single" w:color="auto" w:sz="4" w:space="0"/>
            </w:tcBorders>
            <w:vAlign w:val="center"/>
          </w:tcPr>
          <w:p w14:paraId="2BCF194F">
            <w:pPr>
              <w:spacing w:before="60" w:beforeLines="25" w:after="60" w:afterLines="25"/>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8</w:t>
            </w:r>
          </w:p>
        </w:tc>
        <w:tc>
          <w:tcPr>
            <w:tcW w:w="1457" w:type="dxa"/>
            <w:tcBorders>
              <w:left w:val="single" w:color="auto" w:sz="4" w:space="0"/>
              <w:bottom w:val="single" w:color="auto" w:sz="4" w:space="0"/>
              <w:right w:val="single" w:color="auto" w:sz="4" w:space="0"/>
            </w:tcBorders>
            <w:vAlign w:val="center"/>
          </w:tcPr>
          <w:p w14:paraId="549D6887">
            <w:pPr>
              <w:spacing w:before="120" w:beforeLines="50" w:line="276" w:lineRule="auto"/>
              <w:jc w:val="center"/>
              <w:rPr>
                <w:rFonts w:cs="宋体" w:asciiTheme="minorEastAsia" w:hAnsiTheme="minorEastAsia" w:eastAsiaTheme="minorEastAsia"/>
                <w:strike/>
                <w:sz w:val="24"/>
                <w:highlight w:val="none"/>
              </w:rPr>
            </w:pPr>
            <w:r>
              <w:rPr>
                <w:rFonts w:hint="eastAsia" w:cs="宋体" w:asciiTheme="minorEastAsia" w:hAnsiTheme="minorEastAsia" w:eastAsiaTheme="minorEastAsia"/>
                <w:sz w:val="24"/>
                <w:highlight w:val="none"/>
              </w:rPr>
              <w:t>政策法规</w:t>
            </w:r>
          </w:p>
        </w:tc>
        <w:tc>
          <w:tcPr>
            <w:tcW w:w="1383" w:type="dxa"/>
            <w:gridSpan w:val="2"/>
            <w:tcBorders>
              <w:left w:val="single" w:color="auto" w:sz="4" w:space="0"/>
              <w:bottom w:val="single" w:color="auto" w:sz="4" w:space="0"/>
              <w:right w:val="single" w:color="auto" w:sz="4" w:space="0"/>
            </w:tcBorders>
            <w:vAlign w:val="center"/>
          </w:tcPr>
          <w:p w14:paraId="6E0FD4FF">
            <w:pPr>
              <w:jc w:val="center"/>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2分</w:t>
            </w:r>
          </w:p>
        </w:tc>
        <w:tc>
          <w:tcPr>
            <w:tcW w:w="5954" w:type="dxa"/>
            <w:tcBorders>
              <w:top w:val="single" w:color="auto" w:sz="4" w:space="0"/>
              <w:left w:val="single" w:color="auto" w:sz="4" w:space="0"/>
              <w:bottom w:val="single" w:color="auto" w:sz="4" w:space="0"/>
              <w:right w:val="single" w:color="auto" w:sz="4" w:space="0"/>
            </w:tcBorders>
            <w:vAlign w:val="center"/>
          </w:tcPr>
          <w:p w14:paraId="7F945C27">
            <w:pPr>
              <w:spacing w:line="312"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综合审查供应商所投产品是否属于节能产品或环境标志产品，须附相应证明材料。属于节能产品（非强制）得</w:t>
            </w:r>
            <w:r>
              <w:rPr>
                <w:rFonts w:cs="宋体" w:asciiTheme="minorEastAsia" w:hAnsiTheme="minorEastAsia" w:eastAsiaTheme="minorEastAsia"/>
                <w:sz w:val="24"/>
                <w:highlight w:val="none"/>
              </w:rPr>
              <w:t>1分，属于环境标志产品得1分，否则0分。</w:t>
            </w:r>
          </w:p>
          <w:p w14:paraId="28FDBA47">
            <w:pPr>
              <w:spacing w:line="312"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w:t>
            </w:r>
            <w:r>
              <w:rPr>
                <w:rFonts w:cs="宋体" w:asciiTheme="minorEastAsia" w:hAnsiTheme="minorEastAsia" w:eastAsiaTheme="minorEastAsia"/>
                <w:sz w:val="24"/>
                <w:highlight w:val="none"/>
              </w:rPr>
              <w:t xml:space="preserve">1.证明材料须按照“财政部 </w:t>
            </w:r>
            <w:r>
              <w:rPr>
                <w:rFonts w:hint="eastAsia" w:cs="宋体" w:asciiTheme="minorEastAsia" w:hAnsiTheme="minorEastAsia" w:eastAsiaTheme="minorEastAsia"/>
                <w:sz w:val="24"/>
                <w:highlight w:val="none"/>
              </w:rPr>
              <w:t>发展改革委</w:t>
            </w:r>
            <w:r>
              <w:rPr>
                <w:rFonts w:cs="宋体" w:asciiTheme="minorEastAsia" w:hAnsiTheme="minorEastAsia" w:eastAsiaTheme="minorEastAsia"/>
                <w:sz w:val="24"/>
                <w:highlight w:val="none"/>
              </w:rPr>
              <w:t xml:space="preserve"> </w:t>
            </w:r>
            <w:r>
              <w:rPr>
                <w:rFonts w:hint="eastAsia" w:cs="宋体" w:asciiTheme="minorEastAsia" w:hAnsiTheme="minorEastAsia" w:eastAsiaTheme="minorEastAsia"/>
                <w:sz w:val="24"/>
                <w:highlight w:val="none"/>
              </w:rPr>
              <w:t>生态环境部</w:t>
            </w:r>
            <w:r>
              <w:rPr>
                <w:rFonts w:cs="宋体" w:asciiTheme="minorEastAsia" w:hAnsiTheme="minorEastAsia" w:eastAsiaTheme="minorEastAsia"/>
                <w:sz w:val="24"/>
                <w:highlight w:val="none"/>
              </w:rPr>
              <w:t xml:space="preserve"> </w:t>
            </w:r>
            <w:r>
              <w:rPr>
                <w:rFonts w:hint="eastAsia" w:cs="宋体" w:asciiTheme="minorEastAsia" w:hAnsiTheme="minorEastAsia" w:eastAsiaTheme="minorEastAsia"/>
                <w:sz w:val="24"/>
                <w:highlight w:val="none"/>
              </w:rPr>
              <w:t>市场监管总局</w:t>
            </w:r>
            <w:r>
              <w:rPr>
                <w:rFonts w:cs="宋体" w:asciiTheme="minorEastAsia" w:hAnsiTheme="minorEastAsia" w:eastAsiaTheme="minorEastAsia"/>
                <w:sz w:val="24"/>
                <w:highlight w:val="none"/>
              </w:rPr>
              <w:t xml:space="preserve"> </w:t>
            </w:r>
            <w:r>
              <w:rPr>
                <w:rFonts w:hint="eastAsia" w:cs="宋体" w:asciiTheme="minorEastAsia" w:hAnsiTheme="minorEastAsia" w:eastAsiaTheme="minorEastAsia"/>
                <w:sz w:val="24"/>
                <w:highlight w:val="none"/>
              </w:rPr>
              <w:t>关于调整优化节能产品、环境标志产品政府采购执行机制的通知”的要求提供：国家确定的认证机构出具的、处于有效期之内的节能产品、环境标志产品认证证书；</w:t>
            </w:r>
            <w:r>
              <w:rPr>
                <w:rFonts w:cs="宋体" w:asciiTheme="minorEastAsia" w:hAnsiTheme="minorEastAsia" w:eastAsiaTheme="minorEastAsia"/>
                <w:sz w:val="24"/>
                <w:highlight w:val="none"/>
              </w:rPr>
              <w:t>2.属于政府强制采购节能产品的不得分；3.未按照要求提供证明材料的不得分。</w:t>
            </w:r>
          </w:p>
        </w:tc>
      </w:tr>
      <w:tr w14:paraId="628FC6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14:paraId="6B79B981">
            <w:pPr>
              <w:spacing w:before="120" w:beforeLines="50" w:line="360" w:lineRule="auto"/>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合计</w:t>
            </w:r>
          </w:p>
        </w:tc>
        <w:tc>
          <w:tcPr>
            <w:tcW w:w="7337" w:type="dxa"/>
            <w:gridSpan w:val="3"/>
            <w:tcBorders>
              <w:top w:val="single" w:color="auto" w:sz="4" w:space="0"/>
              <w:left w:val="single" w:color="auto" w:sz="4" w:space="0"/>
              <w:bottom w:val="single" w:color="auto" w:sz="4" w:space="0"/>
              <w:right w:val="single" w:color="auto" w:sz="4" w:space="0"/>
            </w:tcBorders>
            <w:vAlign w:val="center"/>
          </w:tcPr>
          <w:p w14:paraId="5998F5D5">
            <w:pPr>
              <w:jc w:val="center"/>
              <w:rPr>
                <w:rFonts w:cs="宋体" w:asciiTheme="minorEastAsia" w:hAnsiTheme="minorEastAsia" w:eastAsiaTheme="minorEastAsia"/>
                <w:sz w:val="24"/>
                <w:highlight w:val="none"/>
              </w:rPr>
            </w:pPr>
            <w:r>
              <w:rPr>
                <w:rFonts w:hint="eastAsia" w:cs="宋体" w:asciiTheme="minorEastAsia" w:hAnsiTheme="minorEastAsia" w:eastAsiaTheme="minorEastAsia"/>
                <w:b/>
                <w:sz w:val="24"/>
                <w:highlight w:val="none"/>
              </w:rPr>
              <w:t>满分</w:t>
            </w:r>
            <w:r>
              <w:rPr>
                <w:rFonts w:cs="宋体" w:asciiTheme="minorEastAsia" w:hAnsiTheme="minorEastAsia" w:eastAsiaTheme="minorEastAsia"/>
                <w:b/>
                <w:sz w:val="24"/>
                <w:highlight w:val="none"/>
              </w:rPr>
              <w:t>60</w:t>
            </w:r>
          </w:p>
        </w:tc>
      </w:tr>
    </w:tbl>
    <w:p w14:paraId="327653A5">
      <w:pPr>
        <w:rPr>
          <w:highlight w:val="none"/>
        </w:rPr>
      </w:pPr>
    </w:p>
    <w:p w14:paraId="2C2BAB5D">
      <w:pPr>
        <w:spacing w:line="276" w:lineRule="auto"/>
        <w:rPr>
          <w:rFonts w:ascii="宋体" w:hAnsi="宋体" w:cs="宋体"/>
          <w:sz w:val="24"/>
          <w:highlight w:val="none"/>
        </w:rPr>
        <w:sectPr>
          <w:headerReference r:id="rId10" w:type="default"/>
          <w:footerReference r:id="rId11" w:type="default"/>
          <w:pgSz w:w="11910" w:h="16840"/>
          <w:pgMar w:top="1417" w:right="1417" w:bottom="1417" w:left="1417" w:header="0" w:footer="1066" w:gutter="0"/>
          <w:cols w:space="720" w:num="1"/>
        </w:sectPr>
      </w:pPr>
    </w:p>
    <w:p w14:paraId="0B13F794">
      <w:pPr>
        <w:shd w:val="clear" w:color="auto" w:fill="FFFFFF"/>
        <w:spacing w:line="360" w:lineRule="auto"/>
        <w:jc w:val="center"/>
        <w:outlineLvl w:val="0"/>
        <w:rPr>
          <w:rFonts w:ascii="宋体" w:hAnsi="宋体" w:cs="宋体"/>
          <w:b/>
          <w:sz w:val="36"/>
          <w:szCs w:val="36"/>
          <w:highlight w:val="none"/>
        </w:rPr>
      </w:pPr>
      <w:bookmarkStart w:id="666" w:name="_Toc28542"/>
      <w:r>
        <w:rPr>
          <w:rFonts w:hint="eastAsia" w:ascii="宋体" w:hAnsi="宋体" w:cs="宋体"/>
          <w:b/>
          <w:sz w:val="36"/>
          <w:szCs w:val="36"/>
          <w:highlight w:val="none"/>
        </w:rPr>
        <w:t>第四章   采购需求</w:t>
      </w:r>
      <w:bookmarkEnd w:id="666"/>
    </w:p>
    <w:p w14:paraId="47CE64D8">
      <w:pPr>
        <w:pStyle w:val="67"/>
        <w:ind w:left="0" w:firstLine="0"/>
        <w:rPr>
          <w:rFonts w:hAnsi="宋体" w:cs="宋体"/>
          <w:bCs/>
          <w:color w:val="000000"/>
          <w:highlight w:val="none"/>
        </w:rPr>
      </w:pPr>
    </w:p>
    <w:p w14:paraId="1DFC4DCB">
      <w:pPr>
        <w:spacing w:line="360" w:lineRule="auto"/>
        <w:rPr>
          <w:rFonts w:ascii="宋体" w:hAnsi="宋体" w:cs="宋体"/>
          <w:b/>
          <w:bCs/>
          <w:sz w:val="24"/>
          <w:highlight w:val="none"/>
        </w:rPr>
      </w:pPr>
      <w:r>
        <w:rPr>
          <w:rFonts w:hint="eastAsia" w:ascii="宋体" w:hAnsi="宋体" w:cs="宋体"/>
          <w:b/>
          <w:bCs/>
          <w:sz w:val="24"/>
          <w:highlight w:val="none"/>
        </w:rPr>
        <w:t>一、工程概况</w:t>
      </w:r>
    </w:p>
    <w:p w14:paraId="074A8EEE">
      <w:pPr>
        <w:spacing w:line="360" w:lineRule="auto"/>
        <w:ind w:left="1200" w:hanging="1200" w:hangingChars="500"/>
        <w:outlineLvl w:val="0"/>
        <w:rPr>
          <w:rFonts w:ascii="宋体" w:hAnsi="宋体" w:cs="宋体"/>
          <w:sz w:val="24"/>
          <w:highlight w:val="none"/>
        </w:rPr>
      </w:pPr>
      <w:r>
        <w:rPr>
          <w:rFonts w:hint="eastAsia" w:ascii="宋体" w:hAnsi="宋体" w:cs="宋体"/>
          <w:sz w:val="24"/>
          <w:highlight w:val="none"/>
        </w:rPr>
        <w:t>工程名称：北京财贸职业学院涿州校区教职工宿舍装修改造项目</w:t>
      </w:r>
    </w:p>
    <w:p w14:paraId="74C7E1B7">
      <w:pPr>
        <w:spacing w:line="360" w:lineRule="auto"/>
        <w:ind w:left="1200" w:hanging="1200" w:hangingChars="500"/>
        <w:outlineLvl w:val="0"/>
        <w:rPr>
          <w:rFonts w:ascii="宋体" w:hAnsi="宋体" w:cs="宋体"/>
          <w:sz w:val="24"/>
          <w:highlight w:val="none"/>
        </w:rPr>
      </w:pPr>
      <w:r>
        <w:rPr>
          <w:rFonts w:hint="eastAsia" w:ascii="宋体" w:hAnsi="宋体" w:cs="宋体"/>
          <w:sz w:val="24"/>
          <w:highlight w:val="none"/>
        </w:rPr>
        <w:t>建设单位：北京财贸职业学院</w:t>
      </w:r>
    </w:p>
    <w:p w14:paraId="4D6E95DF">
      <w:pPr>
        <w:spacing w:line="360" w:lineRule="auto"/>
        <w:rPr>
          <w:rFonts w:ascii="宋体" w:hAnsi="宋体" w:cs="宋体"/>
          <w:sz w:val="24"/>
          <w:highlight w:val="none"/>
        </w:rPr>
      </w:pPr>
      <w:r>
        <w:rPr>
          <w:rFonts w:hint="eastAsia" w:ascii="宋体" w:hAnsi="宋体" w:cs="宋体"/>
          <w:sz w:val="24"/>
          <w:highlight w:val="none"/>
        </w:rPr>
        <w:t>工程地点：北京财贸职业学院涿州校区</w:t>
      </w:r>
    </w:p>
    <w:p w14:paraId="1411E689">
      <w:pPr>
        <w:spacing w:line="360" w:lineRule="auto"/>
        <w:rPr>
          <w:rFonts w:ascii="宋体" w:hAnsi="宋体" w:cs="宋体"/>
          <w:sz w:val="24"/>
          <w:highlight w:val="none"/>
        </w:rPr>
      </w:pPr>
      <w:r>
        <w:rPr>
          <w:rFonts w:hint="eastAsia" w:ascii="宋体" w:hAnsi="宋体" w:cs="宋体"/>
          <w:sz w:val="24"/>
          <w:highlight w:val="none"/>
        </w:rPr>
        <w:t>工程概况：北京财贸职业学院涿州校区教职工宿舍装修改造项目，包括户型一A、户型一B、户型二、户型三、户型四、户型四A、户型五建筑工程、装饰工程、给排水工程、电气工程、通风空调工程、采暖工程改造等。</w:t>
      </w:r>
    </w:p>
    <w:p w14:paraId="48C684EC">
      <w:pPr>
        <w:spacing w:line="360" w:lineRule="auto"/>
        <w:rPr>
          <w:rFonts w:ascii="宋体" w:hAnsi="宋体" w:cs="宋体"/>
          <w:sz w:val="24"/>
          <w:highlight w:val="none"/>
        </w:rPr>
      </w:pPr>
      <w:r>
        <w:rPr>
          <w:rFonts w:hint="eastAsia" w:ascii="宋体" w:hAnsi="宋体" w:cs="宋体"/>
          <w:sz w:val="24"/>
          <w:highlight w:val="none"/>
        </w:rPr>
        <w:t>主要内容：拆除部分老旧设施，全屋粉刷，更换部分门窗、更换窗帘、地面平整，水电改造，厨房、卫生间做防水、贴瓷砖。</w:t>
      </w:r>
    </w:p>
    <w:p w14:paraId="25CEA609">
      <w:pPr>
        <w:spacing w:line="360" w:lineRule="auto"/>
        <w:rPr>
          <w:rFonts w:ascii="宋体" w:hAnsi="宋体" w:cs="宋体"/>
          <w:sz w:val="24"/>
          <w:highlight w:val="none"/>
        </w:rPr>
      </w:pPr>
      <w:r>
        <w:rPr>
          <w:rFonts w:hint="eastAsia" w:ascii="宋体" w:hAnsi="宋体" w:cs="宋体"/>
          <w:sz w:val="24"/>
          <w:highlight w:val="none"/>
        </w:rPr>
        <w:t>计划工期：计划工期</w:t>
      </w:r>
      <w:r>
        <w:rPr>
          <w:rFonts w:ascii="宋体" w:hAnsi="宋体" w:cs="宋体"/>
          <w:sz w:val="24"/>
          <w:highlight w:val="none"/>
        </w:rPr>
        <w:t>30</w:t>
      </w:r>
      <w:r>
        <w:rPr>
          <w:rFonts w:hint="eastAsia" w:ascii="宋体" w:hAnsi="宋体" w:cs="宋体"/>
          <w:sz w:val="24"/>
          <w:highlight w:val="none"/>
        </w:rPr>
        <w:t>个日历天</w:t>
      </w:r>
    </w:p>
    <w:p w14:paraId="31B5B38B">
      <w:pPr>
        <w:pStyle w:val="77"/>
        <w:spacing w:beforeAutospacing="0" w:afterAutospacing="0" w:line="360" w:lineRule="auto"/>
        <w:rPr>
          <w:b/>
          <w:highlight w:val="none"/>
        </w:rPr>
      </w:pPr>
      <w:r>
        <w:rPr>
          <w:rFonts w:hint="eastAsia"/>
          <w:highlight w:val="none"/>
        </w:rPr>
        <w:t>二、</w:t>
      </w:r>
      <w:r>
        <w:rPr>
          <w:rFonts w:hint="eastAsia"/>
          <w:b/>
          <w:bCs/>
          <w:highlight w:val="none"/>
        </w:rPr>
        <w:t>编制依据</w:t>
      </w:r>
    </w:p>
    <w:p w14:paraId="252E4676">
      <w:pPr>
        <w:spacing w:line="360" w:lineRule="auto"/>
        <w:ind w:left="560" w:hanging="560"/>
        <w:rPr>
          <w:rFonts w:ascii="宋体" w:hAnsi="宋体" w:cs="宋体"/>
          <w:sz w:val="24"/>
          <w:highlight w:val="none"/>
        </w:rPr>
      </w:pPr>
      <w:r>
        <w:rPr>
          <w:rFonts w:hint="eastAsia" w:ascii="宋体" w:hAnsi="宋体" w:cs="宋体"/>
          <w:sz w:val="24"/>
          <w:highlight w:val="none"/>
        </w:rPr>
        <w:t>1.中华人民共和国国家标准《建设工程工程量清单计价规范》</w:t>
      </w:r>
      <w:r>
        <w:rPr>
          <w:rFonts w:hint="eastAsia" w:ascii="宋体" w:hAnsi="宋体" w:cs="宋体"/>
          <w:b/>
          <w:sz w:val="24"/>
          <w:highlight w:val="none"/>
        </w:rPr>
        <w:t>（GB50500-2013）</w:t>
      </w:r>
      <w:r>
        <w:rPr>
          <w:rFonts w:hint="eastAsia" w:ascii="宋体" w:hAnsi="宋体" w:cs="宋体"/>
          <w:sz w:val="24"/>
          <w:highlight w:val="none"/>
        </w:rPr>
        <w:t>；</w:t>
      </w:r>
    </w:p>
    <w:p w14:paraId="64D1AA8F">
      <w:pPr>
        <w:spacing w:line="360" w:lineRule="auto"/>
        <w:rPr>
          <w:rFonts w:ascii="宋体" w:hAnsi="宋体" w:cs="宋体"/>
          <w:sz w:val="24"/>
          <w:highlight w:val="none"/>
        </w:rPr>
      </w:pPr>
      <w:r>
        <w:rPr>
          <w:rFonts w:hint="eastAsia" w:ascii="宋体" w:hAnsi="宋体" w:cs="宋体"/>
          <w:sz w:val="24"/>
          <w:highlight w:val="none"/>
        </w:rPr>
        <w:t>2.河北现行2022年定额及相关取费标准；</w:t>
      </w:r>
    </w:p>
    <w:p w14:paraId="3E9D533F">
      <w:pPr>
        <w:spacing w:line="360" w:lineRule="auto"/>
        <w:rPr>
          <w:rFonts w:ascii="宋体" w:hAnsi="宋体" w:cs="宋体"/>
          <w:sz w:val="24"/>
          <w:highlight w:val="none"/>
        </w:rPr>
      </w:pPr>
      <w:r>
        <w:rPr>
          <w:rFonts w:hint="eastAsia" w:ascii="宋体" w:hAnsi="宋体" w:cs="宋体"/>
          <w:sz w:val="24"/>
          <w:highlight w:val="none"/>
        </w:rPr>
        <w:t>3.2023年下半年综合用工指标价（保住建发〔2024〕102号）；</w:t>
      </w:r>
    </w:p>
    <w:p w14:paraId="10033CB2">
      <w:pPr>
        <w:spacing w:line="360" w:lineRule="auto"/>
        <w:rPr>
          <w:rFonts w:ascii="宋体" w:hAnsi="宋体" w:cs="宋体"/>
          <w:sz w:val="24"/>
          <w:highlight w:val="none"/>
        </w:rPr>
      </w:pPr>
      <w:r>
        <w:rPr>
          <w:rFonts w:hint="eastAsia" w:ascii="宋体" w:hAnsi="宋体" w:cs="宋体"/>
          <w:sz w:val="24"/>
          <w:highlight w:val="none"/>
        </w:rPr>
        <w:t>4.保定市发布的2025年第4辑《保定市工程造价信息》及保定市住建委相关文件；</w:t>
      </w:r>
    </w:p>
    <w:p w14:paraId="355F3B43">
      <w:pPr>
        <w:spacing w:line="360" w:lineRule="auto"/>
        <w:ind w:left="240" w:hanging="240" w:hangingChars="100"/>
        <w:outlineLvl w:val="0"/>
        <w:rPr>
          <w:rFonts w:ascii="宋体" w:hAnsi="宋体" w:cs="宋体"/>
          <w:sz w:val="24"/>
          <w:highlight w:val="none"/>
        </w:rPr>
      </w:pPr>
      <w:r>
        <w:rPr>
          <w:rFonts w:hint="eastAsia" w:ascii="宋体" w:hAnsi="宋体" w:cs="宋体"/>
          <w:sz w:val="24"/>
          <w:highlight w:val="none"/>
        </w:rPr>
        <w:t>5.北京财贸职业学院涿州校区教职工宿舍装修改造项目招标文件；</w:t>
      </w:r>
    </w:p>
    <w:p w14:paraId="2781C436">
      <w:pPr>
        <w:spacing w:line="360" w:lineRule="auto"/>
        <w:ind w:left="240" w:hanging="240" w:hangingChars="100"/>
        <w:outlineLvl w:val="0"/>
        <w:rPr>
          <w:rFonts w:ascii="宋体" w:hAnsi="宋体" w:cs="宋体"/>
          <w:sz w:val="24"/>
          <w:highlight w:val="none"/>
        </w:rPr>
      </w:pPr>
      <w:r>
        <w:rPr>
          <w:rFonts w:hint="eastAsia" w:ascii="宋体" w:hAnsi="宋体" w:cs="宋体"/>
          <w:sz w:val="24"/>
          <w:highlight w:val="none"/>
        </w:rPr>
        <w:t>6.北京财贸职业学院涿州校区教职工宿舍装修改造项目招标图纸；</w:t>
      </w:r>
    </w:p>
    <w:p w14:paraId="25DB42A1">
      <w:pPr>
        <w:autoSpaceDE w:val="0"/>
        <w:autoSpaceDN w:val="0"/>
        <w:adjustRightInd w:val="0"/>
        <w:spacing w:line="360" w:lineRule="auto"/>
        <w:rPr>
          <w:rFonts w:ascii="宋体" w:hAnsi="宋体" w:cs="宋体"/>
          <w:sz w:val="24"/>
          <w:highlight w:val="none"/>
        </w:rPr>
      </w:pPr>
      <w:r>
        <w:rPr>
          <w:rFonts w:hint="eastAsia" w:ascii="宋体" w:hAnsi="宋体" w:cs="宋体"/>
          <w:sz w:val="24"/>
          <w:highlight w:val="none"/>
        </w:rPr>
        <w:t>7.相关标准图集，施工验收规范、标准及有关法律、法规等 。</w:t>
      </w:r>
    </w:p>
    <w:p w14:paraId="29B96E8B">
      <w:pPr>
        <w:autoSpaceDE w:val="0"/>
        <w:autoSpaceDN w:val="0"/>
        <w:adjustRightInd w:val="0"/>
        <w:spacing w:line="360" w:lineRule="auto"/>
        <w:rPr>
          <w:rFonts w:ascii="宋体" w:hAnsi="宋体" w:cs="宋体"/>
          <w:sz w:val="24"/>
          <w:highlight w:val="none"/>
        </w:rPr>
      </w:pPr>
      <w:r>
        <w:rPr>
          <w:rFonts w:hint="eastAsia" w:ascii="宋体" w:hAnsi="宋体" w:cs="宋体"/>
          <w:sz w:val="24"/>
          <w:highlight w:val="none"/>
        </w:rPr>
        <w:t xml:space="preserve"> </w:t>
      </w:r>
    </w:p>
    <w:p w14:paraId="20900AFD">
      <w:pPr>
        <w:spacing w:line="360" w:lineRule="auto"/>
        <w:rPr>
          <w:rFonts w:ascii="宋体" w:hAnsi="宋体" w:cs="宋体"/>
          <w:b/>
          <w:bCs/>
          <w:sz w:val="24"/>
          <w:highlight w:val="none"/>
        </w:rPr>
      </w:pPr>
      <w:r>
        <w:rPr>
          <w:rFonts w:hint="eastAsia" w:ascii="宋体" w:hAnsi="宋体" w:cs="宋体"/>
          <w:b/>
          <w:bCs/>
          <w:sz w:val="24"/>
          <w:highlight w:val="none"/>
        </w:rPr>
        <w:t>三、编制范围</w:t>
      </w:r>
    </w:p>
    <w:p w14:paraId="0CAB6E0B">
      <w:pPr>
        <w:spacing w:line="360" w:lineRule="auto"/>
        <w:rPr>
          <w:rFonts w:ascii="宋体" w:hAnsi="宋体" w:cs="宋体"/>
          <w:sz w:val="24"/>
          <w:highlight w:val="none"/>
        </w:rPr>
      </w:pPr>
      <w:r>
        <w:rPr>
          <w:rFonts w:hint="eastAsia" w:ascii="宋体" w:hAnsi="宋体" w:cs="宋体"/>
          <w:sz w:val="24"/>
          <w:highlight w:val="none"/>
        </w:rPr>
        <w:t>1</w:t>
      </w:r>
      <w:bookmarkStart w:id="667" w:name="_Hlk88747391"/>
      <w:r>
        <w:rPr>
          <w:rFonts w:hint="eastAsia" w:ascii="宋体" w:hAnsi="宋体" w:cs="宋体"/>
          <w:sz w:val="24"/>
          <w:highlight w:val="none"/>
        </w:rPr>
        <w:t>.</w:t>
      </w:r>
      <w:bookmarkEnd w:id="667"/>
      <w:r>
        <w:rPr>
          <w:rFonts w:hint="eastAsia" w:ascii="宋体" w:hAnsi="宋体" w:cs="宋体"/>
          <w:sz w:val="24"/>
          <w:highlight w:val="none"/>
        </w:rPr>
        <w:t>北京财贸职业学院涿州校区教职工宿舍装修改造项目招标文件规定施工承包（招标）范围；依据招标图纸及工程量清单范围内的所有施工内容（施工资质所允许的范围内）。</w:t>
      </w:r>
    </w:p>
    <w:p w14:paraId="2A1E9959">
      <w:pPr>
        <w:spacing w:line="360" w:lineRule="auto"/>
        <w:outlineLvl w:val="0"/>
        <w:rPr>
          <w:rFonts w:ascii="宋体" w:hAnsi="宋体" w:cs="宋体"/>
          <w:b/>
          <w:sz w:val="24"/>
          <w:highlight w:val="none"/>
        </w:rPr>
      </w:pPr>
      <w:r>
        <w:rPr>
          <w:rFonts w:hint="eastAsia" w:ascii="宋体" w:hAnsi="宋体" w:cs="宋体"/>
          <w:b/>
          <w:sz w:val="24"/>
          <w:highlight w:val="none"/>
        </w:rPr>
        <w:t>四、编制说明</w:t>
      </w:r>
    </w:p>
    <w:p w14:paraId="21B81653">
      <w:pPr>
        <w:spacing w:line="360" w:lineRule="auto"/>
        <w:outlineLvl w:val="0"/>
        <w:rPr>
          <w:rFonts w:ascii="宋体" w:hAnsi="宋体" w:cs="宋体"/>
          <w:sz w:val="24"/>
          <w:highlight w:val="none"/>
        </w:rPr>
      </w:pPr>
      <w:r>
        <w:rPr>
          <w:rFonts w:hint="eastAsia" w:ascii="宋体" w:hAnsi="宋体" w:cs="宋体"/>
          <w:bCs/>
          <w:sz w:val="24"/>
          <w:highlight w:val="none"/>
        </w:rPr>
        <w:t>1.</w:t>
      </w:r>
      <w:r>
        <w:rPr>
          <w:rFonts w:hint="eastAsia" w:ascii="宋体" w:hAnsi="宋体" w:cs="宋体"/>
          <w:sz w:val="24"/>
          <w:highlight w:val="none"/>
        </w:rPr>
        <w:t>本工程考虑了施工场地狭小、噪音、疫情防控等各方面不利因素影响等；</w:t>
      </w:r>
    </w:p>
    <w:p w14:paraId="22434F68">
      <w:pPr>
        <w:spacing w:line="360" w:lineRule="auto"/>
        <w:outlineLvl w:val="0"/>
        <w:rPr>
          <w:rFonts w:ascii="宋体" w:hAnsi="宋体" w:cs="宋体"/>
          <w:sz w:val="24"/>
          <w:highlight w:val="none"/>
        </w:rPr>
      </w:pPr>
      <w:r>
        <w:rPr>
          <w:rFonts w:hint="eastAsia" w:ascii="宋体" w:hAnsi="宋体" w:cs="宋体"/>
          <w:sz w:val="24"/>
          <w:highlight w:val="none"/>
        </w:rPr>
        <w:t>2.本工程其他总价措施费中脚手架工程费、雨季施工增加费、夜间施工增加费、二次搬运费、成品保护费、检验试验配合费等已按本工程实际情况记取；</w:t>
      </w:r>
    </w:p>
    <w:p w14:paraId="769E9728">
      <w:pPr>
        <w:spacing w:line="360" w:lineRule="auto"/>
        <w:ind w:left="240" w:hanging="240" w:hangingChars="100"/>
        <w:outlineLvl w:val="0"/>
        <w:rPr>
          <w:rFonts w:ascii="宋体" w:hAnsi="宋体" w:cs="宋体"/>
          <w:sz w:val="24"/>
          <w:highlight w:val="none"/>
        </w:rPr>
      </w:pPr>
      <w:r>
        <w:rPr>
          <w:rFonts w:hint="eastAsia" w:ascii="宋体" w:hAnsi="宋体" w:cs="宋体"/>
          <w:sz w:val="24"/>
          <w:highlight w:val="none"/>
        </w:rPr>
        <w:t>3.本工程暂列金含税5.5万元。</w:t>
      </w:r>
    </w:p>
    <w:p w14:paraId="07B8261F">
      <w:pPr>
        <w:adjustRightInd w:val="0"/>
        <w:snapToGrid w:val="0"/>
        <w:spacing w:line="360" w:lineRule="auto"/>
        <w:ind w:firstLine="482" w:firstLineChars="200"/>
        <w:jc w:val="center"/>
        <w:rPr>
          <w:rFonts w:ascii="宋体" w:hAnsi="宋体" w:cs="宋体"/>
          <w:b/>
          <w:sz w:val="24"/>
          <w:highlight w:val="none"/>
        </w:rPr>
      </w:pPr>
    </w:p>
    <w:p w14:paraId="4B4398C8">
      <w:pPr>
        <w:adjustRightInd w:val="0"/>
        <w:snapToGrid w:val="0"/>
        <w:spacing w:line="360" w:lineRule="auto"/>
        <w:rPr>
          <w:rFonts w:ascii="宋体" w:hAnsi="宋体" w:cs="宋体"/>
          <w:b/>
          <w:sz w:val="24"/>
          <w:highlight w:val="none"/>
        </w:rPr>
      </w:pPr>
      <w:r>
        <w:rPr>
          <w:rFonts w:hint="eastAsia" w:ascii="宋体" w:hAnsi="宋体" w:cs="宋体"/>
          <w:b/>
          <w:sz w:val="24"/>
          <w:highlight w:val="none"/>
        </w:rPr>
        <w:t>五、具体要求</w:t>
      </w:r>
    </w:p>
    <w:p w14:paraId="51F1D51F">
      <w:pPr>
        <w:adjustRightInd w:val="0"/>
        <w:snapToGrid w:val="0"/>
        <w:spacing w:line="360" w:lineRule="auto"/>
        <w:rPr>
          <w:rFonts w:ascii="宋体" w:hAnsi="宋体" w:cs="宋体"/>
          <w:sz w:val="24"/>
          <w:highlight w:val="none"/>
          <w:shd w:val="clear" w:color="auto" w:fill="FFFFFF"/>
        </w:rPr>
      </w:pPr>
      <w:r>
        <w:rPr>
          <w:rFonts w:hint="eastAsia" w:ascii="宋体" w:hAnsi="宋体" w:cs="宋体"/>
          <w:sz w:val="24"/>
          <w:highlight w:val="none"/>
          <w:shd w:val="clear" w:color="auto" w:fill="FFFFFF"/>
        </w:rPr>
        <w:t>具体内容详见图纸和清单。</w:t>
      </w:r>
    </w:p>
    <w:p w14:paraId="7899872B">
      <w:pPr>
        <w:pStyle w:val="36"/>
        <w:adjustRightInd w:val="0"/>
        <w:snapToGrid w:val="0"/>
        <w:spacing w:line="360" w:lineRule="auto"/>
        <w:ind w:left="0" w:leftChars="0" w:firstLine="0" w:firstLineChars="0"/>
        <w:rPr>
          <w:rFonts w:ascii="宋体" w:hAnsi="宋体" w:cs="宋体"/>
          <w:sz w:val="24"/>
          <w:highlight w:val="none"/>
          <w:shd w:val="clear" w:color="auto" w:fill="FFFFFF"/>
        </w:rPr>
      </w:pPr>
      <w:r>
        <w:rPr>
          <w:rFonts w:hint="eastAsia" w:ascii="宋体" w:hAnsi="宋体" w:cs="宋体"/>
          <w:sz w:val="24"/>
          <w:highlight w:val="none"/>
          <w:shd w:val="clear" w:color="auto" w:fill="FFFFFF"/>
        </w:rPr>
        <w:t>附件1：图纸</w:t>
      </w:r>
    </w:p>
    <w:p w14:paraId="23AFAF4E">
      <w:pPr>
        <w:pStyle w:val="36"/>
        <w:adjustRightInd w:val="0"/>
        <w:snapToGrid w:val="0"/>
        <w:spacing w:line="360" w:lineRule="auto"/>
        <w:ind w:left="0" w:leftChars="0" w:firstLine="0" w:firstLineChars="0"/>
        <w:rPr>
          <w:rFonts w:ascii="宋体" w:hAnsi="宋体" w:cs="宋体"/>
          <w:sz w:val="24"/>
          <w:highlight w:val="none"/>
          <w:shd w:val="clear" w:color="auto" w:fill="FFFFFF"/>
        </w:rPr>
        <w:sectPr>
          <w:footerReference r:id="rId12" w:type="default"/>
          <w:pgSz w:w="11907" w:h="16840"/>
          <w:pgMar w:top="1418" w:right="1134" w:bottom="1418" w:left="1701" w:header="851" w:footer="851" w:gutter="0"/>
          <w:cols w:space="720" w:num="1"/>
          <w:docGrid w:linePitch="462" w:charSpace="0"/>
        </w:sectPr>
      </w:pPr>
      <w:r>
        <w:rPr>
          <w:rFonts w:hint="eastAsia" w:ascii="宋体" w:hAnsi="宋体" w:cs="宋体"/>
          <w:sz w:val="24"/>
          <w:highlight w:val="none"/>
          <w:shd w:val="clear" w:color="auto" w:fill="FFFFFF"/>
        </w:rPr>
        <w:t>附件2：清单</w:t>
      </w:r>
    </w:p>
    <w:p w14:paraId="08002395">
      <w:pPr>
        <w:numPr>
          <w:ilvl w:val="0"/>
          <w:numId w:val="23"/>
        </w:numPr>
        <w:shd w:val="clear" w:color="auto" w:fill="FFFFFF"/>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rPr>
        <w:t xml:space="preserve">  </w:t>
      </w:r>
      <w:bookmarkStart w:id="668" w:name="_Toc4796"/>
      <w:r>
        <w:rPr>
          <w:rFonts w:hint="eastAsia" w:ascii="宋体" w:hAnsi="宋体" w:cs="宋体"/>
          <w:b/>
          <w:color w:val="000000"/>
          <w:sz w:val="36"/>
          <w:szCs w:val="36"/>
          <w:highlight w:val="none"/>
        </w:rPr>
        <w:t>合同草案条款</w:t>
      </w:r>
      <w:bookmarkEnd w:id="668"/>
    </w:p>
    <w:p w14:paraId="0AAFB531">
      <w:pPr>
        <w:spacing w:line="360" w:lineRule="auto"/>
        <w:ind w:left="420" w:leftChars="200"/>
        <w:rPr>
          <w:sz w:val="24"/>
          <w:highlight w:val="none"/>
        </w:rPr>
      </w:pPr>
    </w:p>
    <w:p w14:paraId="6088C149">
      <w:pPr>
        <w:tabs>
          <w:tab w:val="left" w:pos="900"/>
          <w:tab w:val="left" w:pos="1080"/>
        </w:tabs>
        <w:snapToGrid w:val="0"/>
        <w:spacing w:line="360" w:lineRule="auto"/>
        <w:jc w:val="center"/>
        <w:rPr>
          <w:rFonts w:ascii="宋体" w:hAnsi="宋体"/>
          <w:b/>
          <w:sz w:val="24"/>
          <w:highlight w:val="none"/>
        </w:rPr>
      </w:pPr>
      <w:r>
        <w:rPr>
          <w:rFonts w:hint="eastAsia" w:ascii="宋体" w:hAnsi="宋体"/>
          <w:b/>
          <w:bCs/>
          <w:kern w:val="0"/>
          <w:sz w:val="18"/>
          <w:szCs w:val="18"/>
          <w:highlight w:val="none"/>
        </w:rPr>
        <w:t>（以采购人最终签订合同为准）</w:t>
      </w:r>
    </w:p>
    <w:p w14:paraId="74C78B66">
      <w:pPr>
        <w:jc w:val="center"/>
        <w:rPr>
          <w:rFonts w:ascii="Cambria" w:hAnsi="Cambria"/>
          <w:b/>
          <w:sz w:val="36"/>
          <w:szCs w:val="36"/>
          <w:highlight w:val="none"/>
        </w:rPr>
      </w:pPr>
      <w:bookmarkStart w:id="669" w:name="_Hlk145519020"/>
      <w:r>
        <w:rPr>
          <w:rFonts w:hint="eastAsia" w:ascii="Cambria" w:hAnsi="Cambria"/>
          <w:b/>
          <w:sz w:val="36"/>
          <w:szCs w:val="36"/>
          <w:highlight w:val="none"/>
        </w:rPr>
        <w:t>北京财贸职业学院</w:t>
      </w:r>
    </w:p>
    <w:p w14:paraId="7835F85A">
      <w:pPr>
        <w:jc w:val="center"/>
        <w:rPr>
          <w:rFonts w:eastAsia="Cambria"/>
          <w:b/>
          <w:sz w:val="36"/>
          <w:szCs w:val="36"/>
          <w:highlight w:val="none"/>
        </w:rPr>
      </w:pPr>
      <w:bookmarkStart w:id="670" w:name="OLE_LINK24"/>
      <w:bookmarkStart w:id="671" w:name="OLE_LINK21"/>
      <w:bookmarkStart w:id="672" w:name="OLE_LINK22"/>
      <w:bookmarkStart w:id="673" w:name="OLE_LINK23"/>
      <w:bookmarkStart w:id="674" w:name="OLE_LINK19"/>
      <w:bookmarkStart w:id="675" w:name="OLE_LINK20"/>
      <w:r>
        <w:rPr>
          <w:rFonts w:hint="eastAsia" w:ascii="宋体" w:hAnsi="宋体" w:cs="宋体"/>
          <w:b/>
          <w:sz w:val="36"/>
          <w:szCs w:val="36"/>
          <w:highlight w:val="none"/>
          <w:u w:val="single"/>
        </w:rPr>
        <w:t>***工程</w:t>
      </w:r>
      <w:bookmarkEnd w:id="670"/>
      <w:bookmarkEnd w:id="671"/>
      <w:bookmarkEnd w:id="672"/>
      <w:bookmarkEnd w:id="673"/>
    </w:p>
    <w:bookmarkEnd w:id="674"/>
    <w:bookmarkEnd w:id="675"/>
    <w:p w14:paraId="1AB10B78">
      <w:pPr>
        <w:jc w:val="center"/>
        <w:rPr>
          <w:b/>
          <w:sz w:val="36"/>
          <w:szCs w:val="36"/>
          <w:highlight w:val="none"/>
        </w:rPr>
      </w:pPr>
    </w:p>
    <w:p w14:paraId="146E06BF">
      <w:pPr>
        <w:jc w:val="center"/>
        <w:rPr>
          <w:b/>
          <w:sz w:val="36"/>
          <w:szCs w:val="36"/>
          <w:highlight w:val="none"/>
        </w:rPr>
      </w:pPr>
    </w:p>
    <w:p w14:paraId="287E544E">
      <w:pPr>
        <w:jc w:val="center"/>
        <w:rPr>
          <w:b/>
          <w:sz w:val="36"/>
          <w:szCs w:val="36"/>
          <w:highlight w:val="none"/>
        </w:rPr>
      </w:pPr>
    </w:p>
    <w:p w14:paraId="4B911336">
      <w:pPr>
        <w:jc w:val="center"/>
        <w:rPr>
          <w:b/>
          <w:sz w:val="36"/>
          <w:szCs w:val="36"/>
          <w:highlight w:val="none"/>
        </w:rPr>
      </w:pPr>
    </w:p>
    <w:p w14:paraId="57DA469F">
      <w:pPr>
        <w:jc w:val="center"/>
        <w:rPr>
          <w:b/>
          <w:sz w:val="44"/>
          <w:szCs w:val="44"/>
          <w:highlight w:val="none"/>
        </w:rPr>
      </w:pPr>
      <w:r>
        <w:rPr>
          <w:rFonts w:hint="eastAsia"/>
          <w:b/>
          <w:sz w:val="44"/>
          <w:szCs w:val="44"/>
          <w:highlight w:val="none"/>
        </w:rPr>
        <w:t>施工合同文件</w:t>
      </w:r>
    </w:p>
    <w:p w14:paraId="7C6D11E9">
      <w:pPr>
        <w:jc w:val="center"/>
        <w:rPr>
          <w:b/>
          <w:sz w:val="36"/>
          <w:szCs w:val="36"/>
          <w:highlight w:val="none"/>
        </w:rPr>
      </w:pPr>
    </w:p>
    <w:p w14:paraId="088FCD57">
      <w:pPr>
        <w:jc w:val="center"/>
        <w:rPr>
          <w:b/>
          <w:sz w:val="36"/>
          <w:szCs w:val="36"/>
          <w:highlight w:val="none"/>
        </w:rPr>
      </w:pPr>
    </w:p>
    <w:p w14:paraId="5ACF4E4A">
      <w:pPr>
        <w:jc w:val="center"/>
        <w:rPr>
          <w:b/>
          <w:sz w:val="36"/>
          <w:szCs w:val="36"/>
          <w:highlight w:val="none"/>
        </w:rPr>
      </w:pPr>
    </w:p>
    <w:p w14:paraId="07B1A31B">
      <w:pPr>
        <w:jc w:val="center"/>
        <w:rPr>
          <w:b/>
          <w:sz w:val="36"/>
          <w:szCs w:val="36"/>
          <w:highlight w:val="none"/>
        </w:rPr>
      </w:pPr>
    </w:p>
    <w:p w14:paraId="336FCFFF">
      <w:pPr>
        <w:jc w:val="center"/>
        <w:rPr>
          <w:b/>
          <w:sz w:val="36"/>
          <w:szCs w:val="36"/>
          <w:highlight w:val="none"/>
        </w:rPr>
      </w:pPr>
    </w:p>
    <w:p w14:paraId="6CE384A5">
      <w:pPr>
        <w:jc w:val="center"/>
        <w:rPr>
          <w:b/>
          <w:sz w:val="36"/>
          <w:szCs w:val="36"/>
          <w:highlight w:val="none"/>
        </w:rPr>
      </w:pPr>
    </w:p>
    <w:p w14:paraId="13A7D9D0">
      <w:pPr>
        <w:jc w:val="center"/>
        <w:rPr>
          <w:b/>
          <w:sz w:val="44"/>
          <w:szCs w:val="44"/>
          <w:highlight w:val="none"/>
        </w:rPr>
      </w:pPr>
    </w:p>
    <w:p w14:paraId="0F4B53E7">
      <w:pPr>
        <w:jc w:val="center"/>
        <w:rPr>
          <w:b/>
          <w:sz w:val="44"/>
          <w:szCs w:val="44"/>
          <w:highlight w:val="none"/>
        </w:rPr>
      </w:pPr>
    </w:p>
    <w:p w14:paraId="506610A1">
      <w:pPr>
        <w:jc w:val="center"/>
        <w:rPr>
          <w:b/>
          <w:sz w:val="44"/>
          <w:szCs w:val="44"/>
          <w:highlight w:val="none"/>
        </w:rPr>
      </w:pPr>
    </w:p>
    <w:p w14:paraId="1B162A0A">
      <w:pPr>
        <w:jc w:val="center"/>
        <w:rPr>
          <w:b/>
          <w:sz w:val="44"/>
          <w:szCs w:val="44"/>
          <w:highlight w:val="none"/>
        </w:rPr>
      </w:pPr>
    </w:p>
    <w:p w14:paraId="71A57E75">
      <w:pPr>
        <w:jc w:val="center"/>
        <w:rPr>
          <w:b/>
          <w:sz w:val="44"/>
          <w:szCs w:val="44"/>
          <w:highlight w:val="none"/>
        </w:rPr>
      </w:pPr>
    </w:p>
    <w:p w14:paraId="49C43178">
      <w:pPr>
        <w:jc w:val="center"/>
        <w:rPr>
          <w:rFonts w:ascii="Cambria" w:hAnsi="Cambria"/>
          <w:sz w:val="28"/>
          <w:szCs w:val="28"/>
          <w:highlight w:val="none"/>
        </w:rPr>
      </w:pPr>
    </w:p>
    <w:p w14:paraId="402852EB">
      <w:pPr>
        <w:ind w:firstLine="1687" w:firstLineChars="600"/>
        <w:jc w:val="left"/>
        <w:rPr>
          <w:rFonts w:ascii="Cambria" w:hAnsi="Cambria"/>
          <w:b/>
          <w:sz w:val="28"/>
          <w:szCs w:val="28"/>
          <w:highlight w:val="none"/>
        </w:rPr>
      </w:pPr>
      <w:r>
        <w:rPr>
          <w:rFonts w:hint="eastAsia" w:ascii="Cambria" w:hAnsi="Cambria"/>
          <w:b/>
          <w:sz w:val="28"/>
          <w:szCs w:val="28"/>
          <w:highlight w:val="none"/>
        </w:rPr>
        <w:t>发包人：北京财贸职业学院</w:t>
      </w:r>
    </w:p>
    <w:p w14:paraId="597E5D48">
      <w:pPr>
        <w:ind w:firstLine="1687" w:firstLineChars="600"/>
        <w:jc w:val="left"/>
        <w:rPr>
          <w:rFonts w:ascii="Cambria" w:hAnsi="Cambria"/>
          <w:b/>
          <w:sz w:val="28"/>
          <w:szCs w:val="28"/>
          <w:highlight w:val="none"/>
        </w:rPr>
      </w:pPr>
    </w:p>
    <w:p w14:paraId="4C68CC13">
      <w:pPr>
        <w:ind w:firstLine="1687" w:firstLineChars="600"/>
        <w:jc w:val="left"/>
        <w:rPr>
          <w:rFonts w:ascii="Cambria" w:hAnsi="Cambria"/>
          <w:b/>
          <w:sz w:val="28"/>
          <w:szCs w:val="28"/>
          <w:highlight w:val="none"/>
        </w:rPr>
      </w:pPr>
      <w:r>
        <w:rPr>
          <w:rFonts w:hint="eastAsia" w:ascii="Cambria" w:hAnsi="Cambria"/>
          <w:b/>
          <w:sz w:val="28"/>
          <w:szCs w:val="28"/>
          <w:highlight w:val="none"/>
        </w:rPr>
        <w:t>承包人：</w:t>
      </w:r>
      <w:bookmarkStart w:id="676" w:name="OLE_LINK16"/>
      <w:bookmarkStart w:id="677" w:name="OLE_LINK17"/>
      <w:bookmarkStart w:id="678" w:name="OLE_LINK26"/>
      <w:r>
        <w:rPr>
          <w:rFonts w:hint="eastAsia" w:ascii="Cambria" w:hAnsi="Cambria"/>
          <w:b/>
          <w:sz w:val="28"/>
          <w:szCs w:val="28"/>
          <w:highlight w:val="none"/>
        </w:rPr>
        <w:t xml:space="preserve">********* </w:t>
      </w:r>
      <w:bookmarkEnd w:id="676"/>
      <w:bookmarkEnd w:id="677"/>
      <w:bookmarkEnd w:id="678"/>
    </w:p>
    <w:p w14:paraId="3759DD90">
      <w:pPr>
        <w:jc w:val="center"/>
        <w:rPr>
          <w:rFonts w:ascii="Cambria" w:hAnsi="Cambria"/>
          <w:b/>
          <w:sz w:val="28"/>
          <w:szCs w:val="28"/>
          <w:highlight w:val="none"/>
        </w:rPr>
      </w:pPr>
    </w:p>
    <w:p w14:paraId="367AFA76">
      <w:pPr>
        <w:jc w:val="center"/>
        <w:rPr>
          <w:rFonts w:ascii="Cambria" w:hAnsi="Cambria"/>
          <w:b/>
          <w:sz w:val="28"/>
          <w:szCs w:val="28"/>
          <w:highlight w:val="none"/>
        </w:rPr>
      </w:pPr>
    </w:p>
    <w:p w14:paraId="226B0C61">
      <w:pPr>
        <w:jc w:val="center"/>
        <w:rPr>
          <w:rFonts w:ascii="Cambria" w:hAnsi="Cambria"/>
          <w:b/>
          <w:sz w:val="28"/>
          <w:szCs w:val="28"/>
          <w:highlight w:val="none"/>
        </w:rPr>
      </w:pPr>
      <w:r>
        <w:rPr>
          <w:rFonts w:hint="eastAsia" w:ascii="Cambria" w:hAnsi="Cambria"/>
          <w:b/>
          <w:sz w:val="28"/>
          <w:szCs w:val="28"/>
          <w:highlight w:val="none"/>
        </w:rPr>
        <w:t>202</w:t>
      </w:r>
      <w:r>
        <w:rPr>
          <w:rFonts w:ascii="Cambria" w:hAnsi="Cambria"/>
          <w:b/>
          <w:sz w:val="28"/>
          <w:szCs w:val="28"/>
          <w:highlight w:val="none"/>
        </w:rPr>
        <w:t>5</w:t>
      </w:r>
      <w:r>
        <w:rPr>
          <w:rFonts w:hint="eastAsia" w:ascii="Cambria" w:hAnsi="Cambria"/>
          <w:b/>
          <w:sz w:val="28"/>
          <w:szCs w:val="28"/>
          <w:highlight w:val="none"/>
        </w:rPr>
        <w:t xml:space="preserve">年 </w:t>
      </w:r>
      <w:r>
        <w:rPr>
          <w:rFonts w:ascii="Cambria" w:hAnsi="Cambria"/>
          <w:b/>
          <w:sz w:val="28"/>
          <w:szCs w:val="28"/>
          <w:highlight w:val="none"/>
        </w:rPr>
        <w:t xml:space="preserve">  </w:t>
      </w:r>
      <w:r>
        <w:rPr>
          <w:rFonts w:hint="eastAsia" w:ascii="Cambria" w:hAnsi="Cambria"/>
          <w:b/>
          <w:sz w:val="28"/>
          <w:szCs w:val="28"/>
          <w:highlight w:val="none"/>
        </w:rPr>
        <w:t>月</w:t>
      </w:r>
    </w:p>
    <w:p w14:paraId="7EB0939E">
      <w:pPr>
        <w:jc w:val="center"/>
        <w:rPr>
          <w:b/>
          <w:sz w:val="44"/>
          <w:szCs w:val="44"/>
          <w:highlight w:val="none"/>
        </w:rPr>
      </w:pPr>
      <w:r>
        <w:rPr>
          <w:b/>
          <w:sz w:val="44"/>
          <w:szCs w:val="44"/>
          <w:highlight w:val="none"/>
        </w:rPr>
        <w:br w:type="page"/>
      </w:r>
      <w:r>
        <w:rPr>
          <w:rFonts w:hint="eastAsia"/>
          <w:b/>
          <w:sz w:val="44"/>
          <w:szCs w:val="44"/>
          <w:highlight w:val="none"/>
        </w:rPr>
        <w:t>目录</w:t>
      </w:r>
    </w:p>
    <w:p w14:paraId="0F86F96B">
      <w:pPr>
        <w:jc w:val="center"/>
        <w:rPr>
          <w:b/>
          <w:sz w:val="44"/>
          <w:szCs w:val="44"/>
          <w:highlight w:val="none"/>
        </w:rPr>
      </w:pPr>
    </w:p>
    <w:p w14:paraId="29AA18EA">
      <w:pPr>
        <w:jc w:val="center"/>
        <w:rPr>
          <w:b/>
          <w:sz w:val="30"/>
          <w:szCs w:val="30"/>
          <w:highlight w:val="none"/>
        </w:rPr>
      </w:pPr>
    </w:p>
    <w:p w14:paraId="0A44AE4D">
      <w:pPr>
        <w:jc w:val="left"/>
        <w:rPr>
          <w:b/>
          <w:sz w:val="30"/>
          <w:szCs w:val="30"/>
          <w:highlight w:val="none"/>
        </w:rPr>
      </w:pPr>
      <w:r>
        <w:rPr>
          <w:b/>
          <w:sz w:val="30"/>
          <w:szCs w:val="30"/>
          <w:highlight w:val="none"/>
        </w:rPr>
        <w:t>第一</w:t>
      </w:r>
      <w:r>
        <w:rPr>
          <w:rFonts w:hint="eastAsia"/>
          <w:b/>
          <w:sz w:val="30"/>
          <w:szCs w:val="30"/>
          <w:highlight w:val="none"/>
        </w:rPr>
        <w:t xml:space="preserve">节 </w:t>
      </w:r>
      <w:r>
        <w:rPr>
          <w:b/>
          <w:sz w:val="30"/>
          <w:szCs w:val="30"/>
          <w:highlight w:val="none"/>
        </w:rPr>
        <w:t>合同协议书</w:t>
      </w:r>
    </w:p>
    <w:p w14:paraId="6B6E27E1">
      <w:pPr>
        <w:jc w:val="left"/>
        <w:rPr>
          <w:b/>
          <w:sz w:val="30"/>
          <w:szCs w:val="30"/>
          <w:highlight w:val="none"/>
        </w:rPr>
      </w:pPr>
    </w:p>
    <w:p w14:paraId="22A7BBEA">
      <w:pPr>
        <w:spacing w:after="120"/>
        <w:rPr>
          <w:rFonts w:ascii="Cambria" w:hAnsi="Cambria"/>
          <w:b/>
          <w:sz w:val="32"/>
          <w:szCs w:val="20"/>
          <w:highlight w:val="none"/>
        </w:rPr>
      </w:pPr>
    </w:p>
    <w:p w14:paraId="3E306E69">
      <w:pPr>
        <w:jc w:val="left"/>
        <w:rPr>
          <w:b/>
          <w:sz w:val="30"/>
          <w:szCs w:val="30"/>
          <w:highlight w:val="none"/>
        </w:rPr>
      </w:pPr>
      <w:r>
        <w:rPr>
          <w:rFonts w:hint="eastAsia"/>
          <w:b/>
          <w:sz w:val="30"/>
          <w:szCs w:val="30"/>
          <w:highlight w:val="none"/>
        </w:rPr>
        <w:t>第二节 合同条款通用部分</w:t>
      </w:r>
    </w:p>
    <w:p w14:paraId="1FF6DA76">
      <w:pPr>
        <w:jc w:val="left"/>
        <w:rPr>
          <w:b/>
          <w:sz w:val="30"/>
          <w:szCs w:val="30"/>
          <w:highlight w:val="none"/>
        </w:rPr>
      </w:pPr>
    </w:p>
    <w:p w14:paraId="0DF5471D">
      <w:pPr>
        <w:jc w:val="left"/>
        <w:rPr>
          <w:b/>
          <w:sz w:val="30"/>
          <w:szCs w:val="30"/>
          <w:highlight w:val="none"/>
        </w:rPr>
      </w:pPr>
    </w:p>
    <w:p w14:paraId="368A6C9A">
      <w:pPr>
        <w:jc w:val="left"/>
        <w:rPr>
          <w:b/>
          <w:sz w:val="30"/>
          <w:szCs w:val="30"/>
          <w:highlight w:val="none"/>
        </w:rPr>
      </w:pPr>
      <w:r>
        <w:rPr>
          <w:rFonts w:hint="eastAsia"/>
          <w:b/>
          <w:sz w:val="30"/>
          <w:szCs w:val="30"/>
          <w:highlight w:val="none"/>
        </w:rPr>
        <w:t>第三节 合同条款专用部分</w:t>
      </w:r>
    </w:p>
    <w:p w14:paraId="629F4B00">
      <w:pPr>
        <w:jc w:val="left"/>
        <w:rPr>
          <w:b/>
          <w:sz w:val="30"/>
          <w:szCs w:val="30"/>
          <w:highlight w:val="none"/>
        </w:rPr>
      </w:pPr>
    </w:p>
    <w:p w14:paraId="7A6FF128">
      <w:pPr>
        <w:jc w:val="left"/>
        <w:rPr>
          <w:b/>
          <w:sz w:val="30"/>
          <w:szCs w:val="30"/>
          <w:highlight w:val="none"/>
        </w:rPr>
      </w:pPr>
    </w:p>
    <w:p w14:paraId="5E595652">
      <w:pPr>
        <w:jc w:val="left"/>
        <w:rPr>
          <w:b/>
          <w:sz w:val="30"/>
          <w:szCs w:val="30"/>
          <w:highlight w:val="none"/>
        </w:rPr>
      </w:pPr>
      <w:r>
        <w:rPr>
          <w:rFonts w:hint="eastAsia"/>
          <w:b/>
          <w:sz w:val="30"/>
          <w:szCs w:val="30"/>
          <w:highlight w:val="none"/>
        </w:rPr>
        <w:t>第四节 工程质量保证书</w:t>
      </w:r>
    </w:p>
    <w:p w14:paraId="4D1E0115">
      <w:pPr>
        <w:jc w:val="left"/>
        <w:rPr>
          <w:b/>
          <w:sz w:val="30"/>
          <w:szCs w:val="30"/>
          <w:highlight w:val="none"/>
        </w:rPr>
      </w:pPr>
    </w:p>
    <w:p w14:paraId="713AF583">
      <w:pPr>
        <w:jc w:val="left"/>
        <w:rPr>
          <w:b/>
          <w:sz w:val="30"/>
          <w:szCs w:val="30"/>
          <w:highlight w:val="none"/>
        </w:rPr>
      </w:pPr>
    </w:p>
    <w:p w14:paraId="4FD8CEFC">
      <w:pPr>
        <w:jc w:val="left"/>
        <w:rPr>
          <w:b/>
          <w:sz w:val="30"/>
          <w:szCs w:val="30"/>
          <w:highlight w:val="none"/>
        </w:rPr>
      </w:pPr>
      <w:r>
        <w:rPr>
          <w:rFonts w:hint="eastAsia"/>
          <w:b/>
          <w:sz w:val="30"/>
          <w:szCs w:val="30"/>
          <w:highlight w:val="none"/>
        </w:rPr>
        <w:t>第五节 工程廉政责任书</w:t>
      </w:r>
    </w:p>
    <w:p w14:paraId="114E104C">
      <w:pPr>
        <w:jc w:val="left"/>
        <w:rPr>
          <w:b/>
          <w:sz w:val="30"/>
          <w:szCs w:val="30"/>
          <w:highlight w:val="none"/>
        </w:rPr>
      </w:pPr>
    </w:p>
    <w:p w14:paraId="53031287">
      <w:pPr>
        <w:jc w:val="left"/>
        <w:rPr>
          <w:b/>
          <w:sz w:val="30"/>
          <w:szCs w:val="30"/>
          <w:highlight w:val="none"/>
        </w:rPr>
      </w:pPr>
    </w:p>
    <w:p w14:paraId="52042167">
      <w:pPr>
        <w:jc w:val="left"/>
        <w:rPr>
          <w:b/>
          <w:sz w:val="30"/>
          <w:szCs w:val="30"/>
          <w:highlight w:val="none"/>
        </w:rPr>
      </w:pPr>
      <w:r>
        <w:rPr>
          <w:rFonts w:hint="eastAsia"/>
          <w:b/>
          <w:sz w:val="30"/>
          <w:szCs w:val="30"/>
          <w:highlight w:val="none"/>
        </w:rPr>
        <w:t>第六节 中标通知书</w:t>
      </w:r>
    </w:p>
    <w:p w14:paraId="02BB17D3">
      <w:pPr>
        <w:jc w:val="left"/>
        <w:rPr>
          <w:b/>
          <w:sz w:val="30"/>
          <w:szCs w:val="30"/>
          <w:highlight w:val="none"/>
        </w:rPr>
      </w:pPr>
    </w:p>
    <w:p w14:paraId="784C3013">
      <w:pPr>
        <w:jc w:val="left"/>
        <w:rPr>
          <w:b/>
          <w:sz w:val="30"/>
          <w:szCs w:val="30"/>
          <w:highlight w:val="none"/>
        </w:rPr>
      </w:pPr>
    </w:p>
    <w:p w14:paraId="0DD9B28C">
      <w:pPr>
        <w:jc w:val="left"/>
        <w:rPr>
          <w:b/>
          <w:sz w:val="30"/>
          <w:szCs w:val="30"/>
          <w:highlight w:val="none"/>
        </w:rPr>
      </w:pPr>
      <w:r>
        <w:rPr>
          <w:rFonts w:hint="eastAsia"/>
          <w:b/>
          <w:sz w:val="30"/>
          <w:szCs w:val="30"/>
          <w:highlight w:val="none"/>
        </w:rPr>
        <w:t>第七节 施工安全协议书</w:t>
      </w:r>
    </w:p>
    <w:p w14:paraId="52CA6EC9">
      <w:pPr>
        <w:jc w:val="left"/>
        <w:rPr>
          <w:b/>
          <w:sz w:val="30"/>
          <w:szCs w:val="30"/>
          <w:highlight w:val="none"/>
        </w:rPr>
      </w:pPr>
    </w:p>
    <w:p w14:paraId="65C6BA63">
      <w:pPr>
        <w:jc w:val="left"/>
        <w:rPr>
          <w:b/>
          <w:sz w:val="30"/>
          <w:szCs w:val="30"/>
          <w:highlight w:val="none"/>
        </w:rPr>
      </w:pPr>
    </w:p>
    <w:p w14:paraId="1A1DB3FA">
      <w:pPr>
        <w:jc w:val="left"/>
        <w:rPr>
          <w:b/>
          <w:sz w:val="30"/>
          <w:szCs w:val="30"/>
          <w:highlight w:val="none"/>
        </w:rPr>
      </w:pPr>
      <w:r>
        <w:rPr>
          <w:rFonts w:hint="eastAsia"/>
          <w:b/>
          <w:sz w:val="30"/>
          <w:szCs w:val="30"/>
          <w:highlight w:val="none"/>
        </w:rPr>
        <w:t>第八节 合同附件</w:t>
      </w:r>
    </w:p>
    <w:p w14:paraId="39CCE92F">
      <w:pPr>
        <w:jc w:val="center"/>
        <w:rPr>
          <w:b/>
          <w:sz w:val="44"/>
          <w:szCs w:val="44"/>
          <w:highlight w:val="none"/>
        </w:rPr>
      </w:pPr>
      <w:r>
        <w:rPr>
          <w:b/>
          <w:sz w:val="30"/>
          <w:szCs w:val="30"/>
          <w:highlight w:val="none"/>
        </w:rPr>
        <w:br w:type="page"/>
      </w:r>
    </w:p>
    <w:p w14:paraId="69237F24">
      <w:pPr>
        <w:jc w:val="center"/>
        <w:rPr>
          <w:b/>
          <w:sz w:val="44"/>
          <w:szCs w:val="44"/>
          <w:highlight w:val="none"/>
        </w:rPr>
      </w:pPr>
    </w:p>
    <w:p w14:paraId="11B7DCE0">
      <w:pPr>
        <w:jc w:val="center"/>
        <w:rPr>
          <w:b/>
          <w:sz w:val="44"/>
          <w:szCs w:val="44"/>
          <w:highlight w:val="none"/>
        </w:rPr>
      </w:pPr>
    </w:p>
    <w:p w14:paraId="7D20C03C">
      <w:pPr>
        <w:jc w:val="center"/>
        <w:rPr>
          <w:b/>
          <w:sz w:val="44"/>
          <w:szCs w:val="44"/>
          <w:highlight w:val="none"/>
        </w:rPr>
      </w:pPr>
    </w:p>
    <w:p w14:paraId="2BD1739C">
      <w:pPr>
        <w:jc w:val="center"/>
        <w:rPr>
          <w:b/>
          <w:sz w:val="44"/>
          <w:szCs w:val="44"/>
          <w:highlight w:val="none"/>
        </w:rPr>
      </w:pPr>
      <w:r>
        <w:rPr>
          <w:b/>
          <w:sz w:val="44"/>
          <w:szCs w:val="44"/>
          <w:highlight w:val="none"/>
        </w:rPr>
        <w:t>第一</w:t>
      </w:r>
      <w:r>
        <w:rPr>
          <w:rFonts w:hint="eastAsia"/>
          <w:b/>
          <w:sz w:val="44"/>
          <w:szCs w:val="44"/>
          <w:highlight w:val="none"/>
        </w:rPr>
        <w:t xml:space="preserve">节 </w:t>
      </w:r>
      <w:r>
        <w:rPr>
          <w:b/>
          <w:sz w:val="44"/>
          <w:szCs w:val="44"/>
          <w:highlight w:val="none"/>
        </w:rPr>
        <w:t>合同协议书</w:t>
      </w:r>
    </w:p>
    <w:p w14:paraId="3122F4E5">
      <w:pPr>
        <w:jc w:val="center"/>
        <w:rPr>
          <w:b/>
          <w:sz w:val="44"/>
          <w:szCs w:val="44"/>
          <w:highlight w:val="none"/>
        </w:rPr>
      </w:pPr>
    </w:p>
    <w:p w14:paraId="1BBDEBFE">
      <w:pPr>
        <w:spacing w:line="440" w:lineRule="exact"/>
        <w:jc w:val="center"/>
        <w:rPr>
          <w:rFonts w:eastAsia="Cambria"/>
          <w:sz w:val="28"/>
          <w:szCs w:val="28"/>
          <w:highlight w:val="none"/>
        </w:rPr>
      </w:pPr>
      <w:r>
        <w:rPr>
          <w:sz w:val="28"/>
          <w:highlight w:val="none"/>
        </w:rPr>
        <w:br w:type="page"/>
      </w:r>
      <w:r>
        <w:rPr>
          <w:rFonts w:hint="eastAsia" w:ascii="宋体" w:hAnsi="宋体" w:cs="宋体"/>
          <w:sz w:val="28"/>
          <w:szCs w:val="28"/>
          <w:highlight w:val="none"/>
        </w:rPr>
        <w:t>合同协议书</w:t>
      </w:r>
    </w:p>
    <w:p w14:paraId="70989A24">
      <w:pPr>
        <w:spacing w:line="440" w:lineRule="exact"/>
        <w:rPr>
          <w:highlight w:val="none"/>
        </w:rPr>
      </w:pPr>
      <w:r>
        <w:rPr>
          <w:szCs w:val="21"/>
          <w:highlight w:val="none"/>
        </w:rPr>
        <w:t xml:space="preserve">                                                    </w:t>
      </w:r>
    </w:p>
    <w:p w14:paraId="48FC8475">
      <w:pPr>
        <w:spacing w:line="360" w:lineRule="auto"/>
        <w:jc w:val="left"/>
        <w:rPr>
          <w:b/>
          <w:bCs/>
          <w:szCs w:val="18"/>
          <w:highlight w:val="none"/>
          <w:u w:val="single"/>
        </w:rPr>
      </w:pPr>
      <w:r>
        <w:rPr>
          <w:b/>
          <w:bCs/>
          <w:szCs w:val="18"/>
          <w:highlight w:val="none"/>
        </w:rPr>
        <w:t>发包人（全称）：</w:t>
      </w:r>
      <w:r>
        <w:rPr>
          <w:b/>
          <w:bCs/>
          <w:szCs w:val="18"/>
          <w:highlight w:val="none"/>
          <w:u w:val="single"/>
        </w:rPr>
        <w:t>北京财贸职业学院</w:t>
      </w:r>
    </w:p>
    <w:p w14:paraId="75739EA9">
      <w:pPr>
        <w:spacing w:line="400" w:lineRule="exact"/>
        <w:rPr>
          <w:b/>
          <w:bCs/>
          <w:szCs w:val="18"/>
          <w:highlight w:val="none"/>
          <w:u w:val="single"/>
        </w:rPr>
      </w:pPr>
      <w:r>
        <w:rPr>
          <w:b/>
          <w:bCs/>
          <w:szCs w:val="18"/>
          <w:highlight w:val="none"/>
        </w:rPr>
        <w:t>承包人（全称）：</w:t>
      </w:r>
      <w:r>
        <w:rPr>
          <w:rFonts w:hint="eastAsia"/>
          <w:b/>
          <w:bCs/>
          <w:szCs w:val="18"/>
          <w:highlight w:val="none"/>
          <w:u w:val="single"/>
        </w:rPr>
        <w:t xml:space="preserve">***** </w:t>
      </w:r>
    </w:p>
    <w:p w14:paraId="73F1FEE6">
      <w:pPr>
        <w:spacing w:line="400" w:lineRule="exact"/>
        <w:ind w:firstLine="490"/>
        <w:rPr>
          <w:highlight w:val="none"/>
        </w:rPr>
      </w:pPr>
    </w:p>
    <w:p w14:paraId="11DFAC7E">
      <w:pPr>
        <w:spacing w:line="360" w:lineRule="auto"/>
        <w:rPr>
          <w:highlight w:val="none"/>
        </w:rPr>
      </w:pPr>
      <w:r>
        <w:rPr>
          <w:szCs w:val="21"/>
          <w:highlight w:val="none"/>
        </w:rPr>
        <w:t>发包人为建设</w:t>
      </w:r>
      <w:r>
        <w:rPr>
          <w:rFonts w:hint="eastAsia"/>
          <w:b/>
          <w:bCs/>
          <w:szCs w:val="18"/>
          <w:highlight w:val="none"/>
          <w:u w:val="single"/>
        </w:rPr>
        <w:t>*****工程</w:t>
      </w:r>
      <w:r>
        <w:rPr>
          <w:szCs w:val="21"/>
          <w:highlight w:val="none"/>
        </w:rPr>
        <w:t>（以下简称“本工程”）。</w:t>
      </w:r>
      <w:r>
        <w:rPr>
          <w:highlight w:val="none"/>
        </w:rPr>
        <w:t>依照《中华人民共和国招标投标法》、《中华人民共和国合同法》、《中华人民共和国建筑法》、及其他有关法律、行政法规，遵循平等、自愿、公平和诚实信用的原则，双方共同达成并订立如下协议。</w:t>
      </w:r>
    </w:p>
    <w:p w14:paraId="7CF5889B">
      <w:pPr>
        <w:spacing w:line="360" w:lineRule="auto"/>
        <w:rPr>
          <w:rFonts w:eastAsia="Cambria"/>
          <w:highlight w:val="none"/>
        </w:rPr>
      </w:pPr>
      <w:r>
        <w:rPr>
          <w:rFonts w:hint="eastAsia" w:ascii="宋体" w:hAnsi="宋体" w:cs="宋体"/>
          <w:highlight w:val="none"/>
        </w:rPr>
        <w:t>一、工程概况</w:t>
      </w:r>
    </w:p>
    <w:p w14:paraId="4CBADB7D">
      <w:pPr>
        <w:spacing w:line="360" w:lineRule="auto"/>
        <w:rPr>
          <w:highlight w:val="none"/>
          <w:u w:val="single"/>
        </w:rPr>
      </w:pPr>
      <w:r>
        <w:rPr>
          <w:highlight w:val="none"/>
        </w:rPr>
        <w:t>工程名称：</w:t>
      </w:r>
      <w:r>
        <w:rPr>
          <w:rFonts w:hint="eastAsia"/>
          <w:szCs w:val="18"/>
          <w:highlight w:val="none"/>
          <w:u w:val="single"/>
        </w:rPr>
        <w:t>北京财贸职业学院*******</w:t>
      </w:r>
      <w:r>
        <w:rPr>
          <w:highlight w:val="none"/>
        </w:rPr>
        <w:t>（项目名称）</w:t>
      </w:r>
    </w:p>
    <w:p w14:paraId="30E00322">
      <w:pPr>
        <w:spacing w:line="360" w:lineRule="auto"/>
        <w:rPr>
          <w:highlight w:val="none"/>
          <w:u w:val="single"/>
        </w:rPr>
      </w:pPr>
      <w:r>
        <w:rPr>
          <w:highlight w:val="none"/>
        </w:rPr>
        <w:t>工程地点：</w:t>
      </w:r>
      <w:r>
        <w:rPr>
          <w:highlight w:val="none"/>
          <w:u w:val="single"/>
        </w:rPr>
        <w:t xml:space="preserve">       </w:t>
      </w:r>
      <w:r>
        <w:rPr>
          <w:rFonts w:hint="eastAsia"/>
          <w:highlight w:val="none"/>
          <w:u w:val="single"/>
        </w:rPr>
        <w:t>北京财贸职业学院涿州校区</w:t>
      </w:r>
      <w:r>
        <w:rPr>
          <w:highlight w:val="none"/>
          <w:u w:val="single"/>
        </w:rPr>
        <w:t xml:space="preserve">      </w:t>
      </w:r>
    </w:p>
    <w:p w14:paraId="52B7C656">
      <w:pPr>
        <w:spacing w:line="360" w:lineRule="auto"/>
        <w:rPr>
          <w:szCs w:val="21"/>
          <w:highlight w:val="none"/>
          <w:u w:val="single"/>
        </w:rPr>
      </w:pPr>
      <w:r>
        <w:rPr>
          <w:highlight w:val="none"/>
        </w:rPr>
        <w:t>工程内容：</w:t>
      </w:r>
      <w:r>
        <w:rPr>
          <w:rFonts w:hint="eastAsia"/>
          <w:highlight w:val="none"/>
          <w:u w:val="single"/>
        </w:rPr>
        <w:t xml:space="preserve">                               </w:t>
      </w:r>
      <w:r>
        <w:rPr>
          <w:highlight w:val="none"/>
          <w:u w:val="single"/>
        </w:rPr>
        <w:t xml:space="preserve">   </w:t>
      </w:r>
      <w:r>
        <w:rPr>
          <w:rFonts w:hint="eastAsia"/>
          <w:highlight w:val="none"/>
          <w:u w:val="single"/>
        </w:rPr>
        <w:t xml:space="preserve"> </w:t>
      </w:r>
    </w:p>
    <w:p w14:paraId="29A7BF2E">
      <w:pPr>
        <w:rPr>
          <w:highlight w:val="none"/>
          <w:u w:val="single"/>
        </w:rPr>
      </w:pPr>
      <w:r>
        <w:rPr>
          <w:highlight w:val="none"/>
        </w:rPr>
        <w:t>工程立项批准文号：</w:t>
      </w:r>
      <w:r>
        <w:rPr>
          <w:highlight w:val="none"/>
          <w:u w:val="single"/>
        </w:rPr>
        <w:t xml:space="preserve">             </w:t>
      </w:r>
      <w:r>
        <w:rPr>
          <w:b/>
          <w:sz w:val="18"/>
          <w:szCs w:val="18"/>
          <w:highlight w:val="none"/>
          <w:u w:val="single"/>
        </w:rPr>
        <w:t>/</w:t>
      </w:r>
      <w:r>
        <w:rPr>
          <w:highlight w:val="none"/>
          <w:u w:val="single"/>
        </w:rPr>
        <w:t xml:space="preserve">             </w:t>
      </w:r>
    </w:p>
    <w:p w14:paraId="4F28F7DD">
      <w:pPr>
        <w:spacing w:line="360" w:lineRule="auto"/>
        <w:rPr>
          <w:highlight w:val="none"/>
          <w:u w:val="single"/>
        </w:rPr>
      </w:pPr>
      <w:r>
        <w:rPr>
          <w:highlight w:val="none"/>
        </w:rPr>
        <w:t>资金来源：</w:t>
      </w:r>
      <w:r>
        <w:rPr>
          <w:highlight w:val="none"/>
          <w:u w:val="single"/>
        </w:rPr>
        <w:t xml:space="preserve">   </w:t>
      </w:r>
      <w:r>
        <w:rPr>
          <w:rFonts w:hint="eastAsia"/>
          <w:highlight w:val="none"/>
          <w:u w:val="single"/>
        </w:rPr>
        <w:t xml:space="preserve">  </w:t>
      </w:r>
      <w:r>
        <w:rPr>
          <w:highlight w:val="none"/>
          <w:u w:val="single"/>
        </w:rPr>
        <w:t xml:space="preserve"> </w:t>
      </w:r>
      <w:r>
        <w:rPr>
          <w:rFonts w:hint="eastAsia"/>
          <w:highlight w:val="none"/>
          <w:u w:val="single"/>
        </w:rPr>
        <w:t xml:space="preserve">  财政资金         </w:t>
      </w:r>
      <w:r>
        <w:rPr>
          <w:highlight w:val="none"/>
          <w:u w:val="single"/>
        </w:rPr>
        <w:t xml:space="preserve">          </w:t>
      </w:r>
      <w:r>
        <w:rPr>
          <w:highlight w:val="none"/>
        </w:rPr>
        <w:t xml:space="preserve"> </w:t>
      </w:r>
    </w:p>
    <w:p w14:paraId="02F2DF70">
      <w:pPr>
        <w:spacing w:line="360" w:lineRule="auto"/>
        <w:rPr>
          <w:rFonts w:eastAsia="Cambria"/>
          <w:highlight w:val="none"/>
        </w:rPr>
      </w:pPr>
      <w:r>
        <w:rPr>
          <w:rFonts w:hint="eastAsia" w:ascii="宋体" w:hAnsi="宋体" w:cs="宋体"/>
          <w:highlight w:val="none"/>
        </w:rPr>
        <w:t>二、工程承包范围</w:t>
      </w:r>
    </w:p>
    <w:p w14:paraId="6CE42841">
      <w:pPr>
        <w:spacing w:line="360" w:lineRule="auto"/>
        <w:rPr>
          <w:highlight w:val="none"/>
        </w:rPr>
      </w:pPr>
      <w:r>
        <w:rPr>
          <w:highlight w:val="none"/>
        </w:rPr>
        <w:t>承包范围：</w:t>
      </w:r>
      <w:r>
        <w:rPr>
          <w:szCs w:val="18"/>
          <w:highlight w:val="none"/>
          <w:u w:val="single"/>
        </w:rPr>
        <w:t>完成工程量清单所列内容。</w:t>
      </w:r>
      <w:r>
        <w:rPr>
          <w:rFonts w:hint="eastAsia"/>
          <w:highlight w:val="none"/>
          <w:u w:val="single"/>
        </w:rPr>
        <w:t xml:space="preserve"> </w:t>
      </w:r>
    </w:p>
    <w:p w14:paraId="6A1DE831">
      <w:pPr>
        <w:spacing w:line="360" w:lineRule="auto"/>
        <w:rPr>
          <w:b/>
          <w:highlight w:val="none"/>
          <w:u w:val="single"/>
        </w:rPr>
      </w:pPr>
      <w:r>
        <w:rPr>
          <w:highlight w:val="none"/>
        </w:rPr>
        <w:t>详细承包范围见“技术标准和要求”。</w:t>
      </w:r>
    </w:p>
    <w:p w14:paraId="1B0CE690">
      <w:pPr>
        <w:spacing w:line="360" w:lineRule="auto"/>
        <w:rPr>
          <w:rFonts w:eastAsia="Cambria"/>
          <w:highlight w:val="none"/>
        </w:rPr>
      </w:pPr>
      <w:r>
        <w:rPr>
          <w:rFonts w:hint="eastAsia" w:ascii="宋体" w:hAnsi="宋体" w:cs="宋体"/>
          <w:highlight w:val="none"/>
        </w:rPr>
        <w:t>三、合同工期</w:t>
      </w:r>
    </w:p>
    <w:p w14:paraId="0A3D0149">
      <w:pPr>
        <w:spacing w:line="360" w:lineRule="auto"/>
        <w:rPr>
          <w:highlight w:val="none"/>
          <w:u w:val="single"/>
        </w:rPr>
      </w:pPr>
      <w:r>
        <w:rPr>
          <w:highlight w:val="none"/>
        </w:rPr>
        <w:t>计划开工日期：</w:t>
      </w:r>
      <w:r>
        <w:rPr>
          <w:rFonts w:hint="eastAsia"/>
          <w:highlight w:val="none"/>
          <w:u w:val="single"/>
        </w:rPr>
        <w:t>202</w:t>
      </w:r>
      <w:r>
        <w:rPr>
          <w:highlight w:val="none"/>
          <w:u w:val="single"/>
        </w:rPr>
        <w:t>5</w:t>
      </w:r>
      <w:r>
        <w:rPr>
          <w:rFonts w:hint="eastAsia"/>
          <w:highlight w:val="none"/>
          <w:u w:val="single"/>
        </w:rPr>
        <w:t xml:space="preserve"> </w:t>
      </w:r>
      <w:r>
        <w:rPr>
          <w:highlight w:val="none"/>
        </w:rPr>
        <w:t>年</w:t>
      </w:r>
      <w:r>
        <w:rPr>
          <w:rFonts w:hint="eastAsia"/>
          <w:highlight w:val="none"/>
          <w:u w:val="single"/>
        </w:rPr>
        <w:t xml:space="preserve">   </w:t>
      </w:r>
      <w:r>
        <w:rPr>
          <w:highlight w:val="none"/>
        </w:rPr>
        <w:t>月</w:t>
      </w:r>
      <w:r>
        <w:rPr>
          <w:rFonts w:hint="eastAsia"/>
          <w:highlight w:val="none"/>
          <w:u w:val="single"/>
        </w:rPr>
        <w:t xml:space="preserve">   </w:t>
      </w:r>
      <w:r>
        <w:rPr>
          <w:highlight w:val="none"/>
        </w:rPr>
        <w:t>日</w:t>
      </w:r>
    </w:p>
    <w:p w14:paraId="197F6383">
      <w:pPr>
        <w:spacing w:line="360" w:lineRule="auto"/>
        <w:rPr>
          <w:highlight w:val="none"/>
          <w:u w:val="single"/>
        </w:rPr>
      </w:pPr>
      <w:r>
        <w:rPr>
          <w:highlight w:val="none"/>
        </w:rPr>
        <w:t>计划竣工日期：</w:t>
      </w:r>
      <w:r>
        <w:rPr>
          <w:rFonts w:hint="eastAsia"/>
          <w:highlight w:val="none"/>
          <w:u w:val="single"/>
        </w:rPr>
        <w:t>202</w:t>
      </w:r>
      <w:r>
        <w:rPr>
          <w:highlight w:val="none"/>
          <w:u w:val="single"/>
        </w:rPr>
        <w:t>5</w:t>
      </w:r>
      <w:r>
        <w:rPr>
          <w:highlight w:val="none"/>
        </w:rPr>
        <w:t>年</w:t>
      </w:r>
      <w:r>
        <w:rPr>
          <w:rFonts w:hint="eastAsia"/>
          <w:highlight w:val="none"/>
          <w:u w:val="single"/>
        </w:rPr>
        <w:t xml:space="preserve">    </w:t>
      </w:r>
      <w:r>
        <w:rPr>
          <w:highlight w:val="none"/>
        </w:rPr>
        <w:t>月</w:t>
      </w:r>
      <w:r>
        <w:rPr>
          <w:rFonts w:hint="eastAsia"/>
          <w:highlight w:val="none"/>
          <w:u w:val="single"/>
        </w:rPr>
        <w:t xml:space="preserve">    </w:t>
      </w:r>
      <w:r>
        <w:rPr>
          <w:highlight w:val="none"/>
        </w:rPr>
        <w:t>日</w:t>
      </w:r>
    </w:p>
    <w:p w14:paraId="2D36B340">
      <w:pPr>
        <w:spacing w:line="360" w:lineRule="auto"/>
        <w:rPr>
          <w:highlight w:val="none"/>
        </w:rPr>
      </w:pPr>
      <w:r>
        <w:rPr>
          <w:highlight w:val="none"/>
        </w:rPr>
        <w:t>工期总日历天数</w:t>
      </w:r>
      <w:r>
        <w:rPr>
          <w:rFonts w:hint="eastAsia"/>
          <w:highlight w:val="none"/>
          <w:u w:val="single"/>
        </w:rPr>
        <w:t xml:space="preserve">   </w:t>
      </w:r>
      <w:r>
        <w:rPr>
          <w:highlight w:val="none"/>
        </w:rPr>
        <w:t>天，自监理人发出的开工通知中载明的开工日期起算。</w:t>
      </w:r>
    </w:p>
    <w:p w14:paraId="11B95BC9">
      <w:pPr>
        <w:spacing w:line="360" w:lineRule="auto"/>
        <w:rPr>
          <w:rFonts w:eastAsia="Cambria"/>
          <w:highlight w:val="none"/>
        </w:rPr>
      </w:pPr>
      <w:r>
        <w:rPr>
          <w:rFonts w:hint="eastAsia" w:ascii="宋体" w:hAnsi="宋体" w:cs="宋体"/>
          <w:highlight w:val="none"/>
        </w:rPr>
        <w:t>四、质量标准</w:t>
      </w:r>
    </w:p>
    <w:p w14:paraId="54B903CA">
      <w:pPr>
        <w:spacing w:line="360" w:lineRule="auto"/>
        <w:rPr>
          <w:highlight w:val="none"/>
          <w:u w:val="single"/>
        </w:rPr>
      </w:pPr>
      <w:r>
        <w:rPr>
          <w:highlight w:val="none"/>
        </w:rPr>
        <w:t>工程质量标准：</w:t>
      </w:r>
      <w:r>
        <w:rPr>
          <w:highlight w:val="none"/>
          <w:u w:val="single"/>
        </w:rPr>
        <w:t xml:space="preserve">    合格                                           </w:t>
      </w:r>
      <w:r>
        <w:rPr>
          <w:highlight w:val="none"/>
        </w:rPr>
        <w:t xml:space="preserve"> </w:t>
      </w:r>
    </w:p>
    <w:p w14:paraId="14D75311">
      <w:pPr>
        <w:spacing w:line="360" w:lineRule="auto"/>
        <w:rPr>
          <w:rFonts w:eastAsia="Cambria"/>
          <w:highlight w:val="none"/>
        </w:rPr>
      </w:pPr>
      <w:r>
        <w:rPr>
          <w:rFonts w:hint="eastAsia" w:ascii="宋体" w:hAnsi="宋体" w:cs="宋体"/>
          <w:highlight w:val="none"/>
        </w:rPr>
        <w:t>五、合同形式</w:t>
      </w:r>
    </w:p>
    <w:p w14:paraId="58A9EF64">
      <w:pPr>
        <w:spacing w:line="360" w:lineRule="auto"/>
        <w:rPr>
          <w:b/>
          <w:highlight w:val="none"/>
          <w:u w:val="single"/>
        </w:rPr>
      </w:pPr>
      <w:r>
        <w:rPr>
          <w:highlight w:val="none"/>
        </w:rPr>
        <w:t xml:space="preserve">本合同采用 </w:t>
      </w:r>
      <w:r>
        <w:rPr>
          <w:highlight w:val="none"/>
          <w:u w:val="single"/>
        </w:rPr>
        <w:t xml:space="preserve">     </w:t>
      </w:r>
      <w:r>
        <w:rPr>
          <w:rFonts w:hint="eastAsia"/>
          <w:highlight w:val="none"/>
          <w:u w:val="single"/>
        </w:rPr>
        <w:t>单价合同</w:t>
      </w:r>
      <w:r>
        <w:rPr>
          <w:highlight w:val="none"/>
          <w:u w:val="single"/>
        </w:rPr>
        <w:t xml:space="preserve">     </w:t>
      </w:r>
      <w:r>
        <w:rPr>
          <w:highlight w:val="none"/>
        </w:rPr>
        <w:t>合同形式。</w:t>
      </w:r>
    </w:p>
    <w:p w14:paraId="2450E03B">
      <w:pPr>
        <w:spacing w:line="360" w:lineRule="auto"/>
        <w:rPr>
          <w:rFonts w:eastAsia="Cambria"/>
          <w:bCs/>
          <w:highlight w:val="none"/>
        </w:rPr>
      </w:pPr>
      <w:r>
        <w:rPr>
          <w:rFonts w:hint="eastAsia" w:ascii="宋体" w:hAnsi="宋体" w:cs="宋体"/>
          <w:bCs/>
          <w:highlight w:val="none"/>
        </w:rPr>
        <w:t>六、签约合同价</w:t>
      </w:r>
    </w:p>
    <w:p w14:paraId="5713E7A2">
      <w:pPr>
        <w:spacing w:line="360" w:lineRule="auto"/>
        <w:rPr>
          <w:highlight w:val="none"/>
        </w:rPr>
      </w:pPr>
      <w:r>
        <w:rPr>
          <w:highlight w:val="none"/>
        </w:rPr>
        <w:t>1.签约合同价为：</w:t>
      </w:r>
    </w:p>
    <w:p w14:paraId="78D2DC43">
      <w:pPr>
        <w:spacing w:line="360" w:lineRule="auto"/>
        <w:rPr>
          <w:highlight w:val="none"/>
        </w:rPr>
      </w:pPr>
      <w:r>
        <w:rPr>
          <w:rFonts w:hint="eastAsia"/>
          <w:highlight w:val="none"/>
        </w:rPr>
        <w:t>人民币（大写）</w:t>
      </w:r>
      <w:r>
        <w:rPr>
          <w:rFonts w:hint="eastAsia"/>
          <w:highlight w:val="none"/>
          <w:u w:val="single"/>
        </w:rPr>
        <w:t xml:space="preserve">                </w:t>
      </w:r>
      <w:r>
        <w:rPr>
          <w:rFonts w:hint="eastAsia"/>
          <w:highlight w:val="none"/>
        </w:rPr>
        <w:t xml:space="preserve"> (</w:t>
      </w:r>
      <w:r>
        <w:rPr>
          <w:rFonts w:ascii="Calibri" w:hAnsi="Calibri" w:cs="Calibri"/>
          <w:highlight w:val="none"/>
        </w:rPr>
        <w:t>¥</w:t>
      </w:r>
      <w:r>
        <w:rPr>
          <w:rFonts w:hint="eastAsia"/>
          <w:highlight w:val="none"/>
        </w:rPr>
        <w:t xml:space="preserve"> </w:t>
      </w:r>
      <w:r>
        <w:rPr>
          <w:rFonts w:hint="eastAsia"/>
          <w:highlight w:val="none"/>
          <w:u w:val="single"/>
        </w:rPr>
        <w:t xml:space="preserve">           </w:t>
      </w:r>
      <w:r>
        <w:rPr>
          <w:rFonts w:hint="eastAsia"/>
          <w:highlight w:val="none"/>
        </w:rPr>
        <w:t>元)；</w:t>
      </w:r>
    </w:p>
    <w:p w14:paraId="263F0429">
      <w:pPr>
        <w:spacing w:line="360" w:lineRule="auto"/>
        <w:rPr>
          <w:highlight w:val="none"/>
        </w:rPr>
      </w:pPr>
      <w:r>
        <w:rPr>
          <w:rFonts w:hint="eastAsia"/>
          <w:highlight w:val="none"/>
        </w:rPr>
        <w:t>其中：</w:t>
      </w:r>
    </w:p>
    <w:p w14:paraId="6D223DF6">
      <w:pPr>
        <w:spacing w:line="360" w:lineRule="auto"/>
        <w:rPr>
          <w:highlight w:val="none"/>
        </w:rPr>
      </w:pPr>
      <w:r>
        <w:rPr>
          <w:rFonts w:hint="eastAsia"/>
          <w:highlight w:val="none"/>
        </w:rPr>
        <w:t>（</w:t>
      </w:r>
      <w:r>
        <w:rPr>
          <w:highlight w:val="none"/>
        </w:rPr>
        <w:t>1）安全文明施工费：</w:t>
      </w:r>
    </w:p>
    <w:p w14:paraId="0A98E99A">
      <w:pPr>
        <w:spacing w:line="360" w:lineRule="auto"/>
        <w:rPr>
          <w:highlight w:val="none"/>
        </w:rPr>
      </w:pPr>
      <w:r>
        <w:rPr>
          <w:rFonts w:hint="eastAsia"/>
          <w:highlight w:val="none"/>
        </w:rPr>
        <w:t>人民币（大写）</w:t>
      </w:r>
      <w:r>
        <w:rPr>
          <w:rFonts w:hint="eastAsia"/>
          <w:highlight w:val="none"/>
          <w:u w:val="single"/>
        </w:rPr>
        <w:t xml:space="preserve">              </w:t>
      </w:r>
      <w:r>
        <w:rPr>
          <w:rFonts w:hint="eastAsia"/>
          <w:highlight w:val="none"/>
        </w:rPr>
        <w:t xml:space="preserve"> (</w:t>
      </w:r>
      <w:r>
        <w:rPr>
          <w:rFonts w:ascii="Calibri" w:hAnsi="Calibri" w:cs="Calibri"/>
          <w:highlight w:val="none"/>
        </w:rPr>
        <w:t>¥</w:t>
      </w:r>
      <w:r>
        <w:rPr>
          <w:rFonts w:hint="eastAsia"/>
          <w:highlight w:val="none"/>
          <w:u w:val="single"/>
        </w:rPr>
        <w:t xml:space="preserve">          </w:t>
      </w:r>
      <w:r>
        <w:rPr>
          <w:rFonts w:hint="eastAsia"/>
          <w:highlight w:val="none"/>
        </w:rPr>
        <w:t>元)；</w:t>
      </w:r>
    </w:p>
    <w:p w14:paraId="5F5F1BB0">
      <w:pPr>
        <w:spacing w:line="360" w:lineRule="auto"/>
        <w:rPr>
          <w:highlight w:val="none"/>
        </w:rPr>
      </w:pPr>
      <w:r>
        <w:rPr>
          <w:rFonts w:hint="eastAsia"/>
          <w:highlight w:val="none"/>
        </w:rPr>
        <w:t>（</w:t>
      </w:r>
      <w:r>
        <w:rPr>
          <w:highlight w:val="none"/>
        </w:rPr>
        <w:t>2）材料和工程设备暂估价金额：</w:t>
      </w:r>
    </w:p>
    <w:p w14:paraId="4F3212FC">
      <w:pPr>
        <w:spacing w:line="360" w:lineRule="auto"/>
        <w:rPr>
          <w:highlight w:val="none"/>
        </w:rPr>
      </w:pPr>
      <w:r>
        <w:rPr>
          <w:rFonts w:hint="eastAsia"/>
          <w:highlight w:val="none"/>
        </w:rPr>
        <w:t>人民币（大写）</w:t>
      </w:r>
      <w:r>
        <w:rPr>
          <w:rFonts w:hint="eastAsia"/>
          <w:highlight w:val="none"/>
          <w:u w:val="single"/>
        </w:rPr>
        <w:t xml:space="preserve">              </w:t>
      </w:r>
      <w:r>
        <w:rPr>
          <w:rFonts w:hint="eastAsia"/>
          <w:highlight w:val="none"/>
        </w:rPr>
        <w:t xml:space="preserve"> (</w:t>
      </w:r>
      <w:r>
        <w:rPr>
          <w:rFonts w:ascii="Calibri" w:hAnsi="Calibri" w:cs="Calibri"/>
          <w:highlight w:val="none"/>
        </w:rPr>
        <w:t>¥</w:t>
      </w:r>
      <w:r>
        <w:rPr>
          <w:rFonts w:hint="eastAsia"/>
          <w:highlight w:val="none"/>
          <w:u w:val="single"/>
        </w:rPr>
        <w:t xml:space="preserve">          </w:t>
      </w:r>
      <w:r>
        <w:rPr>
          <w:rFonts w:hint="eastAsia"/>
          <w:highlight w:val="none"/>
        </w:rPr>
        <w:t>元)；</w:t>
      </w:r>
    </w:p>
    <w:p w14:paraId="2218A6A8">
      <w:pPr>
        <w:spacing w:line="360" w:lineRule="auto"/>
        <w:rPr>
          <w:highlight w:val="none"/>
        </w:rPr>
      </w:pPr>
      <w:r>
        <w:rPr>
          <w:rFonts w:hint="eastAsia"/>
          <w:highlight w:val="none"/>
        </w:rPr>
        <w:t>（</w:t>
      </w:r>
      <w:r>
        <w:rPr>
          <w:highlight w:val="none"/>
        </w:rPr>
        <w:t>3）专业工程暂估价金额：</w:t>
      </w:r>
    </w:p>
    <w:p w14:paraId="7E132D57">
      <w:pPr>
        <w:spacing w:line="360" w:lineRule="auto"/>
        <w:rPr>
          <w:highlight w:val="none"/>
        </w:rPr>
      </w:pPr>
      <w:r>
        <w:rPr>
          <w:rFonts w:hint="eastAsia"/>
          <w:highlight w:val="none"/>
        </w:rPr>
        <w:t>人民币（大写）</w:t>
      </w:r>
      <w:r>
        <w:rPr>
          <w:rFonts w:hint="eastAsia"/>
          <w:highlight w:val="none"/>
          <w:u w:val="single"/>
        </w:rPr>
        <w:t xml:space="preserve">              </w:t>
      </w:r>
      <w:r>
        <w:rPr>
          <w:rFonts w:hint="eastAsia"/>
          <w:highlight w:val="none"/>
        </w:rPr>
        <w:t xml:space="preserve"> (</w:t>
      </w:r>
      <w:r>
        <w:rPr>
          <w:rFonts w:ascii="Calibri" w:hAnsi="Calibri" w:cs="Calibri"/>
          <w:highlight w:val="none"/>
        </w:rPr>
        <w:t>¥</w:t>
      </w:r>
      <w:r>
        <w:rPr>
          <w:rFonts w:hint="eastAsia"/>
          <w:highlight w:val="none"/>
        </w:rPr>
        <w:t xml:space="preserve"> </w:t>
      </w:r>
      <w:r>
        <w:rPr>
          <w:rFonts w:hint="eastAsia"/>
          <w:highlight w:val="none"/>
          <w:u w:val="single"/>
        </w:rPr>
        <w:t xml:space="preserve">         </w:t>
      </w:r>
      <w:r>
        <w:rPr>
          <w:rFonts w:hint="eastAsia"/>
          <w:highlight w:val="none"/>
        </w:rPr>
        <w:t>元)；</w:t>
      </w:r>
    </w:p>
    <w:p w14:paraId="1FFCF291">
      <w:pPr>
        <w:spacing w:line="360" w:lineRule="auto"/>
        <w:rPr>
          <w:highlight w:val="none"/>
          <w:u w:val="single"/>
        </w:rPr>
      </w:pPr>
      <w:r>
        <w:rPr>
          <w:rFonts w:hint="eastAsia"/>
          <w:highlight w:val="none"/>
        </w:rPr>
        <w:t>（</w:t>
      </w:r>
      <w:r>
        <w:rPr>
          <w:highlight w:val="none"/>
        </w:rPr>
        <w:t>4）暂列金额：</w:t>
      </w:r>
    </w:p>
    <w:p w14:paraId="7F5E7BB8">
      <w:pPr>
        <w:spacing w:line="360" w:lineRule="auto"/>
        <w:rPr>
          <w:highlight w:val="none"/>
        </w:rPr>
      </w:pPr>
      <w:r>
        <w:rPr>
          <w:rFonts w:hint="eastAsia"/>
          <w:highlight w:val="none"/>
        </w:rPr>
        <w:t>人民币（大写）</w:t>
      </w:r>
      <w:r>
        <w:rPr>
          <w:rFonts w:hint="eastAsia"/>
          <w:highlight w:val="none"/>
          <w:u w:val="single"/>
        </w:rPr>
        <w:t xml:space="preserve">             </w:t>
      </w:r>
      <w:r>
        <w:rPr>
          <w:rFonts w:hint="eastAsia"/>
          <w:highlight w:val="none"/>
        </w:rPr>
        <w:t xml:space="preserve">  (</w:t>
      </w:r>
      <w:r>
        <w:rPr>
          <w:rFonts w:ascii="Calibri" w:hAnsi="Calibri" w:cs="Calibri"/>
          <w:highlight w:val="none"/>
        </w:rPr>
        <w:t>¥</w:t>
      </w:r>
      <w:r>
        <w:rPr>
          <w:rFonts w:hint="eastAsia"/>
          <w:highlight w:val="none"/>
          <w:u w:val="single"/>
        </w:rPr>
        <w:t xml:space="preserve">          </w:t>
      </w:r>
      <w:r>
        <w:rPr>
          <w:rFonts w:hint="eastAsia"/>
          <w:highlight w:val="none"/>
        </w:rPr>
        <w:t>元)。</w:t>
      </w:r>
    </w:p>
    <w:p w14:paraId="1D46322F">
      <w:pPr>
        <w:spacing w:line="360" w:lineRule="auto"/>
        <w:rPr>
          <w:rFonts w:eastAsia="Cambria"/>
          <w:bCs/>
          <w:highlight w:val="none"/>
        </w:rPr>
      </w:pPr>
      <w:r>
        <w:rPr>
          <w:rFonts w:hint="eastAsia" w:ascii="宋体" w:hAnsi="宋体" w:cs="宋体"/>
          <w:bCs/>
          <w:highlight w:val="none"/>
        </w:rPr>
        <w:t>七、承包人项目经理：</w:t>
      </w:r>
    </w:p>
    <w:p w14:paraId="6C17F800">
      <w:pPr>
        <w:spacing w:line="360" w:lineRule="auto"/>
        <w:rPr>
          <w:szCs w:val="21"/>
          <w:highlight w:val="none"/>
        </w:rPr>
      </w:pPr>
      <w:r>
        <w:rPr>
          <w:szCs w:val="21"/>
          <w:highlight w:val="none"/>
        </w:rPr>
        <w:t>姓名：</w:t>
      </w:r>
      <w:r>
        <w:rPr>
          <w:rFonts w:hint="eastAsia"/>
          <w:szCs w:val="21"/>
          <w:highlight w:val="none"/>
          <w:u w:val="single"/>
        </w:rPr>
        <w:t xml:space="preserve">         </w:t>
      </w:r>
      <w:r>
        <w:rPr>
          <w:szCs w:val="21"/>
          <w:highlight w:val="none"/>
        </w:rPr>
        <w:t xml:space="preserve">；        </w:t>
      </w:r>
      <w:r>
        <w:rPr>
          <w:rFonts w:hint="eastAsia"/>
          <w:szCs w:val="21"/>
          <w:highlight w:val="none"/>
        </w:rPr>
        <w:t xml:space="preserve">  </w:t>
      </w:r>
      <w:r>
        <w:rPr>
          <w:szCs w:val="21"/>
          <w:highlight w:val="none"/>
        </w:rPr>
        <w:t>职称：</w:t>
      </w:r>
      <w:r>
        <w:rPr>
          <w:rFonts w:hint="eastAsia"/>
          <w:szCs w:val="21"/>
          <w:highlight w:val="none"/>
          <w:u w:val="single"/>
        </w:rPr>
        <w:t xml:space="preserve">       </w:t>
      </w:r>
      <w:r>
        <w:rPr>
          <w:szCs w:val="21"/>
          <w:highlight w:val="none"/>
        </w:rPr>
        <w:t>；</w:t>
      </w:r>
    </w:p>
    <w:p w14:paraId="247A7FF1">
      <w:pPr>
        <w:spacing w:line="360" w:lineRule="auto"/>
        <w:rPr>
          <w:szCs w:val="21"/>
          <w:highlight w:val="none"/>
        </w:rPr>
      </w:pPr>
      <w:r>
        <w:rPr>
          <w:szCs w:val="21"/>
          <w:highlight w:val="none"/>
        </w:rPr>
        <w:t>身份证号：</w:t>
      </w:r>
      <w:r>
        <w:rPr>
          <w:rFonts w:hint="eastAsia"/>
          <w:szCs w:val="21"/>
          <w:highlight w:val="none"/>
          <w:u w:val="single"/>
        </w:rPr>
        <w:t xml:space="preserve">                     </w:t>
      </w:r>
      <w:r>
        <w:rPr>
          <w:szCs w:val="21"/>
          <w:highlight w:val="none"/>
        </w:rPr>
        <w:t>；        建造师执业资格证书号：</w:t>
      </w:r>
      <w:r>
        <w:rPr>
          <w:rFonts w:hint="eastAsia"/>
          <w:szCs w:val="21"/>
          <w:highlight w:val="none"/>
          <w:u w:val="single"/>
        </w:rPr>
        <w:t xml:space="preserve">           </w:t>
      </w:r>
      <w:r>
        <w:rPr>
          <w:szCs w:val="21"/>
          <w:highlight w:val="none"/>
        </w:rPr>
        <w:t>；</w:t>
      </w:r>
    </w:p>
    <w:p w14:paraId="3C781A00">
      <w:pPr>
        <w:spacing w:line="360" w:lineRule="auto"/>
        <w:rPr>
          <w:szCs w:val="21"/>
          <w:highlight w:val="none"/>
        </w:rPr>
      </w:pPr>
      <w:r>
        <w:rPr>
          <w:szCs w:val="21"/>
          <w:highlight w:val="none"/>
        </w:rPr>
        <w:t>建造师注册证书号:</w:t>
      </w:r>
      <w:r>
        <w:rPr>
          <w:rFonts w:hint="eastAsia"/>
          <w:szCs w:val="21"/>
          <w:highlight w:val="none"/>
          <w:u w:val="single"/>
        </w:rPr>
        <w:t xml:space="preserve">                 </w:t>
      </w:r>
      <w:r>
        <w:rPr>
          <w:szCs w:val="21"/>
          <w:highlight w:val="none"/>
        </w:rPr>
        <w:t>。</w:t>
      </w:r>
    </w:p>
    <w:p w14:paraId="461D6078">
      <w:pPr>
        <w:spacing w:line="360" w:lineRule="auto"/>
        <w:rPr>
          <w:szCs w:val="21"/>
          <w:highlight w:val="none"/>
        </w:rPr>
      </w:pPr>
      <w:r>
        <w:rPr>
          <w:szCs w:val="21"/>
          <w:highlight w:val="none"/>
        </w:rPr>
        <w:t>安全生产考核合格证书号：</w:t>
      </w:r>
      <w:r>
        <w:rPr>
          <w:rFonts w:hint="eastAsia"/>
          <w:szCs w:val="21"/>
          <w:highlight w:val="none"/>
          <w:u w:val="single"/>
        </w:rPr>
        <w:t xml:space="preserve">                            </w:t>
      </w:r>
      <w:r>
        <w:rPr>
          <w:szCs w:val="21"/>
          <w:highlight w:val="none"/>
          <w:u w:val="single"/>
        </w:rPr>
        <w:t xml:space="preserve"> </w:t>
      </w:r>
      <w:r>
        <w:rPr>
          <w:szCs w:val="21"/>
          <w:highlight w:val="none"/>
        </w:rPr>
        <w:t>。</w:t>
      </w:r>
    </w:p>
    <w:p w14:paraId="7B1C21D8">
      <w:pPr>
        <w:spacing w:line="360" w:lineRule="auto"/>
        <w:rPr>
          <w:rFonts w:eastAsia="Cambria"/>
          <w:highlight w:val="none"/>
        </w:rPr>
      </w:pPr>
      <w:r>
        <w:rPr>
          <w:rFonts w:hint="eastAsia"/>
          <w:szCs w:val="21"/>
          <w:highlight w:val="none"/>
        </w:rPr>
        <w:t>关于项目经理每月在施工现场的时间要求：</w:t>
      </w:r>
      <w:r>
        <w:rPr>
          <w:szCs w:val="21"/>
          <w:highlight w:val="none"/>
        </w:rPr>
        <w:t xml:space="preserve">                                                            </w:t>
      </w:r>
      <w:r>
        <w:rPr>
          <w:rFonts w:hint="eastAsia" w:ascii="宋体" w:hAnsi="宋体" w:cs="宋体"/>
          <w:highlight w:val="none"/>
        </w:rPr>
        <w:t>八、合同文件的组成</w:t>
      </w:r>
    </w:p>
    <w:p w14:paraId="4A5E5401">
      <w:pPr>
        <w:spacing w:line="360" w:lineRule="auto"/>
        <w:rPr>
          <w:szCs w:val="21"/>
          <w:highlight w:val="none"/>
        </w:rPr>
      </w:pPr>
      <w:r>
        <w:rPr>
          <w:szCs w:val="21"/>
          <w:highlight w:val="none"/>
        </w:rPr>
        <w:t>下列文件共同构成合同文件：</w:t>
      </w:r>
    </w:p>
    <w:p w14:paraId="43172C6D">
      <w:pPr>
        <w:spacing w:line="360" w:lineRule="auto"/>
        <w:rPr>
          <w:highlight w:val="none"/>
        </w:rPr>
      </w:pPr>
      <w:r>
        <w:rPr>
          <w:highlight w:val="none"/>
        </w:rPr>
        <w:t>1、中标通知书；</w:t>
      </w:r>
    </w:p>
    <w:p w14:paraId="5AD5AFEA">
      <w:pPr>
        <w:spacing w:line="360" w:lineRule="auto"/>
        <w:rPr>
          <w:highlight w:val="none"/>
        </w:rPr>
      </w:pPr>
      <w:r>
        <w:rPr>
          <w:highlight w:val="none"/>
        </w:rPr>
        <w:t>2、</w:t>
      </w:r>
      <w:r>
        <w:rPr>
          <w:szCs w:val="21"/>
          <w:highlight w:val="none"/>
        </w:rPr>
        <w:t>投标函及投标函附录</w:t>
      </w:r>
      <w:r>
        <w:rPr>
          <w:highlight w:val="none"/>
        </w:rPr>
        <w:t>；</w:t>
      </w:r>
    </w:p>
    <w:p w14:paraId="6DFADFE0">
      <w:pPr>
        <w:spacing w:line="360" w:lineRule="auto"/>
        <w:rPr>
          <w:highlight w:val="none"/>
        </w:rPr>
      </w:pPr>
      <w:r>
        <w:rPr>
          <w:highlight w:val="none"/>
        </w:rPr>
        <w:t>3、专用合同条款；</w:t>
      </w:r>
    </w:p>
    <w:p w14:paraId="140109D9">
      <w:pPr>
        <w:spacing w:line="360" w:lineRule="auto"/>
        <w:rPr>
          <w:highlight w:val="none"/>
        </w:rPr>
      </w:pPr>
      <w:r>
        <w:rPr>
          <w:highlight w:val="none"/>
        </w:rPr>
        <w:t>4、通用合同条款；</w:t>
      </w:r>
    </w:p>
    <w:p w14:paraId="1B8B5A46">
      <w:pPr>
        <w:spacing w:line="360" w:lineRule="auto"/>
        <w:rPr>
          <w:highlight w:val="none"/>
        </w:rPr>
      </w:pPr>
      <w:r>
        <w:rPr>
          <w:highlight w:val="none"/>
        </w:rPr>
        <w:t>5、</w:t>
      </w:r>
      <w:r>
        <w:rPr>
          <w:szCs w:val="21"/>
          <w:highlight w:val="none"/>
        </w:rPr>
        <w:t>技术标准和要求；</w:t>
      </w:r>
    </w:p>
    <w:p w14:paraId="57EA4AF4">
      <w:pPr>
        <w:spacing w:line="360" w:lineRule="auto"/>
        <w:rPr>
          <w:highlight w:val="none"/>
        </w:rPr>
      </w:pPr>
      <w:r>
        <w:rPr>
          <w:highlight w:val="none"/>
        </w:rPr>
        <w:t>6、图纸</w:t>
      </w:r>
      <w:r>
        <w:rPr>
          <w:rFonts w:hint="eastAsia"/>
          <w:highlight w:val="none"/>
        </w:rPr>
        <w:t>（如涉及）</w:t>
      </w:r>
      <w:r>
        <w:rPr>
          <w:highlight w:val="none"/>
        </w:rPr>
        <w:t>；</w:t>
      </w:r>
    </w:p>
    <w:p w14:paraId="15083748">
      <w:pPr>
        <w:spacing w:line="360" w:lineRule="auto"/>
        <w:rPr>
          <w:highlight w:val="none"/>
        </w:rPr>
      </w:pPr>
      <w:r>
        <w:rPr>
          <w:highlight w:val="none"/>
        </w:rPr>
        <w:t>7、已标价工程量清单；</w:t>
      </w:r>
    </w:p>
    <w:p w14:paraId="0AA13198">
      <w:pPr>
        <w:spacing w:line="360" w:lineRule="auto"/>
        <w:rPr>
          <w:highlight w:val="none"/>
        </w:rPr>
      </w:pPr>
      <w:r>
        <w:rPr>
          <w:highlight w:val="none"/>
        </w:rPr>
        <w:t>8、其他合同文件。</w:t>
      </w:r>
    </w:p>
    <w:p w14:paraId="2B87C01D">
      <w:pPr>
        <w:spacing w:line="360" w:lineRule="auto"/>
        <w:rPr>
          <w:szCs w:val="21"/>
          <w:highlight w:val="none"/>
        </w:rPr>
      </w:pPr>
      <w:r>
        <w:rPr>
          <w:szCs w:val="21"/>
          <w:highlight w:val="none"/>
        </w:rPr>
        <w:t>上述文件互相补充和解释，如有不明确或不一致之处，以合同约定次序在先者为准。</w:t>
      </w:r>
    </w:p>
    <w:p w14:paraId="79ABF406">
      <w:pPr>
        <w:spacing w:line="360" w:lineRule="auto"/>
        <w:rPr>
          <w:highlight w:val="none"/>
        </w:rPr>
      </w:pPr>
      <w:r>
        <w:rPr>
          <w:highlight w:val="none"/>
        </w:rPr>
        <w:t>九、本协议书中有关词语定义与合同条款中的定义相同。</w:t>
      </w:r>
    </w:p>
    <w:p w14:paraId="71FD82B2">
      <w:pPr>
        <w:spacing w:line="360" w:lineRule="auto"/>
        <w:rPr>
          <w:highlight w:val="none"/>
        </w:rPr>
      </w:pPr>
      <w:r>
        <w:rPr>
          <w:highlight w:val="none"/>
        </w:rPr>
        <w:t>十、承包人承诺按照合同约定进行施工、竣工、交付并承担质量缺陷保修责任。</w:t>
      </w:r>
    </w:p>
    <w:p w14:paraId="1FF6641A">
      <w:pPr>
        <w:spacing w:line="360" w:lineRule="auto"/>
        <w:rPr>
          <w:highlight w:val="none"/>
        </w:rPr>
      </w:pPr>
      <w:r>
        <w:rPr>
          <w:highlight w:val="none"/>
        </w:rPr>
        <w:t>十一、发包人承诺按照合同约定的条件、期限和方式向承包人支付合同价款。</w:t>
      </w:r>
    </w:p>
    <w:p w14:paraId="07D9E54F">
      <w:pPr>
        <w:spacing w:line="360" w:lineRule="auto"/>
        <w:rPr>
          <w:highlight w:val="none"/>
          <w:u w:val="single"/>
        </w:rPr>
      </w:pPr>
      <w:r>
        <w:rPr>
          <w:highlight w:val="none"/>
        </w:rPr>
        <w:t>十二、本协议书连同其他合同文件正本一式两份，合同双方各执一份；副本一式</w:t>
      </w:r>
      <w:r>
        <w:rPr>
          <w:highlight w:val="none"/>
          <w:u w:val="single"/>
        </w:rPr>
        <w:t xml:space="preserve"> </w:t>
      </w:r>
      <w:r>
        <w:rPr>
          <w:rFonts w:hint="eastAsia"/>
          <w:highlight w:val="none"/>
          <w:u w:val="single"/>
        </w:rPr>
        <w:t>四份</w:t>
      </w:r>
      <w:r>
        <w:rPr>
          <w:highlight w:val="none"/>
          <w:u w:val="single"/>
        </w:rPr>
        <w:t xml:space="preserve"> </w:t>
      </w:r>
    </w:p>
    <w:p w14:paraId="5689E4D2">
      <w:pPr>
        <w:spacing w:line="360" w:lineRule="auto"/>
        <w:rPr>
          <w:highlight w:val="none"/>
        </w:rPr>
      </w:pPr>
      <w:r>
        <w:rPr>
          <w:highlight w:val="none"/>
        </w:rPr>
        <w:t>份，其中一份在合同报送建设行政主管部门备案时留存。</w:t>
      </w:r>
    </w:p>
    <w:p w14:paraId="352F7515">
      <w:pPr>
        <w:spacing w:line="360" w:lineRule="auto"/>
        <w:rPr>
          <w:highlight w:val="none"/>
        </w:rPr>
      </w:pPr>
      <w:r>
        <w:rPr>
          <w:highlight w:val="none"/>
        </w:rPr>
        <w:t>十三、合同未尽事宜，双方另行签订补充协议，但不得背离本协议第八条所约定的合同文件的实质性内容。补充协议是合同文件的组成部分。</w:t>
      </w:r>
    </w:p>
    <w:p w14:paraId="115DB99F">
      <w:pPr>
        <w:tabs>
          <w:tab w:val="left" w:pos="1695"/>
        </w:tabs>
        <w:adjustRightInd w:val="0"/>
        <w:snapToGrid w:val="0"/>
        <w:spacing w:line="360" w:lineRule="auto"/>
        <w:ind w:firstLine="480"/>
        <w:rPr>
          <w:rFonts w:ascii="Cambria" w:hAnsi="Cambria"/>
          <w:szCs w:val="21"/>
          <w:highlight w:val="none"/>
        </w:rPr>
      </w:pPr>
    </w:p>
    <w:p w14:paraId="6ACCB230">
      <w:pPr>
        <w:tabs>
          <w:tab w:val="left" w:pos="5085"/>
        </w:tabs>
        <w:adjustRightInd w:val="0"/>
        <w:snapToGrid w:val="0"/>
        <w:spacing w:line="480" w:lineRule="auto"/>
        <w:ind w:left="5985" w:hanging="5985" w:hangingChars="2850"/>
        <w:rPr>
          <w:highlight w:val="none"/>
        </w:rPr>
      </w:pPr>
      <w:r>
        <w:rPr>
          <w:highlight w:val="none"/>
        </w:rPr>
        <w:t>发包人：（公章）</w:t>
      </w:r>
      <w:r>
        <w:rPr>
          <w:highlight w:val="none"/>
          <w:u w:val="single"/>
        </w:rPr>
        <w:t>北京财贸职业学院</w:t>
      </w:r>
      <w:r>
        <w:rPr>
          <w:rFonts w:hint="eastAsia"/>
          <w:highlight w:val="none"/>
          <w:u w:val="single"/>
        </w:rPr>
        <w:t xml:space="preserve">      </w:t>
      </w:r>
      <w:r>
        <w:rPr>
          <w:rFonts w:hint="eastAsia"/>
          <w:highlight w:val="none"/>
        </w:rPr>
        <w:t xml:space="preserve">      </w:t>
      </w:r>
      <w:r>
        <w:rPr>
          <w:highlight w:val="none"/>
        </w:rPr>
        <w:t xml:space="preserve"> 承包人：（公章）</w:t>
      </w:r>
      <w:r>
        <w:rPr>
          <w:rFonts w:hint="eastAsia"/>
          <w:highlight w:val="none"/>
          <w:u w:val="single"/>
        </w:rPr>
        <w:t xml:space="preserve">********** </w:t>
      </w:r>
      <w:r>
        <w:rPr>
          <w:rFonts w:hint="eastAsia" w:ascii="Cambria" w:hAnsi="Cambria"/>
          <w:szCs w:val="21"/>
          <w:highlight w:val="none"/>
          <w:u w:val="single"/>
        </w:rPr>
        <w:t xml:space="preserve"> </w:t>
      </w:r>
    </w:p>
    <w:p w14:paraId="75AFD7DF">
      <w:pPr>
        <w:spacing w:line="360" w:lineRule="auto"/>
        <w:ind w:left="5040" w:hanging="5040" w:hangingChars="2400"/>
        <w:rPr>
          <w:highlight w:val="none"/>
        </w:rPr>
      </w:pPr>
      <w:r>
        <w:rPr>
          <w:highlight w:val="none"/>
        </w:rPr>
        <w:t>住所：</w:t>
      </w:r>
      <w:r>
        <w:rPr>
          <w:rFonts w:hint="eastAsia"/>
          <w:highlight w:val="none"/>
          <w:u w:val="single"/>
        </w:rPr>
        <w:t xml:space="preserve">北京市通州区北关大街88号     </w:t>
      </w:r>
      <w:r>
        <w:rPr>
          <w:rFonts w:hint="eastAsia"/>
          <w:highlight w:val="none"/>
        </w:rPr>
        <w:t xml:space="preserve">       </w:t>
      </w:r>
      <w:r>
        <w:rPr>
          <w:highlight w:val="none"/>
        </w:rPr>
        <w:t xml:space="preserve">  住所：</w:t>
      </w:r>
      <w:r>
        <w:rPr>
          <w:rFonts w:hint="eastAsia" w:ascii="Cambria" w:hAnsi="Cambria"/>
          <w:szCs w:val="21"/>
          <w:highlight w:val="none"/>
          <w:u w:val="single"/>
        </w:rPr>
        <w:t xml:space="preserve">                </w:t>
      </w:r>
      <w:r>
        <w:rPr>
          <w:rFonts w:ascii="Cambria" w:hAnsi="Cambria"/>
          <w:szCs w:val="21"/>
          <w:highlight w:val="none"/>
          <w:u w:val="single"/>
        </w:rPr>
        <w:t xml:space="preserve"> </w:t>
      </w:r>
      <w:r>
        <w:rPr>
          <w:rFonts w:hint="eastAsia" w:ascii="Cambria" w:hAnsi="Cambria"/>
          <w:szCs w:val="21"/>
          <w:highlight w:val="none"/>
          <w:u w:val="single"/>
        </w:rPr>
        <w:t xml:space="preserve">     </w:t>
      </w:r>
    </w:p>
    <w:p w14:paraId="2DDE5664">
      <w:pPr>
        <w:spacing w:line="360" w:lineRule="auto"/>
        <w:rPr>
          <w:highlight w:val="none"/>
          <w:u w:val="single"/>
        </w:rPr>
      </w:pPr>
      <w:r>
        <w:rPr>
          <w:highlight w:val="none"/>
        </w:rPr>
        <w:t>法定代表人：</w:t>
      </w:r>
      <w:r>
        <w:rPr>
          <w:rFonts w:hint="eastAsia"/>
          <w:highlight w:val="none"/>
        </w:rPr>
        <w:t xml:space="preserve">                             </w:t>
      </w:r>
      <w:r>
        <w:rPr>
          <w:highlight w:val="none"/>
        </w:rPr>
        <w:t xml:space="preserve">    法定代表人：</w:t>
      </w:r>
      <w:r>
        <w:rPr>
          <w:rFonts w:hint="eastAsia"/>
          <w:highlight w:val="none"/>
          <w:u w:val="single"/>
        </w:rPr>
        <w:t xml:space="preserve">                </w:t>
      </w:r>
    </w:p>
    <w:p w14:paraId="412502BE">
      <w:pPr>
        <w:spacing w:line="360" w:lineRule="auto"/>
        <w:rPr>
          <w:highlight w:val="none"/>
        </w:rPr>
      </w:pPr>
      <w:r>
        <w:rPr>
          <w:highlight w:val="none"/>
        </w:rPr>
        <w:t>或委托代表人：</w:t>
      </w:r>
      <w:r>
        <w:rPr>
          <w:rFonts w:hint="eastAsia"/>
          <w:highlight w:val="none"/>
        </w:rPr>
        <w:t xml:space="preserve">                           </w:t>
      </w:r>
      <w:r>
        <w:rPr>
          <w:highlight w:val="none"/>
        </w:rPr>
        <w:t xml:space="preserve">    或委托代表人：</w:t>
      </w:r>
      <w:r>
        <w:rPr>
          <w:rFonts w:hint="eastAsia"/>
          <w:highlight w:val="none"/>
        </w:rPr>
        <w:t xml:space="preserve"> </w:t>
      </w:r>
      <w:r>
        <w:rPr>
          <w:rFonts w:hint="eastAsia"/>
          <w:highlight w:val="none"/>
          <w:u w:val="single"/>
        </w:rPr>
        <w:t xml:space="preserve">            </w:t>
      </w:r>
    </w:p>
    <w:p w14:paraId="7F0C1485">
      <w:pPr>
        <w:spacing w:line="360" w:lineRule="auto"/>
        <w:rPr>
          <w:highlight w:val="none"/>
        </w:rPr>
      </w:pPr>
      <w:r>
        <w:rPr>
          <w:highlight w:val="none"/>
        </w:rPr>
        <w:t>电话：</w:t>
      </w:r>
      <w:r>
        <w:rPr>
          <w:highlight w:val="none"/>
          <w:u w:val="single"/>
        </w:rPr>
        <w:t xml:space="preserve">        </w:t>
      </w:r>
      <w:r>
        <w:rPr>
          <w:rFonts w:hint="eastAsia"/>
          <w:highlight w:val="none"/>
          <w:u w:val="single"/>
        </w:rPr>
        <w:t xml:space="preserve">   </w:t>
      </w:r>
      <w:r>
        <w:rPr>
          <w:rFonts w:hint="eastAsia"/>
          <w:highlight w:val="none"/>
        </w:rPr>
        <w:t xml:space="preserve">                       </w:t>
      </w:r>
      <w:r>
        <w:rPr>
          <w:highlight w:val="none"/>
        </w:rPr>
        <w:t xml:space="preserve">    </w:t>
      </w:r>
      <w:r>
        <w:rPr>
          <w:rFonts w:hint="eastAsia"/>
          <w:highlight w:val="none"/>
        </w:rPr>
        <w:t xml:space="preserve"> </w:t>
      </w:r>
      <w:r>
        <w:rPr>
          <w:highlight w:val="none"/>
        </w:rPr>
        <w:t>电话：</w:t>
      </w:r>
      <w:r>
        <w:rPr>
          <w:rFonts w:hint="eastAsia"/>
          <w:highlight w:val="none"/>
          <w:u w:val="single"/>
        </w:rPr>
        <w:t xml:space="preserve">             </w:t>
      </w:r>
      <w:r>
        <w:rPr>
          <w:highlight w:val="none"/>
          <w:u w:val="single"/>
        </w:rPr>
        <w:t xml:space="preserve">   </w:t>
      </w:r>
      <w:r>
        <w:rPr>
          <w:rFonts w:hint="eastAsia"/>
          <w:highlight w:val="none"/>
          <w:u w:val="single"/>
        </w:rPr>
        <w:t xml:space="preserve">    </w:t>
      </w:r>
      <w:r>
        <w:rPr>
          <w:rFonts w:hint="eastAsia"/>
          <w:szCs w:val="21"/>
          <w:highlight w:val="none"/>
          <w:u w:val="single"/>
        </w:rPr>
        <w:t xml:space="preserve"> </w:t>
      </w:r>
    </w:p>
    <w:p w14:paraId="515A1236">
      <w:pPr>
        <w:spacing w:line="360" w:lineRule="auto"/>
        <w:rPr>
          <w:highlight w:val="none"/>
        </w:rPr>
      </w:pPr>
      <w:r>
        <w:rPr>
          <w:highlight w:val="none"/>
        </w:rPr>
        <w:t>传真：</w:t>
      </w:r>
      <w:r>
        <w:rPr>
          <w:highlight w:val="none"/>
          <w:u w:val="single"/>
        </w:rPr>
        <w:t xml:space="preserve">           </w:t>
      </w:r>
      <w:r>
        <w:rPr>
          <w:highlight w:val="none"/>
        </w:rPr>
        <w:t xml:space="preserve">              </w:t>
      </w:r>
      <w:r>
        <w:rPr>
          <w:rFonts w:hint="eastAsia"/>
          <w:highlight w:val="none"/>
        </w:rPr>
        <w:t xml:space="preserve">          </w:t>
      </w:r>
      <w:r>
        <w:rPr>
          <w:highlight w:val="none"/>
        </w:rPr>
        <w:t xml:space="preserve">    传真：</w:t>
      </w:r>
      <w:r>
        <w:rPr>
          <w:rFonts w:hint="eastAsia"/>
          <w:highlight w:val="none"/>
          <w:u w:val="single"/>
        </w:rPr>
        <w:t xml:space="preserve">              </w:t>
      </w:r>
      <w:r>
        <w:rPr>
          <w:highlight w:val="none"/>
          <w:u w:val="single"/>
        </w:rPr>
        <w:t xml:space="preserve"> </w:t>
      </w:r>
      <w:r>
        <w:rPr>
          <w:rFonts w:hint="eastAsia"/>
          <w:highlight w:val="none"/>
          <w:u w:val="single"/>
        </w:rPr>
        <w:t xml:space="preserve">      </w:t>
      </w:r>
    </w:p>
    <w:p w14:paraId="0D322100">
      <w:pPr>
        <w:spacing w:line="360" w:lineRule="auto"/>
        <w:rPr>
          <w:highlight w:val="none"/>
          <w:u w:val="single"/>
        </w:rPr>
      </w:pPr>
      <w:r>
        <w:rPr>
          <w:highlight w:val="none"/>
        </w:rPr>
        <w:t>开户银行：</w:t>
      </w:r>
      <w:r>
        <w:rPr>
          <w:rFonts w:hint="eastAsia"/>
          <w:highlight w:val="none"/>
          <w:u w:val="single"/>
        </w:rPr>
        <w:t xml:space="preserve"> </w:t>
      </w:r>
      <w:r>
        <w:rPr>
          <w:highlight w:val="none"/>
          <w:u w:val="single"/>
        </w:rPr>
        <w:t xml:space="preserve">                         </w:t>
      </w:r>
      <w:r>
        <w:rPr>
          <w:rFonts w:hint="eastAsia"/>
          <w:highlight w:val="none"/>
        </w:rPr>
        <w:t xml:space="preserve">     </w:t>
      </w:r>
      <w:r>
        <w:rPr>
          <w:highlight w:val="none"/>
        </w:rPr>
        <w:t>开户银行：</w:t>
      </w:r>
      <w:r>
        <w:rPr>
          <w:rFonts w:hint="eastAsia"/>
          <w:highlight w:val="none"/>
          <w:u w:val="single"/>
        </w:rPr>
        <w:t xml:space="preserve">                 </w:t>
      </w:r>
    </w:p>
    <w:p w14:paraId="18F60400">
      <w:pPr>
        <w:spacing w:line="360" w:lineRule="auto"/>
        <w:rPr>
          <w:highlight w:val="none"/>
        </w:rPr>
      </w:pPr>
      <w:r>
        <w:rPr>
          <w:highlight w:val="none"/>
        </w:rPr>
        <w:t>账号：</w:t>
      </w:r>
      <w:r>
        <w:rPr>
          <w:highlight w:val="none"/>
          <w:u w:val="single"/>
        </w:rPr>
        <w:t xml:space="preserve">                   </w:t>
      </w:r>
      <w:r>
        <w:rPr>
          <w:highlight w:val="none"/>
        </w:rPr>
        <w:t xml:space="preserve">        </w:t>
      </w:r>
      <w:r>
        <w:rPr>
          <w:rFonts w:hint="eastAsia"/>
          <w:highlight w:val="none"/>
        </w:rPr>
        <w:t xml:space="preserve">        </w:t>
      </w:r>
      <w:r>
        <w:rPr>
          <w:highlight w:val="none"/>
        </w:rPr>
        <w:t>账号：</w:t>
      </w:r>
      <w:r>
        <w:rPr>
          <w:rFonts w:hint="eastAsia"/>
          <w:highlight w:val="none"/>
          <w:u w:val="single"/>
        </w:rPr>
        <w:t xml:space="preserve">                   </w:t>
      </w:r>
    </w:p>
    <w:p w14:paraId="1DA55CF5">
      <w:pPr>
        <w:rPr>
          <w:szCs w:val="21"/>
          <w:highlight w:val="none"/>
          <w:u w:val="single"/>
        </w:rPr>
      </w:pPr>
      <w:r>
        <w:rPr>
          <w:highlight w:val="none"/>
        </w:rPr>
        <w:t>邮政编码：</w:t>
      </w:r>
      <w:r>
        <w:rPr>
          <w:highlight w:val="none"/>
          <w:u w:val="single"/>
        </w:rPr>
        <w:t xml:space="preserve">     </w:t>
      </w:r>
      <w:r>
        <w:rPr>
          <w:rFonts w:hint="eastAsia"/>
          <w:highlight w:val="none"/>
          <w:u w:val="single"/>
        </w:rPr>
        <w:t xml:space="preserve"> </w:t>
      </w:r>
      <w:r>
        <w:rPr>
          <w:rFonts w:hint="eastAsia"/>
          <w:highlight w:val="none"/>
        </w:rPr>
        <w:t xml:space="preserve">                       </w:t>
      </w:r>
      <w:r>
        <w:rPr>
          <w:highlight w:val="none"/>
        </w:rPr>
        <w:t xml:space="preserve"> </w:t>
      </w:r>
      <w:r>
        <w:rPr>
          <w:rFonts w:hint="eastAsia"/>
          <w:highlight w:val="none"/>
        </w:rPr>
        <w:t xml:space="preserve"> </w:t>
      </w:r>
      <w:r>
        <w:rPr>
          <w:highlight w:val="none"/>
        </w:rPr>
        <w:t>邮政编码：</w:t>
      </w:r>
      <w:r>
        <w:rPr>
          <w:rFonts w:hint="eastAsia"/>
          <w:highlight w:val="none"/>
          <w:u w:val="single"/>
        </w:rPr>
        <w:t xml:space="preserve">                 </w:t>
      </w:r>
    </w:p>
    <w:p w14:paraId="3E14A280">
      <w:pPr>
        <w:spacing w:before="240" w:beforeLines="100" w:after="240" w:afterLines="100" w:line="400" w:lineRule="exact"/>
        <w:rPr>
          <w:b/>
          <w:bCs/>
          <w:szCs w:val="21"/>
          <w:highlight w:val="none"/>
        </w:rPr>
      </w:pPr>
      <w:r>
        <w:rPr>
          <w:rFonts w:hint="eastAsia"/>
          <w:b/>
          <w:bCs/>
          <w:szCs w:val="21"/>
          <w:highlight w:val="none"/>
        </w:rPr>
        <w:t>合同签订日期：</w:t>
      </w:r>
      <w:r>
        <w:rPr>
          <w:rFonts w:hint="eastAsia"/>
          <w:b/>
          <w:bCs/>
          <w:szCs w:val="21"/>
          <w:highlight w:val="none"/>
          <w:u w:val="single"/>
        </w:rPr>
        <w:t xml:space="preserve">       </w:t>
      </w:r>
      <w:r>
        <w:rPr>
          <w:rFonts w:hint="eastAsia"/>
          <w:b/>
          <w:bCs/>
          <w:szCs w:val="21"/>
          <w:highlight w:val="none"/>
        </w:rPr>
        <w:t>年</w:t>
      </w:r>
      <w:r>
        <w:rPr>
          <w:rFonts w:hint="eastAsia"/>
          <w:b/>
          <w:bCs/>
          <w:szCs w:val="21"/>
          <w:highlight w:val="none"/>
          <w:u w:val="single"/>
        </w:rPr>
        <w:t xml:space="preserve">      </w:t>
      </w:r>
      <w:r>
        <w:rPr>
          <w:rFonts w:hint="eastAsia"/>
          <w:b/>
          <w:bCs/>
          <w:szCs w:val="21"/>
          <w:highlight w:val="none"/>
        </w:rPr>
        <w:t>月</w:t>
      </w:r>
      <w:r>
        <w:rPr>
          <w:rFonts w:hint="eastAsia"/>
          <w:b/>
          <w:bCs/>
          <w:szCs w:val="21"/>
          <w:highlight w:val="none"/>
          <w:u w:val="single"/>
        </w:rPr>
        <w:t xml:space="preserve">      </w:t>
      </w:r>
      <w:r>
        <w:rPr>
          <w:rFonts w:hint="eastAsia"/>
          <w:b/>
          <w:bCs/>
          <w:szCs w:val="21"/>
          <w:highlight w:val="none"/>
        </w:rPr>
        <w:t>日</w:t>
      </w:r>
    </w:p>
    <w:p w14:paraId="40B9E566">
      <w:pPr>
        <w:tabs>
          <w:tab w:val="left" w:pos="1695"/>
        </w:tabs>
        <w:adjustRightInd w:val="0"/>
        <w:snapToGrid w:val="0"/>
        <w:spacing w:line="360" w:lineRule="auto"/>
        <w:rPr>
          <w:szCs w:val="21"/>
          <w:highlight w:val="none"/>
          <w:u w:val="single"/>
        </w:rPr>
      </w:pPr>
      <w:r>
        <w:rPr>
          <w:rFonts w:eastAsia="Cambria"/>
          <w:sz w:val="24"/>
          <w:szCs w:val="20"/>
          <w:highlight w:val="none"/>
        </w:rPr>
        <w:br w:type="page"/>
      </w:r>
    </w:p>
    <w:p w14:paraId="5F792479">
      <w:pPr>
        <w:jc w:val="center"/>
        <w:rPr>
          <w:b/>
          <w:sz w:val="44"/>
          <w:szCs w:val="44"/>
          <w:highlight w:val="none"/>
        </w:rPr>
      </w:pPr>
    </w:p>
    <w:p w14:paraId="37A99430">
      <w:pPr>
        <w:jc w:val="center"/>
        <w:rPr>
          <w:b/>
          <w:sz w:val="44"/>
          <w:szCs w:val="44"/>
          <w:highlight w:val="none"/>
        </w:rPr>
      </w:pPr>
    </w:p>
    <w:p w14:paraId="19470808">
      <w:pPr>
        <w:jc w:val="center"/>
        <w:rPr>
          <w:b/>
          <w:sz w:val="44"/>
          <w:szCs w:val="44"/>
          <w:highlight w:val="none"/>
        </w:rPr>
      </w:pPr>
    </w:p>
    <w:p w14:paraId="6ED77D16">
      <w:pPr>
        <w:jc w:val="center"/>
        <w:rPr>
          <w:b/>
          <w:sz w:val="44"/>
          <w:szCs w:val="44"/>
          <w:highlight w:val="none"/>
        </w:rPr>
      </w:pPr>
    </w:p>
    <w:p w14:paraId="3DACF75C">
      <w:pPr>
        <w:jc w:val="center"/>
        <w:rPr>
          <w:b/>
          <w:sz w:val="44"/>
          <w:szCs w:val="44"/>
          <w:highlight w:val="none"/>
        </w:rPr>
      </w:pPr>
      <w:r>
        <w:rPr>
          <w:b/>
          <w:sz w:val="44"/>
          <w:szCs w:val="44"/>
          <w:highlight w:val="none"/>
        </w:rPr>
        <w:t>第</w:t>
      </w:r>
      <w:r>
        <w:rPr>
          <w:rFonts w:hint="eastAsia"/>
          <w:b/>
          <w:sz w:val="44"/>
          <w:szCs w:val="44"/>
          <w:highlight w:val="none"/>
        </w:rPr>
        <w:t>二节 合同条款通用部分</w:t>
      </w:r>
    </w:p>
    <w:p w14:paraId="43116DD3">
      <w:pPr>
        <w:jc w:val="center"/>
        <w:rPr>
          <w:b/>
          <w:sz w:val="44"/>
          <w:szCs w:val="44"/>
          <w:highlight w:val="none"/>
        </w:rPr>
      </w:pPr>
    </w:p>
    <w:p w14:paraId="42E099D6">
      <w:pPr>
        <w:widowControl/>
        <w:jc w:val="center"/>
        <w:rPr>
          <w:rFonts w:eastAsia="Cambria"/>
          <w:sz w:val="28"/>
          <w:szCs w:val="28"/>
          <w:highlight w:val="none"/>
        </w:rPr>
      </w:pPr>
      <w:r>
        <w:rPr>
          <w:sz w:val="28"/>
          <w:highlight w:val="none"/>
        </w:rPr>
        <w:br w:type="page"/>
      </w:r>
      <w:r>
        <w:rPr>
          <w:rFonts w:hint="eastAsia" w:ascii="宋体" w:hAnsi="宋体" w:cs="宋体"/>
          <w:sz w:val="28"/>
          <w:szCs w:val="28"/>
          <w:highlight w:val="none"/>
        </w:rPr>
        <w:t>通用合同条款</w:t>
      </w:r>
    </w:p>
    <w:p w14:paraId="026A0F22">
      <w:pPr>
        <w:spacing w:line="400" w:lineRule="exact"/>
        <w:rPr>
          <w:highlight w:val="none"/>
        </w:rPr>
      </w:pPr>
    </w:p>
    <w:p w14:paraId="48F50C87">
      <w:pPr>
        <w:keepNext/>
        <w:keepLines/>
        <w:spacing w:line="400" w:lineRule="exact"/>
        <w:outlineLvl w:val="1"/>
        <w:rPr>
          <w:rFonts w:eastAsia="黑体" w:cs="仿宋_GB2312"/>
          <w:sz w:val="28"/>
          <w:szCs w:val="20"/>
          <w:highlight w:val="none"/>
        </w:rPr>
      </w:pPr>
      <w:bookmarkStart w:id="679" w:name="_Toc448758522"/>
      <w:bookmarkStart w:id="680" w:name="_Toc338944704"/>
      <w:bookmarkStart w:id="681" w:name="_Toc448758422"/>
      <w:bookmarkStart w:id="682" w:name="_Toc442365614"/>
      <w:bookmarkStart w:id="683" w:name="_Toc159950612"/>
      <w:bookmarkStart w:id="684" w:name="_Toc342296262"/>
      <w:bookmarkStart w:id="685" w:name="_Toc469660017"/>
      <w:r>
        <w:rPr>
          <w:rFonts w:eastAsia="黑体" w:cs="仿宋_GB2312"/>
          <w:sz w:val="28"/>
          <w:szCs w:val="20"/>
          <w:highlight w:val="none"/>
        </w:rPr>
        <w:t>1. 一般约定</w:t>
      </w:r>
      <w:bookmarkEnd w:id="679"/>
      <w:bookmarkEnd w:id="680"/>
      <w:bookmarkEnd w:id="681"/>
      <w:bookmarkEnd w:id="682"/>
      <w:bookmarkEnd w:id="683"/>
      <w:bookmarkEnd w:id="684"/>
      <w:bookmarkEnd w:id="685"/>
    </w:p>
    <w:p w14:paraId="1FA5EA19">
      <w:pPr>
        <w:keepNext/>
        <w:keepLines/>
        <w:spacing w:line="400" w:lineRule="exact"/>
        <w:outlineLvl w:val="2"/>
        <w:rPr>
          <w:rFonts w:eastAsia="黑体"/>
          <w:sz w:val="24"/>
          <w:szCs w:val="20"/>
          <w:highlight w:val="none"/>
        </w:rPr>
      </w:pPr>
      <w:bookmarkStart w:id="686" w:name="_Toc342296263"/>
      <w:bookmarkStart w:id="687" w:name="_Toc159950613"/>
      <w:bookmarkStart w:id="688" w:name="_Toc338944705"/>
      <w:r>
        <w:rPr>
          <w:rFonts w:eastAsia="黑体"/>
          <w:sz w:val="24"/>
          <w:szCs w:val="20"/>
          <w:highlight w:val="none"/>
        </w:rPr>
        <w:t>1.1 词语定义</w:t>
      </w:r>
      <w:bookmarkEnd w:id="686"/>
      <w:bookmarkEnd w:id="687"/>
      <w:bookmarkEnd w:id="688"/>
    </w:p>
    <w:p w14:paraId="5412EBED">
      <w:pPr>
        <w:spacing w:line="400" w:lineRule="exact"/>
        <w:ind w:firstLine="420" w:firstLineChars="200"/>
        <w:rPr>
          <w:highlight w:val="none"/>
        </w:rPr>
      </w:pPr>
      <w:r>
        <w:rPr>
          <w:highlight w:val="none"/>
        </w:rPr>
        <w:t>通用合同条款、专用合同条款中的下列词语应具有本款所赋予的含义。</w:t>
      </w:r>
    </w:p>
    <w:p w14:paraId="37CCF1B7">
      <w:pPr>
        <w:spacing w:line="400" w:lineRule="exact"/>
        <w:ind w:firstLine="420" w:firstLineChars="200"/>
        <w:rPr>
          <w:highlight w:val="none"/>
        </w:rPr>
      </w:pPr>
      <w:r>
        <w:rPr>
          <w:highlight w:val="none"/>
        </w:rPr>
        <w:t xml:space="preserve">1.1.1 </w:t>
      </w:r>
      <w:r>
        <w:rPr>
          <w:rFonts w:hint="eastAsia" w:ascii="宋体" w:hAnsi="宋体" w:cs="宋体"/>
          <w:highlight w:val="none"/>
        </w:rPr>
        <w:t>合同</w:t>
      </w:r>
    </w:p>
    <w:p w14:paraId="1E7F8FF8">
      <w:pPr>
        <w:spacing w:line="400" w:lineRule="exact"/>
        <w:ind w:firstLine="718" w:firstLineChars="342"/>
        <w:rPr>
          <w:highlight w:val="none"/>
        </w:rPr>
      </w:pPr>
      <w:r>
        <w:rPr>
          <w:highlight w:val="none"/>
        </w:rPr>
        <w:t>1.1.1.1 合同文件（或称合同）：指合同协议书、中标通知书、投标函及投标函附录、专用合同条款、通用合同条款、技术标准和要求、图纸、已标价工程量清单，以及其他合同文件。</w:t>
      </w:r>
    </w:p>
    <w:p w14:paraId="0A8BAAAD">
      <w:pPr>
        <w:spacing w:line="400" w:lineRule="exact"/>
        <w:ind w:firstLine="718" w:firstLineChars="342"/>
        <w:rPr>
          <w:highlight w:val="none"/>
        </w:rPr>
      </w:pPr>
      <w:r>
        <w:rPr>
          <w:highlight w:val="none"/>
        </w:rPr>
        <w:t>1.1.1.2 合同协议书：指第1.5款所指的合同协议书。</w:t>
      </w:r>
    </w:p>
    <w:p w14:paraId="15A00395">
      <w:pPr>
        <w:spacing w:line="400" w:lineRule="exact"/>
        <w:ind w:firstLine="718" w:firstLineChars="342"/>
        <w:rPr>
          <w:highlight w:val="none"/>
        </w:rPr>
      </w:pPr>
      <w:r>
        <w:rPr>
          <w:highlight w:val="none"/>
        </w:rPr>
        <w:t>1.1.1.3 中标通知书：指发包人通知承包人中标的函件。</w:t>
      </w:r>
    </w:p>
    <w:p w14:paraId="3F53550C">
      <w:pPr>
        <w:spacing w:line="400" w:lineRule="exact"/>
        <w:ind w:firstLine="718" w:firstLineChars="342"/>
        <w:rPr>
          <w:dstrike/>
          <w:szCs w:val="21"/>
          <w:highlight w:val="none"/>
        </w:rPr>
      </w:pPr>
      <w:r>
        <w:rPr>
          <w:highlight w:val="none"/>
        </w:rPr>
        <w:t>1.1.1.4 投标函：指构成合同文件组成部分的由承包人填写并签署的投标函。</w:t>
      </w:r>
    </w:p>
    <w:p w14:paraId="25920B3A">
      <w:pPr>
        <w:spacing w:line="400" w:lineRule="exact"/>
        <w:ind w:firstLine="718" w:firstLineChars="342"/>
        <w:rPr>
          <w:highlight w:val="none"/>
        </w:rPr>
      </w:pPr>
      <w:r>
        <w:rPr>
          <w:highlight w:val="none"/>
        </w:rPr>
        <w:t>1.1.1.5 投标函附录：指附在投标函后构成合同文件的投标函附录。</w:t>
      </w:r>
    </w:p>
    <w:p w14:paraId="6240D909">
      <w:pPr>
        <w:spacing w:line="400" w:lineRule="exact"/>
        <w:ind w:firstLine="718" w:firstLineChars="342"/>
        <w:rPr>
          <w:highlight w:val="none"/>
        </w:rPr>
      </w:pPr>
      <w:r>
        <w:rPr>
          <w:highlight w:val="none"/>
        </w:rPr>
        <w:t>1.1.1.6 技术标准和要求：指构成合同文件组成部分的名为技术标准和要求的文件，包括合同双方当事人约定对其所作的修改或补充。</w:t>
      </w:r>
    </w:p>
    <w:p w14:paraId="4A341072">
      <w:pPr>
        <w:spacing w:line="400" w:lineRule="exact"/>
        <w:ind w:firstLine="718" w:firstLineChars="342"/>
        <w:rPr>
          <w:highlight w:val="none"/>
        </w:rPr>
      </w:pPr>
      <w:r>
        <w:rPr>
          <w:highlight w:val="none"/>
        </w:rPr>
        <w:t>1.1.1.7图纸：指包含在合同中的工程图纸，以及由发包人按合同约定提供的任何补充和修改的图纸，包括配套的说明。</w:t>
      </w:r>
    </w:p>
    <w:p w14:paraId="3183A864">
      <w:pPr>
        <w:spacing w:line="400" w:lineRule="exact"/>
        <w:ind w:firstLine="718" w:firstLineChars="342"/>
        <w:rPr>
          <w:highlight w:val="none"/>
        </w:rPr>
      </w:pPr>
      <w:r>
        <w:rPr>
          <w:highlight w:val="none"/>
        </w:rPr>
        <w:t>1.1.1.8 已标价工程量清单：指构成合同文件组成部分的由承包人按照规定的格式和要求填写并标明价格的工程量清单。</w:t>
      </w:r>
    </w:p>
    <w:p w14:paraId="138A5F0E">
      <w:pPr>
        <w:spacing w:line="400" w:lineRule="exact"/>
        <w:ind w:firstLine="718" w:firstLineChars="342"/>
        <w:rPr>
          <w:highlight w:val="none"/>
        </w:rPr>
      </w:pPr>
      <w:r>
        <w:rPr>
          <w:highlight w:val="none"/>
        </w:rPr>
        <w:t>1.1.1.9 其他合同文件：指经合同双方当事人确认构成合同文件的其他文件。</w:t>
      </w:r>
    </w:p>
    <w:p w14:paraId="2E2B72FA">
      <w:pPr>
        <w:spacing w:line="400" w:lineRule="exact"/>
        <w:ind w:firstLine="420" w:firstLineChars="200"/>
        <w:rPr>
          <w:highlight w:val="none"/>
        </w:rPr>
      </w:pPr>
      <w:r>
        <w:rPr>
          <w:highlight w:val="none"/>
        </w:rPr>
        <w:t xml:space="preserve">1.1.2 </w:t>
      </w:r>
      <w:r>
        <w:rPr>
          <w:rFonts w:hint="eastAsia" w:ascii="宋体" w:hAnsi="宋体" w:cs="宋体"/>
          <w:highlight w:val="none"/>
        </w:rPr>
        <w:t>合同当事人和人员</w:t>
      </w:r>
    </w:p>
    <w:p w14:paraId="76B6286C">
      <w:pPr>
        <w:spacing w:line="400" w:lineRule="exact"/>
        <w:ind w:firstLine="718" w:firstLineChars="342"/>
        <w:rPr>
          <w:highlight w:val="none"/>
        </w:rPr>
      </w:pPr>
      <w:r>
        <w:rPr>
          <w:highlight w:val="none"/>
        </w:rPr>
        <w:t>1.1.2.1 合同当事人:指发包人和（或）承包人。</w:t>
      </w:r>
    </w:p>
    <w:p w14:paraId="3E500BDE">
      <w:pPr>
        <w:spacing w:line="400" w:lineRule="exact"/>
        <w:ind w:firstLine="718" w:firstLineChars="342"/>
        <w:rPr>
          <w:highlight w:val="none"/>
        </w:rPr>
      </w:pPr>
      <w:r>
        <w:rPr>
          <w:highlight w:val="none"/>
        </w:rPr>
        <w:t>1.1.2.2 发包人：指专用合同条款中指明并与承包人在合同协议书中签字的当事人。</w:t>
      </w:r>
    </w:p>
    <w:p w14:paraId="76F5F84F">
      <w:pPr>
        <w:spacing w:line="400" w:lineRule="exact"/>
        <w:ind w:firstLine="718" w:firstLineChars="342"/>
        <w:rPr>
          <w:highlight w:val="none"/>
        </w:rPr>
      </w:pPr>
      <w:r>
        <w:rPr>
          <w:highlight w:val="none"/>
        </w:rPr>
        <w:t>1.1.2.3 承包人：指与发包人签订合同协议书的当事人。</w:t>
      </w:r>
    </w:p>
    <w:p w14:paraId="7F91D8A7">
      <w:pPr>
        <w:spacing w:line="400" w:lineRule="exact"/>
        <w:ind w:firstLine="718" w:firstLineChars="342"/>
        <w:rPr>
          <w:highlight w:val="none"/>
        </w:rPr>
      </w:pPr>
      <w:r>
        <w:rPr>
          <w:highlight w:val="none"/>
        </w:rPr>
        <w:t>1.1.2.4 承包人项目经理：指承包人派驻施工场地的全权负责人。</w:t>
      </w:r>
    </w:p>
    <w:p w14:paraId="6C6FDDCF">
      <w:pPr>
        <w:spacing w:line="400" w:lineRule="exact"/>
        <w:ind w:firstLine="718" w:firstLineChars="342"/>
        <w:rPr>
          <w:highlight w:val="none"/>
        </w:rPr>
      </w:pPr>
      <w:r>
        <w:rPr>
          <w:highlight w:val="none"/>
        </w:rPr>
        <w:t>1.1.2.5 分包人：指从承包人处分包合同中某一部分工程，并与其签订分包合同的分包人。</w:t>
      </w:r>
    </w:p>
    <w:p w14:paraId="277B6CFC">
      <w:pPr>
        <w:spacing w:line="400" w:lineRule="exact"/>
        <w:ind w:firstLine="718" w:firstLineChars="342"/>
        <w:rPr>
          <w:highlight w:val="none"/>
        </w:rPr>
      </w:pPr>
      <w:r>
        <w:rPr>
          <w:highlight w:val="none"/>
        </w:rPr>
        <w:t>1.1.2.6 监理人：指在专用合同条款中指明的，受发包人委托对合同履行实施管理的法人或其他组织。</w:t>
      </w:r>
    </w:p>
    <w:p w14:paraId="5E160A5B">
      <w:pPr>
        <w:spacing w:line="400" w:lineRule="exact"/>
        <w:ind w:firstLine="718" w:firstLineChars="342"/>
        <w:rPr>
          <w:highlight w:val="none"/>
        </w:rPr>
      </w:pPr>
      <w:r>
        <w:rPr>
          <w:highlight w:val="none"/>
        </w:rPr>
        <w:t>1.1.2.7 总监理工程师（总监）：指由监理人委派常驻施工场地对合同履行实施管理的全权负责人。</w:t>
      </w:r>
    </w:p>
    <w:p w14:paraId="2A2BC223">
      <w:pPr>
        <w:spacing w:line="400" w:lineRule="exact"/>
        <w:ind w:firstLine="420" w:firstLineChars="200"/>
        <w:rPr>
          <w:highlight w:val="none"/>
        </w:rPr>
      </w:pPr>
      <w:r>
        <w:rPr>
          <w:highlight w:val="none"/>
        </w:rPr>
        <w:t xml:space="preserve">1.1.3 </w:t>
      </w:r>
      <w:r>
        <w:rPr>
          <w:rFonts w:hint="eastAsia" w:ascii="宋体" w:hAnsi="宋体" w:cs="宋体"/>
          <w:highlight w:val="none"/>
        </w:rPr>
        <w:t>工程和设备</w:t>
      </w:r>
    </w:p>
    <w:p w14:paraId="4F9B690A">
      <w:pPr>
        <w:spacing w:line="400" w:lineRule="exact"/>
        <w:ind w:firstLine="718" w:firstLineChars="342"/>
        <w:rPr>
          <w:highlight w:val="none"/>
        </w:rPr>
      </w:pPr>
      <w:r>
        <w:rPr>
          <w:highlight w:val="none"/>
        </w:rPr>
        <w:t>1.1.3.1 工程：指永久工程和（或）临时工程。</w:t>
      </w:r>
    </w:p>
    <w:p w14:paraId="7AD92612">
      <w:pPr>
        <w:spacing w:line="400" w:lineRule="exact"/>
        <w:ind w:firstLine="718" w:firstLineChars="342"/>
        <w:rPr>
          <w:highlight w:val="none"/>
        </w:rPr>
      </w:pPr>
      <w:r>
        <w:rPr>
          <w:highlight w:val="none"/>
        </w:rPr>
        <w:t>1.1.3.2 永久工程：指按合同约定建造并移交给发包人的工程，包括工程设备。</w:t>
      </w:r>
    </w:p>
    <w:p w14:paraId="1F359559">
      <w:pPr>
        <w:spacing w:line="400" w:lineRule="exact"/>
        <w:ind w:firstLine="718" w:firstLineChars="342"/>
        <w:rPr>
          <w:highlight w:val="none"/>
        </w:rPr>
      </w:pPr>
      <w:r>
        <w:rPr>
          <w:highlight w:val="none"/>
        </w:rPr>
        <w:t>1.1.3.3 临时工程：指为完成合同约定的永久工程所修建的各类临时性工程，不包括施工设备。</w:t>
      </w:r>
    </w:p>
    <w:p w14:paraId="0C6D04C7">
      <w:pPr>
        <w:spacing w:line="400" w:lineRule="exact"/>
        <w:ind w:firstLine="718" w:firstLineChars="342"/>
        <w:rPr>
          <w:highlight w:val="none"/>
        </w:rPr>
      </w:pPr>
      <w:r>
        <w:rPr>
          <w:highlight w:val="none"/>
        </w:rPr>
        <w:t>1.1.3.4 单位工程：指专用合同条款中指明特定范围的永久工程。</w:t>
      </w:r>
    </w:p>
    <w:p w14:paraId="0F433EC8">
      <w:pPr>
        <w:spacing w:line="400" w:lineRule="exact"/>
        <w:ind w:firstLine="718" w:firstLineChars="342"/>
        <w:rPr>
          <w:highlight w:val="none"/>
        </w:rPr>
      </w:pPr>
      <w:r>
        <w:rPr>
          <w:highlight w:val="none"/>
        </w:rPr>
        <w:t>1.1.3.5 工程设备：指构成或计划构成永久工程一部分的机电设备、金属结构设备、仪器装置及其他类似的设备和装置。</w:t>
      </w:r>
    </w:p>
    <w:p w14:paraId="7C5B58F5">
      <w:pPr>
        <w:spacing w:line="400" w:lineRule="exact"/>
        <w:ind w:firstLine="718" w:firstLineChars="342"/>
        <w:rPr>
          <w:highlight w:val="none"/>
        </w:rPr>
      </w:pPr>
      <w:r>
        <w:rPr>
          <w:highlight w:val="none"/>
        </w:rPr>
        <w:t>1.1.3.6 施工设备：指为完成合同约定的各项工作所需的设备、器具和其他物品，不包括临时工程和材料。</w:t>
      </w:r>
    </w:p>
    <w:p w14:paraId="02E12762">
      <w:pPr>
        <w:spacing w:line="400" w:lineRule="exact"/>
        <w:ind w:firstLine="718" w:firstLineChars="342"/>
        <w:rPr>
          <w:highlight w:val="none"/>
        </w:rPr>
      </w:pPr>
      <w:r>
        <w:rPr>
          <w:highlight w:val="none"/>
        </w:rPr>
        <w:t>1.1.3.7 临时设施：指为完成合同约定的各项工作所服务的临时性生产和生活设施。</w:t>
      </w:r>
    </w:p>
    <w:p w14:paraId="659B32E2">
      <w:pPr>
        <w:spacing w:line="400" w:lineRule="exact"/>
        <w:ind w:firstLine="718" w:firstLineChars="342"/>
        <w:rPr>
          <w:highlight w:val="none"/>
        </w:rPr>
      </w:pPr>
      <w:r>
        <w:rPr>
          <w:highlight w:val="none"/>
        </w:rPr>
        <w:t>1.1.3.8 承包人设备：指承包人自带的施工设备。</w:t>
      </w:r>
    </w:p>
    <w:p w14:paraId="51D058CF">
      <w:pPr>
        <w:spacing w:line="400" w:lineRule="exact"/>
        <w:ind w:firstLine="718" w:firstLineChars="342"/>
        <w:rPr>
          <w:highlight w:val="none"/>
        </w:rPr>
      </w:pPr>
      <w:r>
        <w:rPr>
          <w:highlight w:val="none"/>
        </w:rPr>
        <w:t>1.1.3.9 施工场地（或称工地、现场）：指用于合同工程施工的场所，以及在合同中指定作为施工场地组成部分的其他场所，包括永久占地和临时占地。</w:t>
      </w:r>
    </w:p>
    <w:p w14:paraId="54A6FE62">
      <w:pPr>
        <w:spacing w:line="400" w:lineRule="exact"/>
        <w:ind w:firstLine="718" w:firstLineChars="342"/>
        <w:rPr>
          <w:highlight w:val="none"/>
        </w:rPr>
      </w:pPr>
      <w:r>
        <w:rPr>
          <w:highlight w:val="none"/>
        </w:rPr>
        <w:t>1.1.3.10 永久占地：指专用合同条款中指明为实施合同工程需永久占用的土地。</w:t>
      </w:r>
    </w:p>
    <w:p w14:paraId="065DB1A8">
      <w:pPr>
        <w:spacing w:line="400" w:lineRule="exact"/>
        <w:ind w:firstLine="718" w:firstLineChars="342"/>
        <w:rPr>
          <w:highlight w:val="none"/>
        </w:rPr>
      </w:pPr>
      <w:r>
        <w:rPr>
          <w:highlight w:val="none"/>
        </w:rPr>
        <w:t>1.1.3.11 临时占地：指专用合同条款中指明为实施合同工程需临时占用的土地。</w:t>
      </w:r>
    </w:p>
    <w:p w14:paraId="575FCD09">
      <w:pPr>
        <w:spacing w:line="400" w:lineRule="exact"/>
        <w:ind w:firstLine="420" w:firstLineChars="200"/>
        <w:rPr>
          <w:highlight w:val="none"/>
        </w:rPr>
      </w:pPr>
      <w:r>
        <w:rPr>
          <w:highlight w:val="none"/>
        </w:rPr>
        <w:t xml:space="preserve">1.1.4 </w:t>
      </w:r>
      <w:r>
        <w:rPr>
          <w:rFonts w:hint="eastAsia" w:ascii="宋体" w:hAnsi="宋体" w:cs="宋体"/>
          <w:highlight w:val="none"/>
        </w:rPr>
        <w:t>日期</w:t>
      </w:r>
    </w:p>
    <w:p w14:paraId="4E5B6223">
      <w:pPr>
        <w:spacing w:line="400" w:lineRule="exact"/>
        <w:ind w:firstLine="718" w:firstLineChars="342"/>
        <w:rPr>
          <w:highlight w:val="none"/>
        </w:rPr>
      </w:pPr>
      <w:r>
        <w:rPr>
          <w:highlight w:val="none"/>
        </w:rPr>
        <w:t>1.1.4.1 开工通知：指监理人按第11.1款通知承包人开工的函件。</w:t>
      </w:r>
    </w:p>
    <w:p w14:paraId="4E9A36DE">
      <w:pPr>
        <w:spacing w:line="400" w:lineRule="exact"/>
        <w:ind w:firstLine="718" w:firstLineChars="342"/>
        <w:rPr>
          <w:highlight w:val="none"/>
        </w:rPr>
      </w:pPr>
      <w:r>
        <w:rPr>
          <w:highlight w:val="none"/>
        </w:rPr>
        <w:t>1.1.4.2 开工日期：指监理人按第11.1款发出的开工通知中写明的开工日期。</w:t>
      </w:r>
    </w:p>
    <w:p w14:paraId="16FBC7CD">
      <w:pPr>
        <w:spacing w:line="400" w:lineRule="exact"/>
        <w:ind w:firstLine="718" w:firstLineChars="342"/>
        <w:rPr>
          <w:highlight w:val="none"/>
        </w:rPr>
      </w:pPr>
      <w:r>
        <w:rPr>
          <w:highlight w:val="none"/>
        </w:rPr>
        <w:t>1.1.4.3工期：指承包人在投标函中承诺的完成合同工程所需的期限，包括按第11.3款、第11.4款和第11.6款约定所作的变更。</w:t>
      </w:r>
    </w:p>
    <w:p w14:paraId="03FD34B1">
      <w:pPr>
        <w:spacing w:line="400" w:lineRule="exact"/>
        <w:ind w:firstLine="718" w:firstLineChars="342"/>
        <w:rPr>
          <w:highlight w:val="none"/>
        </w:rPr>
      </w:pPr>
      <w:r>
        <w:rPr>
          <w:highlight w:val="none"/>
        </w:rPr>
        <w:t>1.1.4.4 竣工日期：指第1.1.4.3目约定工期届满时的日期。实际竣工日期以工程接收证书中写明的日期为准。</w:t>
      </w:r>
    </w:p>
    <w:p w14:paraId="3D9B8E05">
      <w:pPr>
        <w:spacing w:line="400" w:lineRule="exact"/>
        <w:ind w:firstLine="718" w:firstLineChars="342"/>
        <w:rPr>
          <w:highlight w:val="none"/>
        </w:rPr>
      </w:pPr>
      <w:r>
        <w:rPr>
          <w:highlight w:val="none"/>
        </w:rPr>
        <w:t>1.1.4.5 缺陷责任期：指履行第19.2款约定的缺陷责任的期限，具体期限由专用合同条款约定，包括根据第19.3款约定所作的延长。</w:t>
      </w:r>
    </w:p>
    <w:p w14:paraId="457345C8">
      <w:pPr>
        <w:spacing w:line="400" w:lineRule="exact"/>
        <w:ind w:firstLine="718" w:firstLineChars="342"/>
        <w:rPr>
          <w:highlight w:val="none"/>
        </w:rPr>
      </w:pPr>
      <w:r>
        <w:rPr>
          <w:highlight w:val="none"/>
        </w:rPr>
        <w:t>1.1.4.6 基准日期：指投标截止时间前28天的日期。</w:t>
      </w:r>
    </w:p>
    <w:p w14:paraId="458351FA">
      <w:pPr>
        <w:spacing w:line="400" w:lineRule="exact"/>
        <w:ind w:firstLine="718" w:firstLineChars="342"/>
        <w:rPr>
          <w:highlight w:val="none"/>
        </w:rPr>
      </w:pPr>
      <w:r>
        <w:rPr>
          <w:highlight w:val="none"/>
        </w:rPr>
        <w:t>1.1.4.7 天：除特别指明外，指日历天。合同中按天计算时间的，开始当天不计入，从次日开始计算。期限最后一天的截止时间为当天24:00。</w:t>
      </w:r>
    </w:p>
    <w:p w14:paraId="0A0D978B">
      <w:pPr>
        <w:spacing w:line="400" w:lineRule="exact"/>
        <w:ind w:firstLine="420" w:firstLineChars="200"/>
        <w:rPr>
          <w:highlight w:val="none"/>
        </w:rPr>
      </w:pPr>
      <w:r>
        <w:rPr>
          <w:highlight w:val="none"/>
        </w:rPr>
        <w:t xml:space="preserve">1.1.5 </w:t>
      </w:r>
      <w:r>
        <w:rPr>
          <w:rFonts w:hint="eastAsia" w:ascii="宋体" w:hAnsi="宋体" w:cs="宋体"/>
          <w:highlight w:val="none"/>
        </w:rPr>
        <w:t>合同价格和费用</w:t>
      </w:r>
    </w:p>
    <w:p w14:paraId="07C67867">
      <w:pPr>
        <w:spacing w:line="400" w:lineRule="exact"/>
        <w:ind w:firstLine="718" w:firstLineChars="342"/>
        <w:rPr>
          <w:highlight w:val="none"/>
        </w:rPr>
      </w:pPr>
      <w:r>
        <w:rPr>
          <w:highlight w:val="none"/>
        </w:rPr>
        <w:t>1.1.5.1 签约合同价：指签定合同时合同协议书中写明的，包括了暂列金额、暂估价的合同总金额。</w:t>
      </w:r>
    </w:p>
    <w:p w14:paraId="7EF2AF7B">
      <w:pPr>
        <w:spacing w:line="400" w:lineRule="exact"/>
        <w:ind w:firstLine="718" w:firstLineChars="342"/>
        <w:rPr>
          <w:highlight w:val="none"/>
        </w:rPr>
      </w:pPr>
      <w:r>
        <w:rPr>
          <w:highlight w:val="none"/>
        </w:rPr>
        <w:t>1.1.5.2 合同价格：指承包人按合同约定完成了包括缺陷责任期内的全部承包工作后，发包人应付给承包人的金额，包括在履行合同过程中按合同约定进行的变更和调整。</w:t>
      </w:r>
    </w:p>
    <w:p w14:paraId="6F85AF14">
      <w:pPr>
        <w:spacing w:line="400" w:lineRule="exact"/>
        <w:ind w:firstLine="718" w:firstLineChars="342"/>
        <w:rPr>
          <w:highlight w:val="none"/>
        </w:rPr>
      </w:pPr>
      <w:r>
        <w:rPr>
          <w:highlight w:val="none"/>
        </w:rPr>
        <w:t>1.1.5.3 费用：指为履行合同所发生的或将要发生的所有合理开支，包括管理费和应分摊的其他费用，但不包括利润。</w:t>
      </w:r>
    </w:p>
    <w:p w14:paraId="255909AA">
      <w:pPr>
        <w:spacing w:line="400" w:lineRule="exact"/>
        <w:ind w:firstLine="718" w:firstLineChars="342"/>
        <w:rPr>
          <w:highlight w:val="none"/>
        </w:rPr>
      </w:pPr>
      <w:r>
        <w:rPr>
          <w:highlight w:val="none"/>
        </w:rPr>
        <w:t>1.1.5.4 暂列金额：指已标价工程量清单中所列的暂列金额，用于在签订协议书时尚未确定或不可预见变更的施工及其所需材料、工程设备、服务等的金额，包括以计日工方式支付的金额。</w:t>
      </w:r>
    </w:p>
    <w:p w14:paraId="1DF92B4C">
      <w:pPr>
        <w:spacing w:line="400" w:lineRule="exact"/>
        <w:ind w:firstLine="718" w:firstLineChars="342"/>
        <w:rPr>
          <w:highlight w:val="none"/>
        </w:rPr>
      </w:pPr>
      <w:r>
        <w:rPr>
          <w:highlight w:val="none"/>
        </w:rPr>
        <w:t>1.1.5.5暂估价：指发包人在工程量清单中给定的用于支付必然发生但暂时不能确定价格的材料、设备以及专业工程的金额。</w:t>
      </w:r>
    </w:p>
    <w:p w14:paraId="6AB149C1">
      <w:pPr>
        <w:spacing w:line="400" w:lineRule="exact"/>
        <w:ind w:firstLine="718" w:firstLineChars="342"/>
        <w:rPr>
          <w:highlight w:val="none"/>
        </w:rPr>
      </w:pPr>
      <w:r>
        <w:rPr>
          <w:highlight w:val="none"/>
        </w:rPr>
        <w:t>1.1.5.6 计日工：指对零星工作采取的一种计价方式，按合同中的计日工子目及其单价计价付款。</w:t>
      </w:r>
    </w:p>
    <w:p w14:paraId="3E7686DF">
      <w:pPr>
        <w:spacing w:line="400" w:lineRule="exact"/>
        <w:ind w:firstLine="718" w:firstLineChars="342"/>
        <w:rPr>
          <w:highlight w:val="none"/>
        </w:rPr>
      </w:pPr>
      <w:r>
        <w:rPr>
          <w:highlight w:val="none"/>
        </w:rPr>
        <w:t>1.1.5.7 质量保证金（或称保留金）：指按第17.4.1项约定用于保证在缺陷责任期内履行缺陷修复义务的金额。</w:t>
      </w:r>
    </w:p>
    <w:p w14:paraId="6FB3BFCE">
      <w:pPr>
        <w:spacing w:line="400" w:lineRule="exact"/>
        <w:ind w:firstLine="420" w:firstLineChars="200"/>
        <w:rPr>
          <w:highlight w:val="none"/>
        </w:rPr>
      </w:pPr>
      <w:r>
        <w:rPr>
          <w:highlight w:val="none"/>
        </w:rPr>
        <w:t xml:space="preserve">1.1.6 </w:t>
      </w:r>
      <w:r>
        <w:rPr>
          <w:rFonts w:hint="eastAsia" w:ascii="宋体" w:hAnsi="宋体" w:cs="宋体"/>
          <w:highlight w:val="none"/>
        </w:rPr>
        <w:t>其他</w:t>
      </w:r>
    </w:p>
    <w:p w14:paraId="682D634D">
      <w:pPr>
        <w:spacing w:line="400" w:lineRule="exact"/>
        <w:ind w:firstLine="718" w:firstLineChars="342"/>
        <w:rPr>
          <w:highlight w:val="none"/>
        </w:rPr>
      </w:pPr>
      <w:r>
        <w:rPr>
          <w:highlight w:val="none"/>
        </w:rPr>
        <w:t>1.1.6.1 书面形式：指合同文件、信函、电报、传真等可以有形地表现所载内容的形式。</w:t>
      </w:r>
    </w:p>
    <w:p w14:paraId="5695173F">
      <w:pPr>
        <w:keepNext/>
        <w:keepLines/>
        <w:spacing w:line="400" w:lineRule="exact"/>
        <w:outlineLvl w:val="2"/>
        <w:rPr>
          <w:rFonts w:eastAsia="黑体"/>
          <w:sz w:val="24"/>
          <w:szCs w:val="20"/>
          <w:highlight w:val="none"/>
        </w:rPr>
      </w:pPr>
      <w:bookmarkStart w:id="689" w:name="_Toc152045613"/>
      <w:bookmarkStart w:id="690" w:name="_Toc179632631"/>
      <w:bookmarkStart w:id="691" w:name="_Toc144974581"/>
      <w:bookmarkStart w:id="692" w:name="_Toc338944706"/>
      <w:bookmarkStart w:id="693" w:name="_Toc152042391"/>
      <w:bookmarkStart w:id="694" w:name="_Toc342296264"/>
      <w:bookmarkStart w:id="695" w:name="_Toc159950614"/>
      <w:r>
        <w:rPr>
          <w:rFonts w:eastAsia="黑体"/>
          <w:sz w:val="24"/>
          <w:szCs w:val="20"/>
          <w:highlight w:val="none"/>
        </w:rPr>
        <w:t>1.2 语言文字</w:t>
      </w:r>
      <w:bookmarkEnd w:id="689"/>
      <w:bookmarkEnd w:id="690"/>
      <w:bookmarkEnd w:id="691"/>
      <w:bookmarkEnd w:id="692"/>
      <w:bookmarkEnd w:id="693"/>
      <w:bookmarkEnd w:id="694"/>
      <w:bookmarkEnd w:id="695"/>
    </w:p>
    <w:p w14:paraId="3D29C51E">
      <w:pPr>
        <w:spacing w:line="400" w:lineRule="exact"/>
        <w:ind w:firstLine="420" w:firstLineChars="200"/>
        <w:rPr>
          <w:highlight w:val="none"/>
        </w:rPr>
      </w:pPr>
      <w:r>
        <w:rPr>
          <w:highlight w:val="none"/>
        </w:rPr>
        <w:t>除专用术语外，合同使用的语言文字为中文。必要时专用术语应附有中文注释。</w:t>
      </w:r>
    </w:p>
    <w:p w14:paraId="2FAF8A9A">
      <w:pPr>
        <w:keepNext/>
        <w:keepLines/>
        <w:spacing w:line="400" w:lineRule="exact"/>
        <w:outlineLvl w:val="2"/>
        <w:rPr>
          <w:rFonts w:eastAsia="黑体"/>
          <w:sz w:val="24"/>
          <w:szCs w:val="20"/>
          <w:highlight w:val="none"/>
        </w:rPr>
      </w:pPr>
      <w:bookmarkStart w:id="696" w:name="_Toc152045614"/>
      <w:bookmarkStart w:id="697" w:name="_Toc338944707"/>
      <w:bookmarkStart w:id="698" w:name="_Toc179632632"/>
      <w:bookmarkStart w:id="699" w:name="_Toc342296265"/>
      <w:bookmarkStart w:id="700" w:name="_Toc152042392"/>
      <w:bookmarkStart w:id="701" w:name="_Toc144974582"/>
      <w:bookmarkStart w:id="702" w:name="_Toc159950615"/>
      <w:r>
        <w:rPr>
          <w:rFonts w:eastAsia="黑体"/>
          <w:sz w:val="24"/>
          <w:szCs w:val="20"/>
          <w:highlight w:val="none"/>
        </w:rPr>
        <w:t>1.3 法律</w:t>
      </w:r>
      <w:bookmarkEnd w:id="696"/>
      <w:bookmarkEnd w:id="697"/>
      <w:bookmarkEnd w:id="698"/>
      <w:bookmarkEnd w:id="699"/>
      <w:bookmarkEnd w:id="700"/>
      <w:bookmarkEnd w:id="701"/>
      <w:bookmarkEnd w:id="702"/>
    </w:p>
    <w:p w14:paraId="4491556F">
      <w:pPr>
        <w:spacing w:line="400" w:lineRule="exact"/>
        <w:ind w:firstLine="420" w:firstLineChars="200"/>
        <w:rPr>
          <w:highlight w:val="none"/>
        </w:rPr>
      </w:pPr>
      <w:r>
        <w:rPr>
          <w:highlight w:val="none"/>
        </w:rPr>
        <w:t>适用于合同的法律包括中华人民共和国法律、行政法规、部门规章，以及工程所在地的地方法规、自治条例、单行条例和地方政府规章。</w:t>
      </w:r>
    </w:p>
    <w:p w14:paraId="5E58D713">
      <w:pPr>
        <w:keepNext/>
        <w:keepLines/>
        <w:spacing w:line="400" w:lineRule="exact"/>
        <w:outlineLvl w:val="2"/>
        <w:rPr>
          <w:rFonts w:eastAsia="黑体"/>
          <w:sz w:val="24"/>
          <w:szCs w:val="20"/>
          <w:highlight w:val="none"/>
        </w:rPr>
      </w:pPr>
      <w:bookmarkStart w:id="703" w:name="_Toc338944708"/>
      <w:bookmarkStart w:id="704" w:name="_Toc342296266"/>
      <w:bookmarkStart w:id="705" w:name="_Toc159950616"/>
      <w:r>
        <w:rPr>
          <w:rFonts w:eastAsia="黑体"/>
          <w:sz w:val="24"/>
          <w:szCs w:val="20"/>
          <w:highlight w:val="none"/>
        </w:rPr>
        <w:t>1.4 合同文件的优先顺序</w:t>
      </w:r>
      <w:bookmarkEnd w:id="703"/>
      <w:bookmarkEnd w:id="704"/>
      <w:bookmarkEnd w:id="705"/>
    </w:p>
    <w:p w14:paraId="605E9ED0">
      <w:pPr>
        <w:spacing w:line="400" w:lineRule="exact"/>
        <w:ind w:firstLine="420" w:firstLineChars="200"/>
        <w:rPr>
          <w:highlight w:val="none"/>
        </w:rPr>
      </w:pPr>
      <w:r>
        <w:rPr>
          <w:highlight w:val="none"/>
        </w:rPr>
        <w:t>组成合同的各项文件应互相解释，互为说明。除专用合同条款另有约定外，解释合同文件的优先顺序如下：</w:t>
      </w:r>
    </w:p>
    <w:p w14:paraId="081EC88E">
      <w:pPr>
        <w:spacing w:line="400" w:lineRule="exact"/>
        <w:ind w:firstLine="359" w:firstLineChars="171"/>
        <w:rPr>
          <w:highlight w:val="none"/>
        </w:rPr>
      </w:pPr>
      <w:r>
        <w:rPr>
          <w:highlight w:val="none"/>
        </w:rPr>
        <w:t>（1）合同协议书；</w:t>
      </w:r>
    </w:p>
    <w:p w14:paraId="497A52D2">
      <w:pPr>
        <w:spacing w:line="400" w:lineRule="exact"/>
        <w:ind w:firstLine="359" w:firstLineChars="171"/>
        <w:rPr>
          <w:highlight w:val="none"/>
        </w:rPr>
      </w:pPr>
      <w:r>
        <w:rPr>
          <w:highlight w:val="none"/>
        </w:rPr>
        <w:t>（2）中标通知书；</w:t>
      </w:r>
    </w:p>
    <w:p w14:paraId="784C0AA1">
      <w:pPr>
        <w:spacing w:line="400" w:lineRule="exact"/>
        <w:ind w:firstLine="359" w:firstLineChars="171"/>
        <w:rPr>
          <w:highlight w:val="none"/>
        </w:rPr>
      </w:pPr>
      <w:r>
        <w:rPr>
          <w:highlight w:val="none"/>
        </w:rPr>
        <w:t>（3）投标函及投标函附录；</w:t>
      </w:r>
    </w:p>
    <w:p w14:paraId="430576FB">
      <w:pPr>
        <w:spacing w:line="400" w:lineRule="exact"/>
        <w:ind w:firstLine="359" w:firstLineChars="171"/>
        <w:rPr>
          <w:highlight w:val="none"/>
        </w:rPr>
      </w:pPr>
      <w:r>
        <w:rPr>
          <w:highlight w:val="none"/>
        </w:rPr>
        <w:t>（4）专用合同条款；</w:t>
      </w:r>
    </w:p>
    <w:p w14:paraId="10A23738">
      <w:pPr>
        <w:spacing w:line="400" w:lineRule="exact"/>
        <w:ind w:firstLine="359" w:firstLineChars="171"/>
        <w:rPr>
          <w:highlight w:val="none"/>
        </w:rPr>
      </w:pPr>
      <w:r>
        <w:rPr>
          <w:highlight w:val="none"/>
        </w:rPr>
        <w:t>（5）通用合同条款；</w:t>
      </w:r>
    </w:p>
    <w:p w14:paraId="17484F35">
      <w:pPr>
        <w:spacing w:line="400" w:lineRule="exact"/>
        <w:ind w:firstLine="359" w:firstLineChars="171"/>
        <w:rPr>
          <w:highlight w:val="none"/>
        </w:rPr>
      </w:pPr>
      <w:r>
        <w:rPr>
          <w:highlight w:val="none"/>
        </w:rPr>
        <w:t>（6）技术标准和要求；</w:t>
      </w:r>
    </w:p>
    <w:p w14:paraId="0E6FA433">
      <w:pPr>
        <w:spacing w:line="400" w:lineRule="exact"/>
        <w:ind w:firstLine="359" w:firstLineChars="171"/>
        <w:rPr>
          <w:highlight w:val="none"/>
        </w:rPr>
      </w:pPr>
      <w:r>
        <w:rPr>
          <w:highlight w:val="none"/>
        </w:rPr>
        <w:t>（7）图纸；</w:t>
      </w:r>
    </w:p>
    <w:p w14:paraId="6EC3339B">
      <w:pPr>
        <w:spacing w:line="400" w:lineRule="exact"/>
        <w:ind w:firstLine="359" w:firstLineChars="171"/>
        <w:rPr>
          <w:highlight w:val="none"/>
        </w:rPr>
      </w:pPr>
      <w:r>
        <w:rPr>
          <w:highlight w:val="none"/>
        </w:rPr>
        <w:t>（8）已标价工程量清单；</w:t>
      </w:r>
    </w:p>
    <w:p w14:paraId="3E04D32C">
      <w:pPr>
        <w:spacing w:line="400" w:lineRule="exact"/>
        <w:ind w:firstLine="359" w:firstLineChars="171"/>
        <w:rPr>
          <w:highlight w:val="none"/>
        </w:rPr>
      </w:pPr>
      <w:r>
        <w:rPr>
          <w:highlight w:val="none"/>
        </w:rPr>
        <w:t>（9）其他合同文件。</w:t>
      </w:r>
    </w:p>
    <w:p w14:paraId="71323CEF">
      <w:pPr>
        <w:keepNext/>
        <w:keepLines/>
        <w:spacing w:line="400" w:lineRule="exact"/>
        <w:outlineLvl w:val="2"/>
        <w:rPr>
          <w:rFonts w:eastAsia="黑体"/>
          <w:sz w:val="24"/>
          <w:szCs w:val="20"/>
          <w:highlight w:val="none"/>
        </w:rPr>
      </w:pPr>
      <w:bookmarkStart w:id="706" w:name="_Toc159950617"/>
      <w:bookmarkStart w:id="707" w:name="_Toc338944709"/>
      <w:bookmarkStart w:id="708" w:name="_Toc342296267"/>
      <w:r>
        <w:rPr>
          <w:rFonts w:eastAsia="黑体"/>
          <w:sz w:val="24"/>
          <w:szCs w:val="20"/>
          <w:highlight w:val="none"/>
        </w:rPr>
        <w:t>1.5 合同协议书</w:t>
      </w:r>
      <w:bookmarkEnd w:id="706"/>
      <w:bookmarkEnd w:id="707"/>
      <w:bookmarkEnd w:id="708"/>
    </w:p>
    <w:p w14:paraId="4BF6A805">
      <w:pPr>
        <w:spacing w:line="400" w:lineRule="exact"/>
        <w:ind w:firstLine="420" w:firstLineChars="200"/>
        <w:rPr>
          <w:highlight w:val="none"/>
        </w:rPr>
      </w:pPr>
      <w:r>
        <w:rPr>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1EE2CC01">
      <w:pPr>
        <w:keepNext/>
        <w:keepLines/>
        <w:spacing w:line="400" w:lineRule="exact"/>
        <w:outlineLvl w:val="2"/>
        <w:rPr>
          <w:rFonts w:eastAsia="黑体"/>
          <w:sz w:val="24"/>
          <w:szCs w:val="20"/>
          <w:highlight w:val="none"/>
        </w:rPr>
      </w:pPr>
      <w:bookmarkStart w:id="709" w:name="_Toc338944710"/>
      <w:bookmarkStart w:id="710" w:name="_Toc159950618"/>
      <w:bookmarkStart w:id="711" w:name="_Toc342296268"/>
      <w:r>
        <w:rPr>
          <w:rFonts w:eastAsia="黑体"/>
          <w:sz w:val="24"/>
          <w:szCs w:val="20"/>
          <w:highlight w:val="none"/>
        </w:rPr>
        <w:t>1.6 图纸和承包人文件</w:t>
      </w:r>
      <w:bookmarkEnd w:id="709"/>
      <w:bookmarkEnd w:id="710"/>
      <w:bookmarkEnd w:id="711"/>
    </w:p>
    <w:p w14:paraId="0B5E09C0">
      <w:pPr>
        <w:spacing w:line="400" w:lineRule="exact"/>
        <w:ind w:firstLine="420" w:firstLineChars="200"/>
        <w:rPr>
          <w:highlight w:val="none"/>
        </w:rPr>
      </w:pPr>
      <w:r>
        <w:rPr>
          <w:highlight w:val="none"/>
        </w:rPr>
        <w:t>1.6.1</w:t>
      </w:r>
      <w:r>
        <w:rPr>
          <w:rFonts w:hint="eastAsia" w:ascii="宋体" w:hAnsi="宋体" w:cs="宋体"/>
          <w:highlight w:val="none"/>
        </w:rPr>
        <w:t>图纸的提供</w:t>
      </w:r>
      <w:r>
        <w:rPr>
          <w:rFonts w:hint="eastAsia" w:ascii="等线" w:hAnsi="等线" w:eastAsia="等线"/>
          <w:highlight w:val="none"/>
        </w:rPr>
        <w:t>和交底</w:t>
      </w:r>
    </w:p>
    <w:p w14:paraId="51555542">
      <w:pPr>
        <w:spacing w:line="400" w:lineRule="exact"/>
        <w:ind w:firstLine="420" w:firstLineChars="200"/>
        <w:rPr>
          <w:highlight w:val="none"/>
        </w:rPr>
      </w:pPr>
      <w:r>
        <w:rPr>
          <w:rFonts w:hint="eastAsia"/>
          <w:highlight w:val="none"/>
        </w:rPr>
        <w:t>发包人应按照专用合同条款约定的期限、数量和内容向承包人免费提供图纸，并组织承包人、监理人和设计人进行图纸会审和设计交底。</w:t>
      </w:r>
      <w:r>
        <w:rPr>
          <w:highlight w:val="none"/>
        </w:rPr>
        <w:t xml:space="preserve">。由于发包人未按时提供图纸造成工期延误的，按第11.3款的约定办理。1.6.2 </w:t>
      </w:r>
      <w:r>
        <w:rPr>
          <w:rFonts w:hint="eastAsia" w:ascii="宋体" w:hAnsi="宋体" w:cs="宋体"/>
          <w:highlight w:val="none"/>
        </w:rPr>
        <w:t>承包人提供的文件</w:t>
      </w:r>
    </w:p>
    <w:p w14:paraId="41AEAC1D">
      <w:pPr>
        <w:spacing w:line="400" w:lineRule="exact"/>
        <w:rPr>
          <w:highlight w:val="none"/>
        </w:rPr>
      </w:pPr>
      <w:r>
        <w:rPr>
          <w:highlight w:val="none"/>
        </w:rPr>
        <w:t>　　</w:t>
      </w:r>
      <w:r>
        <w:rPr>
          <w:rFonts w:hint="eastAsia"/>
          <w:highlight w:val="none"/>
        </w:rPr>
        <w:t>承包人应按照专用合同条款的约定提供应当由其编制的与工程施工有关的文件，其中应</w:t>
      </w:r>
      <w:r>
        <w:rPr>
          <w:highlight w:val="none"/>
        </w:rPr>
        <w:t>包括部分工程的大样图、加工图等</w:t>
      </w:r>
      <w:r>
        <w:rPr>
          <w:rFonts w:hint="eastAsia"/>
          <w:highlight w:val="none"/>
        </w:rPr>
        <w:t>。同时按照专用合同条款约定的期限、数量和形式提交监理人，由监理人报送发包人。除专用合同条款另有约定外，监理人应在收到承包人文件后</w:t>
      </w:r>
      <w:r>
        <w:rPr>
          <w:highlight w:val="none"/>
        </w:rPr>
        <w:t>7天内审查完毕，监理人对承包人文件有异议的，承包人应予以修改，并重新报送监理人</w:t>
      </w:r>
      <w:r>
        <w:rPr>
          <w:rFonts w:hint="eastAsia"/>
          <w:highlight w:val="none"/>
        </w:rPr>
        <w:t>。</w:t>
      </w:r>
    </w:p>
    <w:p w14:paraId="72BDFE77">
      <w:pPr>
        <w:spacing w:line="400" w:lineRule="exact"/>
        <w:ind w:firstLine="420" w:firstLineChars="200"/>
        <w:rPr>
          <w:highlight w:val="none"/>
        </w:rPr>
      </w:pPr>
      <w:r>
        <w:rPr>
          <w:highlight w:val="none"/>
        </w:rPr>
        <w:t xml:space="preserve">1.6.3 </w:t>
      </w:r>
      <w:r>
        <w:rPr>
          <w:rFonts w:hint="eastAsia" w:ascii="宋体" w:hAnsi="宋体" w:cs="宋体"/>
          <w:highlight w:val="none"/>
        </w:rPr>
        <w:t>图纸的修改</w:t>
      </w:r>
    </w:p>
    <w:p w14:paraId="452A5172">
      <w:pPr>
        <w:spacing w:line="400" w:lineRule="exact"/>
        <w:ind w:firstLine="420" w:firstLineChars="200"/>
        <w:rPr>
          <w:highlight w:val="none"/>
        </w:rPr>
      </w:pPr>
      <w:r>
        <w:rPr>
          <w:highlight w:val="none"/>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2AAC1658">
      <w:pPr>
        <w:spacing w:line="400" w:lineRule="exact"/>
        <w:ind w:firstLine="420" w:firstLineChars="200"/>
        <w:rPr>
          <w:highlight w:val="none"/>
        </w:rPr>
      </w:pPr>
      <w:r>
        <w:rPr>
          <w:highlight w:val="none"/>
        </w:rPr>
        <w:t xml:space="preserve">1.6.4 </w:t>
      </w:r>
      <w:r>
        <w:rPr>
          <w:rFonts w:hint="eastAsia" w:ascii="宋体" w:hAnsi="宋体" w:cs="宋体"/>
          <w:highlight w:val="none"/>
        </w:rPr>
        <w:t>图纸的错误</w:t>
      </w:r>
    </w:p>
    <w:p w14:paraId="0099D754">
      <w:pPr>
        <w:spacing w:line="400" w:lineRule="exact"/>
        <w:ind w:firstLine="420" w:firstLineChars="200"/>
        <w:rPr>
          <w:highlight w:val="none"/>
        </w:rPr>
      </w:pPr>
      <w:r>
        <w:rPr>
          <w:rFonts w:hint="eastAsia"/>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r>
        <w:rPr>
          <w:highlight w:val="none"/>
        </w:rPr>
        <w:t xml:space="preserve">1.6.5 </w:t>
      </w:r>
      <w:r>
        <w:rPr>
          <w:rFonts w:hint="eastAsia" w:ascii="宋体" w:hAnsi="宋体" w:cs="宋体"/>
          <w:highlight w:val="none"/>
        </w:rPr>
        <w:t>图纸和承包人文件的保管</w:t>
      </w:r>
    </w:p>
    <w:p w14:paraId="734CAE57">
      <w:pPr>
        <w:spacing w:line="400" w:lineRule="exact"/>
        <w:ind w:firstLine="420" w:firstLineChars="200"/>
        <w:rPr>
          <w:highlight w:val="none"/>
        </w:rPr>
      </w:pPr>
      <w:r>
        <w:rPr>
          <w:highlight w:val="none"/>
        </w:rPr>
        <w:t>监理人和承包人均应在施工场地各保存一套完整的包含第1.6.1项、第1.6.2项、第1.6.3项约定内容的图纸和承包人文件</w:t>
      </w:r>
      <w:r>
        <w:rPr>
          <w:rFonts w:hint="eastAsia"/>
          <w:highlight w:val="none"/>
        </w:rPr>
        <w:t>，，供发包人、监理人及有关人员进行工程检查时使用。</w:t>
      </w:r>
    </w:p>
    <w:p w14:paraId="719E017C">
      <w:pPr>
        <w:keepNext/>
        <w:keepLines/>
        <w:spacing w:line="400" w:lineRule="exact"/>
        <w:outlineLvl w:val="2"/>
        <w:rPr>
          <w:rFonts w:eastAsia="黑体"/>
          <w:sz w:val="24"/>
          <w:szCs w:val="20"/>
          <w:highlight w:val="none"/>
        </w:rPr>
      </w:pPr>
      <w:bookmarkStart w:id="712" w:name="_Toc159950619"/>
      <w:bookmarkStart w:id="713" w:name="_Toc342296269"/>
      <w:bookmarkStart w:id="714" w:name="_Toc338944711"/>
      <w:r>
        <w:rPr>
          <w:rFonts w:eastAsia="黑体"/>
          <w:sz w:val="24"/>
          <w:szCs w:val="20"/>
          <w:highlight w:val="none"/>
        </w:rPr>
        <w:t>1.7 联络</w:t>
      </w:r>
      <w:bookmarkEnd w:id="712"/>
      <w:bookmarkEnd w:id="713"/>
      <w:bookmarkEnd w:id="714"/>
    </w:p>
    <w:p w14:paraId="168DF94F">
      <w:pPr>
        <w:spacing w:line="400" w:lineRule="exact"/>
        <w:ind w:firstLine="420" w:firstLineChars="200"/>
        <w:rPr>
          <w:highlight w:val="none"/>
        </w:rPr>
      </w:pPr>
      <w:r>
        <w:rPr>
          <w:highlight w:val="none"/>
        </w:rPr>
        <w:t>1.7.1 与合同有关的通知、批准、证明、证书、指示、要求、请求、同意、意见、确定和决定等，均应采用书面形式。</w:t>
      </w:r>
    </w:p>
    <w:p w14:paraId="549599D4">
      <w:pPr>
        <w:spacing w:line="400" w:lineRule="exact"/>
        <w:ind w:firstLine="420" w:firstLineChars="200"/>
        <w:rPr>
          <w:highlight w:val="none"/>
        </w:rPr>
      </w:pPr>
      <w:r>
        <w:rPr>
          <w:highlight w:val="none"/>
        </w:rPr>
        <w:t>1.7.2 第1.7.1项中的通知、批准、证明、证书、指示、要求、请求、同意、意见、确定和决定等来往函件，均应在合同约定的期限内送达指定地点和接收人，并办理签收手续。</w:t>
      </w:r>
    </w:p>
    <w:p w14:paraId="4ED8B1BC">
      <w:pPr>
        <w:keepNext/>
        <w:keepLines/>
        <w:spacing w:line="400" w:lineRule="exact"/>
        <w:outlineLvl w:val="2"/>
        <w:rPr>
          <w:rFonts w:eastAsia="黑体"/>
          <w:sz w:val="24"/>
          <w:szCs w:val="20"/>
          <w:highlight w:val="none"/>
        </w:rPr>
      </w:pPr>
      <w:bookmarkStart w:id="715" w:name="_Toc152042397"/>
      <w:bookmarkStart w:id="716" w:name="_Toc152045619"/>
      <w:bookmarkStart w:id="717" w:name="_Toc144974587"/>
      <w:bookmarkStart w:id="718" w:name="_Toc159950620"/>
      <w:bookmarkStart w:id="719" w:name="_Toc179632637"/>
      <w:bookmarkStart w:id="720" w:name="_Toc338944712"/>
      <w:bookmarkStart w:id="721" w:name="_Toc342296270"/>
      <w:r>
        <w:rPr>
          <w:rFonts w:eastAsia="黑体"/>
          <w:sz w:val="24"/>
          <w:szCs w:val="20"/>
          <w:highlight w:val="none"/>
        </w:rPr>
        <w:t>1.8 转让</w:t>
      </w:r>
      <w:bookmarkEnd w:id="715"/>
      <w:bookmarkEnd w:id="716"/>
      <w:bookmarkEnd w:id="717"/>
      <w:bookmarkEnd w:id="718"/>
      <w:bookmarkEnd w:id="719"/>
      <w:bookmarkEnd w:id="720"/>
      <w:bookmarkEnd w:id="721"/>
    </w:p>
    <w:p w14:paraId="2CE8CF4F">
      <w:pPr>
        <w:spacing w:line="400" w:lineRule="exact"/>
        <w:ind w:firstLine="420" w:firstLineChars="200"/>
        <w:rPr>
          <w:highlight w:val="none"/>
        </w:rPr>
      </w:pPr>
      <w:r>
        <w:rPr>
          <w:highlight w:val="none"/>
        </w:rPr>
        <w:t>除合同另有约定外，未经对方当事人同意，一方当事人不得将合同权利全部或部分转让给第三人，也不得全部或部分转移合同义务。</w:t>
      </w:r>
    </w:p>
    <w:p w14:paraId="409F923F">
      <w:pPr>
        <w:keepNext/>
        <w:keepLines/>
        <w:spacing w:line="400" w:lineRule="exact"/>
        <w:outlineLvl w:val="2"/>
        <w:rPr>
          <w:rFonts w:eastAsia="黑体"/>
          <w:sz w:val="24"/>
          <w:szCs w:val="20"/>
          <w:highlight w:val="none"/>
        </w:rPr>
      </w:pPr>
      <w:bookmarkStart w:id="722" w:name="_Toc144974588"/>
      <w:bookmarkStart w:id="723" w:name="_Toc159950621"/>
      <w:bookmarkStart w:id="724" w:name="_Toc152045620"/>
      <w:bookmarkStart w:id="725" w:name="_Toc342296271"/>
      <w:bookmarkStart w:id="726" w:name="_Toc338944713"/>
      <w:bookmarkStart w:id="727" w:name="_Toc179632638"/>
      <w:bookmarkStart w:id="728" w:name="_Toc152042398"/>
      <w:r>
        <w:rPr>
          <w:rFonts w:eastAsia="黑体"/>
          <w:sz w:val="24"/>
          <w:szCs w:val="20"/>
          <w:highlight w:val="none"/>
        </w:rPr>
        <w:t>1.9 严禁贿赂</w:t>
      </w:r>
      <w:bookmarkEnd w:id="722"/>
      <w:bookmarkEnd w:id="723"/>
      <w:bookmarkEnd w:id="724"/>
      <w:bookmarkEnd w:id="725"/>
      <w:bookmarkEnd w:id="726"/>
      <w:bookmarkEnd w:id="727"/>
      <w:bookmarkEnd w:id="728"/>
    </w:p>
    <w:p w14:paraId="32E63BA9">
      <w:pPr>
        <w:spacing w:line="400" w:lineRule="exact"/>
        <w:ind w:firstLine="420" w:firstLineChars="200"/>
        <w:rPr>
          <w:highlight w:val="none"/>
        </w:rPr>
      </w:pPr>
      <w:r>
        <w:rPr>
          <w:highlight w:val="none"/>
        </w:rPr>
        <w:t>合同双方当事人不得以贿赂或变相贿赂的方式，谋取不当利益或损害对方权益。因贿赂造成对方损失的，行为人应赔偿损失，并承担相应的法律责任。</w:t>
      </w:r>
    </w:p>
    <w:p w14:paraId="76FB9252">
      <w:pPr>
        <w:spacing w:line="400" w:lineRule="exact"/>
        <w:ind w:firstLine="420" w:firstLineChars="200"/>
        <w:rPr>
          <w:highlight w:val="none"/>
        </w:rPr>
      </w:pPr>
      <w:r>
        <w:rPr>
          <w:rFonts w:hint="eastAsia"/>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70B631AF">
      <w:pPr>
        <w:keepNext/>
        <w:keepLines/>
        <w:spacing w:line="400" w:lineRule="exact"/>
        <w:outlineLvl w:val="2"/>
        <w:rPr>
          <w:rFonts w:eastAsia="黑体"/>
          <w:sz w:val="24"/>
          <w:szCs w:val="20"/>
          <w:highlight w:val="none"/>
        </w:rPr>
      </w:pPr>
      <w:bookmarkStart w:id="729" w:name="_Toc342296272"/>
      <w:bookmarkStart w:id="730" w:name="_Toc144974589"/>
      <w:bookmarkStart w:id="731" w:name="_Toc179632639"/>
      <w:bookmarkStart w:id="732" w:name="_Toc152045621"/>
      <w:bookmarkStart w:id="733" w:name="_Toc338944714"/>
      <w:bookmarkStart w:id="734" w:name="_Toc159950622"/>
      <w:bookmarkStart w:id="735" w:name="_Toc152042399"/>
      <w:r>
        <w:rPr>
          <w:rFonts w:eastAsia="黑体"/>
          <w:sz w:val="24"/>
          <w:szCs w:val="20"/>
          <w:highlight w:val="none"/>
        </w:rPr>
        <w:t>1.10 化石、文物</w:t>
      </w:r>
      <w:bookmarkEnd w:id="729"/>
      <w:bookmarkEnd w:id="730"/>
      <w:bookmarkEnd w:id="731"/>
      <w:bookmarkEnd w:id="732"/>
      <w:bookmarkEnd w:id="733"/>
      <w:bookmarkEnd w:id="734"/>
      <w:bookmarkEnd w:id="735"/>
    </w:p>
    <w:p w14:paraId="5157E62F">
      <w:pPr>
        <w:spacing w:line="400" w:lineRule="exact"/>
        <w:ind w:firstLine="420" w:firstLineChars="200"/>
        <w:rPr>
          <w:highlight w:val="none"/>
        </w:rPr>
      </w:pPr>
      <w:r>
        <w:rPr>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0891DA6D">
      <w:pPr>
        <w:spacing w:line="400" w:lineRule="exact"/>
        <w:ind w:firstLine="420" w:firstLineChars="200"/>
        <w:rPr>
          <w:highlight w:val="none"/>
        </w:rPr>
      </w:pPr>
      <w:r>
        <w:rPr>
          <w:highlight w:val="none"/>
        </w:rPr>
        <w:t>1.10.2 承包人发现文物后不及时报告或隐瞒不报，致使文物丢失或损坏的，应赔偿损失，并承担相应的法律责任。</w:t>
      </w:r>
    </w:p>
    <w:p w14:paraId="07E51685">
      <w:pPr>
        <w:keepNext/>
        <w:keepLines/>
        <w:spacing w:line="400" w:lineRule="exact"/>
        <w:outlineLvl w:val="2"/>
        <w:rPr>
          <w:rFonts w:eastAsia="黑体"/>
          <w:sz w:val="24"/>
          <w:szCs w:val="20"/>
          <w:highlight w:val="none"/>
        </w:rPr>
      </w:pPr>
      <w:bookmarkStart w:id="736" w:name="_Toc152045622"/>
      <w:bookmarkStart w:id="737" w:name="_Toc144974590"/>
      <w:bookmarkStart w:id="738" w:name="_Toc152042400"/>
      <w:bookmarkStart w:id="739" w:name="_Toc342296273"/>
      <w:bookmarkStart w:id="740" w:name="_Toc338944715"/>
      <w:bookmarkStart w:id="741" w:name="_Toc159950623"/>
      <w:bookmarkStart w:id="742" w:name="_Toc179632640"/>
      <w:r>
        <w:rPr>
          <w:rFonts w:eastAsia="黑体"/>
          <w:sz w:val="24"/>
          <w:szCs w:val="20"/>
          <w:highlight w:val="none"/>
        </w:rPr>
        <w:t>1.11 专利技术</w:t>
      </w:r>
      <w:bookmarkEnd w:id="736"/>
      <w:bookmarkEnd w:id="737"/>
      <w:bookmarkEnd w:id="738"/>
      <w:bookmarkEnd w:id="739"/>
      <w:bookmarkEnd w:id="740"/>
      <w:bookmarkEnd w:id="741"/>
      <w:bookmarkEnd w:id="742"/>
    </w:p>
    <w:p w14:paraId="551B1112">
      <w:pPr>
        <w:spacing w:line="400" w:lineRule="exact"/>
        <w:ind w:firstLine="420" w:firstLineChars="200"/>
        <w:rPr>
          <w:highlight w:val="none"/>
        </w:rPr>
      </w:pPr>
      <w:r>
        <w:rPr>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258F25B5">
      <w:pPr>
        <w:spacing w:line="400" w:lineRule="exact"/>
        <w:ind w:firstLine="420" w:firstLineChars="200"/>
        <w:rPr>
          <w:highlight w:val="none"/>
        </w:rPr>
      </w:pPr>
      <w:r>
        <w:rPr>
          <w:highlight w:val="none"/>
        </w:rPr>
        <w:t>1.11.2 承包人在投标文件中采用专利技术的，专利技术的使用费包含在投标报价内。</w:t>
      </w:r>
    </w:p>
    <w:p w14:paraId="218F4777">
      <w:pPr>
        <w:spacing w:line="400" w:lineRule="exact"/>
        <w:ind w:firstLine="420" w:firstLineChars="200"/>
        <w:rPr>
          <w:highlight w:val="none"/>
        </w:rPr>
      </w:pPr>
      <w:r>
        <w:rPr>
          <w:highlight w:val="none"/>
        </w:rPr>
        <w:t>1.11.3 承包人的技术秘密和声明需要保密的资料和信息，发包人和监理人不得为合同以外的目的泄露给他人。</w:t>
      </w:r>
    </w:p>
    <w:p w14:paraId="438E68A6">
      <w:pPr>
        <w:keepNext/>
        <w:keepLines/>
        <w:spacing w:line="400" w:lineRule="exact"/>
        <w:outlineLvl w:val="2"/>
        <w:rPr>
          <w:rFonts w:eastAsia="黑体"/>
          <w:sz w:val="24"/>
          <w:szCs w:val="20"/>
          <w:highlight w:val="none"/>
        </w:rPr>
      </w:pPr>
      <w:bookmarkStart w:id="743" w:name="_Toc152045623"/>
      <w:bookmarkStart w:id="744" w:name="_Toc342296274"/>
      <w:bookmarkStart w:id="745" w:name="_Toc179632641"/>
      <w:bookmarkStart w:id="746" w:name="_Toc152042401"/>
      <w:bookmarkStart w:id="747" w:name="_Toc144974591"/>
      <w:bookmarkStart w:id="748" w:name="_Toc338944716"/>
      <w:bookmarkStart w:id="749" w:name="_Toc159950624"/>
      <w:r>
        <w:rPr>
          <w:rFonts w:eastAsia="黑体"/>
          <w:sz w:val="24"/>
          <w:szCs w:val="20"/>
          <w:highlight w:val="none"/>
        </w:rPr>
        <w:t>1.12 图纸和文件的保密</w:t>
      </w:r>
      <w:bookmarkEnd w:id="743"/>
      <w:bookmarkEnd w:id="744"/>
      <w:bookmarkEnd w:id="745"/>
      <w:bookmarkEnd w:id="746"/>
      <w:bookmarkEnd w:id="747"/>
      <w:bookmarkEnd w:id="748"/>
      <w:bookmarkEnd w:id="749"/>
    </w:p>
    <w:p w14:paraId="0C562252">
      <w:pPr>
        <w:spacing w:line="400" w:lineRule="exact"/>
        <w:ind w:firstLine="420" w:firstLineChars="200"/>
        <w:rPr>
          <w:highlight w:val="none"/>
        </w:rPr>
      </w:pPr>
      <w:r>
        <w:rPr>
          <w:highlight w:val="none"/>
        </w:rPr>
        <w:t>1.12.1 发包人提供的图纸和文件，未经发包人同意，承包人不得为合同以外的目的泄露给他人或公开发表与引用。</w:t>
      </w:r>
    </w:p>
    <w:p w14:paraId="202A87FF">
      <w:pPr>
        <w:spacing w:line="400" w:lineRule="exact"/>
        <w:ind w:firstLine="420" w:firstLineChars="200"/>
        <w:rPr>
          <w:highlight w:val="none"/>
        </w:rPr>
      </w:pPr>
      <w:r>
        <w:rPr>
          <w:highlight w:val="none"/>
        </w:rPr>
        <w:t>1.12.2 承包人提供的文件，未经承包人同意，发包人和监理人不得为合同以外的目的泄露给他人或公开发表与引用。</w:t>
      </w:r>
    </w:p>
    <w:p w14:paraId="7D32D0E7">
      <w:pPr>
        <w:keepNext/>
        <w:keepLines/>
        <w:spacing w:line="400" w:lineRule="exact"/>
        <w:outlineLvl w:val="2"/>
        <w:rPr>
          <w:rFonts w:eastAsia="黑体"/>
          <w:sz w:val="24"/>
          <w:szCs w:val="20"/>
          <w:highlight w:val="none"/>
        </w:rPr>
      </w:pPr>
      <w:bookmarkStart w:id="750" w:name="_Toc159950625"/>
      <w:r>
        <w:rPr>
          <w:rFonts w:eastAsia="黑体"/>
          <w:sz w:val="24"/>
          <w:szCs w:val="20"/>
          <w:highlight w:val="none"/>
        </w:rPr>
        <w:t>1.13</w:t>
      </w:r>
      <w:r>
        <w:rPr>
          <w:rFonts w:hint="eastAsia" w:ascii="等线" w:hAnsi="等线" w:eastAsia="等线"/>
          <w:sz w:val="24"/>
          <w:szCs w:val="20"/>
          <w:highlight w:val="none"/>
        </w:rPr>
        <w:t>交通运输</w:t>
      </w:r>
      <w:bookmarkEnd w:id="750"/>
    </w:p>
    <w:p w14:paraId="0BF0B9CB">
      <w:pPr>
        <w:spacing w:line="400" w:lineRule="exact"/>
        <w:ind w:firstLine="420" w:firstLineChars="200"/>
        <w:rPr>
          <w:highlight w:val="none"/>
        </w:rPr>
      </w:pPr>
      <w:r>
        <w:rPr>
          <w:highlight w:val="none"/>
        </w:rPr>
        <w:t xml:space="preserve">1.13.1 </w:t>
      </w:r>
      <w:r>
        <w:rPr>
          <w:rFonts w:hint="eastAsia"/>
          <w:highlight w:val="none"/>
        </w:rPr>
        <w:t>除专用合同条款另有约定外，发包人应根据施工需要，负责取得出入施工现场所需的校内手续，承包人应协助发包人办理修建场内外道路等其他基础设施的手续。</w:t>
      </w:r>
    </w:p>
    <w:p w14:paraId="17448500">
      <w:pPr>
        <w:keepNext/>
        <w:keepLines/>
        <w:spacing w:line="400" w:lineRule="exact"/>
        <w:outlineLvl w:val="1"/>
        <w:rPr>
          <w:rFonts w:cs="仿宋_GB2312"/>
          <w:highlight w:val="none"/>
        </w:rPr>
      </w:pPr>
      <w:bookmarkStart w:id="751" w:name="_Toc159950626"/>
      <w:r>
        <w:rPr>
          <w:rFonts w:cs="仿宋_GB2312"/>
          <w:highlight w:val="none"/>
        </w:rPr>
        <w:t>1.13.2</w:t>
      </w:r>
      <w:r>
        <w:rPr>
          <w:rFonts w:hint="eastAsia" w:cs="仿宋_GB2312"/>
          <w:highlight w:val="none"/>
        </w:rPr>
        <w:t>承包人应在投标、订立合同前查勘施工现场，并根据工程规模及技术参数合理预见工程施工所需的进出施工现场的方式、手段、路径等，并在投标文件中体现。因承包人未合理预见所增加的费用和（或）延误的工期由承包人自行承担。</w:t>
      </w:r>
      <w:bookmarkStart w:id="752" w:name="_Toc442365615"/>
      <w:bookmarkStart w:id="753" w:name="_Toc448758523"/>
      <w:bookmarkStart w:id="754" w:name="_Toc342296275"/>
      <w:bookmarkStart w:id="755" w:name="_Toc448758423"/>
      <w:bookmarkStart w:id="756" w:name="_Toc338944717"/>
      <w:bookmarkStart w:id="757" w:name="_Toc469660018"/>
      <w:r>
        <w:rPr>
          <w:rFonts w:cs="仿宋_GB2312"/>
          <w:highlight w:val="none"/>
        </w:rPr>
        <w:t>2. 发包人义务</w:t>
      </w:r>
      <w:bookmarkEnd w:id="751"/>
      <w:bookmarkEnd w:id="752"/>
      <w:bookmarkEnd w:id="753"/>
      <w:bookmarkEnd w:id="754"/>
      <w:bookmarkEnd w:id="755"/>
      <w:bookmarkEnd w:id="756"/>
      <w:bookmarkEnd w:id="757"/>
    </w:p>
    <w:p w14:paraId="4EFE467B">
      <w:pPr>
        <w:keepNext/>
        <w:keepLines/>
        <w:spacing w:line="400" w:lineRule="exact"/>
        <w:outlineLvl w:val="2"/>
        <w:rPr>
          <w:rFonts w:cs="仿宋_GB2312"/>
          <w:highlight w:val="none"/>
        </w:rPr>
      </w:pPr>
      <w:bookmarkStart w:id="758" w:name="_Toc179632643"/>
      <w:bookmarkStart w:id="759" w:name="_Toc342296276"/>
      <w:bookmarkStart w:id="760" w:name="_Toc338944718"/>
      <w:bookmarkStart w:id="761" w:name="_Toc144974593"/>
      <w:bookmarkStart w:id="762" w:name="_Toc159950627"/>
      <w:bookmarkStart w:id="763" w:name="_Toc152042403"/>
      <w:bookmarkStart w:id="764" w:name="_Toc152045625"/>
      <w:r>
        <w:rPr>
          <w:rFonts w:cs="仿宋_GB2312"/>
          <w:highlight w:val="none"/>
        </w:rPr>
        <w:t>2.1 遵守法律</w:t>
      </w:r>
      <w:bookmarkEnd w:id="758"/>
      <w:bookmarkEnd w:id="759"/>
      <w:bookmarkEnd w:id="760"/>
      <w:bookmarkEnd w:id="761"/>
      <w:bookmarkEnd w:id="762"/>
      <w:bookmarkEnd w:id="763"/>
      <w:bookmarkEnd w:id="764"/>
    </w:p>
    <w:p w14:paraId="6CD04962">
      <w:pPr>
        <w:spacing w:line="400" w:lineRule="exact"/>
        <w:ind w:firstLine="420" w:firstLineChars="200"/>
        <w:rPr>
          <w:highlight w:val="none"/>
        </w:rPr>
      </w:pPr>
      <w:r>
        <w:rPr>
          <w:rFonts w:hint="eastAsia"/>
          <w:highlight w:val="none"/>
        </w:rPr>
        <w:t>发包人应要求在施工现场的发包人人员遵守法律及有关安全、质量、环境保护、文明施工等规定，并保障承包人免于承受因发包人人员未遵守上述要求给承包人造成的损失和责任。</w:t>
      </w:r>
    </w:p>
    <w:p w14:paraId="68B85881">
      <w:pPr>
        <w:spacing w:line="400" w:lineRule="exact"/>
        <w:ind w:firstLine="420" w:firstLineChars="200"/>
        <w:rPr>
          <w:highlight w:val="none"/>
        </w:rPr>
      </w:pPr>
      <w:r>
        <w:rPr>
          <w:rFonts w:hint="eastAsia"/>
          <w:highlight w:val="none"/>
        </w:rPr>
        <w:t>发包人人员包括发包人代表及其他由发包人派驻施工现场的人员。</w:t>
      </w:r>
    </w:p>
    <w:p w14:paraId="3D319E8C">
      <w:pPr>
        <w:keepNext/>
        <w:keepLines/>
        <w:spacing w:line="400" w:lineRule="exact"/>
        <w:outlineLvl w:val="2"/>
        <w:rPr>
          <w:rFonts w:eastAsia="黑体"/>
          <w:sz w:val="24"/>
          <w:szCs w:val="20"/>
          <w:highlight w:val="none"/>
        </w:rPr>
      </w:pPr>
      <w:bookmarkStart w:id="765" w:name="_Toc342296277"/>
      <w:bookmarkStart w:id="766" w:name="_Toc152045626"/>
      <w:bookmarkStart w:id="767" w:name="_Toc144974594"/>
      <w:bookmarkStart w:id="768" w:name="_Toc152042404"/>
      <w:bookmarkStart w:id="769" w:name="_Toc338944719"/>
      <w:bookmarkStart w:id="770" w:name="_Toc159950628"/>
      <w:bookmarkStart w:id="771" w:name="_Toc179632644"/>
      <w:r>
        <w:rPr>
          <w:rFonts w:eastAsia="黑体"/>
          <w:sz w:val="24"/>
          <w:szCs w:val="20"/>
          <w:highlight w:val="none"/>
        </w:rPr>
        <w:t>2.2 发出开工通知</w:t>
      </w:r>
      <w:bookmarkEnd w:id="765"/>
      <w:bookmarkEnd w:id="766"/>
      <w:bookmarkEnd w:id="767"/>
      <w:bookmarkEnd w:id="768"/>
      <w:bookmarkEnd w:id="769"/>
      <w:bookmarkEnd w:id="770"/>
      <w:bookmarkEnd w:id="771"/>
    </w:p>
    <w:p w14:paraId="7F759246">
      <w:pPr>
        <w:spacing w:line="400" w:lineRule="exact"/>
        <w:ind w:firstLine="420" w:firstLineChars="200"/>
        <w:rPr>
          <w:highlight w:val="none"/>
        </w:rPr>
      </w:pPr>
      <w:r>
        <w:rPr>
          <w:highlight w:val="none"/>
        </w:rPr>
        <w:t>发包人应委托监理人按第11.1款的约定向承包人发出开工通知。</w:t>
      </w:r>
    </w:p>
    <w:p w14:paraId="1EA11349">
      <w:pPr>
        <w:keepNext/>
        <w:keepLines/>
        <w:spacing w:line="400" w:lineRule="exact"/>
        <w:outlineLvl w:val="2"/>
        <w:rPr>
          <w:rFonts w:eastAsia="黑体"/>
          <w:sz w:val="24"/>
          <w:szCs w:val="20"/>
          <w:highlight w:val="none"/>
        </w:rPr>
      </w:pPr>
      <w:bookmarkStart w:id="772" w:name="_Toc338944720"/>
      <w:bookmarkStart w:id="773" w:name="_Toc342296278"/>
      <w:bookmarkStart w:id="774" w:name="_Toc159950629"/>
      <w:r>
        <w:rPr>
          <w:rFonts w:eastAsia="黑体"/>
          <w:sz w:val="24"/>
          <w:szCs w:val="20"/>
          <w:highlight w:val="none"/>
        </w:rPr>
        <w:t>2.3 提供施工场地</w:t>
      </w:r>
      <w:bookmarkEnd w:id="772"/>
      <w:bookmarkEnd w:id="773"/>
      <w:bookmarkEnd w:id="774"/>
    </w:p>
    <w:p w14:paraId="7A88D579">
      <w:pPr>
        <w:spacing w:line="400" w:lineRule="exact"/>
        <w:ind w:firstLine="420" w:firstLineChars="200"/>
        <w:rPr>
          <w:highlight w:val="none"/>
        </w:rPr>
      </w:pPr>
      <w:r>
        <w:rPr>
          <w:highlight w:val="none"/>
        </w:rPr>
        <w:t>发包人应按专用合同条款约定向承包人提供施工场地，以及施工场地内地下管线和地下设施等有关资料，并保证资料的真实、准确、完整。</w:t>
      </w:r>
    </w:p>
    <w:p w14:paraId="601E6A22">
      <w:pPr>
        <w:keepNext/>
        <w:keepLines/>
        <w:spacing w:line="400" w:lineRule="exact"/>
        <w:outlineLvl w:val="2"/>
        <w:rPr>
          <w:rFonts w:eastAsia="黑体"/>
          <w:sz w:val="24"/>
          <w:szCs w:val="20"/>
          <w:highlight w:val="none"/>
        </w:rPr>
      </w:pPr>
      <w:bookmarkStart w:id="775" w:name="_Toc179632646"/>
      <w:bookmarkStart w:id="776" w:name="_Toc338944721"/>
      <w:bookmarkStart w:id="777" w:name="_Toc342296279"/>
      <w:bookmarkStart w:id="778" w:name="_Toc144974596"/>
      <w:bookmarkStart w:id="779" w:name="_Toc159950630"/>
      <w:bookmarkStart w:id="780" w:name="_Toc152045628"/>
      <w:bookmarkStart w:id="781" w:name="_Toc152042406"/>
      <w:r>
        <w:rPr>
          <w:rFonts w:eastAsia="黑体"/>
          <w:sz w:val="24"/>
          <w:szCs w:val="20"/>
          <w:highlight w:val="none"/>
        </w:rPr>
        <w:t>2.4 协助承包人办理证件和批件</w:t>
      </w:r>
      <w:bookmarkEnd w:id="775"/>
      <w:bookmarkEnd w:id="776"/>
      <w:bookmarkEnd w:id="777"/>
      <w:bookmarkEnd w:id="778"/>
      <w:bookmarkEnd w:id="779"/>
      <w:bookmarkEnd w:id="780"/>
      <w:bookmarkEnd w:id="781"/>
    </w:p>
    <w:p w14:paraId="4EAEDCE0">
      <w:pPr>
        <w:spacing w:line="400" w:lineRule="exact"/>
        <w:ind w:firstLine="420" w:firstLineChars="200"/>
        <w:rPr>
          <w:highlight w:val="none"/>
        </w:rPr>
      </w:pPr>
      <w:r>
        <w:rPr>
          <w:highlight w:val="none"/>
        </w:rPr>
        <w:t>发包人应协助承包人办理法律规定的有关施工证件和批件。</w:t>
      </w:r>
    </w:p>
    <w:p w14:paraId="3C33A1C3">
      <w:pPr>
        <w:keepNext/>
        <w:keepLines/>
        <w:spacing w:line="400" w:lineRule="exact"/>
        <w:outlineLvl w:val="2"/>
        <w:rPr>
          <w:rFonts w:eastAsia="黑体"/>
          <w:sz w:val="24"/>
          <w:szCs w:val="20"/>
          <w:highlight w:val="none"/>
        </w:rPr>
      </w:pPr>
      <w:bookmarkStart w:id="782" w:name="_Toc159950631"/>
      <w:bookmarkStart w:id="783" w:name="_Toc342296280"/>
      <w:bookmarkStart w:id="784" w:name="_Toc338944722"/>
      <w:r>
        <w:rPr>
          <w:rFonts w:eastAsia="黑体"/>
          <w:sz w:val="24"/>
          <w:szCs w:val="20"/>
          <w:highlight w:val="none"/>
        </w:rPr>
        <w:t>2.5 组织设计交底</w:t>
      </w:r>
      <w:bookmarkEnd w:id="782"/>
      <w:bookmarkEnd w:id="783"/>
      <w:bookmarkEnd w:id="784"/>
    </w:p>
    <w:p w14:paraId="4E1C7ADE">
      <w:pPr>
        <w:spacing w:line="400" w:lineRule="exact"/>
        <w:ind w:firstLine="420" w:firstLineChars="200"/>
        <w:rPr>
          <w:highlight w:val="none"/>
        </w:rPr>
      </w:pPr>
      <w:r>
        <w:rPr>
          <w:highlight w:val="none"/>
        </w:rPr>
        <w:t>发包人应根据合同进度计划，组织设计单位向承包人进行设计交底。</w:t>
      </w:r>
    </w:p>
    <w:p w14:paraId="347DA958">
      <w:pPr>
        <w:keepNext/>
        <w:keepLines/>
        <w:spacing w:line="400" w:lineRule="exact"/>
        <w:outlineLvl w:val="2"/>
        <w:rPr>
          <w:rFonts w:eastAsia="黑体"/>
          <w:sz w:val="24"/>
          <w:szCs w:val="20"/>
          <w:highlight w:val="none"/>
        </w:rPr>
      </w:pPr>
      <w:bookmarkStart w:id="785" w:name="_Toc342296281"/>
      <w:bookmarkStart w:id="786" w:name="_Toc338944723"/>
      <w:bookmarkStart w:id="787" w:name="_Toc159950632"/>
      <w:r>
        <w:rPr>
          <w:rFonts w:eastAsia="黑体"/>
          <w:sz w:val="24"/>
          <w:szCs w:val="20"/>
          <w:highlight w:val="none"/>
        </w:rPr>
        <w:t>2.6 支付合同价款</w:t>
      </w:r>
      <w:bookmarkEnd w:id="785"/>
      <w:bookmarkEnd w:id="786"/>
      <w:bookmarkEnd w:id="787"/>
    </w:p>
    <w:p w14:paraId="52EEBA8E">
      <w:pPr>
        <w:spacing w:line="400" w:lineRule="exact"/>
        <w:ind w:firstLine="420" w:firstLineChars="200"/>
        <w:rPr>
          <w:highlight w:val="none"/>
        </w:rPr>
      </w:pPr>
      <w:r>
        <w:rPr>
          <w:highlight w:val="none"/>
        </w:rPr>
        <w:t>发包人应按合同约定向承包人及时支付合同价款。</w:t>
      </w:r>
    </w:p>
    <w:p w14:paraId="5F2790FA">
      <w:pPr>
        <w:keepNext/>
        <w:keepLines/>
        <w:spacing w:line="400" w:lineRule="exact"/>
        <w:outlineLvl w:val="2"/>
        <w:rPr>
          <w:rFonts w:eastAsia="黑体"/>
          <w:sz w:val="24"/>
          <w:szCs w:val="20"/>
          <w:highlight w:val="none"/>
        </w:rPr>
      </w:pPr>
      <w:bookmarkStart w:id="788" w:name="_Toc152042409"/>
      <w:bookmarkStart w:id="789" w:name="_Toc338944724"/>
      <w:bookmarkStart w:id="790" w:name="_Toc342296282"/>
      <w:bookmarkStart w:id="791" w:name="_Toc144974599"/>
      <w:bookmarkStart w:id="792" w:name="_Toc152045631"/>
      <w:bookmarkStart w:id="793" w:name="_Toc159950633"/>
      <w:bookmarkStart w:id="794" w:name="_Toc179632649"/>
      <w:r>
        <w:rPr>
          <w:rFonts w:eastAsia="黑体"/>
          <w:sz w:val="24"/>
          <w:szCs w:val="20"/>
          <w:highlight w:val="none"/>
        </w:rPr>
        <w:t>2.7 组织竣工验收</w:t>
      </w:r>
      <w:bookmarkEnd w:id="788"/>
      <w:bookmarkEnd w:id="789"/>
      <w:bookmarkEnd w:id="790"/>
      <w:bookmarkEnd w:id="791"/>
      <w:bookmarkEnd w:id="792"/>
      <w:bookmarkEnd w:id="793"/>
      <w:bookmarkEnd w:id="794"/>
    </w:p>
    <w:p w14:paraId="557A2E31">
      <w:pPr>
        <w:spacing w:line="400" w:lineRule="exact"/>
        <w:ind w:firstLine="420" w:firstLineChars="200"/>
        <w:rPr>
          <w:highlight w:val="none"/>
        </w:rPr>
      </w:pPr>
      <w:r>
        <w:rPr>
          <w:highlight w:val="none"/>
        </w:rPr>
        <w:t>发包人应按合同约定及时组织竣工验收。</w:t>
      </w:r>
    </w:p>
    <w:p w14:paraId="4663F2E1">
      <w:pPr>
        <w:keepNext/>
        <w:keepLines/>
        <w:spacing w:line="400" w:lineRule="exact"/>
        <w:outlineLvl w:val="2"/>
        <w:rPr>
          <w:rFonts w:eastAsia="黑体"/>
          <w:sz w:val="24"/>
          <w:szCs w:val="20"/>
          <w:highlight w:val="none"/>
        </w:rPr>
      </w:pPr>
      <w:bookmarkStart w:id="795" w:name="_Toc338944725"/>
      <w:bookmarkStart w:id="796" w:name="_Toc159950634"/>
      <w:bookmarkStart w:id="797" w:name="_Toc342296283"/>
      <w:r>
        <w:rPr>
          <w:rFonts w:eastAsia="黑体"/>
          <w:sz w:val="24"/>
          <w:szCs w:val="20"/>
          <w:highlight w:val="none"/>
        </w:rPr>
        <w:t>2.8 其他义务</w:t>
      </w:r>
      <w:bookmarkEnd w:id="795"/>
      <w:bookmarkEnd w:id="796"/>
      <w:bookmarkEnd w:id="797"/>
    </w:p>
    <w:p w14:paraId="0821123C">
      <w:pPr>
        <w:spacing w:line="400" w:lineRule="exact"/>
        <w:ind w:firstLine="420" w:firstLineChars="200"/>
        <w:rPr>
          <w:highlight w:val="none"/>
        </w:rPr>
      </w:pPr>
      <w:r>
        <w:rPr>
          <w:highlight w:val="none"/>
        </w:rPr>
        <w:t>发包人应履行合同约定的其他义务。</w:t>
      </w:r>
    </w:p>
    <w:p w14:paraId="591B7B50">
      <w:pPr>
        <w:keepNext/>
        <w:keepLines/>
        <w:spacing w:line="400" w:lineRule="exact"/>
        <w:outlineLvl w:val="1"/>
        <w:rPr>
          <w:rFonts w:eastAsia="黑体" w:cs="仿宋_GB2312"/>
          <w:sz w:val="28"/>
          <w:szCs w:val="20"/>
          <w:highlight w:val="none"/>
        </w:rPr>
      </w:pPr>
      <w:bookmarkStart w:id="798" w:name="_Toc469660019"/>
      <w:bookmarkStart w:id="799" w:name="_Toc342296284"/>
      <w:bookmarkStart w:id="800" w:name="_Toc442365616"/>
      <w:bookmarkStart w:id="801" w:name="_Toc159950635"/>
      <w:bookmarkStart w:id="802" w:name="_Toc448758524"/>
      <w:bookmarkStart w:id="803" w:name="_Toc338944726"/>
      <w:bookmarkStart w:id="804" w:name="_Toc448758424"/>
      <w:r>
        <w:rPr>
          <w:rFonts w:eastAsia="黑体" w:cs="仿宋_GB2312"/>
          <w:sz w:val="28"/>
          <w:szCs w:val="20"/>
          <w:highlight w:val="none"/>
        </w:rPr>
        <w:t>3. 监理人</w:t>
      </w:r>
      <w:bookmarkEnd w:id="798"/>
      <w:bookmarkEnd w:id="799"/>
      <w:bookmarkEnd w:id="800"/>
      <w:bookmarkEnd w:id="801"/>
      <w:bookmarkEnd w:id="802"/>
      <w:bookmarkEnd w:id="803"/>
      <w:bookmarkEnd w:id="804"/>
    </w:p>
    <w:p w14:paraId="7E770FDE">
      <w:pPr>
        <w:keepNext/>
        <w:keepLines/>
        <w:spacing w:line="400" w:lineRule="exact"/>
        <w:outlineLvl w:val="2"/>
        <w:rPr>
          <w:rFonts w:eastAsia="黑体"/>
          <w:sz w:val="24"/>
          <w:szCs w:val="20"/>
          <w:highlight w:val="none"/>
        </w:rPr>
      </w:pPr>
      <w:bookmarkStart w:id="805" w:name="_Toc342296285"/>
      <w:bookmarkStart w:id="806" w:name="_Toc159950636"/>
      <w:bookmarkStart w:id="807" w:name="_Toc338944727"/>
      <w:r>
        <w:rPr>
          <w:rFonts w:eastAsia="黑体"/>
          <w:sz w:val="24"/>
          <w:szCs w:val="20"/>
          <w:highlight w:val="none"/>
        </w:rPr>
        <w:t>3.1 监理人的职责和权力</w:t>
      </w:r>
      <w:bookmarkEnd w:id="805"/>
      <w:bookmarkEnd w:id="806"/>
      <w:bookmarkEnd w:id="807"/>
    </w:p>
    <w:p w14:paraId="3B1F37D8">
      <w:pPr>
        <w:spacing w:line="400" w:lineRule="exact"/>
        <w:ind w:firstLine="420" w:firstLineChars="200"/>
        <w:rPr>
          <w:highlight w:val="none"/>
        </w:rPr>
      </w:pPr>
      <w:r>
        <w:rPr>
          <w:highlight w:val="none"/>
        </w:rPr>
        <w:t>3.1.1 监理人受发包人委托，享有合同约定的权力。监理人在行使某项权力前需要经发包人事先批准而通用合同条款没有指明的，应在专用合同条款中指明。</w:t>
      </w:r>
    </w:p>
    <w:p w14:paraId="636B2684">
      <w:pPr>
        <w:spacing w:line="400" w:lineRule="exact"/>
        <w:ind w:firstLine="420" w:firstLineChars="200"/>
        <w:rPr>
          <w:highlight w:val="none"/>
        </w:rPr>
      </w:pPr>
      <w:r>
        <w:rPr>
          <w:highlight w:val="none"/>
        </w:rPr>
        <w:t>3.1.2 监理人发出的任何指示应视为已得到发包人的批准，但监理人无权免除或变更合同约定的发包人和承包人的权利、义务和责任。</w:t>
      </w:r>
    </w:p>
    <w:p w14:paraId="57DDBA72">
      <w:pPr>
        <w:spacing w:line="400" w:lineRule="exact"/>
        <w:ind w:firstLine="420" w:firstLineChars="200"/>
        <w:rPr>
          <w:highlight w:val="none"/>
        </w:rPr>
      </w:pPr>
      <w:r>
        <w:rPr>
          <w:highlight w:val="none"/>
        </w:rPr>
        <w:t>3.1.3 合同约定应由承包人承担的义务和责任，不因监理人对承包人提交文件的审查或批准，对工程、材料和设备的检查和检验，以及为实施监理作出的指示等职务行为而减轻或解除。</w:t>
      </w:r>
    </w:p>
    <w:p w14:paraId="7D0E9DDB">
      <w:pPr>
        <w:keepNext/>
        <w:keepLines/>
        <w:spacing w:line="400" w:lineRule="exact"/>
        <w:outlineLvl w:val="2"/>
        <w:rPr>
          <w:rFonts w:eastAsia="黑体"/>
          <w:sz w:val="24"/>
          <w:szCs w:val="20"/>
          <w:highlight w:val="none"/>
        </w:rPr>
      </w:pPr>
      <w:bookmarkStart w:id="808" w:name="_Toc179632653"/>
      <w:bookmarkStart w:id="809" w:name="_Toc144974603"/>
      <w:bookmarkStart w:id="810" w:name="_Toc152045635"/>
      <w:bookmarkStart w:id="811" w:name="_Toc338944728"/>
      <w:bookmarkStart w:id="812" w:name="_Toc159950637"/>
      <w:bookmarkStart w:id="813" w:name="_Toc152042413"/>
      <w:bookmarkStart w:id="814" w:name="_Toc342296286"/>
      <w:r>
        <w:rPr>
          <w:rFonts w:eastAsia="黑体"/>
          <w:sz w:val="24"/>
          <w:szCs w:val="20"/>
          <w:highlight w:val="none"/>
        </w:rPr>
        <w:t>3.2 总监理工程师</w:t>
      </w:r>
      <w:bookmarkEnd w:id="808"/>
      <w:bookmarkEnd w:id="809"/>
      <w:bookmarkEnd w:id="810"/>
      <w:bookmarkEnd w:id="811"/>
      <w:bookmarkEnd w:id="812"/>
      <w:bookmarkEnd w:id="813"/>
      <w:bookmarkEnd w:id="814"/>
    </w:p>
    <w:p w14:paraId="69DF8D39">
      <w:pPr>
        <w:spacing w:line="400" w:lineRule="exact"/>
        <w:ind w:firstLine="420" w:firstLineChars="200"/>
        <w:rPr>
          <w:highlight w:val="none"/>
        </w:rPr>
      </w:pPr>
      <w:r>
        <w:rPr>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3FDC67EE">
      <w:pPr>
        <w:keepNext/>
        <w:keepLines/>
        <w:spacing w:line="400" w:lineRule="exact"/>
        <w:outlineLvl w:val="2"/>
        <w:rPr>
          <w:rFonts w:eastAsia="黑体"/>
          <w:sz w:val="24"/>
          <w:szCs w:val="20"/>
          <w:highlight w:val="none"/>
        </w:rPr>
      </w:pPr>
      <w:bookmarkStart w:id="815" w:name="_Toc338944729"/>
      <w:bookmarkStart w:id="816" w:name="_Toc342296287"/>
      <w:bookmarkStart w:id="817" w:name="_Toc159950638"/>
      <w:r>
        <w:rPr>
          <w:rFonts w:eastAsia="黑体"/>
          <w:sz w:val="24"/>
          <w:szCs w:val="20"/>
          <w:highlight w:val="none"/>
        </w:rPr>
        <w:t>3.3 监理人员</w:t>
      </w:r>
      <w:bookmarkEnd w:id="815"/>
      <w:bookmarkEnd w:id="816"/>
      <w:bookmarkEnd w:id="817"/>
    </w:p>
    <w:p w14:paraId="76FCF680">
      <w:pPr>
        <w:spacing w:line="400" w:lineRule="exact"/>
        <w:ind w:firstLine="420" w:firstLineChars="200"/>
        <w:rPr>
          <w:highlight w:val="none"/>
        </w:rPr>
      </w:pPr>
      <w:r>
        <w:rPr>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625A7501">
      <w:pPr>
        <w:spacing w:line="400" w:lineRule="exact"/>
        <w:ind w:firstLine="420" w:firstLineChars="200"/>
        <w:rPr>
          <w:highlight w:val="none"/>
        </w:rPr>
      </w:pPr>
      <w:r>
        <w:rPr>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7EA6C305">
      <w:pPr>
        <w:spacing w:line="400" w:lineRule="exact"/>
        <w:ind w:firstLine="420" w:firstLineChars="200"/>
        <w:rPr>
          <w:highlight w:val="none"/>
        </w:rPr>
      </w:pPr>
      <w:r>
        <w:rPr>
          <w:highlight w:val="none"/>
        </w:rPr>
        <w:t>3.3.3 承包人对总监理工程师授权的监理人员发出的指示有疑问的，可向总监理工程师提出书面异议，总监理工程师应在48小时内对该指示予以确认、更改或撤销。</w:t>
      </w:r>
    </w:p>
    <w:p w14:paraId="644AE9AC">
      <w:pPr>
        <w:spacing w:line="400" w:lineRule="exact"/>
        <w:ind w:firstLine="420" w:firstLineChars="200"/>
        <w:rPr>
          <w:highlight w:val="none"/>
        </w:rPr>
      </w:pPr>
      <w:r>
        <w:rPr>
          <w:highlight w:val="none"/>
        </w:rPr>
        <w:t>3.3.4 除专用合同条款另有约定外，总监理工程师不应将第3.5款约定应由总监理工程师作出确定的权力授权或委托给其他监理人员。</w:t>
      </w:r>
    </w:p>
    <w:p w14:paraId="74CB0D1F">
      <w:pPr>
        <w:keepNext/>
        <w:keepLines/>
        <w:spacing w:line="400" w:lineRule="exact"/>
        <w:outlineLvl w:val="2"/>
        <w:rPr>
          <w:rFonts w:eastAsia="黑体"/>
          <w:sz w:val="24"/>
          <w:szCs w:val="20"/>
          <w:highlight w:val="none"/>
        </w:rPr>
      </w:pPr>
      <w:bookmarkStart w:id="818" w:name="_Toc342296288"/>
      <w:bookmarkStart w:id="819" w:name="_Toc338944730"/>
      <w:bookmarkStart w:id="820" w:name="_Toc159950639"/>
      <w:r>
        <w:rPr>
          <w:rFonts w:eastAsia="黑体"/>
          <w:sz w:val="24"/>
          <w:szCs w:val="20"/>
          <w:highlight w:val="none"/>
        </w:rPr>
        <w:t>3.4 监理人的指示</w:t>
      </w:r>
      <w:bookmarkEnd w:id="818"/>
      <w:bookmarkEnd w:id="819"/>
      <w:bookmarkEnd w:id="820"/>
    </w:p>
    <w:p w14:paraId="67E35E91">
      <w:pPr>
        <w:spacing w:line="400" w:lineRule="exact"/>
        <w:ind w:firstLine="420" w:firstLineChars="200"/>
        <w:rPr>
          <w:highlight w:val="none"/>
        </w:rPr>
      </w:pPr>
      <w:r>
        <w:rPr>
          <w:highlight w:val="none"/>
        </w:rPr>
        <w:t>3.4.1 监理人应按第3.1款的约定向承包人发出指示，监理人的指示应盖有监理人授权的施工场地机构章，并由总监理工程师或总监理工程师按第3.3.1项约定授权的监理人员签字。</w:t>
      </w:r>
    </w:p>
    <w:p w14:paraId="38293CDD">
      <w:pPr>
        <w:spacing w:line="400" w:lineRule="exact"/>
        <w:ind w:firstLine="420" w:firstLineChars="200"/>
        <w:rPr>
          <w:highlight w:val="none"/>
        </w:rPr>
      </w:pPr>
      <w:r>
        <w:rPr>
          <w:highlight w:val="none"/>
        </w:rPr>
        <w:t>3.4.2 承包人收到监理人按第3.4.1项作出的指示后应遵照执行。指示构成变更的，应按第15条处理。</w:t>
      </w:r>
    </w:p>
    <w:p w14:paraId="48DAAB5C">
      <w:pPr>
        <w:spacing w:line="400" w:lineRule="exact"/>
        <w:ind w:firstLine="420" w:firstLineChars="200"/>
        <w:rPr>
          <w:highlight w:val="none"/>
        </w:rPr>
      </w:pPr>
      <w:r>
        <w:rPr>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20FFFF3A">
      <w:pPr>
        <w:spacing w:line="400" w:lineRule="exact"/>
        <w:ind w:firstLine="420" w:firstLineChars="200"/>
        <w:rPr>
          <w:highlight w:val="none"/>
        </w:rPr>
      </w:pPr>
      <w:r>
        <w:rPr>
          <w:highlight w:val="none"/>
        </w:rPr>
        <w:t>3.4.4 除合同另有约定外，承包人只从总监理工程师或按第3.3.1项被授权的监理人员处取得指示。</w:t>
      </w:r>
    </w:p>
    <w:p w14:paraId="42EE183A">
      <w:pPr>
        <w:spacing w:line="400" w:lineRule="exact"/>
        <w:ind w:firstLine="420" w:firstLineChars="200"/>
        <w:rPr>
          <w:highlight w:val="none"/>
        </w:rPr>
      </w:pPr>
      <w:r>
        <w:rPr>
          <w:highlight w:val="none"/>
        </w:rPr>
        <w:t xml:space="preserve">3.4.5 由于监理人未能按合同约定发出指示、指示延误或指示错误而导致承包人费用增加和（或）工期延误的，由发包人承担赔偿责任。 </w:t>
      </w:r>
    </w:p>
    <w:p w14:paraId="098B5BDF">
      <w:pPr>
        <w:keepNext/>
        <w:keepLines/>
        <w:spacing w:line="400" w:lineRule="exact"/>
        <w:outlineLvl w:val="2"/>
        <w:rPr>
          <w:rFonts w:eastAsia="黑体"/>
          <w:sz w:val="24"/>
          <w:szCs w:val="20"/>
          <w:highlight w:val="none"/>
        </w:rPr>
      </w:pPr>
      <w:bookmarkStart w:id="821" w:name="_Toc152042416"/>
      <w:bookmarkStart w:id="822" w:name="_Toc144974606"/>
      <w:bookmarkStart w:id="823" w:name="_Toc338944731"/>
      <w:bookmarkStart w:id="824" w:name="_Toc342296289"/>
      <w:bookmarkStart w:id="825" w:name="_Toc159950640"/>
      <w:bookmarkStart w:id="826" w:name="_Toc152045638"/>
      <w:bookmarkStart w:id="827" w:name="_Toc179632656"/>
      <w:r>
        <w:rPr>
          <w:rFonts w:eastAsia="黑体"/>
          <w:sz w:val="24"/>
          <w:szCs w:val="20"/>
          <w:highlight w:val="none"/>
        </w:rPr>
        <w:t>3.5 商定或确定</w:t>
      </w:r>
      <w:bookmarkEnd w:id="821"/>
      <w:bookmarkEnd w:id="822"/>
      <w:bookmarkEnd w:id="823"/>
      <w:bookmarkEnd w:id="824"/>
      <w:bookmarkEnd w:id="825"/>
      <w:bookmarkEnd w:id="826"/>
      <w:bookmarkEnd w:id="827"/>
    </w:p>
    <w:p w14:paraId="6AB16847">
      <w:pPr>
        <w:spacing w:line="400" w:lineRule="exact"/>
        <w:ind w:firstLine="420" w:firstLineChars="200"/>
        <w:rPr>
          <w:highlight w:val="none"/>
        </w:rPr>
      </w:pPr>
      <w:r>
        <w:rPr>
          <w:highlight w:val="none"/>
        </w:rPr>
        <w:t>3.5.1合同约定总监理工程师应按照本款对任何事项进行商定或确定时，总监理工程师应与合同当事人协商，尽量达成一致。不能达成一致的，总监理工程师应认真研究后审慎确定。</w:t>
      </w:r>
    </w:p>
    <w:p w14:paraId="1BE62EAD">
      <w:pPr>
        <w:spacing w:line="400" w:lineRule="exact"/>
        <w:ind w:firstLine="420" w:firstLineChars="200"/>
        <w:rPr>
          <w:highlight w:val="none"/>
        </w:rPr>
      </w:pPr>
      <w:r>
        <w:rPr>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773E83DA">
      <w:pPr>
        <w:keepNext/>
        <w:keepLines/>
        <w:spacing w:line="400" w:lineRule="exact"/>
        <w:outlineLvl w:val="1"/>
        <w:rPr>
          <w:rFonts w:eastAsia="黑体" w:cs="仿宋_GB2312"/>
          <w:sz w:val="28"/>
          <w:szCs w:val="20"/>
          <w:highlight w:val="none"/>
        </w:rPr>
      </w:pPr>
      <w:bookmarkStart w:id="828" w:name="_Toc448758425"/>
      <w:bookmarkStart w:id="829" w:name="_Toc159950641"/>
      <w:bookmarkStart w:id="830" w:name="_Toc448758525"/>
      <w:bookmarkStart w:id="831" w:name="_Toc342296290"/>
      <w:bookmarkStart w:id="832" w:name="_Toc338944732"/>
      <w:bookmarkStart w:id="833" w:name="_Toc442365617"/>
      <w:bookmarkStart w:id="834" w:name="_Toc469660020"/>
      <w:r>
        <w:rPr>
          <w:rFonts w:eastAsia="黑体" w:cs="仿宋_GB2312"/>
          <w:sz w:val="28"/>
          <w:szCs w:val="20"/>
          <w:highlight w:val="none"/>
        </w:rPr>
        <w:t>4. 承包人</w:t>
      </w:r>
      <w:bookmarkEnd w:id="828"/>
      <w:bookmarkEnd w:id="829"/>
      <w:bookmarkEnd w:id="830"/>
      <w:bookmarkEnd w:id="831"/>
      <w:bookmarkEnd w:id="832"/>
      <w:bookmarkEnd w:id="833"/>
      <w:bookmarkEnd w:id="834"/>
    </w:p>
    <w:p w14:paraId="04A30710">
      <w:pPr>
        <w:keepNext/>
        <w:keepLines/>
        <w:spacing w:line="400" w:lineRule="exact"/>
        <w:outlineLvl w:val="2"/>
        <w:rPr>
          <w:rFonts w:eastAsia="黑体"/>
          <w:sz w:val="24"/>
          <w:szCs w:val="20"/>
          <w:highlight w:val="none"/>
        </w:rPr>
      </w:pPr>
      <w:bookmarkStart w:id="835" w:name="_Toc342296291"/>
      <w:bookmarkStart w:id="836" w:name="_Toc338944733"/>
      <w:bookmarkStart w:id="837" w:name="_Toc159950642"/>
      <w:r>
        <w:rPr>
          <w:rFonts w:eastAsia="黑体"/>
          <w:sz w:val="24"/>
          <w:szCs w:val="20"/>
          <w:highlight w:val="none"/>
        </w:rPr>
        <w:t>4.1 承包人的一般义务</w:t>
      </w:r>
      <w:bookmarkEnd w:id="835"/>
      <w:bookmarkEnd w:id="836"/>
      <w:bookmarkEnd w:id="837"/>
    </w:p>
    <w:p w14:paraId="51BDC5BE">
      <w:pPr>
        <w:spacing w:line="400" w:lineRule="exact"/>
        <w:ind w:firstLine="420" w:firstLineChars="200"/>
        <w:rPr>
          <w:highlight w:val="none"/>
        </w:rPr>
      </w:pPr>
      <w:r>
        <w:rPr>
          <w:highlight w:val="none"/>
        </w:rPr>
        <w:t xml:space="preserve">4.1.1 </w:t>
      </w:r>
      <w:r>
        <w:rPr>
          <w:rFonts w:hint="eastAsia" w:ascii="宋体" w:hAnsi="宋体" w:cs="宋体"/>
          <w:highlight w:val="none"/>
        </w:rPr>
        <w:t>遵守法律</w:t>
      </w:r>
    </w:p>
    <w:p w14:paraId="6A15CE17">
      <w:pPr>
        <w:spacing w:line="400" w:lineRule="exact"/>
        <w:ind w:firstLine="420" w:firstLineChars="200"/>
        <w:rPr>
          <w:highlight w:val="none"/>
        </w:rPr>
      </w:pPr>
      <w:r>
        <w:rPr>
          <w:highlight w:val="none"/>
        </w:rPr>
        <w:t>承包人在履行合同过程中应遵守法律，并保证发包人免于承担因承包人违反法律而引起的任何责任。</w:t>
      </w:r>
    </w:p>
    <w:p w14:paraId="746A70BD">
      <w:pPr>
        <w:spacing w:line="400" w:lineRule="exact"/>
        <w:ind w:firstLine="420" w:firstLineChars="200"/>
        <w:rPr>
          <w:highlight w:val="none"/>
        </w:rPr>
      </w:pPr>
      <w:r>
        <w:rPr>
          <w:highlight w:val="none"/>
        </w:rPr>
        <w:t xml:space="preserve">4.1.2 </w:t>
      </w:r>
      <w:r>
        <w:rPr>
          <w:rFonts w:hint="eastAsia" w:ascii="宋体" w:hAnsi="宋体" w:cs="宋体"/>
          <w:highlight w:val="none"/>
        </w:rPr>
        <w:t>依法纳税</w:t>
      </w:r>
    </w:p>
    <w:p w14:paraId="732B849A">
      <w:pPr>
        <w:spacing w:line="400" w:lineRule="exact"/>
        <w:ind w:firstLine="420" w:firstLineChars="200"/>
        <w:rPr>
          <w:highlight w:val="none"/>
        </w:rPr>
      </w:pPr>
      <w:r>
        <w:rPr>
          <w:highlight w:val="none"/>
        </w:rPr>
        <w:t>承包人应按有关法律规定纳税，应缴纳的税金包括在合同价格内。</w:t>
      </w:r>
    </w:p>
    <w:p w14:paraId="561426C1">
      <w:pPr>
        <w:spacing w:line="400" w:lineRule="exact"/>
        <w:ind w:firstLine="420" w:firstLineChars="200"/>
        <w:rPr>
          <w:rFonts w:eastAsia="等线"/>
          <w:highlight w:val="none"/>
        </w:rPr>
      </w:pPr>
      <w:r>
        <w:rPr>
          <w:highlight w:val="none"/>
        </w:rPr>
        <w:t xml:space="preserve">4.1.3 </w:t>
      </w:r>
      <w:r>
        <w:rPr>
          <w:rFonts w:hint="eastAsia" w:ascii="宋体" w:hAnsi="宋体" w:cs="宋体"/>
          <w:highlight w:val="none"/>
        </w:rPr>
        <w:t>完成各项承包工作</w:t>
      </w:r>
    </w:p>
    <w:p w14:paraId="53C9315B">
      <w:pPr>
        <w:spacing w:line="400" w:lineRule="exact"/>
        <w:rPr>
          <w:highlight w:val="none"/>
        </w:rPr>
      </w:pPr>
      <w:r>
        <w:rPr>
          <w:rFonts w:hint="eastAsia" w:eastAsia="等线"/>
          <w:highlight w:val="none"/>
        </w:rPr>
        <w:t>承包人应</w:t>
      </w:r>
      <w:r>
        <w:rPr>
          <w:rFonts w:eastAsia="等线"/>
          <w:highlight w:val="none"/>
        </w:rPr>
        <w:t>办理法律规定应由承包人办理的许可和批准，并将办理结果书面报送发包人留存；按法律规定和合同约定完成工程，并在保修期内承担保修义务</w:t>
      </w:r>
      <w:r>
        <w:rPr>
          <w:rFonts w:hint="eastAsia" w:eastAsia="等线"/>
          <w:highlight w:val="none"/>
        </w:rPr>
        <w:t>。除专用合同条款另有约定外，承包人应提供为完成合同工作所需的劳务、材料、施工设备、工程设备和其他物品，并按合同约定负责临时设施的设计、建造、运行、维护、管理和拆除。</w:t>
      </w:r>
    </w:p>
    <w:p w14:paraId="6830BBF1">
      <w:pPr>
        <w:spacing w:line="400" w:lineRule="exact"/>
        <w:ind w:firstLine="420" w:firstLineChars="200"/>
        <w:rPr>
          <w:highlight w:val="none"/>
        </w:rPr>
      </w:pPr>
      <w:r>
        <w:rPr>
          <w:highlight w:val="none"/>
        </w:rPr>
        <w:t xml:space="preserve">4.1.4 </w:t>
      </w:r>
      <w:r>
        <w:rPr>
          <w:rFonts w:hint="eastAsia" w:ascii="宋体" w:hAnsi="宋体" w:cs="宋体"/>
          <w:highlight w:val="none"/>
        </w:rPr>
        <w:t>对施工作业和施工方法的完备性负责</w:t>
      </w:r>
    </w:p>
    <w:p w14:paraId="3903476C">
      <w:pPr>
        <w:spacing w:line="400" w:lineRule="exact"/>
        <w:ind w:firstLine="420" w:firstLineChars="200"/>
        <w:rPr>
          <w:highlight w:val="none"/>
        </w:rPr>
      </w:pPr>
      <w:r>
        <w:rPr>
          <w:highlight w:val="none"/>
        </w:rPr>
        <w:t>承包人应按合同约定的工作内容和施工进度要求，编制施工组织设计和施工措施计划，并对所有施工作业和施工方法的完备性和安全可靠性负责。</w:t>
      </w:r>
    </w:p>
    <w:p w14:paraId="7E0FC300">
      <w:pPr>
        <w:spacing w:line="400" w:lineRule="exact"/>
        <w:ind w:firstLine="420" w:firstLineChars="200"/>
        <w:rPr>
          <w:highlight w:val="none"/>
        </w:rPr>
      </w:pPr>
      <w:r>
        <w:rPr>
          <w:highlight w:val="none"/>
        </w:rPr>
        <w:t xml:space="preserve">4.1.5 </w:t>
      </w:r>
      <w:r>
        <w:rPr>
          <w:rFonts w:hint="eastAsia" w:ascii="宋体" w:hAnsi="宋体" w:cs="宋体"/>
          <w:highlight w:val="none"/>
        </w:rPr>
        <w:t>保证工程施工和人员的安全</w:t>
      </w:r>
    </w:p>
    <w:p w14:paraId="510A8692">
      <w:pPr>
        <w:spacing w:line="400" w:lineRule="exact"/>
        <w:ind w:firstLine="420" w:firstLineChars="200"/>
        <w:rPr>
          <w:highlight w:val="none"/>
        </w:rPr>
      </w:pPr>
      <w:r>
        <w:rPr>
          <w:highlight w:val="none"/>
        </w:rPr>
        <w:t>承包人应</w:t>
      </w:r>
      <w:r>
        <w:rPr>
          <w:rFonts w:eastAsia="等线"/>
          <w:highlight w:val="none"/>
        </w:rPr>
        <w:t>按法律规定和合同约定采取施工安全和环境保护措施，办理工伤保险，确保工程及人员、材料、设备和设施的安全；</w:t>
      </w:r>
      <w:r>
        <w:rPr>
          <w:highlight w:val="none"/>
        </w:rPr>
        <w:t>防止因工程施工造成的人身伤害和财产损失。</w:t>
      </w:r>
    </w:p>
    <w:p w14:paraId="4C29949F">
      <w:pPr>
        <w:spacing w:line="400" w:lineRule="exact"/>
        <w:ind w:firstLine="420" w:firstLineChars="200"/>
        <w:rPr>
          <w:highlight w:val="none"/>
        </w:rPr>
      </w:pPr>
      <w:r>
        <w:rPr>
          <w:highlight w:val="none"/>
        </w:rPr>
        <w:t xml:space="preserve">4.1.6 </w:t>
      </w:r>
      <w:r>
        <w:rPr>
          <w:rFonts w:hint="eastAsia" w:ascii="宋体" w:hAnsi="宋体" w:cs="宋体"/>
          <w:highlight w:val="none"/>
        </w:rPr>
        <w:t>负责施工场地及其周边环境与生态的保护工作</w:t>
      </w:r>
    </w:p>
    <w:p w14:paraId="2522CE06">
      <w:pPr>
        <w:spacing w:line="400" w:lineRule="exact"/>
        <w:ind w:firstLine="420" w:firstLineChars="200"/>
        <w:rPr>
          <w:highlight w:val="none"/>
        </w:rPr>
      </w:pPr>
      <w:r>
        <w:rPr>
          <w:highlight w:val="none"/>
        </w:rPr>
        <w:t>承包人应按照第9.4款约定负责施工场地及其周边环境与生态的保护工作。</w:t>
      </w:r>
    </w:p>
    <w:p w14:paraId="45BB197A">
      <w:pPr>
        <w:spacing w:line="400" w:lineRule="exact"/>
        <w:ind w:firstLine="420" w:firstLineChars="200"/>
        <w:rPr>
          <w:highlight w:val="none"/>
        </w:rPr>
      </w:pPr>
      <w:r>
        <w:rPr>
          <w:highlight w:val="none"/>
        </w:rPr>
        <w:t xml:space="preserve">4.1.7 </w:t>
      </w:r>
      <w:r>
        <w:rPr>
          <w:rFonts w:hint="eastAsia" w:ascii="宋体" w:hAnsi="宋体" w:cs="宋体"/>
          <w:highlight w:val="none"/>
        </w:rPr>
        <w:t>避免施工对公众与他人的利益造成损害</w:t>
      </w:r>
    </w:p>
    <w:p w14:paraId="137F4237">
      <w:pPr>
        <w:spacing w:line="400" w:lineRule="exact"/>
        <w:ind w:firstLine="420" w:firstLineChars="200"/>
        <w:rPr>
          <w:highlight w:val="none"/>
        </w:rPr>
      </w:pPr>
      <w:r>
        <w:rPr>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BFD8DCF">
      <w:pPr>
        <w:spacing w:line="400" w:lineRule="exact"/>
        <w:ind w:firstLine="420" w:firstLineChars="200"/>
        <w:rPr>
          <w:highlight w:val="none"/>
        </w:rPr>
      </w:pPr>
      <w:r>
        <w:rPr>
          <w:highlight w:val="none"/>
        </w:rPr>
        <w:t xml:space="preserve">4.1.8 </w:t>
      </w:r>
      <w:r>
        <w:rPr>
          <w:rFonts w:hint="eastAsia" w:ascii="宋体" w:hAnsi="宋体" w:cs="宋体"/>
          <w:highlight w:val="none"/>
        </w:rPr>
        <w:t>为他人提供方便</w:t>
      </w:r>
    </w:p>
    <w:p w14:paraId="3C04E599">
      <w:pPr>
        <w:spacing w:line="400" w:lineRule="exact"/>
        <w:ind w:firstLine="420" w:firstLineChars="200"/>
        <w:rPr>
          <w:highlight w:val="none"/>
        </w:rPr>
      </w:pPr>
      <w:r>
        <w:rPr>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70242978">
      <w:pPr>
        <w:spacing w:line="400" w:lineRule="exact"/>
        <w:ind w:firstLine="420" w:firstLineChars="200"/>
        <w:rPr>
          <w:highlight w:val="none"/>
        </w:rPr>
      </w:pPr>
      <w:r>
        <w:rPr>
          <w:highlight w:val="none"/>
        </w:rPr>
        <w:t xml:space="preserve">4.1.9 </w:t>
      </w:r>
      <w:r>
        <w:rPr>
          <w:rFonts w:hint="eastAsia" w:ascii="宋体" w:hAnsi="宋体" w:cs="宋体"/>
          <w:highlight w:val="none"/>
        </w:rPr>
        <w:t>工程的维护和照管</w:t>
      </w:r>
    </w:p>
    <w:p w14:paraId="77F186C7">
      <w:pPr>
        <w:spacing w:line="400" w:lineRule="exact"/>
        <w:ind w:firstLine="420" w:firstLineChars="200"/>
        <w:rPr>
          <w:highlight w:val="none"/>
        </w:rPr>
      </w:pPr>
      <w:r>
        <w:rPr>
          <w:rFonts w:hint="eastAsia"/>
          <w:highlight w:val="none"/>
        </w:rPr>
        <w:t>（</w:t>
      </w:r>
      <w:r>
        <w:rPr>
          <w:highlight w:val="none"/>
        </w:rPr>
        <w:t>1）除专用合同条款另有约定外，自发包人向承包人移交施工现场之日起，承</w:t>
      </w:r>
      <w:r>
        <w:rPr>
          <w:rFonts w:hint="eastAsia"/>
          <w:highlight w:val="none"/>
        </w:rPr>
        <w:t>包人应负责照管工程及工程相关的材料、工程设备，直到颁发工程接收证书之日止。</w:t>
      </w:r>
    </w:p>
    <w:p w14:paraId="0C344AD1">
      <w:pPr>
        <w:spacing w:line="400" w:lineRule="exact"/>
        <w:ind w:firstLine="420" w:firstLineChars="200"/>
        <w:rPr>
          <w:highlight w:val="none"/>
        </w:rPr>
      </w:pPr>
      <w:r>
        <w:rPr>
          <w:rFonts w:hint="eastAsia"/>
          <w:highlight w:val="none"/>
        </w:rPr>
        <w:t>（</w:t>
      </w:r>
      <w:r>
        <w:rPr>
          <w:highlight w:val="none"/>
        </w:rPr>
        <w:t>2）在承包人负责照管期间，因承包人原因造成工程、材料、工程设备损坏的，由承包人负责修复或更换，并承担由此增加的费用和（或）延误的工期。</w:t>
      </w:r>
    </w:p>
    <w:p w14:paraId="49EE7143">
      <w:pPr>
        <w:spacing w:line="400" w:lineRule="exact"/>
        <w:ind w:firstLine="420" w:firstLineChars="200"/>
        <w:rPr>
          <w:highlight w:val="none"/>
        </w:rPr>
      </w:pPr>
      <w:r>
        <w:rPr>
          <w:rFonts w:hint="eastAsia"/>
          <w:highlight w:val="none"/>
        </w:rPr>
        <w:t>（</w:t>
      </w:r>
      <w:r>
        <w:rPr>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052929C7">
      <w:pPr>
        <w:snapToGrid w:val="0"/>
        <w:ind w:firstLine="480" w:firstLineChars="200"/>
        <w:rPr>
          <w:rFonts w:ascii="宋体" w:hAnsi="宋体"/>
          <w:sz w:val="24"/>
          <w:highlight w:val="none"/>
        </w:rPr>
      </w:pPr>
    </w:p>
    <w:p w14:paraId="7D3AF02A">
      <w:pPr>
        <w:spacing w:line="400" w:lineRule="exact"/>
        <w:ind w:firstLine="420" w:firstLineChars="200"/>
        <w:rPr>
          <w:highlight w:val="none"/>
        </w:rPr>
      </w:pPr>
      <w:r>
        <w:rPr>
          <w:highlight w:val="none"/>
        </w:rPr>
        <w:t>4.1.10 工程</w:t>
      </w:r>
      <w:r>
        <w:rPr>
          <w:rFonts w:hint="eastAsia"/>
          <w:highlight w:val="none"/>
        </w:rPr>
        <w:t>款的使用</w:t>
      </w:r>
    </w:p>
    <w:p w14:paraId="3ED6240A">
      <w:pPr>
        <w:spacing w:line="400" w:lineRule="exact"/>
        <w:ind w:firstLine="420" w:firstLineChars="200"/>
        <w:rPr>
          <w:highlight w:val="none"/>
        </w:rPr>
      </w:pPr>
      <w:r>
        <w:rPr>
          <w:rFonts w:hint="eastAsia"/>
          <w:highlight w:val="none"/>
        </w:rPr>
        <w:t>将发包人按合同约定支付的各项价款专用于合同工程，且应及时支付其雇用人员工资，并及时向分包人支付合同价款；</w:t>
      </w:r>
    </w:p>
    <w:p w14:paraId="54A852BC">
      <w:pPr>
        <w:spacing w:line="400" w:lineRule="exact"/>
        <w:ind w:firstLine="420" w:firstLineChars="200"/>
        <w:rPr>
          <w:highlight w:val="none"/>
        </w:rPr>
      </w:pPr>
      <w:r>
        <w:rPr>
          <w:highlight w:val="none"/>
        </w:rPr>
        <w:t>4.1.11 工程</w:t>
      </w:r>
      <w:r>
        <w:rPr>
          <w:rFonts w:hint="eastAsia"/>
          <w:highlight w:val="none"/>
        </w:rPr>
        <w:t>资料管理</w:t>
      </w:r>
    </w:p>
    <w:p w14:paraId="372A6E9D">
      <w:pPr>
        <w:spacing w:line="400" w:lineRule="exact"/>
        <w:ind w:firstLine="420" w:firstLineChars="200"/>
        <w:rPr>
          <w:highlight w:val="none"/>
        </w:rPr>
      </w:pPr>
      <w:r>
        <w:rPr>
          <w:rFonts w:hint="eastAsia"/>
          <w:highlight w:val="none"/>
        </w:rPr>
        <w:t>承包人应按照法律规定和合同约定编制竣工资料，及时按照双方合同约定时间，配合发包人完成竣工所需资料立卷及归档，并按专用合同条款约定的竣工资料的套数、内容、时间等要求移交发包人，并保证其真实可靠性。</w:t>
      </w:r>
    </w:p>
    <w:p w14:paraId="3424C6ED">
      <w:pPr>
        <w:spacing w:line="400" w:lineRule="exact"/>
        <w:ind w:firstLine="420" w:firstLineChars="200"/>
        <w:rPr>
          <w:highlight w:val="none"/>
        </w:rPr>
      </w:pPr>
      <w:r>
        <w:rPr>
          <w:highlight w:val="none"/>
        </w:rPr>
        <w:t xml:space="preserve">4.1.12 </w:t>
      </w:r>
      <w:r>
        <w:rPr>
          <w:rFonts w:hint="eastAsia" w:ascii="宋体" w:hAnsi="宋体" w:cs="宋体"/>
          <w:highlight w:val="none"/>
        </w:rPr>
        <w:t>其他义务</w:t>
      </w:r>
    </w:p>
    <w:p w14:paraId="7ACEE37B">
      <w:pPr>
        <w:spacing w:line="400" w:lineRule="exact"/>
        <w:ind w:firstLine="420" w:firstLineChars="200"/>
        <w:rPr>
          <w:highlight w:val="none"/>
        </w:rPr>
      </w:pPr>
      <w:r>
        <w:rPr>
          <w:highlight w:val="none"/>
        </w:rPr>
        <w:t>承包人应履行合同约定的其他义务。</w:t>
      </w:r>
    </w:p>
    <w:p w14:paraId="55C5D5D4">
      <w:pPr>
        <w:keepNext/>
        <w:keepLines/>
        <w:spacing w:line="400" w:lineRule="exact"/>
        <w:outlineLvl w:val="2"/>
        <w:rPr>
          <w:rFonts w:eastAsia="黑体"/>
          <w:sz w:val="24"/>
          <w:szCs w:val="20"/>
          <w:highlight w:val="none"/>
        </w:rPr>
      </w:pPr>
      <w:bookmarkStart w:id="838" w:name="_Toc179632659"/>
      <w:bookmarkStart w:id="839" w:name="_Toc338944734"/>
      <w:bookmarkStart w:id="840" w:name="_Toc152045641"/>
      <w:bookmarkStart w:id="841" w:name="_Toc342296292"/>
      <w:bookmarkStart w:id="842" w:name="_Toc144974609"/>
      <w:bookmarkStart w:id="843" w:name="_Toc159950643"/>
      <w:bookmarkStart w:id="844" w:name="_Toc152042419"/>
      <w:r>
        <w:rPr>
          <w:rFonts w:eastAsia="黑体"/>
          <w:sz w:val="24"/>
          <w:szCs w:val="20"/>
          <w:highlight w:val="none"/>
        </w:rPr>
        <w:t>4.2 履约担保</w:t>
      </w:r>
      <w:bookmarkEnd w:id="838"/>
      <w:bookmarkEnd w:id="839"/>
      <w:bookmarkEnd w:id="840"/>
      <w:bookmarkEnd w:id="841"/>
      <w:bookmarkEnd w:id="842"/>
      <w:bookmarkEnd w:id="843"/>
      <w:bookmarkEnd w:id="844"/>
    </w:p>
    <w:p w14:paraId="548A9541">
      <w:pPr>
        <w:spacing w:line="400" w:lineRule="exact"/>
        <w:ind w:firstLine="420" w:firstLineChars="200"/>
        <w:rPr>
          <w:highlight w:val="none"/>
        </w:rPr>
      </w:pPr>
      <w:r>
        <w:rPr>
          <w:highlight w:val="none"/>
        </w:rPr>
        <w:t>承包人应保证其履约担保在发包人颁发工程接收证书前一直有效。发包人应在工程接收证书颁发后28天内把履约担保退还给承包人。</w:t>
      </w:r>
    </w:p>
    <w:p w14:paraId="721D2799">
      <w:pPr>
        <w:keepNext/>
        <w:keepLines/>
        <w:spacing w:line="400" w:lineRule="exact"/>
        <w:outlineLvl w:val="2"/>
        <w:rPr>
          <w:rFonts w:eastAsia="黑体"/>
          <w:sz w:val="24"/>
          <w:szCs w:val="20"/>
          <w:highlight w:val="none"/>
        </w:rPr>
      </w:pPr>
      <w:bookmarkStart w:id="845" w:name="_Toc342296293"/>
      <w:bookmarkStart w:id="846" w:name="_Toc159950644"/>
      <w:bookmarkStart w:id="847" w:name="_Toc338944735"/>
      <w:r>
        <w:rPr>
          <w:rFonts w:eastAsia="黑体"/>
          <w:sz w:val="24"/>
          <w:szCs w:val="20"/>
          <w:highlight w:val="none"/>
        </w:rPr>
        <w:t>4.3 分包</w:t>
      </w:r>
      <w:bookmarkEnd w:id="845"/>
      <w:bookmarkEnd w:id="846"/>
      <w:bookmarkEnd w:id="847"/>
    </w:p>
    <w:p w14:paraId="2EA765C3">
      <w:pPr>
        <w:spacing w:line="400" w:lineRule="exact"/>
        <w:ind w:firstLine="420" w:firstLineChars="200"/>
        <w:rPr>
          <w:highlight w:val="none"/>
        </w:rPr>
      </w:pPr>
      <w:r>
        <w:rPr>
          <w:highlight w:val="none"/>
        </w:rPr>
        <w:t>4.3.1 承包人不得将其承包的全部工程转包给第三人，或将其承包的全部工程肢解后以分包的名义转包给第三人。</w:t>
      </w:r>
    </w:p>
    <w:p w14:paraId="022B704F">
      <w:pPr>
        <w:spacing w:line="400" w:lineRule="exact"/>
        <w:ind w:firstLine="420" w:firstLineChars="200"/>
        <w:rPr>
          <w:highlight w:val="none"/>
        </w:rPr>
      </w:pPr>
      <w:r>
        <w:rPr>
          <w:highlight w:val="none"/>
        </w:rPr>
        <w:t>4.3.2 承包人不得将工程主体、关键性工作分包给第三人。除专用合同条款另有约定外，未经发包人同意，承包人不得将工程的其他部分或工作分包给第三人。</w:t>
      </w:r>
    </w:p>
    <w:p w14:paraId="0D75E63B">
      <w:pPr>
        <w:spacing w:line="400" w:lineRule="exact"/>
        <w:ind w:firstLine="420" w:firstLineChars="200"/>
        <w:rPr>
          <w:highlight w:val="none"/>
        </w:rPr>
      </w:pPr>
      <w:r>
        <w:rPr>
          <w:highlight w:val="none"/>
        </w:rPr>
        <w:t>4.3.3 分包人的资格能力应与其分包工程的标准和规模相适应。</w:t>
      </w:r>
    </w:p>
    <w:p w14:paraId="3FEF66F1">
      <w:pPr>
        <w:spacing w:line="400" w:lineRule="exact"/>
        <w:ind w:firstLine="420" w:firstLineChars="200"/>
        <w:rPr>
          <w:highlight w:val="none"/>
        </w:rPr>
      </w:pPr>
      <w:r>
        <w:rPr>
          <w:highlight w:val="none"/>
        </w:rPr>
        <w:t>4.3.4 按投标函附录约定分包工程的，承包人应向发包人和监理人提交分包合同副本。</w:t>
      </w:r>
    </w:p>
    <w:p w14:paraId="15C17D41">
      <w:pPr>
        <w:spacing w:line="400" w:lineRule="exact"/>
        <w:ind w:firstLine="420" w:firstLineChars="200"/>
        <w:rPr>
          <w:highlight w:val="none"/>
        </w:rPr>
      </w:pPr>
      <w:r>
        <w:rPr>
          <w:highlight w:val="none"/>
        </w:rPr>
        <w:t>4.3.5 承包人应与分包人就分包工程向发包人承担连带责任。</w:t>
      </w:r>
    </w:p>
    <w:p w14:paraId="59C1D963">
      <w:pPr>
        <w:keepNext/>
        <w:keepLines/>
        <w:spacing w:line="400" w:lineRule="exact"/>
        <w:outlineLvl w:val="2"/>
        <w:rPr>
          <w:rFonts w:eastAsia="黑体"/>
          <w:sz w:val="24"/>
          <w:szCs w:val="20"/>
          <w:highlight w:val="none"/>
        </w:rPr>
      </w:pPr>
      <w:bookmarkStart w:id="848" w:name="_Toc159950645"/>
      <w:r>
        <w:rPr>
          <w:rFonts w:eastAsia="黑体"/>
          <w:sz w:val="24"/>
          <w:szCs w:val="20"/>
          <w:highlight w:val="none"/>
        </w:rPr>
        <w:t>4.3.6</w:t>
      </w:r>
      <w:r>
        <w:rPr>
          <w:rFonts w:hint="eastAsia" w:eastAsia="黑体"/>
          <w:sz w:val="24"/>
          <w:szCs w:val="20"/>
          <w:highlight w:val="none"/>
        </w:rPr>
        <w:t>承包人应向监理人提交分包人的主要施工管理人员表，并对分包人的施工人员进行实名制管理。</w:t>
      </w:r>
      <w:bookmarkEnd w:id="848"/>
      <w:bookmarkStart w:id="849" w:name="_Toc152045643"/>
      <w:bookmarkStart w:id="850" w:name="_Toc144974611"/>
      <w:bookmarkStart w:id="851" w:name="_Toc179632661"/>
      <w:bookmarkStart w:id="852" w:name="_Toc338944736"/>
      <w:bookmarkStart w:id="853" w:name="_Toc152042421"/>
      <w:bookmarkStart w:id="854" w:name="_Toc342296294"/>
    </w:p>
    <w:p w14:paraId="4BA1DEB1">
      <w:pPr>
        <w:keepNext/>
        <w:keepLines/>
        <w:spacing w:line="400" w:lineRule="exact"/>
        <w:outlineLvl w:val="2"/>
        <w:rPr>
          <w:rFonts w:eastAsia="黑体"/>
          <w:sz w:val="24"/>
          <w:szCs w:val="20"/>
          <w:highlight w:val="none"/>
        </w:rPr>
      </w:pPr>
      <w:bookmarkStart w:id="855" w:name="_Toc159950646"/>
      <w:r>
        <w:rPr>
          <w:rFonts w:eastAsia="黑体"/>
          <w:sz w:val="24"/>
          <w:szCs w:val="20"/>
          <w:highlight w:val="none"/>
        </w:rPr>
        <w:t>4.4 联合体</w:t>
      </w:r>
      <w:bookmarkEnd w:id="849"/>
      <w:bookmarkEnd w:id="850"/>
      <w:bookmarkEnd w:id="851"/>
      <w:bookmarkEnd w:id="852"/>
      <w:bookmarkEnd w:id="853"/>
      <w:bookmarkEnd w:id="854"/>
      <w:bookmarkEnd w:id="855"/>
    </w:p>
    <w:p w14:paraId="08BD5893">
      <w:pPr>
        <w:spacing w:line="400" w:lineRule="exact"/>
        <w:ind w:firstLine="420" w:firstLineChars="200"/>
        <w:rPr>
          <w:highlight w:val="none"/>
        </w:rPr>
      </w:pPr>
      <w:r>
        <w:rPr>
          <w:highlight w:val="none"/>
        </w:rPr>
        <w:t>4.4.1 联合体各方应共同与发包人签订合同协议书。联合体各方应为履行合同承担连带责任。</w:t>
      </w:r>
    </w:p>
    <w:p w14:paraId="3F9B5F65">
      <w:pPr>
        <w:spacing w:line="400" w:lineRule="exact"/>
        <w:ind w:firstLine="420" w:firstLineChars="200"/>
        <w:rPr>
          <w:highlight w:val="none"/>
        </w:rPr>
      </w:pPr>
      <w:r>
        <w:rPr>
          <w:highlight w:val="none"/>
        </w:rPr>
        <w:t>4.4.2 联合体协议经发包人确认后作为合同附件。在履行合同过程中，未经发包人同意，不得修改联合体协议。</w:t>
      </w:r>
    </w:p>
    <w:p w14:paraId="75F538B8">
      <w:pPr>
        <w:spacing w:line="400" w:lineRule="exact"/>
        <w:ind w:firstLine="420" w:firstLineChars="200"/>
        <w:rPr>
          <w:highlight w:val="none"/>
        </w:rPr>
      </w:pPr>
      <w:r>
        <w:rPr>
          <w:highlight w:val="none"/>
        </w:rPr>
        <w:t>4.4.3 联合体牵头人负责与发包人和监理人联系，并接受指示，负责组织联合体各成员全面履行合同。</w:t>
      </w:r>
    </w:p>
    <w:p w14:paraId="74AA9E86">
      <w:pPr>
        <w:keepNext/>
        <w:keepLines/>
        <w:spacing w:line="400" w:lineRule="exact"/>
        <w:outlineLvl w:val="2"/>
        <w:rPr>
          <w:rFonts w:eastAsia="黑体"/>
          <w:sz w:val="24"/>
          <w:szCs w:val="20"/>
          <w:highlight w:val="none"/>
        </w:rPr>
      </w:pPr>
      <w:bookmarkStart w:id="856" w:name="_Toc342296295"/>
      <w:bookmarkStart w:id="857" w:name="_Toc338944737"/>
      <w:bookmarkStart w:id="858" w:name="_Toc159950647"/>
      <w:r>
        <w:rPr>
          <w:rFonts w:eastAsia="黑体"/>
          <w:sz w:val="24"/>
          <w:szCs w:val="20"/>
          <w:highlight w:val="none"/>
        </w:rPr>
        <w:t>4.5 承包人项目经理</w:t>
      </w:r>
      <w:bookmarkEnd w:id="856"/>
      <w:bookmarkEnd w:id="857"/>
      <w:bookmarkEnd w:id="858"/>
    </w:p>
    <w:p w14:paraId="68C4BD79">
      <w:pPr>
        <w:spacing w:line="400" w:lineRule="exact"/>
        <w:ind w:firstLine="420" w:firstLineChars="200"/>
        <w:rPr>
          <w:highlight w:val="none"/>
        </w:rPr>
      </w:pPr>
      <w:r>
        <w:rPr>
          <w:highlight w:val="none"/>
        </w:rPr>
        <w:t>4.5.1</w:t>
      </w:r>
      <w:r>
        <w:rPr>
          <w:rFonts w:hint="eastAsia"/>
          <w:highlight w:val="none"/>
        </w:rPr>
        <w:t>项目经理应为合同当事人所确认的人选，</w:t>
      </w:r>
      <w:r>
        <w:rPr>
          <w:highlight w:val="none"/>
        </w:rPr>
        <w:t>并在约定的期限内到职</w:t>
      </w:r>
      <w:r>
        <w:rPr>
          <w:rFonts w:hint="eastAsia"/>
          <w:highlight w:val="none"/>
        </w:rPr>
        <w:t>。项目经理的姓名、职称、注册执业证书编号、联系方式及授权范围等应在专用合同条款中明确。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4E2E40D1">
      <w:pPr>
        <w:spacing w:line="400" w:lineRule="exact"/>
        <w:ind w:firstLine="420" w:firstLineChars="200"/>
        <w:rPr>
          <w:highlight w:val="none"/>
        </w:rPr>
      </w:pPr>
      <w:r>
        <w:rPr>
          <w:rFonts w:hint="eastAsia"/>
          <w:highlight w:val="none"/>
        </w:rPr>
        <w:t>项目经理应常驻施工现场，且每月在施工现场时间不得少于专用合同条款约定的天数。项目经理不得同时担任其他项目的项目经理。项目经理确需离开施工现场时，应事先14天通知监理人，并取得发包人的书面同意。项目经理的通知中应当载明临时代行其职责的人员的注册执业资格、管理经验等资料，该人员应具备履行相应职责的能力。</w:t>
      </w:r>
    </w:p>
    <w:p w14:paraId="673E57B1">
      <w:pPr>
        <w:spacing w:line="400" w:lineRule="exact"/>
        <w:ind w:firstLine="420" w:firstLineChars="200"/>
        <w:rPr>
          <w:highlight w:val="none"/>
        </w:rPr>
      </w:pPr>
      <w:r>
        <w:rPr>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5C0C72A6">
      <w:pPr>
        <w:spacing w:line="400" w:lineRule="exact"/>
        <w:ind w:firstLine="420" w:firstLineChars="200"/>
        <w:rPr>
          <w:highlight w:val="none"/>
        </w:rPr>
      </w:pPr>
      <w:r>
        <w:rPr>
          <w:highlight w:val="none"/>
        </w:rPr>
        <w:t>4.5.3承包人为履行合同发出的一切函件均应盖有承包人授权的施工场地管理机构章，并由承包人项目经理或其授权代表签字。</w:t>
      </w:r>
    </w:p>
    <w:p w14:paraId="41372049">
      <w:pPr>
        <w:spacing w:line="400" w:lineRule="exact"/>
        <w:ind w:firstLine="420" w:firstLineChars="200"/>
        <w:rPr>
          <w:highlight w:val="none"/>
        </w:rPr>
      </w:pPr>
      <w:r>
        <w:rPr>
          <w:highlight w:val="none"/>
        </w:rPr>
        <w:t>4.5.4 承包人项目经理可以授权其下属人员履行其某项职责，但事先应将这些人员的姓名和授权范围通知监理人。</w:t>
      </w:r>
    </w:p>
    <w:p w14:paraId="45C04BCA">
      <w:pPr>
        <w:keepNext/>
        <w:keepLines/>
        <w:spacing w:line="400" w:lineRule="exact"/>
        <w:outlineLvl w:val="2"/>
        <w:rPr>
          <w:rFonts w:eastAsia="黑体"/>
          <w:sz w:val="24"/>
          <w:szCs w:val="20"/>
          <w:highlight w:val="none"/>
        </w:rPr>
      </w:pPr>
      <w:bookmarkStart w:id="859" w:name="_Toc152045645"/>
      <w:bookmarkStart w:id="860" w:name="_Toc152042423"/>
      <w:bookmarkStart w:id="861" w:name="_Toc342296296"/>
      <w:bookmarkStart w:id="862" w:name="_Toc338944738"/>
      <w:bookmarkStart w:id="863" w:name="_Toc144974613"/>
      <w:bookmarkStart w:id="864" w:name="_Toc179632663"/>
      <w:bookmarkStart w:id="865" w:name="_Toc159950648"/>
      <w:r>
        <w:rPr>
          <w:rFonts w:eastAsia="黑体"/>
          <w:sz w:val="24"/>
          <w:szCs w:val="20"/>
          <w:highlight w:val="none"/>
        </w:rPr>
        <w:t>4.6 承包人人员的管理</w:t>
      </w:r>
      <w:bookmarkEnd w:id="859"/>
      <w:bookmarkEnd w:id="860"/>
      <w:bookmarkEnd w:id="861"/>
      <w:bookmarkEnd w:id="862"/>
      <w:bookmarkEnd w:id="863"/>
      <w:bookmarkEnd w:id="864"/>
      <w:bookmarkEnd w:id="865"/>
    </w:p>
    <w:p w14:paraId="52B62735">
      <w:pPr>
        <w:spacing w:line="400" w:lineRule="exact"/>
        <w:ind w:firstLine="420" w:firstLineChars="200"/>
        <w:rPr>
          <w:highlight w:val="none"/>
        </w:rPr>
      </w:pPr>
      <w:r>
        <w:rPr>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w:t>
      </w:r>
      <w:r>
        <w:rPr>
          <w:rFonts w:hint="eastAsia"/>
          <w:highlight w:val="none"/>
        </w:rPr>
        <w:t>并同时提交主要施工管理人员与承包人之间的劳动关系证明和缴纳社会保险的有效证明。</w:t>
      </w:r>
      <w:r>
        <w:rPr>
          <w:highlight w:val="none"/>
        </w:rPr>
        <w:t>承包人应向监理人提交施工场地人员变动情况的报告。</w:t>
      </w:r>
    </w:p>
    <w:p w14:paraId="6EFBE8D9">
      <w:pPr>
        <w:spacing w:line="400" w:lineRule="exact"/>
        <w:ind w:firstLine="420" w:firstLineChars="200"/>
        <w:rPr>
          <w:highlight w:val="none"/>
        </w:rPr>
      </w:pPr>
      <w:r>
        <w:rPr>
          <w:highlight w:val="none"/>
        </w:rPr>
        <w:t>4.6.2 为完成合同约定的各项工作，承包人应向施工场地派遣或雇佣足够数量的下列人员：</w:t>
      </w:r>
    </w:p>
    <w:p w14:paraId="5A9141BC">
      <w:pPr>
        <w:spacing w:line="400" w:lineRule="exact"/>
        <w:rPr>
          <w:highlight w:val="none"/>
        </w:rPr>
      </w:pPr>
      <w:r>
        <w:rPr>
          <w:highlight w:val="none"/>
        </w:rPr>
        <w:t>（1）具有相应资格的专业技工和合格的普工；</w:t>
      </w:r>
    </w:p>
    <w:p w14:paraId="0498D9B1">
      <w:pPr>
        <w:spacing w:line="400" w:lineRule="exact"/>
        <w:rPr>
          <w:highlight w:val="none"/>
        </w:rPr>
      </w:pPr>
      <w:r>
        <w:rPr>
          <w:highlight w:val="none"/>
        </w:rPr>
        <w:t>（2）具有相应施工经验的技术人员；</w:t>
      </w:r>
    </w:p>
    <w:p w14:paraId="3DB2AF99">
      <w:pPr>
        <w:spacing w:line="400" w:lineRule="exact"/>
        <w:rPr>
          <w:highlight w:val="none"/>
        </w:rPr>
      </w:pPr>
      <w:r>
        <w:rPr>
          <w:highlight w:val="none"/>
        </w:rPr>
        <w:t>（3）具有相应岗位资格的各级管理人员。</w:t>
      </w:r>
    </w:p>
    <w:p w14:paraId="3CF3720E">
      <w:pPr>
        <w:spacing w:line="400" w:lineRule="exact"/>
        <w:rPr>
          <w:highlight w:val="none"/>
        </w:rPr>
      </w:pPr>
      <w:r>
        <w:rPr>
          <w:highlight w:val="none"/>
        </w:rPr>
        <w:t>4.6.3 承包人安排在施工场地的主要管理人员和技术骨干应相对稳定。承包人更换主要管理人员和技术骨干时，应取得监理人的同意。</w:t>
      </w:r>
    </w:p>
    <w:p w14:paraId="7E3FE5DC">
      <w:pPr>
        <w:spacing w:line="400" w:lineRule="exact"/>
        <w:ind w:firstLine="420" w:firstLineChars="200"/>
        <w:rPr>
          <w:highlight w:val="none"/>
        </w:rPr>
      </w:pPr>
      <w:r>
        <w:rPr>
          <w:highlight w:val="none"/>
        </w:rPr>
        <w:t>4.6.4 特殊岗位的工作人员均应持有相应的资格证明，监理人有权随时检查。监理人认为有必要时，可进行现场考核。</w:t>
      </w:r>
    </w:p>
    <w:p w14:paraId="0EE1C261">
      <w:pPr>
        <w:keepNext/>
        <w:keepLines/>
        <w:spacing w:line="400" w:lineRule="exact"/>
        <w:outlineLvl w:val="2"/>
        <w:rPr>
          <w:rFonts w:eastAsia="黑体"/>
          <w:sz w:val="24"/>
          <w:szCs w:val="20"/>
          <w:highlight w:val="none"/>
        </w:rPr>
      </w:pPr>
      <w:bookmarkStart w:id="866" w:name="_Toc152042424"/>
      <w:bookmarkStart w:id="867" w:name="_Toc159950649"/>
      <w:bookmarkStart w:id="868" w:name="_Toc152045646"/>
      <w:bookmarkStart w:id="869" w:name="_Toc342296297"/>
      <w:bookmarkStart w:id="870" w:name="_Toc179632664"/>
      <w:bookmarkStart w:id="871" w:name="_Toc144974614"/>
      <w:bookmarkStart w:id="872" w:name="_Toc338944739"/>
      <w:r>
        <w:rPr>
          <w:rFonts w:eastAsia="黑体"/>
          <w:sz w:val="24"/>
          <w:szCs w:val="20"/>
          <w:highlight w:val="none"/>
        </w:rPr>
        <w:t>4.7 撤换承包人项目经理和其他人员</w:t>
      </w:r>
      <w:bookmarkEnd w:id="866"/>
      <w:bookmarkEnd w:id="867"/>
      <w:bookmarkEnd w:id="868"/>
      <w:bookmarkEnd w:id="869"/>
      <w:bookmarkEnd w:id="870"/>
      <w:bookmarkEnd w:id="871"/>
      <w:bookmarkEnd w:id="872"/>
    </w:p>
    <w:p w14:paraId="67DA9F41">
      <w:pPr>
        <w:spacing w:line="400" w:lineRule="exact"/>
        <w:rPr>
          <w:highlight w:val="none"/>
        </w:rPr>
      </w:pPr>
      <w:r>
        <w:rPr>
          <w:highlight w:val="none"/>
        </w:rPr>
        <w:t>承包人应对其项目经理和其他人员进行有效管理。</w:t>
      </w:r>
      <w:r>
        <w:rPr>
          <w:rFonts w:hint="eastAsia"/>
          <w:highlight w:val="none"/>
        </w:rPr>
        <w:t>发包人对于承包人主要施工管理人员的资格或能力有异议的，要求撤换不能按照合同约定履行职责及义务的主要施工管理人员的，承包人应当撤换。承包人无正当理由拒绝撤换的，应按照专用合同条款的约定承担违约责任。</w:t>
      </w:r>
    </w:p>
    <w:p w14:paraId="09D3A2CF">
      <w:pPr>
        <w:spacing w:line="400" w:lineRule="exact"/>
        <w:ind w:firstLine="420" w:firstLineChars="200"/>
        <w:rPr>
          <w:highlight w:val="none"/>
        </w:rPr>
      </w:pPr>
      <w:r>
        <w:rPr>
          <w:highlight w:val="none"/>
        </w:rPr>
        <w:t>监理人要求撤换不能胜任本职工作、行为不端或玩忽职守的承包人项目经理和其他人员的，承包人应予以撤换。</w:t>
      </w:r>
    </w:p>
    <w:p w14:paraId="301C957A">
      <w:pPr>
        <w:keepNext/>
        <w:keepLines/>
        <w:spacing w:line="400" w:lineRule="exact"/>
        <w:outlineLvl w:val="2"/>
        <w:rPr>
          <w:rFonts w:eastAsia="黑体"/>
          <w:sz w:val="24"/>
          <w:szCs w:val="20"/>
          <w:highlight w:val="none"/>
        </w:rPr>
      </w:pPr>
      <w:bookmarkStart w:id="873" w:name="_Toc159950650"/>
      <w:bookmarkStart w:id="874" w:name="_Toc342296298"/>
      <w:bookmarkStart w:id="875" w:name="_Toc338944740"/>
      <w:bookmarkStart w:id="876" w:name="_Toc179632665"/>
      <w:bookmarkStart w:id="877" w:name="_Toc144974615"/>
      <w:bookmarkStart w:id="878" w:name="_Toc152042425"/>
      <w:bookmarkStart w:id="879" w:name="_Toc152045647"/>
      <w:r>
        <w:rPr>
          <w:rFonts w:eastAsia="黑体"/>
          <w:sz w:val="24"/>
          <w:szCs w:val="20"/>
          <w:highlight w:val="none"/>
        </w:rPr>
        <w:t>4.8 保障承包人人员的合法权益</w:t>
      </w:r>
      <w:bookmarkEnd w:id="873"/>
      <w:bookmarkEnd w:id="874"/>
      <w:bookmarkEnd w:id="875"/>
      <w:bookmarkEnd w:id="876"/>
      <w:bookmarkEnd w:id="877"/>
      <w:bookmarkEnd w:id="878"/>
      <w:bookmarkEnd w:id="879"/>
    </w:p>
    <w:p w14:paraId="14236965">
      <w:pPr>
        <w:spacing w:line="400" w:lineRule="exact"/>
        <w:ind w:firstLine="420" w:firstLineChars="200"/>
        <w:rPr>
          <w:highlight w:val="none"/>
        </w:rPr>
      </w:pPr>
      <w:r>
        <w:rPr>
          <w:highlight w:val="none"/>
        </w:rPr>
        <w:t>4.8.1 承包人应与其雇佣的人员签订劳动合同，并按时发放工资。</w:t>
      </w:r>
    </w:p>
    <w:p w14:paraId="6E9F4AE3">
      <w:pPr>
        <w:spacing w:line="400" w:lineRule="exact"/>
        <w:ind w:firstLine="420" w:firstLineChars="200"/>
        <w:rPr>
          <w:highlight w:val="none"/>
        </w:rPr>
      </w:pPr>
      <w:r>
        <w:rPr>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7DA79F95">
      <w:pPr>
        <w:spacing w:line="400" w:lineRule="exact"/>
        <w:ind w:firstLine="420" w:firstLineChars="200"/>
        <w:rPr>
          <w:highlight w:val="none"/>
        </w:rPr>
      </w:pPr>
      <w:r>
        <w:rPr>
          <w:highlight w:val="none"/>
        </w:rPr>
        <w:t>4.8.3 承包人应为其雇佣人员提供必要的食宿条件，以及符合环境保护和卫生要求的生活环境，在远离城镇的施工场地，还应配备必要的伤病防治和急救的医务人员与医疗设施。</w:t>
      </w:r>
    </w:p>
    <w:p w14:paraId="4476737A">
      <w:pPr>
        <w:spacing w:line="400" w:lineRule="exact"/>
        <w:ind w:firstLine="420" w:firstLineChars="200"/>
        <w:rPr>
          <w:highlight w:val="none"/>
        </w:rPr>
      </w:pPr>
      <w:r>
        <w:rPr>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7B8ECC4A">
      <w:pPr>
        <w:spacing w:line="400" w:lineRule="exact"/>
        <w:ind w:firstLine="420" w:firstLineChars="200"/>
        <w:rPr>
          <w:highlight w:val="none"/>
        </w:rPr>
      </w:pPr>
      <w:r>
        <w:rPr>
          <w:highlight w:val="none"/>
        </w:rPr>
        <w:t>4.8.5 承包人应按有关法律规定和合同约定，为其雇佣人员办理保险。</w:t>
      </w:r>
    </w:p>
    <w:p w14:paraId="10D20903">
      <w:pPr>
        <w:spacing w:line="400" w:lineRule="exact"/>
        <w:ind w:firstLine="420" w:firstLineChars="200"/>
        <w:rPr>
          <w:highlight w:val="none"/>
        </w:rPr>
      </w:pPr>
      <w:r>
        <w:rPr>
          <w:highlight w:val="none"/>
        </w:rPr>
        <w:t>4.8.6 承包人应负责处理其雇佣人员因工伤亡事故的善后事宜。</w:t>
      </w:r>
    </w:p>
    <w:p w14:paraId="270AD841">
      <w:pPr>
        <w:keepNext/>
        <w:keepLines/>
        <w:spacing w:line="400" w:lineRule="exact"/>
        <w:outlineLvl w:val="2"/>
        <w:rPr>
          <w:rFonts w:eastAsia="黑体"/>
          <w:sz w:val="24"/>
          <w:szCs w:val="20"/>
          <w:highlight w:val="none"/>
        </w:rPr>
      </w:pPr>
      <w:bookmarkStart w:id="880" w:name="_Toc152042426"/>
      <w:bookmarkStart w:id="881" w:name="_Toc342296299"/>
      <w:bookmarkStart w:id="882" w:name="_Toc179632666"/>
      <w:bookmarkStart w:id="883" w:name="_Toc144974616"/>
      <w:bookmarkStart w:id="884" w:name="_Toc159950651"/>
      <w:bookmarkStart w:id="885" w:name="_Toc152045648"/>
      <w:bookmarkStart w:id="886" w:name="_Toc338944741"/>
      <w:r>
        <w:rPr>
          <w:rFonts w:eastAsia="黑体"/>
          <w:sz w:val="24"/>
          <w:szCs w:val="20"/>
          <w:highlight w:val="none"/>
        </w:rPr>
        <w:t>4.9 工程价款应专款专用</w:t>
      </w:r>
      <w:bookmarkEnd w:id="880"/>
      <w:bookmarkEnd w:id="881"/>
      <w:bookmarkEnd w:id="882"/>
      <w:bookmarkEnd w:id="883"/>
      <w:bookmarkEnd w:id="884"/>
      <w:bookmarkEnd w:id="885"/>
      <w:bookmarkEnd w:id="886"/>
    </w:p>
    <w:p w14:paraId="55A41E56">
      <w:pPr>
        <w:spacing w:line="400" w:lineRule="exact"/>
        <w:ind w:firstLine="420" w:firstLineChars="200"/>
        <w:rPr>
          <w:highlight w:val="none"/>
        </w:rPr>
      </w:pPr>
      <w:r>
        <w:rPr>
          <w:highlight w:val="none"/>
        </w:rPr>
        <w:t>发包人按合同约定支付给承包人的各项价款应专用于合同工程。</w:t>
      </w:r>
    </w:p>
    <w:p w14:paraId="15FC2200">
      <w:pPr>
        <w:keepNext/>
        <w:keepLines/>
        <w:spacing w:line="400" w:lineRule="exact"/>
        <w:outlineLvl w:val="2"/>
        <w:rPr>
          <w:rFonts w:eastAsia="黑体"/>
          <w:sz w:val="24"/>
          <w:szCs w:val="20"/>
          <w:highlight w:val="none"/>
        </w:rPr>
      </w:pPr>
      <w:bookmarkStart w:id="887" w:name="_Toc152042427"/>
      <w:bookmarkStart w:id="888" w:name="_Toc338944742"/>
      <w:bookmarkStart w:id="889" w:name="_Toc152045649"/>
      <w:bookmarkStart w:id="890" w:name="_Toc144974617"/>
      <w:bookmarkStart w:id="891" w:name="_Toc159950652"/>
      <w:bookmarkStart w:id="892" w:name="_Toc342296300"/>
      <w:bookmarkStart w:id="893" w:name="_Toc179632667"/>
      <w:r>
        <w:rPr>
          <w:rFonts w:eastAsia="黑体"/>
          <w:sz w:val="24"/>
          <w:szCs w:val="20"/>
          <w:highlight w:val="none"/>
        </w:rPr>
        <w:t>4.10 承包人现场查勘</w:t>
      </w:r>
      <w:bookmarkEnd w:id="887"/>
      <w:bookmarkEnd w:id="888"/>
      <w:bookmarkEnd w:id="889"/>
      <w:bookmarkEnd w:id="890"/>
      <w:bookmarkEnd w:id="891"/>
      <w:bookmarkEnd w:id="892"/>
      <w:bookmarkEnd w:id="893"/>
      <w:r>
        <w:rPr>
          <w:rFonts w:eastAsia="黑体"/>
          <w:sz w:val="24"/>
          <w:szCs w:val="20"/>
          <w:highlight w:val="none"/>
        </w:rPr>
        <w:t xml:space="preserve">                                                                                                           </w:t>
      </w:r>
    </w:p>
    <w:p w14:paraId="355609BB">
      <w:pPr>
        <w:spacing w:line="400" w:lineRule="exact"/>
        <w:ind w:firstLine="420" w:firstLineChars="200"/>
        <w:rPr>
          <w:highlight w:val="none"/>
        </w:rPr>
      </w:pPr>
      <w:r>
        <w:rPr>
          <w:highlight w:val="none"/>
        </w:rPr>
        <w:t>4.10.1 发包人应将其持有的现场地质勘探资料、水文气象资料提供给承包人，并对其准确性负责。但承包人应对其阅读上述有关资料后所作出的解释和推断负责。</w:t>
      </w:r>
    </w:p>
    <w:p w14:paraId="1FBF488D">
      <w:pPr>
        <w:spacing w:line="400" w:lineRule="exact"/>
        <w:ind w:firstLine="420" w:firstLineChars="200"/>
        <w:rPr>
          <w:highlight w:val="none"/>
        </w:rPr>
      </w:pPr>
      <w:r>
        <w:rPr>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r>
        <w:rPr>
          <w:rFonts w:hint="eastAsia"/>
          <w:highlight w:val="none"/>
        </w:rPr>
        <w:t>因承包人未能充分查勘、了解前述情况或未能充分估计前述情况所可能产生后果的，承包人承担由此增加的费用和（或）延误的工期。</w:t>
      </w:r>
    </w:p>
    <w:p w14:paraId="0E391C79">
      <w:pPr>
        <w:spacing w:line="400" w:lineRule="exact"/>
        <w:ind w:firstLine="420" w:firstLineChars="200"/>
        <w:rPr>
          <w:highlight w:val="none"/>
        </w:rPr>
      </w:pPr>
      <w:r>
        <w:rPr>
          <w:highlight w:val="none"/>
        </w:rPr>
        <w:t>4.10.3</w:t>
      </w:r>
      <w:r>
        <w:rPr>
          <w:rFonts w:hint="eastAsia"/>
          <w:highlight w:val="none"/>
        </w:rPr>
        <w:t>承包人应对施工场地区域内的天气进行实时监控，发包人有义务对恶劣天气对承包人进行提醒管理。若遭遇风雨雷电等天气，发包人应提前做好防护准备与措施，保证恶劣天气对施工现场的损害达到最小。若因承包人无视天气因素或没有做好充足准备导致施工现场破坏严重、工期拖延情况严重，应有承包人承担相应责任。</w:t>
      </w:r>
    </w:p>
    <w:p w14:paraId="43C44789">
      <w:pPr>
        <w:spacing w:line="400" w:lineRule="exact"/>
        <w:ind w:firstLine="420" w:firstLineChars="200"/>
        <w:rPr>
          <w:highlight w:val="none"/>
        </w:rPr>
      </w:pPr>
      <w:bookmarkStart w:id="894" w:name="_Toc342296301"/>
      <w:bookmarkStart w:id="895" w:name="_Toc338944743"/>
      <w:r>
        <w:rPr>
          <w:highlight w:val="none"/>
        </w:rPr>
        <w:t>4.11 不利物质条件</w:t>
      </w:r>
      <w:bookmarkEnd w:id="894"/>
      <w:bookmarkEnd w:id="895"/>
    </w:p>
    <w:p w14:paraId="45467132">
      <w:pPr>
        <w:spacing w:line="400" w:lineRule="exact"/>
        <w:ind w:firstLine="420" w:firstLineChars="200"/>
        <w:rPr>
          <w:highlight w:val="none"/>
        </w:rPr>
      </w:pPr>
      <w:r>
        <w:rPr>
          <w:highlight w:val="none"/>
        </w:rPr>
        <w:t>4.11.1 不利物质条件，除专用合同条款另有约定外，是指承包人在施工场地遇到的不可预见的自然物质条件、非自然的物质障碍和污染物，包括地下和水文条件，但不包括气候条件。</w:t>
      </w:r>
    </w:p>
    <w:p w14:paraId="75C7B722">
      <w:pPr>
        <w:spacing w:line="400" w:lineRule="exact"/>
        <w:ind w:firstLine="420" w:firstLineChars="200"/>
        <w:rPr>
          <w:highlight w:val="none"/>
        </w:rPr>
      </w:pPr>
      <w:r>
        <w:rPr>
          <w:highlight w:val="none"/>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0E88355F">
      <w:pPr>
        <w:keepNext/>
        <w:keepLines/>
        <w:spacing w:line="400" w:lineRule="exact"/>
        <w:outlineLvl w:val="1"/>
        <w:rPr>
          <w:rFonts w:eastAsia="黑体" w:cs="仿宋_GB2312"/>
          <w:sz w:val="28"/>
          <w:szCs w:val="20"/>
          <w:highlight w:val="none"/>
        </w:rPr>
      </w:pPr>
      <w:bookmarkStart w:id="896" w:name="_Toc338944744"/>
      <w:bookmarkStart w:id="897" w:name="_Toc448758526"/>
      <w:bookmarkStart w:id="898" w:name="_Toc342296302"/>
      <w:bookmarkStart w:id="899" w:name="_Toc159950653"/>
      <w:bookmarkStart w:id="900" w:name="_Toc448758426"/>
      <w:bookmarkStart w:id="901" w:name="_Toc442365618"/>
      <w:bookmarkStart w:id="902" w:name="_Toc469660021"/>
      <w:r>
        <w:rPr>
          <w:rFonts w:eastAsia="黑体" w:cs="仿宋_GB2312"/>
          <w:sz w:val="28"/>
          <w:szCs w:val="20"/>
          <w:highlight w:val="none"/>
        </w:rPr>
        <w:t>5. 材料和工程设备</w:t>
      </w:r>
      <w:bookmarkEnd w:id="896"/>
      <w:bookmarkEnd w:id="897"/>
      <w:bookmarkEnd w:id="898"/>
      <w:bookmarkEnd w:id="899"/>
      <w:bookmarkEnd w:id="900"/>
      <w:bookmarkEnd w:id="901"/>
      <w:bookmarkEnd w:id="902"/>
    </w:p>
    <w:p w14:paraId="7EE3E76F">
      <w:pPr>
        <w:keepNext/>
        <w:keepLines/>
        <w:spacing w:line="400" w:lineRule="exact"/>
        <w:outlineLvl w:val="2"/>
        <w:rPr>
          <w:rFonts w:eastAsia="黑体"/>
          <w:sz w:val="24"/>
          <w:szCs w:val="20"/>
          <w:highlight w:val="none"/>
        </w:rPr>
      </w:pPr>
      <w:bookmarkStart w:id="903" w:name="_Toc338944745"/>
      <w:bookmarkStart w:id="904" w:name="_Toc159950654"/>
      <w:bookmarkStart w:id="905" w:name="_Toc342296303"/>
      <w:r>
        <w:rPr>
          <w:rFonts w:eastAsia="黑体"/>
          <w:sz w:val="24"/>
          <w:szCs w:val="20"/>
          <w:highlight w:val="none"/>
        </w:rPr>
        <w:t>5.1 承包人提供的材料和工程设备</w:t>
      </w:r>
      <w:bookmarkEnd w:id="903"/>
      <w:bookmarkEnd w:id="904"/>
      <w:bookmarkEnd w:id="905"/>
    </w:p>
    <w:p w14:paraId="55313582">
      <w:pPr>
        <w:spacing w:line="400" w:lineRule="exact"/>
        <w:ind w:firstLine="420" w:firstLineChars="200"/>
        <w:rPr>
          <w:highlight w:val="none"/>
        </w:rPr>
      </w:pPr>
      <w:r>
        <w:rPr>
          <w:highlight w:val="none"/>
        </w:rPr>
        <w:t>5.1.1 除专用合同条款另有约定外，承包人提供的材料和工程设备均由承包人负责采购、运输和保管。承包人应对其采购的材料和工程设备负责。</w:t>
      </w:r>
    </w:p>
    <w:p w14:paraId="76D7E42D">
      <w:pPr>
        <w:spacing w:line="400" w:lineRule="exact"/>
        <w:ind w:firstLine="420" w:firstLineChars="200"/>
        <w:rPr>
          <w:highlight w:val="none"/>
        </w:rPr>
      </w:pPr>
      <w:r>
        <w:rPr>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0E8D5E4C">
      <w:pPr>
        <w:spacing w:line="400" w:lineRule="exact"/>
        <w:ind w:firstLine="420" w:firstLineChars="200"/>
        <w:rPr>
          <w:highlight w:val="none"/>
        </w:rPr>
      </w:pPr>
      <w:r>
        <w:rPr>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3AE3C2C0">
      <w:pPr>
        <w:keepNext/>
        <w:keepLines/>
        <w:spacing w:line="400" w:lineRule="exact"/>
        <w:outlineLvl w:val="2"/>
        <w:rPr>
          <w:rFonts w:eastAsia="黑体"/>
          <w:sz w:val="24"/>
          <w:szCs w:val="20"/>
          <w:highlight w:val="none"/>
        </w:rPr>
      </w:pPr>
      <w:bookmarkStart w:id="906" w:name="_Toc338944746"/>
      <w:bookmarkStart w:id="907" w:name="_Toc159950655"/>
      <w:bookmarkStart w:id="908" w:name="_Toc342296304"/>
      <w:r>
        <w:rPr>
          <w:rFonts w:eastAsia="黑体"/>
          <w:sz w:val="24"/>
          <w:szCs w:val="20"/>
          <w:highlight w:val="none"/>
        </w:rPr>
        <w:t>5.2 发包人提供的材料和工程设备</w:t>
      </w:r>
      <w:bookmarkEnd w:id="906"/>
      <w:bookmarkEnd w:id="907"/>
      <w:bookmarkEnd w:id="908"/>
    </w:p>
    <w:p w14:paraId="187D6071">
      <w:pPr>
        <w:spacing w:line="400" w:lineRule="exact"/>
        <w:ind w:firstLine="420" w:firstLineChars="200"/>
        <w:rPr>
          <w:highlight w:val="none"/>
        </w:rPr>
      </w:pPr>
      <w:r>
        <w:rPr>
          <w:highlight w:val="none"/>
        </w:rPr>
        <w:t>5.2.1 发包人提供的材料和工程设备，应在专用合同条款中写明材料和工程设备的名称、规格、数量、价格、交货方式、交货地点和计划交货日期等。</w:t>
      </w:r>
    </w:p>
    <w:p w14:paraId="3CA43195">
      <w:pPr>
        <w:spacing w:line="400" w:lineRule="exact"/>
        <w:ind w:firstLine="420" w:firstLineChars="200"/>
        <w:rPr>
          <w:highlight w:val="none"/>
        </w:rPr>
      </w:pPr>
      <w:r>
        <w:rPr>
          <w:highlight w:val="none"/>
        </w:rPr>
        <w:t>5.2.2 承包人应根据合同进度计划的安排，向监理人报送要求发包人交货的日期计划。发包人应按照监理人与合同双方当事人商定的交货日期，向承包人提交材料和工程设备。</w:t>
      </w:r>
    </w:p>
    <w:p w14:paraId="14F9DC1C">
      <w:pPr>
        <w:spacing w:line="400" w:lineRule="exact"/>
        <w:ind w:firstLine="420" w:firstLineChars="200"/>
        <w:rPr>
          <w:highlight w:val="none"/>
        </w:rPr>
      </w:pPr>
      <w:r>
        <w:rPr>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3FED058A">
      <w:pPr>
        <w:spacing w:line="400" w:lineRule="exact"/>
        <w:ind w:firstLine="420" w:firstLineChars="200"/>
        <w:rPr>
          <w:highlight w:val="none"/>
        </w:rPr>
      </w:pPr>
      <w:r>
        <w:rPr>
          <w:highlight w:val="none"/>
        </w:rPr>
        <w:t xml:space="preserve">5.2.4 发包人要求向承包人提前交货的，承包人不得拒绝，但发包人应承担承包人由此增加的费用。 </w:t>
      </w:r>
    </w:p>
    <w:p w14:paraId="32F3B771">
      <w:pPr>
        <w:spacing w:line="400" w:lineRule="exact"/>
        <w:ind w:firstLine="420" w:firstLineChars="200"/>
        <w:rPr>
          <w:highlight w:val="none"/>
        </w:rPr>
      </w:pPr>
      <w:r>
        <w:rPr>
          <w:highlight w:val="none"/>
        </w:rPr>
        <w:t xml:space="preserve">5.2.5 承包人要求更改交货日期或地点的，应事先报请监理人批准。由于承包人要求更改交货时间或地点所增加的费用和（或）工期延误由承包人承担。 </w:t>
      </w:r>
    </w:p>
    <w:p w14:paraId="769F87E9">
      <w:pPr>
        <w:spacing w:line="400" w:lineRule="exact"/>
        <w:ind w:firstLine="420" w:firstLineChars="200"/>
        <w:rPr>
          <w:highlight w:val="none"/>
        </w:rPr>
      </w:pPr>
      <w:r>
        <w:rPr>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15B9F57A">
      <w:pPr>
        <w:keepNext/>
        <w:keepLines/>
        <w:spacing w:line="400" w:lineRule="exact"/>
        <w:outlineLvl w:val="2"/>
        <w:rPr>
          <w:rFonts w:eastAsia="黑体"/>
          <w:sz w:val="24"/>
          <w:szCs w:val="20"/>
          <w:highlight w:val="none"/>
        </w:rPr>
      </w:pPr>
      <w:bookmarkStart w:id="909" w:name="_Toc159950656"/>
      <w:bookmarkStart w:id="910" w:name="_Toc338944747"/>
      <w:bookmarkStart w:id="911" w:name="_Toc152042432"/>
      <w:bookmarkStart w:id="912" w:name="_Toc342296305"/>
      <w:bookmarkStart w:id="913" w:name="_Toc144974622"/>
      <w:bookmarkStart w:id="914" w:name="_Toc179632672"/>
      <w:bookmarkStart w:id="915" w:name="_Toc152045654"/>
      <w:r>
        <w:rPr>
          <w:rFonts w:eastAsia="黑体"/>
          <w:sz w:val="24"/>
          <w:szCs w:val="20"/>
          <w:highlight w:val="none"/>
        </w:rPr>
        <w:t>5.3 材料和工程设备专用于合同工程</w:t>
      </w:r>
      <w:bookmarkEnd w:id="909"/>
      <w:bookmarkEnd w:id="910"/>
      <w:bookmarkEnd w:id="911"/>
      <w:bookmarkEnd w:id="912"/>
      <w:bookmarkEnd w:id="913"/>
      <w:bookmarkEnd w:id="914"/>
      <w:bookmarkEnd w:id="915"/>
    </w:p>
    <w:p w14:paraId="1B2AD481">
      <w:pPr>
        <w:spacing w:line="400" w:lineRule="exact"/>
        <w:ind w:firstLine="420" w:firstLineChars="200"/>
        <w:rPr>
          <w:highlight w:val="none"/>
        </w:rPr>
      </w:pPr>
      <w:r>
        <w:rPr>
          <w:highlight w:val="none"/>
        </w:rPr>
        <w:t>5.3.1运入施工场地的材料、工程设备，包括备品备件、安装专用工器具与随机资料，必须专用于合同工程，</w:t>
      </w:r>
      <w:r>
        <w:rPr>
          <w:rFonts w:hint="eastAsia"/>
          <w:highlight w:val="none"/>
        </w:rPr>
        <w:t>且入场前均要通知监理人与发包人工程师进行检查。且</w:t>
      </w:r>
      <w:r>
        <w:rPr>
          <w:highlight w:val="none"/>
        </w:rPr>
        <w:t>未经监理人同意，承包人不得</w:t>
      </w:r>
      <w:r>
        <w:rPr>
          <w:rFonts w:hint="eastAsia"/>
          <w:highlight w:val="none"/>
        </w:rPr>
        <w:t>将5.3.1条涉及的材料设备等</w:t>
      </w:r>
      <w:r>
        <w:rPr>
          <w:highlight w:val="none"/>
        </w:rPr>
        <w:t>运出施工场地或挪作他用。</w:t>
      </w:r>
    </w:p>
    <w:p w14:paraId="306BF529">
      <w:pPr>
        <w:spacing w:line="400" w:lineRule="exact"/>
        <w:ind w:firstLine="420" w:firstLineChars="200"/>
        <w:rPr>
          <w:highlight w:val="none"/>
        </w:rPr>
      </w:pPr>
      <w:r>
        <w:rPr>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79BEB645">
      <w:pPr>
        <w:keepNext/>
        <w:keepLines/>
        <w:spacing w:line="400" w:lineRule="exact"/>
        <w:outlineLvl w:val="2"/>
        <w:rPr>
          <w:rFonts w:eastAsia="黑体"/>
          <w:sz w:val="24"/>
          <w:szCs w:val="20"/>
          <w:highlight w:val="none"/>
        </w:rPr>
      </w:pPr>
      <w:bookmarkStart w:id="916" w:name="_Toc159950657"/>
      <w:bookmarkStart w:id="917" w:name="_Toc144974623"/>
      <w:bookmarkStart w:id="918" w:name="_Toc338944748"/>
      <w:bookmarkStart w:id="919" w:name="_Toc152045655"/>
      <w:bookmarkStart w:id="920" w:name="_Toc179632673"/>
      <w:bookmarkStart w:id="921" w:name="_Toc152042433"/>
      <w:bookmarkStart w:id="922" w:name="_Toc342296306"/>
      <w:r>
        <w:rPr>
          <w:rFonts w:eastAsia="黑体"/>
          <w:sz w:val="24"/>
          <w:szCs w:val="20"/>
          <w:highlight w:val="none"/>
        </w:rPr>
        <w:t>5.4 禁止使用不合格的材料和工程设备</w:t>
      </w:r>
      <w:bookmarkEnd w:id="916"/>
      <w:bookmarkEnd w:id="917"/>
      <w:bookmarkEnd w:id="918"/>
      <w:bookmarkEnd w:id="919"/>
      <w:bookmarkEnd w:id="920"/>
      <w:bookmarkEnd w:id="921"/>
      <w:bookmarkEnd w:id="922"/>
    </w:p>
    <w:p w14:paraId="36692193">
      <w:pPr>
        <w:spacing w:line="400" w:lineRule="exact"/>
        <w:ind w:firstLine="420" w:firstLineChars="200"/>
        <w:rPr>
          <w:highlight w:val="none"/>
        </w:rPr>
      </w:pPr>
      <w:r>
        <w:rPr>
          <w:highlight w:val="none"/>
        </w:rPr>
        <w:t>5.4.1 监理人有权拒绝承包人提供的不合格材料或工程设备，并要求承包人立即进行更换。监理人应在更换后再次进行检查和检验，由此增加的费用和（或）工期延误由承包人承担。</w:t>
      </w:r>
    </w:p>
    <w:p w14:paraId="3BB7F51C">
      <w:pPr>
        <w:spacing w:line="400" w:lineRule="exact"/>
        <w:ind w:firstLine="420" w:firstLineChars="200"/>
        <w:rPr>
          <w:highlight w:val="none"/>
        </w:rPr>
      </w:pPr>
      <w:r>
        <w:rPr>
          <w:highlight w:val="none"/>
        </w:rPr>
        <w:t>5.4.2 监理人发现承包人使用了不合格的材料和工程设备，应即时发出指示要求承包人立即改正，并禁止在工程中继续使用不合格的材料和工程设备。</w:t>
      </w:r>
    </w:p>
    <w:p w14:paraId="07DF32FA">
      <w:pPr>
        <w:spacing w:line="400" w:lineRule="exact"/>
        <w:ind w:firstLine="420" w:firstLineChars="200"/>
        <w:rPr>
          <w:highlight w:val="none"/>
        </w:rPr>
      </w:pPr>
      <w:r>
        <w:rPr>
          <w:highlight w:val="none"/>
        </w:rPr>
        <w:t>5.4.3 发包人提供的材料或工程设备不符合合同要求的，承包人有权拒绝，并可要求发包人更换，由此增加的费用和（或）工期延误由发包人承担。</w:t>
      </w:r>
    </w:p>
    <w:p w14:paraId="5DED3980">
      <w:pPr>
        <w:keepNext/>
        <w:keepLines/>
        <w:spacing w:line="400" w:lineRule="exact"/>
        <w:outlineLvl w:val="1"/>
        <w:rPr>
          <w:rFonts w:eastAsia="黑体" w:cs="仿宋_GB2312"/>
          <w:sz w:val="28"/>
          <w:szCs w:val="20"/>
          <w:highlight w:val="none"/>
        </w:rPr>
      </w:pPr>
      <w:bookmarkStart w:id="923" w:name="_Toc442365619"/>
      <w:bookmarkStart w:id="924" w:name="_Toc342296307"/>
      <w:bookmarkStart w:id="925" w:name="_Toc448758427"/>
      <w:bookmarkStart w:id="926" w:name="_Toc159950658"/>
      <w:bookmarkStart w:id="927" w:name="_Toc338944749"/>
      <w:bookmarkStart w:id="928" w:name="_Toc448758527"/>
      <w:bookmarkStart w:id="929" w:name="_Toc469660022"/>
      <w:r>
        <w:rPr>
          <w:rFonts w:eastAsia="黑体" w:cs="仿宋_GB2312"/>
          <w:sz w:val="28"/>
          <w:szCs w:val="20"/>
          <w:highlight w:val="none"/>
        </w:rPr>
        <w:t>6. 施工设备和临时设施</w:t>
      </w:r>
      <w:bookmarkEnd w:id="923"/>
      <w:bookmarkEnd w:id="924"/>
      <w:bookmarkEnd w:id="925"/>
      <w:bookmarkEnd w:id="926"/>
      <w:bookmarkEnd w:id="927"/>
      <w:bookmarkEnd w:id="928"/>
      <w:bookmarkEnd w:id="929"/>
    </w:p>
    <w:p w14:paraId="1E91CBF5">
      <w:pPr>
        <w:keepNext/>
        <w:keepLines/>
        <w:spacing w:line="400" w:lineRule="exact"/>
        <w:outlineLvl w:val="2"/>
        <w:rPr>
          <w:rFonts w:eastAsia="黑体"/>
          <w:sz w:val="24"/>
          <w:szCs w:val="20"/>
          <w:highlight w:val="none"/>
        </w:rPr>
      </w:pPr>
      <w:bookmarkStart w:id="930" w:name="_Toc159950659"/>
      <w:bookmarkStart w:id="931" w:name="_Toc342296308"/>
      <w:bookmarkStart w:id="932" w:name="_Toc338944750"/>
      <w:r>
        <w:rPr>
          <w:rFonts w:eastAsia="黑体"/>
          <w:sz w:val="24"/>
          <w:szCs w:val="20"/>
          <w:highlight w:val="none"/>
        </w:rPr>
        <w:t>6.1 承包人提供的施工设备和临时设施</w:t>
      </w:r>
      <w:bookmarkEnd w:id="930"/>
      <w:bookmarkEnd w:id="931"/>
      <w:bookmarkEnd w:id="932"/>
    </w:p>
    <w:p w14:paraId="0B16E8CE">
      <w:pPr>
        <w:spacing w:line="400" w:lineRule="exact"/>
        <w:ind w:firstLine="420" w:firstLineChars="200"/>
        <w:rPr>
          <w:highlight w:val="none"/>
        </w:rPr>
      </w:pPr>
      <w:r>
        <w:rPr>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2CE1A542">
      <w:pPr>
        <w:spacing w:line="400" w:lineRule="exact"/>
        <w:ind w:firstLine="420" w:firstLineChars="200"/>
        <w:rPr>
          <w:highlight w:val="none"/>
        </w:rPr>
      </w:pPr>
      <w:r>
        <w:rPr>
          <w:highlight w:val="none"/>
        </w:rPr>
        <w:t>6.1.2除专用合同条款另有约定外，承包人应自行承担修建临时设施的费用，需要临时占地的，应由发包人办理申请手续并承担相应费用。</w:t>
      </w:r>
    </w:p>
    <w:p w14:paraId="121A01FA">
      <w:pPr>
        <w:keepNext/>
        <w:keepLines/>
        <w:spacing w:line="400" w:lineRule="exact"/>
        <w:outlineLvl w:val="2"/>
        <w:rPr>
          <w:rFonts w:eastAsia="黑体"/>
          <w:sz w:val="24"/>
          <w:szCs w:val="20"/>
          <w:highlight w:val="none"/>
        </w:rPr>
      </w:pPr>
      <w:bookmarkStart w:id="933" w:name="_Toc159950660"/>
      <w:bookmarkStart w:id="934" w:name="_Toc338944751"/>
      <w:bookmarkStart w:id="935" w:name="_Toc342296309"/>
      <w:r>
        <w:rPr>
          <w:rFonts w:eastAsia="黑体"/>
          <w:sz w:val="24"/>
          <w:szCs w:val="20"/>
          <w:highlight w:val="none"/>
        </w:rPr>
        <w:t>6.2 发包人提供的施工设备和临时设施</w:t>
      </w:r>
      <w:bookmarkEnd w:id="933"/>
      <w:bookmarkEnd w:id="934"/>
      <w:bookmarkEnd w:id="935"/>
    </w:p>
    <w:p w14:paraId="71817F4B">
      <w:pPr>
        <w:spacing w:line="400" w:lineRule="exact"/>
        <w:ind w:firstLine="420" w:firstLineChars="200"/>
        <w:rPr>
          <w:highlight w:val="none"/>
        </w:rPr>
      </w:pPr>
      <w:r>
        <w:rPr>
          <w:highlight w:val="none"/>
        </w:rPr>
        <w:t>发包人提供的施工设备或临时设施在专用合同条款中约定。</w:t>
      </w:r>
    </w:p>
    <w:p w14:paraId="3F82502C">
      <w:pPr>
        <w:keepNext/>
        <w:keepLines/>
        <w:spacing w:line="400" w:lineRule="exact"/>
        <w:outlineLvl w:val="2"/>
        <w:rPr>
          <w:rFonts w:eastAsia="黑体"/>
          <w:sz w:val="24"/>
          <w:szCs w:val="20"/>
          <w:highlight w:val="none"/>
        </w:rPr>
      </w:pPr>
      <w:bookmarkStart w:id="936" w:name="_Toc179632677"/>
      <w:bookmarkStart w:id="937" w:name="_Toc342296310"/>
      <w:bookmarkStart w:id="938" w:name="_Toc159950661"/>
      <w:bookmarkStart w:id="939" w:name="_Toc338944752"/>
      <w:bookmarkStart w:id="940" w:name="_Toc152045659"/>
      <w:bookmarkStart w:id="941" w:name="_Toc144974627"/>
      <w:bookmarkStart w:id="942" w:name="_Toc152042437"/>
      <w:r>
        <w:rPr>
          <w:rFonts w:eastAsia="黑体"/>
          <w:sz w:val="24"/>
          <w:szCs w:val="20"/>
          <w:highlight w:val="none"/>
        </w:rPr>
        <w:t>6.3 要求承包人增加或更换施工设备</w:t>
      </w:r>
      <w:bookmarkEnd w:id="936"/>
      <w:bookmarkEnd w:id="937"/>
      <w:bookmarkEnd w:id="938"/>
      <w:bookmarkEnd w:id="939"/>
      <w:bookmarkEnd w:id="940"/>
      <w:bookmarkEnd w:id="941"/>
      <w:bookmarkEnd w:id="942"/>
    </w:p>
    <w:p w14:paraId="6447742D">
      <w:pPr>
        <w:spacing w:line="400" w:lineRule="exact"/>
        <w:ind w:firstLine="420" w:firstLineChars="200"/>
        <w:rPr>
          <w:highlight w:val="none"/>
        </w:rPr>
      </w:pPr>
      <w:r>
        <w:rPr>
          <w:highlight w:val="none"/>
        </w:rPr>
        <w:t>承包人使用的施工设备不能满足合同进度计划和（或）质量要求时，监理人有权要求承包人增加或更换施工设备，承包人应及时增加或更换，由此增加的费用和（或）工期延误由承包人承担。</w:t>
      </w:r>
    </w:p>
    <w:p w14:paraId="107E71EA">
      <w:pPr>
        <w:keepNext/>
        <w:keepLines/>
        <w:spacing w:line="400" w:lineRule="exact"/>
        <w:outlineLvl w:val="2"/>
        <w:rPr>
          <w:rFonts w:eastAsia="黑体"/>
          <w:sz w:val="24"/>
          <w:szCs w:val="20"/>
          <w:highlight w:val="none"/>
        </w:rPr>
      </w:pPr>
      <w:bookmarkStart w:id="943" w:name="_Toc338944753"/>
      <w:bookmarkStart w:id="944" w:name="_Toc159950662"/>
      <w:bookmarkStart w:id="945" w:name="_Toc342296311"/>
      <w:r>
        <w:rPr>
          <w:rFonts w:eastAsia="黑体"/>
          <w:sz w:val="24"/>
          <w:szCs w:val="20"/>
          <w:highlight w:val="none"/>
        </w:rPr>
        <w:t>6.4 施工设备和临时设施专用于合同工程</w:t>
      </w:r>
      <w:bookmarkEnd w:id="943"/>
      <w:bookmarkEnd w:id="944"/>
      <w:bookmarkEnd w:id="945"/>
    </w:p>
    <w:p w14:paraId="07EA303D">
      <w:pPr>
        <w:spacing w:line="400" w:lineRule="exact"/>
        <w:ind w:firstLine="420" w:firstLineChars="200"/>
        <w:rPr>
          <w:highlight w:val="none"/>
        </w:rPr>
      </w:pPr>
      <w:r>
        <w:rPr>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3DCDEE3A">
      <w:pPr>
        <w:spacing w:line="400" w:lineRule="exact"/>
        <w:ind w:firstLine="420" w:firstLineChars="200"/>
        <w:rPr>
          <w:highlight w:val="none"/>
        </w:rPr>
      </w:pPr>
      <w:r>
        <w:rPr>
          <w:highlight w:val="none"/>
        </w:rPr>
        <w:t>6.4.2 经监理人同意，承包人可根据合同进度计划撤走闲置的施工设备。</w:t>
      </w:r>
    </w:p>
    <w:p w14:paraId="779CB50E">
      <w:pPr>
        <w:keepNext/>
        <w:keepLines/>
        <w:spacing w:line="400" w:lineRule="exact"/>
        <w:outlineLvl w:val="1"/>
        <w:rPr>
          <w:rFonts w:eastAsia="黑体" w:cs="仿宋_GB2312"/>
          <w:sz w:val="28"/>
          <w:szCs w:val="20"/>
          <w:highlight w:val="none"/>
        </w:rPr>
      </w:pPr>
      <w:bookmarkStart w:id="946" w:name="_Toc448758528"/>
      <w:bookmarkStart w:id="947" w:name="_Toc448758428"/>
      <w:bookmarkStart w:id="948" w:name="_Toc469660023"/>
      <w:bookmarkStart w:id="949" w:name="_Toc159950663"/>
      <w:bookmarkStart w:id="950" w:name="_Toc442365620"/>
      <w:bookmarkStart w:id="951" w:name="_Toc338944754"/>
      <w:bookmarkStart w:id="952" w:name="_Toc342296312"/>
      <w:r>
        <w:rPr>
          <w:rFonts w:eastAsia="黑体" w:cs="仿宋_GB2312"/>
          <w:sz w:val="28"/>
          <w:szCs w:val="20"/>
          <w:highlight w:val="none"/>
        </w:rPr>
        <w:t>7. 交通运输</w:t>
      </w:r>
      <w:bookmarkEnd w:id="946"/>
      <w:bookmarkEnd w:id="947"/>
      <w:bookmarkEnd w:id="948"/>
      <w:bookmarkEnd w:id="949"/>
      <w:bookmarkEnd w:id="950"/>
      <w:bookmarkEnd w:id="951"/>
      <w:bookmarkEnd w:id="952"/>
    </w:p>
    <w:p w14:paraId="78131C90">
      <w:pPr>
        <w:keepNext/>
        <w:keepLines/>
        <w:spacing w:line="400" w:lineRule="exact"/>
        <w:outlineLvl w:val="2"/>
        <w:rPr>
          <w:rFonts w:eastAsia="黑体"/>
          <w:sz w:val="24"/>
          <w:szCs w:val="20"/>
          <w:highlight w:val="none"/>
        </w:rPr>
      </w:pPr>
      <w:bookmarkStart w:id="953" w:name="_Toc342296313"/>
      <w:bookmarkStart w:id="954" w:name="_Toc338944755"/>
      <w:bookmarkStart w:id="955" w:name="_Toc159950664"/>
      <w:r>
        <w:rPr>
          <w:rFonts w:eastAsia="黑体"/>
          <w:sz w:val="24"/>
          <w:szCs w:val="20"/>
          <w:highlight w:val="none"/>
        </w:rPr>
        <w:t>7.1 道路通行权和场外设施</w:t>
      </w:r>
      <w:bookmarkEnd w:id="953"/>
      <w:bookmarkEnd w:id="954"/>
      <w:bookmarkEnd w:id="955"/>
    </w:p>
    <w:p w14:paraId="3E23626B">
      <w:pPr>
        <w:spacing w:line="400" w:lineRule="exact"/>
        <w:ind w:firstLine="420" w:firstLineChars="200"/>
        <w:rPr>
          <w:highlight w:val="none"/>
        </w:rPr>
      </w:pPr>
      <w:r>
        <w:rPr>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464F0D38">
      <w:pPr>
        <w:keepNext/>
        <w:keepLines/>
        <w:spacing w:line="400" w:lineRule="exact"/>
        <w:outlineLvl w:val="2"/>
        <w:rPr>
          <w:rFonts w:eastAsia="黑体"/>
          <w:sz w:val="24"/>
          <w:szCs w:val="20"/>
          <w:highlight w:val="none"/>
        </w:rPr>
      </w:pPr>
      <w:bookmarkStart w:id="956" w:name="_Toc342296314"/>
      <w:bookmarkStart w:id="957" w:name="_Toc338944756"/>
      <w:bookmarkStart w:id="958" w:name="_Toc159950665"/>
      <w:r>
        <w:rPr>
          <w:rFonts w:eastAsia="黑体"/>
          <w:sz w:val="24"/>
          <w:szCs w:val="20"/>
          <w:highlight w:val="none"/>
        </w:rPr>
        <w:t>7.2 场内施工道路</w:t>
      </w:r>
      <w:bookmarkEnd w:id="956"/>
      <w:bookmarkEnd w:id="957"/>
      <w:bookmarkEnd w:id="958"/>
    </w:p>
    <w:p w14:paraId="58B2F955">
      <w:pPr>
        <w:spacing w:line="400" w:lineRule="exact"/>
        <w:ind w:firstLine="420" w:firstLineChars="200"/>
        <w:rPr>
          <w:highlight w:val="none"/>
        </w:rPr>
      </w:pPr>
      <w:r>
        <w:rPr>
          <w:highlight w:val="none"/>
        </w:rPr>
        <w:t>7.2.1 除专用合同条款另有约定外，承包人应负责修建、维修、养护和管理施工所需的临时道路和交通设施，包括维修、养护和管理发包人提供的道路和交通设施，并承担相应费用。</w:t>
      </w:r>
    </w:p>
    <w:p w14:paraId="59F86CD8">
      <w:pPr>
        <w:spacing w:line="400" w:lineRule="exact"/>
        <w:ind w:firstLine="420" w:firstLineChars="200"/>
        <w:rPr>
          <w:highlight w:val="none"/>
        </w:rPr>
      </w:pPr>
      <w:r>
        <w:rPr>
          <w:highlight w:val="none"/>
        </w:rPr>
        <w:t>7.2.2 除专用合同条款另有约定外，承包人修建的临时道路和交通设施应免费提供发包人和监理人使用。</w:t>
      </w:r>
    </w:p>
    <w:p w14:paraId="5F16781D">
      <w:pPr>
        <w:keepNext/>
        <w:keepLines/>
        <w:spacing w:line="400" w:lineRule="exact"/>
        <w:outlineLvl w:val="2"/>
        <w:rPr>
          <w:rFonts w:eastAsia="黑体"/>
          <w:sz w:val="24"/>
          <w:szCs w:val="20"/>
          <w:highlight w:val="none"/>
        </w:rPr>
      </w:pPr>
      <w:bookmarkStart w:id="959" w:name="_Toc179632682"/>
      <w:bookmarkStart w:id="960" w:name="_Toc338944757"/>
      <w:bookmarkStart w:id="961" w:name="_Toc159950666"/>
      <w:bookmarkStart w:id="962" w:name="_Toc152042442"/>
      <w:bookmarkStart w:id="963" w:name="_Toc342296315"/>
      <w:bookmarkStart w:id="964" w:name="_Toc144974632"/>
      <w:bookmarkStart w:id="965" w:name="_Toc152045664"/>
      <w:r>
        <w:rPr>
          <w:rFonts w:eastAsia="黑体"/>
          <w:sz w:val="24"/>
          <w:szCs w:val="20"/>
          <w:highlight w:val="none"/>
        </w:rPr>
        <w:t>7.3 场外交通</w:t>
      </w:r>
      <w:bookmarkEnd w:id="959"/>
      <w:bookmarkEnd w:id="960"/>
      <w:bookmarkEnd w:id="961"/>
      <w:bookmarkEnd w:id="962"/>
      <w:bookmarkEnd w:id="963"/>
      <w:bookmarkEnd w:id="964"/>
      <w:bookmarkEnd w:id="965"/>
    </w:p>
    <w:p w14:paraId="29177BAF">
      <w:pPr>
        <w:spacing w:line="400" w:lineRule="exact"/>
        <w:ind w:firstLine="420" w:firstLineChars="200"/>
        <w:rPr>
          <w:highlight w:val="none"/>
        </w:rPr>
      </w:pPr>
      <w:r>
        <w:rPr>
          <w:highlight w:val="none"/>
        </w:rPr>
        <w:t>7.3.1 承包人车辆外出行驶所需的场外公共道路的通行费、养路费和税款等由承包人承担。</w:t>
      </w:r>
    </w:p>
    <w:p w14:paraId="12A3C531">
      <w:pPr>
        <w:spacing w:line="400" w:lineRule="exact"/>
        <w:ind w:firstLine="420" w:firstLineChars="200"/>
        <w:rPr>
          <w:highlight w:val="none"/>
        </w:rPr>
      </w:pPr>
      <w:r>
        <w:rPr>
          <w:highlight w:val="none"/>
        </w:rPr>
        <w:t>7.3.2 承包人应遵守有关交通法规，严格按照道路和桥梁的限制荷重安全行驶，并服从交通管理部门的检查和监督。</w:t>
      </w:r>
    </w:p>
    <w:p w14:paraId="1C7A572A">
      <w:pPr>
        <w:keepNext/>
        <w:keepLines/>
        <w:spacing w:line="400" w:lineRule="exact"/>
        <w:outlineLvl w:val="2"/>
        <w:rPr>
          <w:rFonts w:eastAsia="黑体"/>
          <w:sz w:val="24"/>
          <w:szCs w:val="20"/>
          <w:highlight w:val="none"/>
        </w:rPr>
      </w:pPr>
      <w:bookmarkStart w:id="966" w:name="_Toc338944758"/>
      <w:bookmarkStart w:id="967" w:name="_Toc159950667"/>
      <w:bookmarkStart w:id="968" w:name="_Toc342296316"/>
      <w:r>
        <w:rPr>
          <w:rFonts w:eastAsia="黑体"/>
          <w:sz w:val="24"/>
          <w:szCs w:val="20"/>
          <w:highlight w:val="none"/>
        </w:rPr>
        <w:t>7.4 超大件和超重件的运输</w:t>
      </w:r>
      <w:bookmarkEnd w:id="966"/>
      <w:bookmarkEnd w:id="967"/>
      <w:bookmarkEnd w:id="968"/>
    </w:p>
    <w:p w14:paraId="6EDA622D">
      <w:pPr>
        <w:spacing w:line="400" w:lineRule="exact"/>
        <w:ind w:firstLine="420" w:firstLineChars="200"/>
        <w:rPr>
          <w:highlight w:val="none"/>
        </w:rPr>
      </w:pPr>
      <w:r>
        <w:rPr>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73D8F64">
      <w:pPr>
        <w:keepNext/>
        <w:keepLines/>
        <w:spacing w:line="400" w:lineRule="exact"/>
        <w:outlineLvl w:val="2"/>
        <w:rPr>
          <w:rFonts w:eastAsia="黑体"/>
          <w:sz w:val="24"/>
          <w:szCs w:val="20"/>
          <w:highlight w:val="none"/>
        </w:rPr>
      </w:pPr>
      <w:bookmarkStart w:id="969" w:name="_Toc159950668"/>
      <w:bookmarkStart w:id="970" w:name="_Toc338944759"/>
      <w:bookmarkStart w:id="971" w:name="_Toc342296317"/>
      <w:r>
        <w:rPr>
          <w:rFonts w:eastAsia="黑体"/>
          <w:sz w:val="24"/>
          <w:szCs w:val="20"/>
          <w:highlight w:val="none"/>
        </w:rPr>
        <w:t>7.5 道路和桥梁的损坏责任</w:t>
      </w:r>
      <w:bookmarkEnd w:id="969"/>
      <w:bookmarkEnd w:id="970"/>
      <w:bookmarkEnd w:id="971"/>
    </w:p>
    <w:p w14:paraId="7C126FC4">
      <w:pPr>
        <w:spacing w:line="400" w:lineRule="exact"/>
        <w:ind w:firstLine="420" w:firstLineChars="200"/>
        <w:rPr>
          <w:highlight w:val="none"/>
        </w:rPr>
      </w:pPr>
      <w:r>
        <w:rPr>
          <w:highlight w:val="none"/>
        </w:rPr>
        <w:t>因承包人运输造成施工场地内外公共道路和桥梁损坏的，由承包人承担修复损坏的全部费用和可能引起的赔偿。</w:t>
      </w:r>
    </w:p>
    <w:p w14:paraId="3136909A">
      <w:pPr>
        <w:keepNext/>
        <w:keepLines/>
        <w:spacing w:line="400" w:lineRule="exact"/>
        <w:outlineLvl w:val="2"/>
        <w:rPr>
          <w:rFonts w:eastAsia="黑体"/>
          <w:sz w:val="24"/>
          <w:szCs w:val="20"/>
          <w:highlight w:val="none"/>
        </w:rPr>
      </w:pPr>
      <w:bookmarkStart w:id="972" w:name="_Toc152045667"/>
      <w:bookmarkStart w:id="973" w:name="_Toc342296318"/>
      <w:bookmarkStart w:id="974" w:name="_Toc152042445"/>
      <w:bookmarkStart w:id="975" w:name="_Toc338944760"/>
      <w:bookmarkStart w:id="976" w:name="_Toc179632685"/>
      <w:bookmarkStart w:id="977" w:name="_Toc144974635"/>
      <w:bookmarkStart w:id="978" w:name="_Toc159950669"/>
      <w:r>
        <w:rPr>
          <w:rFonts w:eastAsia="黑体"/>
          <w:sz w:val="24"/>
          <w:szCs w:val="20"/>
          <w:highlight w:val="none"/>
        </w:rPr>
        <w:t>7.6 水路和航空运输</w:t>
      </w:r>
      <w:bookmarkEnd w:id="972"/>
      <w:bookmarkEnd w:id="973"/>
      <w:bookmarkEnd w:id="974"/>
      <w:bookmarkEnd w:id="975"/>
      <w:bookmarkEnd w:id="976"/>
      <w:bookmarkEnd w:id="977"/>
      <w:bookmarkEnd w:id="978"/>
    </w:p>
    <w:p w14:paraId="6C660977">
      <w:pPr>
        <w:spacing w:line="400" w:lineRule="exact"/>
        <w:ind w:firstLine="420" w:firstLineChars="200"/>
        <w:rPr>
          <w:highlight w:val="none"/>
        </w:rPr>
      </w:pPr>
      <w:r>
        <w:rPr>
          <w:highlight w:val="none"/>
        </w:rPr>
        <w:t xml:space="preserve">本条上述各款的内容适用于水路运输和航空运输，其中“道路”一词的涵义包括河道、航线、船闸、机场、码头、堤防以及水路或航空运输中其他相似结构物；“车辆”一词的涵义包括船舶和飞机等。 </w:t>
      </w:r>
    </w:p>
    <w:p w14:paraId="6E7C5864">
      <w:pPr>
        <w:keepNext/>
        <w:keepLines/>
        <w:spacing w:line="400" w:lineRule="exact"/>
        <w:outlineLvl w:val="1"/>
        <w:rPr>
          <w:rFonts w:eastAsia="黑体" w:cs="仿宋_GB2312"/>
          <w:sz w:val="28"/>
          <w:szCs w:val="20"/>
          <w:highlight w:val="none"/>
        </w:rPr>
      </w:pPr>
      <w:bookmarkStart w:id="979" w:name="_Toc448758429"/>
      <w:bookmarkStart w:id="980" w:name="_Toc448758529"/>
      <w:bookmarkStart w:id="981" w:name="_Toc159950670"/>
      <w:bookmarkStart w:id="982" w:name="_Toc342296319"/>
      <w:bookmarkStart w:id="983" w:name="_Toc338944761"/>
      <w:bookmarkStart w:id="984" w:name="_Toc442365621"/>
      <w:bookmarkStart w:id="985" w:name="_Toc469660024"/>
      <w:r>
        <w:rPr>
          <w:rFonts w:eastAsia="黑体" w:cs="仿宋_GB2312"/>
          <w:sz w:val="28"/>
          <w:szCs w:val="20"/>
          <w:highlight w:val="none"/>
        </w:rPr>
        <w:t>8. 测量放线</w:t>
      </w:r>
      <w:bookmarkEnd w:id="979"/>
      <w:bookmarkEnd w:id="980"/>
      <w:bookmarkEnd w:id="981"/>
      <w:bookmarkEnd w:id="982"/>
      <w:bookmarkEnd w:id="983"/>
      <w:bookmarkEnd w:id="984"/>
      <w:bookmarkEnd w:id="985"/>
    </w:p>
    <w:p w14:paraId="12FE4931">
      <w:pPr>
        <w:keepNext/>
        <w:keepLines/>
        <w:spacing w:line="400" w:lineRule="exact"/>
        <w:outlineLvl w:val="2"/>
        <w:rPr>
          <w:rFonts w:eastAsia="黑体"/>
          <w:sz w:val="24"/>
          <w:szCs w:val="20"/>
          <w:highlight w:val="none"/>
        </w:rPr>
      </w:pPr>
      <w:bookmarkStart w:id="986" w:name="_Toc342296320"/>
      <w:bookmarkStart w:id="987" w:name="_Toc159950671"/>
      <w:bookmarkStart w:id="988" w:name="_Toc338944762"/>
      <w:r>
        <w:rPr>
          <w:rFonts w:eastAsia="黑体"/>
          <w:sz w:val="24"/>
          <w:szCs w:val="20"/>
          <w:highlight w:val="none"/>
        </w:rPr>
        <w:t>8.1 施工控制网</w:t>
      </w:r>
      <w:bookmarkEnd w:id="986"/>
      <w:bookmarkEnd w:id="987"/>
      <w:bookmarkEnd w:id="988"/>
    </w:p>
    <w:p w14:paraId="35CA7B83">
      <w:pPr>
        <w:spacing w:line="400" w:lineRule="exact"/>
        <w:ind w:firstLine="420" w:firstLineChars="200"/>
        <w:rPr>
          <w:highlight w:val="none"/>
        </w:rPr>
      </w:pPr>
      <w:r>
        <w:rPr>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6B6B9FF0">
      <w:pPr>
        <w:spacing w:line="400" w:lineRule="exact"/>
        <w:ind w:firstLine="420" w:firstLineChars="200"/>
        <w:rPr>
          <w:highlight w:val="none"/>
        </w:rPr>
      </w:pPr>
      <w:r>
        <w:rPr>
          <w:highlight w:val="none"/>
        </w:rPr>
        <w:t>8.1.2承包人应负责管理施工控制网点。施工控制网点丢失或损坏的，承包人应及时修复。承包人应承担施工控制网点的管理与修复费用，并在工程竣工后将施工控制网点移交发包人。</w:t>
      </w:r>
    </w:p>
    <w:p w14:paraId="373D2D6C">
      <w:pPr>
        <w:keepNext/>
        <w:keepLines/>
        <w:spacing w:line="400" w:lineRule="exact"/>
        <w:outlineLvl w:val="2"/>
        <w:rPr>
          <w:rFonts w:eastAsia="黑体"/>
          <w:sz w:val="24"/>
          <w:szCs w:val="20"/>
          <w:highlight w:val="none"/>
        </w:rPr>
      </w:pPr>
      <w:bookmarkStart w:id="989" w:name="_Toc152042448"/>
      <w:bookmarkStart w:id="990" w:name="_Toc152045670"/>
      <w:bookmarkStart w:id="991" w:name="_Toc179632688"/>
      <w:bookmarkStart w:id="992" w:name="_Toc342296321"/>
      <w:bookmarkStart w:id="993" w:name="_Toc144974638"/>
      <w:bookmarkStart w:id="994" w:name="_Toc159950672"/>
      <w:bookmarkStart w:id="995" w:name="_Toc338944763"/>
      <w:r>
        <w:rPr>
          <w:rFonts w:eastAsia="黑体"/>
          <w:sz w:val="24"/>
          <w:szCs w:val="20"/>
          <w:highlight w:val="none"/>
        </w:rPr>
        <w:t>8.2 施工测量</w:t>
      </w:r>
      <w:bookmarkEnd w:id="989"/>
      <w:bookmarkEnd w:id="990"/>
      <w:bookmarkEnd w:id="991"/>
      <w:bookmarkEnd w:id="992"/>
      <w:bookmarkEnd w:id="993"/>
      <w:bookmarkEnd w:id="994"/>
      <w:bookmarkEnd w:id="995"/>
    </w:p>
    <w:p w14:paraId="391ECF42">
      <w:pPr>
        <w:spacing w:line="400" w:lineRule="exact"/>
        <w:ind w:firstLine="420" w:firstLineChars="200"/>
        <w:rPr>
          <w:highlight w:val="none"/>
        </w:rPr>
      </w:pPr>
      <w:r>
        <w:rPr>
          <w:highlight w:val="none"/>
        </w:rPr>
        <w:t>8.2.1承包人应负责施工过程中的全部施工测量放线工作，并配置合格的人员、仪器、设备和其他物品。</w:t>
      </w:r>
    </w:p>
    <w:p w14:paraId="7F9AE429">
      <w:pPr>
        <w:spacing w:line="400" w:lineRule="exact"/>
        <w:ind w:firstLine="420" w:firstLineChars="200"/>
        <w:rPr>
          <w:highlight w:val="none"/>
        </w:rPr>
      </w:pPr>
      <w:r>
        <w:rPr>
          <w:highlight w:val="none"/>
        </w:rPr>
        <w:t>8.2.2监理人可以指示承包人进行抽样复测，当复测中发现错误或出现超过合同约定的误差时，承包人应按监理人指示进行修正或补测，并承担相应的复测费用。</w:t>
      </w:r>
    </w:p>
    <w:p w14:paraId="1E0FD297">
      <w:pPr>
        <w:keepNext/>
        <w:keepLines/>
        <w:spacing w:line="400" w:lineRule="exact"/>
        <w:outlineLvl w:val="2"/>
        <w:rPr>
          <w:rFonts w:eastAsia="黑体"/>
          <w:sz w:val="24"/>
          <w:szCs w:val="20"/>
          <w:highlight w:val="none"/>
        </w:rPr>
      </w:pPr>
      <w:bookmarkStart w:id="996" w:name="_Toc159950673"/>
      <w:bookmarkStart w:id="997" w:name="_Toc342296322"/>
      <w:bookmarkStart w:id="998" w:name="_Toc144974639"/>
      <w:bookmarkStart w:id="999" w:name="_Toc179632689"/>
      <w:bookmarkStart w:id="1000" w:name="_Toc338944764"/>
      <w:bookmarkStart w:id="1001" w:name="_Toc152042449"/>
      <w:bookmarkStart w:id="1002" w:name="_Toc152045671"/>
      <w:r>
        <w:rPr>
          <w:rFonts w:eastAsia="黑体"/>
          <w:sz w:val="24"/>
          <w:szCs w:val="20"/>
          <w:highlight w:val="none"/>
        </w:rPr>
        <w:t>8.3 基准资料错误的责任</w:t>
      </w:r>
      <w:bookmarkEnd w:id="996"/>
      <w:bookmarkEnd w:id="997"/>
      <w:bookmarkEnd w:id="998"/>
      <w:bookmarkEnd w:id="999"/>
      <w:bookmarkEnd w:id="1000"/>
      <w:bookmarkEnd w:id="1001"/>
      <w:bookmarkEnd w:id="1002"/>
    </w:p>
    <w:p w14:paraId="530BC700">
      <w:pPr>
        <w:spacing w:line="400" w:lineRule="exact"/>
        <w:ind w:firstLine="420" w:firstLineChars="200"/>
        <w:rPr>
          <w:highlight w:val="none"/>
        </w:rPr>
      </w:pPr>
      <w:r>
        <w:rPr>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2E49C3B7">
      <w:pPr>
        <w:keepNext/>
        <w:keepLines/>
        <w:spacing w:line="400" w:lineRule="exact"/>
        <w:outlineLvl w:val="2"/>
        <w:rPr>
          <w:rFonts w:eastAsia="黑体"/>
          <w:sz w:val="24"/>
          <w:szCs w:val="20"/>
          <w:highlight w:val="none"/>
        </w:rPr>
      </w:pPr>
      <w:bookmarkStart w:id="1003" w:name="_Toc152042450"/>
      <w:bookmarkStart w:id="1004" w:name="_Toc179632690"/>
      <w:bookmarkStart w:id="1005" w:name="_Toc338944765"/>
      <w:bookmarkStart w:id="1006" w:name="_Toc342296323"/>
      <w:bookmarkStart w:id="1007" w:name="_Toc159950674"/>
      <w:bookmarkStart w:id="1008" w:name="_Toc152045672"/>
      <w:bookmarkStart w:id="1009" w:name="_Toc144974640"/>
      <w:r>
        <w:rPr>
          <w:rFonts w:eastAsia="黑体"/>
          <w:sz w:val="24"/>
          <w:szCs w:val="20"/>
          <w:highlight w:val="none"/>
        </w:rPr>
        <w:t>8.4 监理人使用施工控制网</w:t>
      </w:r>
      <w:bookmarkEnd w:id="1003"/>
      <w:bookmarkEnd w:id="1004"/>
      <w:bookmarkEnd w:id="1005"/>
      <w:bookmarkEnd w:id="1006"/>
      <w:bookmarkEnd w:id="1007"/>
      <w:bookmarkEnd w:id="1008"/>
      <w:bookmarkEnd w:id="1009"/>
    </w:p>
    <w:p w14:paraId="39A59A65">
      <w:pPr>
        <w:spacing w:line="400" w:lineRule="exact"/>
        <w:ind w:firstLine="420" w:firstLineChars="200"/>
        <w:rPr>
          <w:highlight w:val="none"/>
        </w:rPr>
      </w:pPr>
      <w:r>
        <w:rPr>
          <w:highlight w:val="none"/>
        </w:rPr>
        <w:t>监理人需要使用施工控制网的，承包人应提供必要的协助，发包人不再为此支付费用。</w:t>
      </w:r>
    </w:p>
    <w:p w14:paraId="4FFC9E99">
      <w:pPr>
        <w:spacing w:line="400" w:lineRule="exact"/>
        <w:rPr>
          <w:rFonts w:cs="仿宋_GB2312"/>
          <w:highlight w:val="none"/>
        </w:rPr>
      </w:pPr>
      <w:bookmarkStart w:id="1010" w:name="_Toc448758430"/>
      <w:bookmarkStart w:id="1011" w:name="_Toc448758530"/>
      <w:bookmarkStart w:id="1012" w:name="_Toc469660025"/>
      <w:bookmarkStart w:id="1013" w:name="_Toc338944766"/>
      <w:bookmarkStart w:id="1014" w:name="_Toc342296324"/>
      <w:bookmarkStart w:id="1015" w:name="_Toc442365622"/>
      <w:r>
        <w:rPr>
          <w:rFonts w:cs="仿宋_GB2312"/>
          <w:highlight w:val="none"/>
        </w:rPr>
        <w:t>9. 施工安全、治安保卫</w:t>
      </w:r>
      <w:r>
        <w:rPr>
          <w:rFonts w:hint="eastAsia" w:cs="仿宋_GB2312"/>
          <w:highlight w:val="none"/>
        </w:rPr>
        <w:t>，</w:t>
      </w:r>
      <w:r>
        <w:rPr>
          <w:rFonts w:cs="仿宋_GB2312"/>
          <w:highlight w:val="none"/>
        </w:rPr>
        <w:t>环境保护</w:t>
      </w:r>
      <w:bookmarkEnd w:id="1010"/>
      <w:bookmarkEnd w:id="1011"/>
      <w:bookmarkEnd w:id="1012"/>
      <w:bookmarkEnd w:id="1013"/>
      <w:bookmarkEnd w:id="1014"/>
      <w:bookmarkEnd w:id="1015"/>
      <w:r>
        <w:rPr>
          <w:rFonts w:hint="eastAsia" w:ascii="仿宋_GB2312" w:hAnsi="仿宋_GB2312" w:cs="仿宋_GB2312"/>
          <w:highlight w:val="none"/>
        </w:rPr>
        <w:t>以及安全文明施工</w:t>
      </w:r>
    </w:p>
    <w:p w14:paraId="19E878CD">
      <w:pPr>
        <w:spacing w:line="400" w:lineRule="exact"/>
        <w:rPr>
          <w:highlight w:val="none"/>
        </w:rPr>
      </w:pPr>
      <w:bookmarkStart w:id="1016" w:name="_Toc342296325"/>
      <w:bookmarkStart w:id="1017" w:name="_Toc152042452"/>
      <w:bookmarkStart w:id="1018" w:name="_Toc144974642"/>
      <w:bookmarkStart w:id="1019" w:name="_Toc179632692"/>
      <w:bookmarkStart w:id="1020" w:name="_Toc338944767"/>
      <w:bookmarkStart w:id="1021" w:name="_Toc152045674"/>
      <w:r>
        <w:rPr>
          <w:highlight w:val="none"/>
        </w:rPr>
        <w:t>9.1 发包人的施工安全责任</w:t>
      </w:r>
      <w:bookmarkEnd w:id="1016"/>
      <w:bookmarkEnd w:id="1017"/>
      <w:bookmarkEnd w:id="1018"/>
      <w:bookmarkEnd w:id="1019"/>
      <w:bookmarkEnd w:id="1020"/>
      <w:bookmarkEnd w:id="1021"/>
    </w:p>
    <w:p w14:paraId="10A49B22">
      <w:pPr>
        <w:spacing w:line="400" w:lineRule="exact"/>
        <w:rPr>
          <w:highlight w:val="none"/>
        </w:rPr>
      </w:pPr>
      <w:r>
        <w:rPr>
          <w:highlight w:val="none"/>
        </w:rPr>
        <w:t>9.1.1 发包人应按合同约定履行安全职责，授权监理人按合同约定的安全工作内容监督、检查承包人安全工作的实施，组织承包人和有关单位进行安全检查。</w:t>
      </w:r>
    </w:p>
    <w:p w14:paraId="22FADA27">
      <w:pPr>
        <w:spacing w:line="400" w:lineRule="exact"/>
        <w:ind w:firstLine="420" w:firstLineChars="200"/>
        <w:rPr>
          <w:highlight w:val="none"/>
        </w:rPr>
      </w:pPr>
      <w:r>
        <w:rPr>
          <w:highlight w:val="none"/>
        </w:rPr>
        <w:t>9.1.2 发包人应对其现场机构雇佣的全部人员的工伤事故承担责任，但由于承包人原因造成发包人人员工伤的，应由承包人承担责任。</w:t>
      </w:r>
    </w:p>
    <w:p w14:paraId="4AE47F46">
      <w:pPr>
        <w:spacing w:line="400" w:lineRule="exact"/>
        <w:ind w:firstLine="420" w:firstLineChars="200"/>
        <w:rPr>
          <w:highlight w:val="none"/>
        </w:rPr>
      </w:pPr>
      <w:r>
        <w:rPr>
          <w:highlight w:val="none"/>
        </w:rPr>
        <w:t>9.1.3 发包人应负责赔偿以下各种情况造成的第三者人身伤亡和财产损失：</w:t>
      </w:r>
    </w:p>
    <w:p w14:paraId="5FAC1F9D">
      <w:pPr>
        <w:spacing w:line="400" w:lineRule="exact"/>
        <w:ind w:firstLine="420" w:firstLineChars="200"/>
        <w:rPr>
          <w:highlight w:val="none"/>
        </w:rPr>
      </w:pPr>
      <w:r>
        <w:rPr>
          <w:highlight w:val="none"/>
        </w:rPr>
        <w:t>（1） 工程或工程的任何部分对土地的占用所造成的第三者财产损失；</w:t>
      </w:r>
    </w:p>
    <w:p w14:paraId="65662E87">
      <w:pPr>
        <w:spacing w:line="400" w:lineRule="exact"/>
        <w:ind w:firstLine="420" w:firstLineChars="200"/>
        <w:rPr>
          <w:highlight w:val="none"/>
        </w:rPr>
      </w:pPr>
      <w:r>
        <w:rPr>
          <w:highlight w:val="none"/>
        </w:rPr>
        <w:t>（2） 由于发包人原因在施工场地及其毗邻地带造成的第三者人身伤亡和财产损失。</w:t>
      </w:r>
    </w:p>
    <w:p w14:paraId="644D8228">
      <w:pPr>
        <w:keepNext/>
        <w:keepLines/>
        <w:spacing w:line="400" w:lineRule="exact"/>
        <w:outlineLvl w:val="2"/>
        <w:rPr>
          <w:rFonts w:eastAsia="黑体"/>
          <w:sz w:val="24"/>
          <w:szCs w:val="20"/>
          <w:highlight w:val="none"/>
        </w:rPr>
      </w:pPr>
      <w:bookmarkStart w:id="1022" w:name="_Toc159950675"/>
      <w:bookmarkStart w:id="1023" w:name="_Toc342296326"/>
      <w:bookmarkStart w:id="1024" w:name="_Toc338944768"/>
      <w:r>
        <w:rPr>
          <w:rFonts w:eastAsia="黑体"/>
          <w:sz w:val="24"/>
          <w:szCs w:val="20"/>
          <w:highlight w:val="none"/>
        </w:rPr>
        <w:t>9.2 承包人的施工安全责任</w:t>
      </w:r>
      <w:bookmarkEnd w:id="1022"/>
      <w:bookmarkEnd w:id="1023"/>
      <w:bookmarkEnd w:id="1024"/>
    </w:p>
    <w:p w14:paraId="1014030F">
      <w:pPr>
        <w:spacing w:line="400" w:lineRule="exact"/>
        <w:ind w:firstLine="420" w:firstLineChars="200"/>
        <w:rPr>
          <w:highlight w:val="none"/>
        </w:rPr>
      </w:pPr>
      <w:r>
        <w:rPr>
          <w:highlight w:val="none"/>
        </w:rPr>
        <w:t>9.2.1 承包人应按合同约定履行安全职责,执行监理人有关安全工作的指示,并在专用合同条款约定的期限内，按合同约定的安全工作内容，编制施工安全措施计划报送监理人审批。</w:t>
      </w:r>
    </w:p>
    <w:p w14:paraId="41A0C8F9">
      <w:pPr>
        <w:spacing w:line="400" w:lineRule="exact"/>
        <w:ind w:firstLine="420" w:firstLineChars="200"/>
        <w:rPr>
          <w:highlight w:val="none"/>
        </w:rPr>
      </w:pPr>
      <w:r>
        <w:rPr>
          <w:highlight w:val="none"/>
        </w:rPr>
        <w:t>9.2.2 承包人应加强施工作业安全管理，特别应加强易燃、易爆材料、火工器材、有毒与腐蚀性材料和其他危险品的管理，以及对爆破作业和地下工程施工等危险作业的管理。</w:t>
      </w:r>
    </w:p>
    <w:p w14:paraId="7A78DF69">
      <w:pPr>
        <w:spacing w:line="400" w:lineRule="exact"/>
        <w:ind w:firstLine="420" w:firstLineChars="200"/>
        <w:rPr>
          <w:highlight w:val="none"/>
        </w:rPr>
      </w:pPr>
      <w:r>
        <w:rPr>
          <w:highlight w:val="none"/>
        </w:rPr>
        <w:t>9.2.3 承包人应严格按照国家安全标准制定施工安全操作规程，配备必要的安全生产和劳动保护设施，加强对承包人人员的安全教育，并发放安全工作手册和劳动保护用具。</w:t>
      </w:r>
    </w:p>
    <w:p w14:paraId="4DBCDB70">
      <w:pPr>
        <w:spacing w:line="400" w:lineRule="exact"/>
        <w:ind w:firstLine="420" w:firstLineChars="200"/>
        <w:rPr>
          <w:highlight w:val="none"/>
        </w:rPr>
      </w:pPr>
      <w:r>
        <w:rPr>
          <w:highlight w:val="none"/>
        </w:rPr>
        <w:t>9.2.4 承包人应按监理人的指示制定应对灾害的紧急预案，报送监理人审批。承包人还应按预案做好安全检查，配置必要的救助物资和器材，切实保护好有关人员的人身和财产安全。</w:t>
      </w:r>
    </w:p>
    <w:p w14:paraId="25AD9D8E">
      <w:pPr>
        <w:spacing w:line="400" w:lineRule="exact"/>
        <w:ind w:firstLine="420" w:firstLineChars="200"/>
        <w:rPr>
          <w:highlight w:val="none"/>
        </w:rPr>
      </w:pPr>
      <w:r>
        <w:rPr>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049E3D69">
      <w:pPr>
        <w:spacing w:line="400" w:lineRule="exact"/>
        <w:ind w:firstLine="420" w:firstLineChars="200"/>
        <w:rPr>
          <w:highlight w:val="none"/>
        </w:rPr>
      </w:pPr>
      <w:r>
        <w:rPr>
          <w:highlight w:val="none"/>
        </w:rPr>
        <w:t>9.2.6 承包人应对其履行合同所雇佣的全部人员，包括分包人人员的工伤事故承担责任，但由于发包人原因造成承包人人员工伤事故的，应由发包人承担责任。</w:t>
      </w:r>
    </w:p>
    <w:p w14:paraId="36A60F7A">
      <w:pPr>
        <w:spacing w:line="400" w:lineRule="exact"/>
        <w:ind w:firstLine="420" w:firstLineChars="200"/>
        <w:rPr>
          <w:highlight w:val="none"/>
        </w:rPr>
      </w:pPr>
      <w:r>
        <w:rPr>
          <w:highlight w:val="none"/>
        </w:rPr>
        <w:t>9.2.7 由于承包人原因在施工场地内及其毗邻地带造成的第三者人员伤亡和财产损失，由承包人负责赔偿。</w:t>
      </w:r>
    </w:p>
    <w:p w14:paraId="00748B29">
      <w:pPr>
        <w:spacing w:line="400" w:lineRule="exact"/>
        <w:ind w:firstLine="420" w:firstLineChars="200"/>
        <w:rPr>
          <w:highlight w:val="none"/>
        </w:rPr>
      </w:pPr>
      <w:r>
        <w:rPr>
          <w:rFonts w:hint="eastAsia"/>
          <w:highlight w:val="none"/>
        </w:rPr>
        <w:t>9.2.8 承包人应签署《施工安全协议书》（第七节），并严格按照第七节《施工安全协议书》中内容执行。</w:t>
      </w:r>
    </w:p>
    <w:p w14:paraId="737E3FA8">
      <w:pPr>
        <w:keepNext/>
        <w:keepLines/>
        <w:spacing w:line="400" w:lineRule="exact"/>
        <w:outlineLvl w:val="2"/>
        <w:rPr>
          <w:rFonts w:eastAsia="黑体"/>
          <w:sz w:val="24"/>
          <w:szCs w:val="20"/>
          <w:highlight w:val="none"/>
        </w:rPr>
      </w:pPr>
      <w:bookmarkStart w:id="1025" w:name="_Toc342296327"/>
      <w:bookmarkStart w:id="1026" w:name="_Toc338944769"/>
      <w:bookmarkStart w:id="1027" w:name="_Toc159950676"/>
      <w:r>
        <w:rPr>
          <w:rFonts w:eastAsia="黑体"/>
          <w:sz w:val="24"/>
          <w:szCs w:val="20"/>
          <w:highlight w:val="none"/>
        </w:rPr>
        <w:t>9.3 治安保卫</w:t>
      </w:r>
      <w:bookmarkEnd w:id="1025"/>
      <w:bookmarkEnd w:id="1026"/>
      <w:bookmarkEnd w:id="1027"/>
    </w:p>
    <w:p w14:paraId="1155247E">
      <w:pPr>
        <w:spacing w:line="400" w:lineRule="exact"/>
        <w:ind w:firstLine="420" w:firstLineChars="200"/>
        <w:rPr>
          <w:highlight w:val="none"/>
        </w:rPr>
      </w:pPr>
      <w:r>
        <w:rPr>
          <w:highlight w:val="none"/>
        </w:rPr>
        <w:t>9.3.1 除合同另有约定外，发包人应与当地公安部门协商，在现场建立治安管理机构或联防组织，统一管理施工场地的治安保卫事项，履行合同工程的治安保卫职责。</w:t>
      </w:r>
    </w:p>
    <w:p w14:paraId="4162A974">
      <w:pPr>
        <w:spacing w:line="400" w:lineRule="exact"/>
        <w:ind w:firstLine="420" w:firstLineChars="200"/>
        <w:rPr>
          <w:highlight w:val="none"/>
        </w:rPr>
      </w:pPr>
      <w:r>
        <w:rPr>
          <w:highlight w:val="none"/>
        </w:rPr>
        <w:t>9.3.2 发包人和承包人除应协助现场治安管理机构或联防组织维护施工场地的社会治安外，还应做好包括生活区在内的各自管辖区的治安保卫工作。</w:t>
      </w:r>
    </w:p>
    <w:p w14:paraId="2BA688C1">
      <w:pPr>
        <w:spacing w:line="400" w:lineRule="exact"/>
        <w:ind w:firstLine="420" w:firstLineChars="200"/>
        <w:rPr>
          <w:highlight w:val="none"/>
        </w:rPr>
      </w:pPr>
      <w:r>
        <w:rPr>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262729F0">
      <w:pPr>
        <w:keepNext/>
        <w:keepLines/>
        <w:spacing w:line="400" w:lineRule="exact"/>
        <w:outlineLvl w:val="2"/>
        <w:rPr>
          <w:rFonts w:eastAsia="黑体"/>
          <w:sz w:val="24"/>
          <w:szCs w:val="20"/>
          <w:highlight w:val="none"/>
        </w:rPr>
      </w:pPr>
      <w:bookmarkStart w:id="1028" w:name="_Toc338944770"/>
      <w:bookmarkStart w:id="1029" w:name="_Toc342296328"/>
      <w:bookmarkStart w:id="1030" w:name="_Toc159950677"/>
      <w:r>
        <w:rPr>
          <w:rFonts w:eastAsia="黑体"/>
          <w:sz w:val="24"/>
          <w:szCs w:val="20"/>
          <w:highlight w:val="none"/>
        </w:rPr>
        <w:t>9.4 环境保护</w:t>
      </w:r>
      <w:bookmarkEnd w:id="1028"/>
      <w:bookmarkEnd w:id="1029"/>
      <w:bookmarkEnd w:id="1030"/>
    </w:p>
    <w:p w14:paraId="299CEAA5">
      <w:pPr>
        <w:spacing w:line="400" w:lineRule="exact"/>
        <w:ind w:firstLine="420" w:firstLineChars="200"/>
        <w:rPr>
          <w:highlight w:val="none"/>
        </w:rPr>
      </w:pPr>
      <w:r>
        <w:rPr>
          <w:highlight w:val="none"/>
        </w:rPr>
        <w:t>9.4.1 承包人在施工过程中，应遵守有关环境保护的法律，履行合同约定的环境保护义务，并对违反法律和合同约定义务所造成的环境破坏、人身伤害和财产损失负责。</w:t>
      </w:r>
    </w:p>
    <w:p w14:paraId="3C741296">
      <w:pPr>
        <w:spacing w:line="400" w:lineRule="exact"/>
        <w:ind w:firstLine="420" w:firstLineChars="200"/>
        <w:rPr>
          <w:highlight w:val="none"/>
        </w:rPr>
      </w:pPr>
      <w:r>
        <w:rPr>
          <w:highlight w:val="none"/>
        </w:rPr>
        <w:t>9.4.2 承包人应按合同约定的环保工作内容，编制施工环保措施计划，报送监理人审批。</w:t>
      </w:r>
    </w:p>
    <w:p w14:paraId="08F34798">
      <w:pPr>
        <w:spacing w:line="400" w:lineRule="exact"/>
        <w:ind w:firstLine="420" w:firstLineChars="200"/>
        <w:rPr>
          <w:highlight w:val="none"/>
        </w:rPr>
      </w:pPr>
      <w:r>
        <w:rPr>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036BFB81">
      <w:pPr>
        <w:spacing w:line="400" w:lineRule="exact"/>
        <w:ind w:firstLine="420" w:firstLineChars="200"/>
        <w:rPr>
          <w:highlight w:val="none"/>
        </w:rPr>
      </w:pPr>
      <w:r>
        <w:rPr>
          <w:highlight w:val="none"/>
        </w:rPr>
        <w:t>9.4.4 承包人应按合同约定采取有效措施，对施工开挖的边坡及时进行支护,维护排水设施，并进行水土保护，避免因施工造成的地质灾害。</w:t>
      </w:r>
    </w:p>
    <w:p w14:paraId="21850CB7">
      <w:pPr>
        <w:spacing w:line="400" w:lineRule="exact"/>
        <w:ind w:firstLine="420" w:firstLineChars="200"/>
        <w:rPr>
          <w:highlight w:val="none"/>
        </w:rPr>
      </w:pPr>
      <w:r>
        <w:rPr>
          <w:highlight w:val="none"/>
        </w:rPr>
        <w:t>9.4.5 承包人应按国家饮用水管理标准定期对饮用水源进行监测，防止施工活动污染饮用水源。</w:t>
      </w:r>
    </w:p>
    <w:p w14:paraId="58E370C9">
      <w:pPr>
        <w:spacing w:line="400" w:lineRule="exact"/>
        <w:ind w:firstLine="420" w:firstLineChars="200"/>
        <w:rPr>
          <w:highlight w:val="none"/>
        </w:rPr>
      </w:pPr>
      <w:r>
        <w:rPr>
          <w:highlight w:val="none"/>
        </w:rPr>
        <w:t>9.4.6 承包人应按合同约定，加强对噪声、粉尘、废气、废水和废油的控制，努力降低噪声，控制粉尘和废气浓度，做好废水和废油的治理和排放。</w:t>
      </w:r>
    </w:p>
    <w:p w14:paraId="43AF3FA5">
      <w:pPr>
        <w:keepNext/>
        <w:keepLines/>
        <w:spacing w:line="400" w:lineRule="exact"/>
        <w:outlineLvl w:val="2"/>
        <w:rPr>
          <w:rFonts w:eastAsia="黑体"/>
          <w:sz w:val="24"/>
          <w:szCs w:val="20"/>
          <w:highlight w:val="none"/>
        </w:rPr>
      </w:pPr>
      <w:bookmarkStart w:id="1031" w:name="_Toc338944771"/>
      <w:bookmarkStart w:id="1032" w:name="_Toc152045678"/>
      <w:bookmarkStart w:id="1033" w:name="_Toc152042456"/>
      <w:bookmarkStart w:id="1034" w:name="_Toc159950678"/>
      <w:bookmarkStart w:id="1035" w:name="_Toc179632696"/>
      <w:bookmarkStart w:id="1036" w:name="_Toc342296329"/>
      <w:bookmarkStart w:id="1037" w:name="_Toc144974646"/>
      <w:r>
        <w:rPr>
          <w:rFonts w:eastAsia="黑体"/>
          <w:sz w:val="24"/>
          <w:szCs w:val="20"/>
          <w:highlight w:val="none"/>
        </w:rPr>
        <w:t>9.5 事故处理</w:t>
      </w:r>
      <w:bookmarkEnd w:id="1031"/>
      <w:bookmarkEnd w:id="1032"/>
      <w:bookmarkEnd w:id="1033"/>
      <w:bookmarkEnd w:id="1034"/>
      <w:bookmarkEnd w:id="1035"/>
      <w:bookmarkEnd w:id="1036"/>
      <w:bookmarkEnd w:id="1037"/>
    </w:p>
    <w:p w14:paraId="097A164E">
      <w:pPr>
        <w:spacing w:line="400" w:lineRule="exact"/>
        <w:ind w:firstLine="420" w:firstLineChars="200"/>
        <w:rPr>
          <w:highlight w:val="none"/>
        </w:rPr>
      </w:pPr>
      <w:r>
        <w:rPr>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733C2D8">
      <w:pPr>
        <w:keepNext/>
        <w:keepLines/>
        <w:spacing w:line="400" w:lineRule="exact"/>
        <w:outlineLvl w:val="2"/>
        <w:rPr>
          <w:rFonts w:eastAsia="黑体"/>
          <w:sz w:val="24"/>
          <w:szCs w:val="20"/>
          <w:highlight w:val="none"/>
        </w:rPr>
      </w:pPr>
      <w:bookmarkStart w:id="1038" w:name="_Toc159950679"/>
      <w:r>
        <w:rPr>
          <w:rFonts w:eastAsia="黑体"/>
          <w:sz w:val="24"/>
          <w:szCs w:val="20"/>
          <w:highlight w:val="none"/>
        </w:rPr>
        <w:t xml:space="preserve">9.5 </w:t>
      </w:r>
      <w:r>
        <w:rPr>
          <w:rFonts w:hint="eastAsia" w:ascii="等线" w:hAnsi="等线" w:eastAsia="等线"/>
          <w:sz w:val="24"/>
          <w:szCs w:val="20"/>
          <w:highlight w:val="none"/>
        </w:rPr>
        <w:t>安全文明施工</w:t>
      </w:r>
      <w:bookmarkEnd w:id="1038"/>
    </w:p>
    <w:p w14:paraId="419D6547">
      <w:pPr>
        <w:spacing w:line="400" w:lineRule="exact"/>
        <w:ind w:firstLine="420" w:firstLineChars="200"/>
        <w:rPr>
          <w:highlight w:val="none"/>
        </w:rPr>
      </w:pPr>
      <w:r>
        <w:rPr>
          <w:highlight w:val="none"/>
        </w:rPr>
        <w:t xml:space="preserve">9.5.1 </w:t>
      </w:r>
      <w:r>
        <w:rPr>
          <w:rFonts w:hint="eastAsia"/>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3732CAAA">
      <w:pPr>
        <w:spacing w:line="400" w:lineRule="exact"/>
        <w:ind w:firstLine="420" w:firstLineChars="200"/>
        <w:rPr>
          <w:highlight w:val="none"/>
        </w:rPr>
      </w:pPr>
      <w:r>
        <w:rPr>
          <w:rFonts w:hint="eastAsia"/>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73B559BE">
      <w:pPr>
        <w:spacing w:line="400" w:lineRule="exact"/>
        <w:ind w:firstLine="420" w:firstLineChars="200"/>
        <w:rPr>
          <w:highlight w:val="none"/>
        </w:rPr>
      </w:pPr>
      <w:r>
        <w:rPr>
          <w:highlight w:val="none"/>
        </w:rPr>
        <w:t xml:space="preserve">9.5.2 </w:t>
      </w:r>
      <w:r>
        <w:rPr>
          <w:rFonts w:hint="eastAsia"/>
          <w:highlight w:val="none"/>
        </w:rPr>
        <w:t>安全文明施工费由发包人承担，发包人不得以任何形式扣减该部分费用。因基准日期后合同所适用的法律或政府有关规定发生变化，增加的安全文明施工费由发包人承担。</w:t>
      </w:r>
    </w:p>
    <w:p w14:paraId="23C6BE2D">
      <w:pPr>
        <w:spacing w:line="400" w:lineRule="exact"/>
        <w:ind w:firstLine="420" w:firstLineChars="200"/>
        <w:rPr>
          <w:highlight w:val="none"/>
        </w:rPr>
      </w:pPr>
      <w:r>
        <w:rPr>
          <w:rFonts w:hint="eastAsia"/>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3ADB6122">
      <w:pPr>
        <w:spacing w:line="400" w:lineRule="exact"/>
        <w:ind w:firstLine="420" w:firstLineChars="200"/>
        <w:rPr>
          <w:highlight w:val="none"/>
        </w:rPr>
      </w:pPr>
      <w:r>
        <w:rPr>
          <w:rFonts w:hint="eastAsia"/>
          <w:highlight w:val="none"/>
        </w:rPr>
        <w:t>除专用合同条款另有约定外，发包人应在开工后</w:t>
      </w:r>
      <w:r>
        <w:rPr>
          <w:highlight w:val="none"/>
        </w:rPr>
        <w:t>28天内预付安全文明施工费总额的50%，其余部分与进度款同期支付。发包人逾期支付安全文明施工费超过7天的，承包人有权向发包人发出要求预付的催告通知，发包人收到通知后7天内仍未支付的，承包人有权暂停施工。</w:t>
      </w:r>
    </w:p>
    <w:p w14:paraId="0D5FC5D0">
      <w:pPr>
        <w:spacing w:line="400" w:lineRule="exact"/>
        <w:ind w:firstLine="420" w:firstLineChars="200"/>
        <w:rPr>
          <w:highlight w:val="none"/>
        </w:rPr>
      </w:pPr>
    </w:p>
    <w:p w14:paraId="1AEF85AC">
      <w:pPr>
        <w:spacing w:line="400" w:lineRule="exact"/>
        <w:ind w:firstLine="420" w:firstLineChars="200"/>
        <w:rPr>
          <w:highlight w:val="none"/>
        </w:rPr>
      </w:pPr>
      <w:r>
        <w:rPr>
          <w:rFonts w:hint="eastAsia"/>
          <w:highlight w:val="none"/>
        </w:rPr>
        <w:t>安全文明施工费应专款专用，应在财务账目中单独列项备查，不得挪作他用，否则发包人有权责令其限期改正；逾期未改正的，可以责令其暂停施工，由此增加的费用和（或）延误的工期由承包人承担。且安全文明施工费应根据相关施工措施和市场价格测算确定，但不得低于规定的费用标准（费率）计算的金额，且不得作为让利因素。施工现场安全生产标准化管理目标应符合合同约定中等级要求，且不得低于</w:t>
      </w:r>
      <w:r>
        <w:rPr>
          <w:highlight w:val="none"/>
        </w:rPr>
        <w:t>达标标准。</w:t>
      </w:r>
    </w:p>
    <w:p w14:paraId="31494237">
      <w:pPr>
        <w:keepNext/>
        <w:keepLines/>
        <w:spacing w:line="400" w:lineRule="exact"/>
        <w:outlineLvl w:val="1"/>
        <w:rPr>
          <w:rFonts w:eastAsia="黑体" w:cs="仿宋_GB2312"/>
          <w:sz w:val="28"/>
          <w:szCs w:val="20"/>
          <w:highlight w:val="none"/>
        </w:rPr>
      </w:pPr>
      <w:bookmarkStart w:id="1039" w:name="_Toc448758431"/>
      <w:bookmarkStart w:id="1040" w:name="_Toc448758531"/>
      <w:bookmarkStart w:id="1041" w:name="_Toc159950680"/>
      <w:bookmarkStart w:id="1042" w:name="_Toc338944772"/>
      <w:bookmarkStart w:id="1043" w:name="_Toc442365623"/>
      <w:bookmarkStart w:id="1044" w:name="_Toc469660026"/>
      <w:bookmarkStart w:id="1045" w:name="_Toc342296330"/>
      <w:r>
        <w:rPr>
          <w:rFonts w:eastAsia="黑体" w:cs="仿宋_GB2312"/>
          <w:sz w:val="28"/>
          <w:szCs w:val="20"/>
          <w:highlight w:val="none"/>
        </w:rPr>
        <w:t>10. 进度计划</w:t>
      </w:r>
      <w:bookmarkEnd w:id="1039"/>
      <w:bookmarkEnd w:id="1040"/>
      <w:bookmarkEnd w:id="1041"/>
      <w:bookmarkEnd w:id="1042"/>
      <w:bookmarkEnd w:id="1043"/>
      <w:bookmarkEnd w:id="1044"/>
      <w:bookmarkEnd w:id="1045"/>
    </w:p>
    <w:p w14:paraId="36049053">
      <w:pPr>
        <w:keepNext/>
        <w:keepLines/>
        <w:spacing w:line="400" w:lineRule="exact"/>
        <w:outlineLvl w:val="2"/>
        <w:rPr>
          <w:rFonts w:eastAsia="黑体"/>
          <w:sz w:val="24"/>
          <w:szCs w:val="20"/>
          <w:highlight w:val="none"/>
        </w:rPr>
      </w:pPr>
      <w:bookmarkStart w:id="1046" w:name="_Toc159950681"/>
      <w:bookmarkStart w:id="1047" w:name="_Toc342296331"/>
      <w:bookmarkStart w:id="1048" w:name="_Toc338944773"/>
      <w:r>
        <w:rPr>
          <w:rFonts w:eastAsia="黑体"/>
          <w:sz w:val="24"/>
          <w:szCs w:val="20"/>
          <w:highlight w:val="none"/>
        </w:rPr>
        <w:t>10.1 合同进度计划</w:t>
      </w:r>
      <w:bookmarkEnd w:id="1046"/>
      <w:bookmarkEnd w:id="1047"/>
      <w:bookmarkEnd w:id="1048"/>
    </w:p>
    <w:p w14:paraId="42FD5886">
      <w:pPr>
        <w:spacing w:line="400" w:lineRule="exact"/>
        <w:ind w:firstLine="420" w:firstLineChars="200"/>
        <w:rPr>
          <w:highlight w:val="none"/>
        </w:rPr>
      </w:pPr>
      <w:r>
        <w:rPr>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106803C8">
      <w:pPr>
        <w:keepNext/>
        <w:keepLines/>
        <w:spacing w:line="400" w:lineRule="exact"/>
        <w:outlineLvl w:val="2"/>
        <w:rPr>
          <w:rFonts w:eastAsia="黑体"/>
          <w:sz w:val="24"/>
          <w:szCs w:val="20"/>
          <w:highlight w:val="none"/>
        </w:rPr>
      </w:pPr>
      <w:bookmarkStart w:id="1049" w:name="_Toc338944774"/>
      <w:bookmarkStart w:id="1050" w:name="_Toc159950682"/>
      <w:bookmarkStart w:id="1051" w:name="_Toc342296332"/>
      <w:r>
        <w:rPr>
          <w:rFonts w:eastAsia="黑体"/>
          <w:sz w:val="24"/>
          <w:szCs w:val="20"/>
          <w:highlight w:val="none"/>
        </w:rPr>
        <w:t>10.2 合同进度计划的修订</w:t>
      </w:r>
      <w:bookmarkEnd w:id="1049"/>
      <w:bookmarkEnd w:id="1050"/>
      <w:bookmarkEnd w:id="1051"/>
    </w:p>
    <w:p w14:paraId="3F5EBCE9">
      <w:pPr>
        <w:spacing w:line="400" w:lineRule="exact"/>
        <w:ind w:firstLine="420" w:firstLineChars="200"/>
        <w:rPr>
          <w:highlight w:val="none"/>
        </w:rPr>
      </w:pPr>
      <w:r>
        <w:rPr>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791C1C48">
      <w:pPr>
        <w:keepNext/>
        <w:keepLines/>
        <w:spacing w:line="400" w:lineRule="exact"/>
        <w:outlineLvl w:val="1"/>
        <w:rPr>
          <w:rFonts w:eastAsia="黑体" w:cs="仿宋_GB2312"/>
          <w:sz w:val="28"/>
          <w:szCs w:val="20"/>
          <w:highlight w:val="none"/>
        </w:rPr>
      </w:pPr>
      <w:bookmarkStart w:id="1052" w:name="_Toc159950683"/>
      <w:bookmarkStart w:id="1053" w:name="_Toc442365624"/>
      <w:bookmarkStart w:id="1054" w:name="_Toc338944775"/>
      <w:bookmarkStart w:id="1055" w:name="_Toc448758432"/>
      <w:bookmarkStart w:id="1056" w:name="_Toc448758532"/>
      <w:bookmarkStart w:id="1057" w:name="_Toc469660027"/>
      <w:bookmarkStart w:id="1058" w:name="_Toc342296333"/>
      <w:r>
        <w:rPr>
          <w:rFonts w:eastAsia="黑体" w:cs="仿宋_GB2312"/>
          <w:sz w:val="28"/>
          <w:szCs w:val="20"/>
          <w:highlight w:val="none"/>
        </w:rPr>
        <w:t>11. 开工和竣工</w:t>
      </w:r>
      <w:bookmarkEnd w:id="1052"/>
      <w:bookmarkEnd w:id="1053"/>
      <w:bookmarkEnd w:id="1054"/>
      <w:bookmarkEnd w:id="1055"/>
      <w:bookmarkEnd w:id="1056"/>
      <w:bookmarkEnd w:id="1057"/>
      <w:bookmarkEnd w:id="1058"/>
    </w:p>
    <w:p w14:paraId="1A8BFE53">
      <w:pPr>
        <w:keepNext/>
        <w:keepLines/>
        <w:spacing w:line="400" w:lineRule="exact"/>
        <w:outlineLvl w:val="2"/>
        <w:rPr>
          <w:rFonts w:eastAsia="黑体"/>
          <w:sz w:val="24"/>
          <w:szCs w:val="20"/>
          <w:highlight w:val="none"/>
        </w:rPr>
      </w:pPr>
      <w:bookmarkStart w:id="1059" w:name="_Toc338944776"/>
      <w:bookmarkStart w:id="1060" w:name="_Toc159950684"/>
      <w:bookmarkStart w:id="1061" w:name="_Toc152045683"/>
      <w:bookmarkStart w:id="1062" w:name="_Toc342296334"/>
      <w:bookmarkStart w:id="1063" w:name="_Toc152042461"/>
      <w:bookmarkStart w:id="1064" w:name="_Toc144974651"/>
      <w:bookmarkStart w:id="1065" w:name="_Toc179632701"/>
      <w:r>
        <w:rPr>
          <w:rFonts w:eastAsia="黑体"/>
          <w:sz w:val="24"/>
          <w:szCs w:val="20"/>
          <w:highlight w:val="none"/>
        </w:rPr>
        <w:t>11.1 开工</w:t>
      </w:r>
      <w:bookmarkEnd w:id="1059"/>
      <w:bookmarkEnd w:id="1060"/>
      <w:bookmarkEnd w:id="1061"/>
      <w:bookmarkEnd w:id="1062"/>
      <w:bookmarkEnd w:id="1063"/>
      <w:bookmarkEnd w:id="1064"/>
      <w:bookmarkEnd w:id="1065"/>
    </w:p>
    <w:p w14:paraId="1B3613AB">
      <w:pPr>
        <w:spacing w:line="400" w:lineRule="exact"/>
        <w:ind w:firstLine="420" w:firstLineChars="200"/>
        <w:rPr>
          <w:highlight w:val="none"/>
        </w:rPr>
      </w:pPr>
      <w:r>
        <w:rPr>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7AECED3D">
      <w:pPr>
        <w:spacing w:line="400" w:lineRule="exact"/>
        <w:ind w:firstLine="420" w:firstLineChars="200"/>
        <w:rPr>
          <w:highlight w:val="none"/>
          <w:shd w:val="pct10" w:color="auto" w:fill="FFFFFF"/>
        </w:rPr>
      </w:pPr>
      <w:r>
        <w:rPr>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39DD0049">
      <w:pPr>
        <w:keepNext/>
        <w:keepLines/>
        <w:spacing w:line="400" w:lineRule="exact"/>
        <w:outlineLvl w:val="2"/>
        <w:rPr>
          <w:rFonts w:eastAsia="黑体"/>
          <w:sz w:val="24"/>
          <w:szCs w:val="20"/>
          <w:highlight w:val="none"/>
        </w:rPr>
      </w:pPr>
      <w:bookmarkStart w:id="1066" w:name="_Toc152045684"/>
      <w:bookmarkStart w:id="1067" w:name="_Toc152042462"/>
      <w:bookmarkStart w:id="1068" w:name="_Toc179632702"/>
      <w:bookmarkStart w:id="1069" w:name="_Toc338944777"/>
      <w:bookmarkStart w:id="1070" w:name="_Toc342296335"/>
      <w:bookmarkStart w:id="1071" w:name="_Toc144974652"/>
      <w:bookmarkStart w:id="1072" w:name="_Toc159950685"/>
      <w:r>
        <w:rPr>
          <w:rFonts w:eastAsia="黑体"/>
          <w:sz w:val="24"/>
          <w:szCs w:val="20"/>
          <w:highlight w:val="none"/>
        </w:rPr>
        <w:t>11.2 竣工</w:t>
      </w:r>
      <w:bookmarkEnd w:id="1066"/>
      <w:bookmarkEnd w:id="1067"/>
      <w:bookmarkEnd w:id="1068"/>
      <w:bookmarkEnd w:id="1069"/>
      <w:bookmarkEnd w:id="1070"/>
      <w:bookmarkEnd w:id="1071"/>
      <w:bookmarkEnd w:id="1072"/>
    </w:p>
    <w:p w14:paraId="38E84BE6">
      <w:pPr>
        <w:spacing w:line="400" w:lineRule="exact"/>
        <w:ind w:firstLine="420" w:firstLineChars="200"/>
        <w:rPr>
          <w:highlight w:val="none"/>
        </w:rPr>
      </w:pPr>
      <w:r>
        <w:rPr>
          <w:highlight w:val="none"/>
        </w:rPr>
        <w:t>承包人应在第1.1.4.3目约定的期限内完成合同工程。实际竣工日期在接收证书中写明。</w:t>
      </w:r>
    </w:p>
    <w:p w14:paraId="682D6FBF">
      <w:pPr>
        <w:keepNext/>
        <w:keepLines/>
        <w:spacing w:line="400" w:lineRule="exact"/>
        <w:outlineLvl w:val="2"/>
        <w:rPr>
          <w:rFonts w:eastAsia="黑体"/>
          <w:sz w:val="24"/>
          <w:szCs w:val="20"/>
          <w:highlight w:val="none"/>
        </w:rPr>
      </w:pPr>
      <w:bookmarkStart w:id="1073" w:name="_Toc342296336"/>
      <w:bookmarkStart w:id="1074" w:name="_Toc159950686"/>
      <w:bookmarkStart w:id="1075" w:name="_Toc338944778"/>
      <w:r>
        <w:rPr>
          <w:rFonts w:eastAsia="黑体"/>
          <w:sz w:val="24"/>
          <w:szCs w:val="20"/>
          <w:highlight w:val="none"/>
        </w:rPr>
        <w:t>11.3 发包人的工期延误</w:t>
      </w:r>
      <w:bookmarkEnd w:id="1073"/>
      <w:bookmarkEnd w:id="1074"/>
      <w:bookmarkEnd w:id="1075"/>
    </w:p>
    <w:p w14:paraId="54C58FC2">
      <w:pPr>
        <w:spacing w:line="400" w:lineRule="exact"/>
        <w:ind w:firstLine="420" w:firstLineChars="200"/>
        <w:rPr>
          <w:highlight w:val="none"/>
        </w:rPr>
      </w:pPr>
      <w:r>
        <w:rPr>
          <w:highlight w:val="none"/>
        </w:rPr>
        <w:t>在履行合同过程中，由于发包人的下列原因造成工期延误的，承包人有权要求发包人延长工期和（或）增加费用，并支付合理利润。需要修订合同进度计划的，按照第10.2款的约定办理。</w:t>
      </w:r>
    </w:p>
    <w:p w14:paraId="4881581E">
      <w:pPr>
        <w:spacing w:line="400" w:lineRule="exact"/>
        <w:ind w:firstLine="359" w:firstLineChars="171"/>
        <w:rPr>
          <w:highlight w:val="none"/>
        </w:rPr>
      </w:pPr>
      <w:r>
        <w:rPr>
          <w:highlight w:val="none"/>
        </w:rPr>
        <w:t>（1）增加合同工作内容；</w:t>
      </w:r>
    </w:p>
    <w:p w14:paraId="16D53AC3">
      <w:pPr>
        <w:spacing w:line="400" w:lineRule="exact"/>
        <w:ind w:firstLine="359" w:firstLineChars="171"/>
        <w:rPr>
          <w:highlight w:val="none"/>
        </w:rPr>
      </w:pPr>
      <w:r>
        <w:rPr>
          <w:highlight w:val="none"/>
        </w:rPr>
        <w:t>（2）改变合同中任何一项工作的质量要求或其他特性；</w:t>
      </w:r>
    </w:p>
    <w:p w14:paraId="4BAC7A7B">
      <w:pPr>
        <w:spacing w:line="400" w:lineRule="exact"/>
        <w:ind w:firstLine="359" w:firstLineChars="171"/>
        <w:rPr>
          <w:highlight w:val="none"/>
        </w:rPr>
      </w:pPr>
      <w:r>
        <w:rPr>
          <w:highlight w:val="none"/>
        </w:rPr>
        <w:t>（3）发包人迟延提供材料、工程设备或变更交货地点的；</w:t>
      </w:r>
    </w:p>
    <w:p w14:paraId="1A3A5546">
      <w:pPr>
        <w:spacing w:line="400" w:lineRule="exact"/>
        <w:ind w:firstLine="359" w:firstLineChars="171"/>
        <w:rPr>
          <w:highlight w:val="none"/>
        </w:rPr>
      </w:pPr>
      <w:r>
        <w:rPr>
          <w:highlight w:val="none"/>
        </w:rPr>
        <w:t>（4）因发包人原因导致的暂停施工；</w:t>
      </w:r>
    </w:p>
    <w:p w14:paraId="735F515B">
      <w:pPr>
        <w:spacing w:line="400" w:lineRule="exact"/>
        <w:ind w:firstLine="359" w:firstLineChars="171"/>
        <w:rPr>
          <w:highlight w:val="none"/>
        </w:rPr>
      </w:pPr>
      <w:r>
        <w:rPr>
          <w:highlight w:val="none"/>
        </w:rPr>
        <w:t>（5）提供图纸延误；</w:t>
      </w:r>
    </w:p>
    <w:p w14:paraId="2B560FF0">
      <w:pPr>
        <w:spacing w:line="400" w:lineRule="exact"/>
        <w:ind w:firstLine="359" w:firstLineChars="171"/>
        <w:rPr>
          <w:highlight w:val="none"/>
        </w:rPr>
      </w:pPr>
      <w:r>
        <w:rPr>
          <w:highlight w:val="none"/>
        </w:rPr>
        <w:t>（6）未按合同约定及时支付预付款、进度款；</w:t>
      </w:r>
    </w:p>
    <w:p w14:paraId="20A8705D">
      <w:pPr>
        <w:spacing w:line="400" w:lineRule="exact"/>
        <w:ind w:firstLine="359" w:firstLineChars="171"/>
        <w:rPr>
          <w:highlight w:val="none"/>
        </w:rPr>
      </w:pPr>
      <w:r>
        <w:rPr>
          <w:highlight w:val="none"/>
        </w:rPr>
        <w:t>（7）发包人造成工期延误的其他原因。</w:t>
      </w:r>
    </w:p>
    <w:p w14:paraId="43DCBF93">
      <w:pPr>
        <w:keepNext/>
        <w:keepLines/>
        <w:spacing w:line="400" w:lineRule="exact"/>
        <w:outlineLvl w:val="2"/>
        <w:rPr>
          <w:rFonts w:eastAsia="黑体"/>
          <w:sz w:val="24"/>
          <w:szCs w:val="20"/>
          <w:highlight w:val="none"/>
        </w:rPr>
      </w:pPr>
      <w:bookmarkStart w:id="1076" w:name="_Toc342296337"/>
      <w:bookmarkStart w:id="1077" w:name="_Toc159950687"/>
      <w:bookmarkStart w:id="1078" w:name="_Toc338944779"/>
      <w:r>
        <w:rPr>
          <w:rFonts w:eastAsia="黑体"/>
          <w:sz w:val="24"/>
          <w:szCs w:val="20"/>
          <w:highlight w:val="none"/>
        </w:rPr>
        <w:t>11.4 异常恶劣的气候条件</w:t>
      </w:r>
      <w:bookmarkEnd w:id="1076"/>
      <w:bookmarkEnd w:id="1077"/>
      <w:bookmarkEnd w:id="1078"/>
    </w:p>
    <w:p w14:paraId="0F660D7C">
      <w:pPr>
        <w:spacing w:line="400" w:lineRule="exact"/>
        <w:ind w:firstLine="359" w:firstLineChars="171"/>
        <w:rPr>
          <w:highlight w:val="none"/>
        </w:rPr>
      </w:pPr>
      <w:r>
        <w:rPr>
          <w:highlight w:val="none"/>
        </w:rPr>
        <w:t>由于出现专用合同条款规定的异常恶劣气候的条件导致工期延误的，承包人有权要求发包人延长工期。</w:t>
      </w:r>
    </w:p>
    <w:p w14:paraId="5A71B1BE">
      <w:pPr>
        <w:keepNext/>
        <w:keepLines/>
        <w:spacing w:line="400" w:lineRule="exact"/>
        <w:outlineLvl w:val="2"/>
        <w:rPr>
          <w:rFonts w:eastAsia="黑体"/>
          <w:sz w:val="24"/>
          <w:szCs w:val="20"/>
          <w:highlight w:val="none"/>
        </w:rPr>
      </w:pPr>
      <w:bookmarkStart w:id="1079" w:name="_Toc338944780"/>
      <w:bookmarkStart w:id="1080" w:name="_Toc159950688"/>
      <w:bookmarkStart w:id="1081" w:name="_Toc342296338"/>
      <w:r>
        <w:rPr>
          <w:rFonts w:eastAsia="黑体"/>
          <w:sz w:val="24"/>
          <w:szCs w:val="20"/>
          <w:highlight w:val="none"/>
        </w:rPr>
        <w:t>11.5 承包人的工期延误</w:t>
      </w:r>
      <w:bookmarkEnd w:id="1079"/>
      <w:bookmarkEnd w:id="1080"/>
      <w:bookmarkEnd w:id="1081"/>
    </w:p>
    <w:p w14:paraId="07AA3E47">
      <w:pPr>
        <w:spacing w:line="400" w:lineRule="exact"/>
        <w:ind w:firstLine="420" w:firstLineChars="200"/>
        <w:rPr>
          <w:highlight w:val="none"/>
        </w:rPr>
      </w:pPr>
      <w:r>
        <w:rPr>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5FDE3F04">
      <w:pPr>
        <w:keepNext/>
        <w:keepLines/>
        <w:spacing w:line="400" w:lineRule="exact"/>
        <w:outlineLvl w:val="2"/>
        <w:rPr>
          <w:rFonts w:eastAsia="黑体"/>
          <w:sz w:val="24"/>
          <w:szCs w:val="20"/>
          <w:highlight w:val="none"/>
        </w:rPr>
      </w:pPr>
      <w:bookmarkStart w:id="1082" w:name="_Toc342296339"/>
      <w:bookmarkStart w:id="1083" w:name="_Toc338944781"/>
      <w:bookmarkStart w:id="1084" w:name="_Toc159950689"/>
      <w:r>
        <w:rPr>
          <w:rFonts w:eastAsia="黑体"/>
          <w:sz w:val="24"/>
          <w:szCs w:val="20"/>
          <w:highlight w:val="none"/>
        </w:rPr>
        <w:t>11.6 工期提前</w:t>
      </w:r>
      <w:bookmarkEnd w:id="1082"/>
      <w:bookmarkEnd w:id="1083"/>
      <w:bookmarkEnd w:id="1084"/>
    </w:p>
    <w:p w14:paraId="30C46997">
      <w:pPr>
        <w:spacing w:line="400" w:lineRule="exact"/>
        <w:ind w:firstLine="420" w:firstLineChars="200"/>
        <w:rPr>
          <w:highlight w:val="none"/>
        </w:rPr>
      </w:pPr>
      <w:r>
        <w:rPr>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57CD3D9F">
      <w:pPr>
        <w:keepNext/>
        <w:keepLines/>
        <w:spacing w:line="400" w:lineRule="exact"/>
        <w:outlineLvl w:val="1"/>
        <w:rPr>
          <w:rFonts w:eastAsia="黑体" w:cs="仿宋_GB2312"/>
          <w:sz w:val="28"/>
          <w:szCs w:val="20"/>
          <w:highlight w:val="none"/>
        </w:rPr>
      </w:pPr>
      <w:bookmarkStart w:id="1085" w:name="_Toc338944782"/>
      <w:bookmarkStart w:id="1086" w:name="_Toc469660028"/>
      <w:bookmarkStart w:id="1087" w:name="_Toc159950690"/>
      <w:bookmarkStart w:id="1088" w:name="_Toc442365625"/>
      <w:bookmarkStart w:id="1089" w:name="_Toc448758433"/>
      <w:bookmarkStart w:id="1090" w:name="_Toc448758533"/>
      <w:bookmarkStart w:id="1091" w:name="_Toc342296340"/>
      <w:r>
        <w:rPr>
          <w:rFonts w:eastAsia="黑体" w:cs="仿宋_GB2312"/>
          <w:sz w:val="28"/>
          <w:szCs w:val="20"/>
          <w:highlight w:val="none"/>
        </w:rPr>
        <w:t>12. 暂停施工</w:t>
      </w:r>
      <w:bookmarkEnd w:id="1085"/>
      <w:bookmarkEnd w:id="1086"/>
      <w:bookmarkEnd w:id="1087"/>
      <w:bookmarkEnd w:id="1088"/>
      <w:bookmarkEnd w:id="1089"/>
      <w:bookmarkEnd w:id="1090"/>
      <w:bookmarkEnd w:id="1091"/>
    </w:p>
    <w:p w14:paraId="00211F0E">
      <w:pPr>
        <w:keepNext/>
        <w:keepLines/>
        <w:spacing w:line="400" w:lineRule="exact"/>
        <w:outlineLvl w:val="2"/>
        <w:rPr>
          <w:rFonts w:eastAsia="黑体"/>
          <w:sz w:val="24"/>
          <w:szCs w:val="20"/>
          <w:highlight w:val="none"/>
        </w:rPr>
      </w:pPr>
      <w:bookmarkStart w:id="1092" w:name="_Toc338944783"/>
      <w:bookmarkStart w:id="1093" w:name="_Toc159950691"/>
      <w:bookmarkStart w:id="1094" w:name="_Toc342296341"/>
      <w:r>
        <w:rPr>
          <w:rFonts w:eastAsia="黑体"/>
          <w:sz w:val="24"/>
          <w:szCs w:val="20"/>
          <w:highlight w:val="none"/>
        </w:rPr>
        <w:t>12.1 承包人暂停施工的责任</w:t>
      </w:r>
      <w:bookmarkEnd w:id="1092"/>
      <w:bookmarkEnd w:id="1093"/>
      <w:bookmarkEnd w:id="1094"/>
    </w:p>
    <w:p w14:paraId="0E712536">
      <w:pPr>
        <w:spacing w:line="400" w:lineRule="exact"/>
        <w:ind w:firstLine="420" w:firstLineChars="200"/>
        <w:rPr>
          <w:highlight w:val="none"/>
        </w:rPr>
      </w:pPr>
      <w:r>
        <w:rPr>
          <w:highlight w:val="none"/>
        </w:rPr>
        <w:t>因下列暂停施工增加的费用和（或）工期延误由承包人承担：</w:t>
      </w:r>
    </w:p>
    <w:p w14:paraId="2B3D1BE9">
      <w:pPr>
        <w:spacing w:line="400" w:lineRule="exact"/>
        <w:ind w:firstLine="359" w:firstLineChars="171"/>
        <w:rPr>
          <w:highlight w:val="none"/>
        </w:rPr>
      </w:pPr>
      <w:r>
        <w:rPr>
          <w:highlight w:val="none"/>
        </w:rPr>
        <w:t>（1）承包人违约引起的暂停施工；</w:t>
      </w:r>
    </w:p>
    <w:p w14:paraId="19382C3A">
      <w:pPr>
        <w:spacing w:line="400" w:lineRule="exact"/>
        <w:ind w:firstLine="359" w:firstLineChars="171"/>
        <w:rPr>
          <w:highlight w:val="none"/>
        </w:rPr>
      </w:pPr>
      <w:r>
        <w:rPr>
          <w:highlight w:val="none"/>
        </w:rPr>
        <w:t>（2）由于承包人原因为工程合理施工和安全保障所必需的暂停施工；</w:t>
      </w:r>
    </w:p>
    <w:p w14:paraId="04E4716F">
      <w:pPr>
        <w:spacing w:line="400" w:lineRule="exact"/>
        <w:ind w:firstLine="359" w:firstLineChars="171"/>
        <w:rPr>
          <w:highlight w:val="none"/>
        </w:rPr>
      </w:pPr>
      <w:r>
        <w:rPr>
          <w:highlight w:val="none"/>
        </w:rPr>
        <w:t>（3）承包人擅自暂停施工；</w:t>
      </w:r>
    </w:p>
    <w:p w14:paraId="52B3A319">
      <w:pPr>
        <w:spacing w:line="400" w:lineRule="exact"/>
        <w:ind w:firstLine="359" w:firstLineChars="171"/>
        <w:rPr>
          <w:highlight w:val="none"/>
        </w:rPr>
      </w:pPr>
      <w:r>
        <w:rPr>
          <w:highlight w:val="none"/>
        </w:rPr>
        <w:t>（4）承包人其他原因引起的暂停施工；</w:t>
      </w:r>
    </w:p>
    <w:p w14:paraId="64E78F09">
      <w:pPr>
        <w:spacing w:line="400" w:lineRule="exact"/>
        <w:ind w:firstLine="359" w:firstLineChars="171"/>
        <w:rPr>
          <w:highlight w:val="none"/>
        </w:rPr>
      </w:pPr>
      <w:r>
        <w:rPr>
          <w:highlight w:val="none"/>
        </w:rPr>
        <w:t>（5）专用合同条款约定由承包人承担的其他暂停施工。</w:t>
      </w:r>
    </w:p>
    <w:p w14:paraId="056C0F85">
      <w:pPr>
        <w:keepNext/>
        <w:keepLines/>
        <w:spacing w:line="400" w:lineRule="exact"/>
        <w:outlineLvl w:val="2"/>
        <w:rPr>
          <w:rFonts w:eastAsia="黑体"/>
          <w:sz w:val="24"/>
          <w:szCs w:val="20"/>
          <w:highlight w:val="none"/>
        </w:rPr>
      </w:pPr>
      <w:bookmarkStart w:id="1095" w:name="_Toc152042469"/>
      <w:bookmarkStart w:id="1096" w:name="_Toc152045691"/>
      <w:bookmarkStart w:id="1097" w:name="_Toc338944784"/>
      <w:bookmarkStart w:id="1098" w:name="_Toc159950692"/>
      <w:bookmarkStart w:id="1099" w:name="_Toc179632709"/>
      <w:bookmarkStart w:id="1100" w:name="_Toc342296342"/>
      <w:bookmarkStart w:id="1101" w:name="_Toc144974660"/>
      <w:r>
        <w:rPr>
          <w:rFonts w:eastAsia="黑体"/>
          <w:sz w:val="24"/>
          <w:szCs w:val="20"/>
          <w:highlight w:val="none"/>
        </w:rPr>
        <w:t>12.2 发包人暂停施工的责任</w:t>
      </w:r>
      <w:bookmarkEnd w:id="1095"/>
      <w:bookmarkEnd w:id="1096"/>
      <w:bookmarkEnd w:id="1097"/>
      <w:bookmarkEnd w:id="1098"/>
      <w:bookmarkEnd w:id="1099"/>
      <w:bookmarkEnd w:id="1100"/>
      <w:bookmarkEnd w:id="1101"/>
    </w:p>
    <w:p w14:paraId="71D45C67">
      <w:pPr>
        <w:spacing w:line="400" w:lineRule="exact"/>
        <w:ind w:firstLine="420" w:firstLineChars="200"/>
        <w:rPr>
          <w:highlight w:val="none"/>
        </w:rPr>
      </w:pPr>
      <w:r>
        <w:rPr>
          <w:highlight w:val="none"/>
        </w:rPr>
        <w:t>由于发包人原因引起的暂停施工造成工期延误的，承包人有权要求发包人延长工期和（或）增加费用，并支付合理利润。</w:t>
      </w:r>
    </w:p>
    <w:p w14:paraId="6763744C">
      <w:pPr>
        <w:keepNext/>
        <w:keepLines/>
        <w:spacing w:line="400" w:lineRule="exact"/>
        <w:outlineLvl w:val="2"/>
        <w:rPr>
          <w:rFonts w:eastAsia="黑体"/>
          <w:sz w:val="24"/>
          <w:szCs w:val="20"/>
          <w:highlight w:val="none"/>
        </w:rPr>
      </w:pPr>
      <w:bookmarkStart w:id="1102" w:name="_Toc152042470"/>
      <w:bookmarkStart w:id="1103" w:name="_Toc159950693"/>
      <w:bookmarkStart w:id="1104" w:name="_Toc152045692"/>
      <w:bookmarkStart w:id="1105" w:name="_Toc342296343"/>
      <w:bookmarkStart w:id="1106" w:name="_Toc144974661"/>
      <w:bookmarkStart w:id="1107" w:name="_Toc179632710"/>
      <w:bookmarkStart w:id="1108" w:name="_Toc338944785"/>
      <w:r>
        <w:rPr>
          <w:rFonts w:eastAsia="黑体"/>
          <w:sz w:val="24"/>
          <w:szCs w:val="20"/>
          <w:highlight w:val="none"/>
        </w:rPr>
        <w:t>12.3 监理人暂停施工指示</w:t>
      </w:r>
      <w:bookmarkEnd w:id="1102"/>
      <w:bookmarkEnd w:id="1103"/>
      <w:bookmarkEnd w:id="1104"/>
      <w:bookmarkEnd w:id="1105"/>
      <w:bookmarkEnd w:id="1106"/>
      <w:bookmarkEnd w:id="1107"/>
      <w:bookmarkEnd w:id="1108"/>
    </w:p>
    <w:p w14:paraId="37FA5AA0">
      <w:pPr>
        <w:spacing w:line="400" w:lineRule="exact"/>
        <w:ind w:firstLine="420" w:firstLineChars="200"/>
        <w:rPr>
          <w:highlight w:val="none"/>
        </w:rPr>
      </w:pPr>
      <w:r>
        <w:rPr>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71380150">
      <w:pPr>
        <w:spacing w:line="400" w:lineRule="exact"/>
        <w:ind w:firstLine="420" w:firstLineChars="200"/>
        <w:rPr>
          <w:highlight w:val="none"/>
        </w:rPr>
      </w:pPr>
      <w:r>
        <w:rPr>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285C096D">
      <w:pPr>
        <w:keepNext/>
        <w:keepLines/>
        <w:spacing w:line="400" w:lineRule="exact"/>
        <w:outlineLvl w:val="2"/>
        <w:rPr>
          <w:rFonts w:eastAsia="黑体"/>
          <w:sz w:val="24"/>
          <w:szCs w:val="20"/>
          <w:highlight w:val="none"/>
        </w:rPr>
      </w:pPr>
      <w:bookmarkStart w:id="1109" w:name="_Toc159950694"/>
      <w:bookmarkStart w:id="1110" w:name="_Toc342296344"/>
      <w:bookmarkStart w:id="1111" w:name="_Toc152042471"/>
      <w:bookmarkStart w:id="1112" w:name="_Toc144974662"/>
      <w:bookmarkStart w:id="1113" w:name="_Toc338944786"/>
      <w:bookmarkStart w:id="1114" w:name="_Toc152045693"/>
      <w:bookmarkStart w:id="1115" w:name="_Toc179632711"/>
      <w:r>
        <w:rPr>
          <w:rFonts w:eastAsia="黑体"/>
          <w:sz w:val="24"/>
          <w:szCs w:val="20"/>
          <w:highlight w:val="none"/>
        </w:rPr>
        <w:t>12.4 暂停施工后的复工</w:t>
      </w:r>
      <w:bookmarkEnd w:id="1109"/>
      <w:bookmarkEnd w:id="1110"/>
      <w:bookmarkEnd w:id="1111"/>
      <w:bookmarkEnd w:id="1112"/>
      <w:bookmarkEnd w:id="1113"/>
      <w:bookmarkEnd w:id="1114"/>
      <w:bookmarkEnd w:id="1115"/>
    </w:p>
    <w:p w14:paraId="5C586BD3">
      <w:pPr>
        <w:spacing w:line="400" w:lineRule="exact"/>
        <w:ind w:firstLine="420" w:firstLineChars="200"/>
        <w:rPr>
          <w:highlight w:val="none"/>
        </w:rPr>
      </w:pPr>
      <w:r>
        <w:rPr>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02BE6A2E">
      <w:pPr>
        <w:spacing w:line="400" w:lineRule="exact"/>
        <w:ind w:firstLine="420" w:firstLineChars="200"/>
        <w:rPr>
          <w:highlight w:val="none"/>
        </w:rPr>
      </w:pPr>
      <w:r>
        <w:rPr>
          <w:highlight w:val="none"/>
        </w:rPr>
        <w:t>12.4.2 承包人无故拖延和拒绝复工的，由此增加的费用和工期延误由承包人承担；因发包人原因无法按时复工的，承包人有权要求发包人延长工期和（或）增加费用，并支付合理利润。</w:t>
      </w:r>
    </w:p>
    <w:p w14:paraId="715C6FF5">
      <w:pPr>
        <w:keepNext/>
        <w:keepLines/>
        <w:spacing w:line="400" w:lineRule="exact"/>
        <w:outlineLvl w:val="2"/>
        <w:rPr>
          <w:rFonts w:eastAsia="黑体"/>
          <w:sz w:val="24"/>
          <w:szCs w:val="20"/>
          <w:highlight w:val="none"/>
        </w:rPr>
      </w:pPr>
      <w:bookmarkStart w:id="1116" w:name="_Toc338944787"/>
      <w:bookmarkStart w:id="1117" w:name="_Toc342296345"/>
      <w:bookmarkStart w:id="1118" w:name="_Toc152045694"/>
      <w:bookmarkStart w:id="1119" w:name="_Toc179632712"/>
      <w:bookmarkStart w:id="1120" w:name="_Toc144974663"/>
      <w:bookmarkStart w:id="1121" w:name="_Toc159950695"/>
      <w:bookmarkStart w:id="1122" w:name="_Toc152042472"/>
      <w:r>
        <w:rPr>
          <w:rFonts w:eastAsia="黑体"/>
          <w:sz w:val="24"/>
          <w:szCs w:val="20"/>
          <w:highlight w:val="none"/>
        </w:rPr>
        <w:t>12.5 暂停施工持续56天以上</w:t>
      </w:r>
      <w:bookmarkEnd w:id="1116"/>
      <w:bookmarkEnd w:id="1117"/>
      <w:bookmarkEnd w:id="1118"/>
      <w:bookmarkEnd w:id="1119"/>
      <w:bookmarkEnd w:id="1120"/>
      <w:bookmarkEnd w:id="1121"/>
      <w:bookmarkEnd w:id="1122"/>
    </w:p>
    <w:p w14:paraId="19B78221">
      <w:pPr>
        <w:spacing w:line="400" w:lineRule="exact"/>
        <w:ind w:firstLine="411" w:firstLineChars="196"/>
        <w:rPr>
          <w:highlight w:val="none"/>
        </w:rPr>
      </w:pPr>
      <w:r>
        <w:rPr>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5619C51E">
      <w:pPr>
        <w:spacing w:line="400" w:lineRule="exact"/>
        <w:ind w:firstLine="420" w:firstLineChars="200"/>
        <w:rPr>
          <w:highlight w:val="none"/>
        </w:rPr>
      </w:pPr>
      <w:r>
        <w:rPr>
          <w:highlight w:val="none"/>
        </w:rPr>
        <w:t>12.5.2 由于承包人责任引起的暂停施工，如承包人在收到监理人暂停施工指示后56天内不认真采取有效的复工措施，造成工期延误，可视为承包人违约，应按第22.1款的规定办理。</w:t>
      </w:r>
    </w:p>
    <w:p w14:paraId="1AD98E19">
      <w:pPr>
        <w:spacing w:line="400" w:lineRule="exact"/>
        <w:rPr>
          <w:sz w:val="24"/>
          <w:highlight w:val="none"/>
        </w:rPr>
      </w:pPr>
      <w:r>
        <w:rPr>
          <w:rFonts w:hint="eastAsia"/>
          <w:sz w:val="24"/>
          <w:highlight w:val="none"/>
        </w:rPr>
        <w:t>12.6暂停施工期间的工程照管和措施</w:t>
      </w:r>
    </w:p>
    <w:p w14:paraId="7069755E">
      <w:pPr>
        <w:spacing w:line="400" w:lineRule="exact"/>
        <w:ind w:firstLine="420" w:firstLineChars="200"/>
        <w:rPr>
          <w:highlight w:val="none"/>
        </w:rPr>
      </w:pPr>
      <w:r>
        <w:rPr>
          <w:highlight w:val="none"/>
        </w:rPr>
        <w:t>12.5.1</w:t>
      </w:r>
      <w:r>
        <w:rPr>
          <w:rFonts w:hint="eastAsia"/>
          <w:highlight w:val="none"/>
        </w:rPr>
        <w:t>暂停施工期间，承包人应负责妥善照管工程并提供安全保障，由此增加的费用由责任方承担。</w:t>
      </w:r>
    </w:p>
    <w:p w14:paraId="4627D367">
      <w:pPr>
        <w:spacing w:line="400" w:lineRule="exact"/>
        <w:ind w:firstLine="420" w:firstLineChars="200"/>
        <w:rPr>
          <w:sz w:val="24"/>
          <w:highlight w:val="none"/>
        </w:rPr>
      </w:pPr>
      <w:r>
        <w:rPr>
          <w:rFonts w:hint="eastAsia"/>
          <w:highlight w:val="none"/>
        </w:rPr>
        <w:t>12.5.2暂停施工期间，发包人和承包人均应采取必要的措施确保工程质量及安全，防止因暂停施工扩大损失。</w:t>
      </w:r>
    </w:p>
    <w:p w14:paraId="288E7919">
      <w:pPr>
        <w:keepNext/>
        <w:keepLines/>
        <w:spacing w:line="400" w:lineRule="exact"/>
        <w:outlineLvl w:val="1"/>
        <w:rPr>
          <w:rFonts w:eastAsia="等线" w:cs="仿宋_GB2312"/>
          <w:sz w:val="28"/>
          <w:szCs w:val="20"/>
          <w:highlight w:val="none"/>
        </w:rPr>
      </w:pPr>
      <w:bookmarkStart w:id="1123" w:name="_Toc448758534"/>
      <w:bookmarkStart w:id="1124" w:name="_Toc442365626"/>
      <w:bookmarkStart w:id="1125" w:name="_Toc338944788"/>
      <w:bookmarkStart w:id="1126" w:name="_Toc469660029"/>
      <w:bookmarkStart w:id="1127" w:name="_Toc159950696"/>
      <w:bookmarkStart w:id="1128" w:name="_Toc448758434"/>
      <w:bookmarkStart w:id="1129" w:name="_Toc342296346"/>
      <w:r>
        <w:rPr>
          <w:rFonts w:eastAsia="黑体" w:cs="仿宋_GB2312"/>
          <w:sz w:val="28"/>
          <w:szCs w:val="20"/>
          <w:highlight w:val="none"/>
        </w:rPr>
        <w:t>13. 工程质量</w:t>
      </w:r>
      <w:bookmarkEnd w:id="1123"/>
      <w:bookmarkEnd w:id="1124"/>
      <w:bookmarkEnd w:id="1125"/>
      <w:bookmarkEnd w:id="1126"/>
      <w:bookmarkEnd w:id="1127"/>
      <w:bookmarkEnd w:id="1128"/>
      <w:bookmarkEnd w:id="1129"/>
    </w:p>
    <w:p w14:paraId="5DBCD967">
      <w:pPr>
        <w:keepNext/>
        <w:keepLines/>
        <w:spacing w:line="400" w:lineRule="exact"/>
        <w:outlineLvl w:val="2"/>
        <w:rPr>
          <w:rFonts w:eastAsia="黑体"/>
          <w:sz w:val="24"/>
          <w:szCs w:val="20"/>
          <w:highlight w:val="none"/>
        </w:rPr>
      </w:pPr>
      <w:bookmarkStart w:id="1130" w:name="_Toc159950697"/>
      <w:bookmarkStart w:id="1131" w:name="_Toc152042474"/>
      <w:bookmarkStart w:id="1132" w:name="_Toc152045696"/>
      <w:bookmarkStart w:id="1133" w:name="_Toc338944789"/>
      <w:bookmarkStart w:id="1134" w:name="_Toc179632714"/>
      <w:bookmarkStart w:id="1135" w:name="_Toc144974665"/>
      <w:bookmarkStart w:id="1136" w:name="_Toc342296347"/>
      <w:r>
        <w:rPr>
          <w:rFonts w:eastAsia="黑体"/>
          <w:sz w:val="24"/>
          <w:szCs w:val="20"/>
          <w:highlight w:val="none"/>
        </w:rPr>
        <w:t>13.1 工程质量要求</w:t>
      </w:r>
      <w:bookmarkEnd w:id="1130"/>
      <w:bookmarkEnd w:id="1131"/>
      <w:bookmarkEnd w:id="1132"/>
      <w:bookmarkEnd w:id="1133"/>
      <w:bookmarkEnd w:id="1134"/>
      <w:bookmarkEnd w:id="1135"/>
      <w:bookmarkEnd w:id="1136"/>
    </w:p>
    <w:p w14:paraId="154D258C">
      <w:pPr>
        <w:spacing w:line="400" w:lineRule="exact"/>
        <w:ind w:firstLine="420" w:firstLineChars="200"/>
        <w:rPr>
          <w:highlight w:val="none"/>
        </w:rPr>
      </w:pPr>
      <w:r>
        <w:rPr>
          <w:highlight w:val="none"/>
        </w:rPr>
        <w:t>13.1.1 工程质量验收按合同约定验收标准执行。</w:t>
      </w:r>
    </w:p>
    <w:p w14:paraId="20B9161E">
      <w:pPr>
        <w:spacing w:line="400" w:lineRule="exact"/>
        <w:ind w:firstLine="420" w:firstLineChars="200"/>
        <w:rPr>
          <w:highlight w:val="none"/>
        </w:rPr>
      </w:pPr>
      <w:r>
        <w:rPr>
          <w:highlight w:val="none"/>
        </w:rPr>
        <w:t>13.1.2 因承包人原因造成工程质量达不到合同约定验收标准的，监理人有权要求承包人返工直至符合合同要求为止，由此造成的费用增加和（或）工期延误由承包人承担。</w:t>
      </w:r>
    </w:p>
    <w:p w14:paraId="7493D4E4">
      <w:pPr>
        <w:spacing w:line="400" w:lineRule="exact"/>
        <w:ind w:firstLine="420" w:firstLineChars="200"/>
        <w:rPr>
          <w:highlight w:val="none"/>
        </w:rPr>
      </w:pPr>
      <w:r>
        <w:rPr>
          <w:highlight w:val="none"/>
        </w:rPr>
        <w:t>13.1.3 因发包人原因造成工程质量达不到合同约定验收标准的，发包人应承担由于承包人返工造成的费用增加和（或）工期延误，并支付承包人合理利润。</w:t>
      </w:r>
    </w:p>
    <w:p w14:paraId="62EF810A">
      <w:pPr>
        <w:keepNext/>
        <w:keepLines/>
        <w:spacing w:line="400" w:lineRule="exact"/>
        <w:outlineLvl w:val="2"/>
        <w:rPr>
          <w:rFonts w:eastAsia="黑体"/>
          <w:sz w:val="24"/>
          <w:szCs w:val="20"/>
          <w:highlight w:val="none"/>
        </w:rPr>
      </w:pPr>
      <w:bookmarkStart w:id="1137" w:name="_Toc159950698"/>
      <w:bookmarkStart w:id="1138" w:name="_Toc342296348"/>
      <w:bookmarkStart w:id="1139" w:name="_Toc338944790"/>
      <w:r>
        <w:rPr>
          <w:rFonts w:eastAsia="黑体"/>
          <w:sz w:val="24"/>
          <w:szCs w:val="20"/>
          <w:highlight w:val="none"/>
        </w:rPr>
        <w:t>13.2 承包人的质量管理</w:t>
      </w:r>
      <w:bookmarkEnd w:id="1137"/>
      <w:bookmarkEnd w:id="1138"/>
      <w:bookmarkEnd w:id="1139"/>
    </w:p>
    <w:p w14:paraId="5DBB58C2">
      <w:pPr>
        <w:spacing w:line="400" w:lineRule="exact"/>
        <w:ind w:firstLine="420" w:firstLineChars="200"/>
        <w:rPr>
          <w:highlight w:val="none"/>
        </w:rPr>
      </w:pPr>
      <w:r>
        <w:rPr>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45C17DB0">
      <w:pPr>
        <w:spacing w:line="400" w:lineRule="exact"/>
        <w:ind w:firstLine="420" w:firstLineChars="200"/>
        <w:rPr>
          <w:highlight w:val="none"/>
        </w:rPr>
      </w:pPr>
      <w:r>
        <w:rPr>
          <w:highlight w:val="none"/>
        </w:rPr>
        <w:t>13.2.2 承包人应加强对施工人员的质量教育和技术培训，定期考核施工人员的劳动技能，严格执行规范和操作规程。</w:t>
      </w:r>
    </w:p>
    <w:p w14:paraId="461D60A4">
      <w:pPr>
        <w:keepNext/>
        <w:keepLines/>
        <w:spacing w:line="400" w:lineRule="exact"/>
        <w:outlineLvl w:val="2"/>
        <w:rPr>
          <w:rFonts w:eastAsia="黑体"/>
          <w:sz w:val="24"/>
          <w:szCs w:val="20"/>
          <w:highlight w:val="none"/>
        </w:rPr>
      </w:pPr>
      <w:bookmarkStart w:id="1140" w:name="_Toc159950699"/>
      <w:bookmarkStart w:id="1141" w:name="_Toc342296349"/>
      <w:bookmarkStart w:id="1142" w:name="_Toc338944791"/>
      <w:r>
        <w:rPr>
          <w:rFonts w:eastAsia="黑体"/>
          <w:sz w:val="24"/>
          <w:szCs w:val="20"/>
          <w:highlight w:val="none"/>
        </w:rPr>
        <w:t>13.3 承包人的质量检查</w:t>
      </w:r>
      <w:bookmarkEnd w:id="1140"/>
      <w:bookmarkEnd w:id="1141"/>
      <w:bookmarkEnd w:id="1142"/>
    </w:p>
    <w:p w14:paraId="17E8C90F">
      <w:pPr>
        <w:spacing w:line="400" w:lineRule="exact"/>
        <w:ind w:firstLine="420" w:firstLineChars="200"/>
        <w:rPr>
          <w:highlight w:val="none"/>
        </w:rPr>
      </w:pPr>
      <w:r>
        <w:rPr>
          <w:highlight w:val="none"/>
        </w:rPr>
        <w:t>承包人应按合同约定对材料、工程设备以及工程的所有部位及其施工工艺进行全过程的质量检查和检验，并作详细记录，编制工程质量报表，报送监理人审查。</w:t>
      </w:r>
    </w:p>
    <w:p w14:paraId="11E4CD34">
      <w:pPr>
        <w:keepNext/>
        <w:keepLines/>
        <w:spacing w:line="400" w:lineRule="exact"/>
        <w:outlineLvl w:val="2"/>
        <w:rPr>
          <w:rFonts w:eastAsia="黑体"/>
          <w:sz w:val="24"/>
          <w:szCs w:val="20"/>
          <w:highlight w:val="none"/>
        </w:rPr>
      </w:pPr>
      <w:bookmarkStart w:id="1143" w:name="_Toc338944792"/>
      <w:bookmarkStart w:id="1144" w:name="_Toc342296350"/>
      <w:bookmarkStart w:id="1145" w:name="_Toc159950700"/>
      <w:r>
        <w:rPr>
          <w:rFonts w:eastAsia="黑体"/>
          <w:sz w:val="24"/>
          <w:szCs w:val="20"/>
          <w:highlight w:val="none"/>
        </w:rPr>
        <w:t>13.4 监理人的质量检查</w:t>
      </w:r>
      <w:bookmarkEnd w:id="1143"/>
      <w:bookmarkEnd w:id="1144"/>
      <w:bookmarkEnd w:id="1145"/>
    </w:p>
    <w:p w14:paraId="601F9857">
      <w:pPr>
        <w:spacing w:line="400" w:lineRule="exact"/>
        <w:ind w:firstLine="420" w:firstLineChars="200"/>
        <w:rPr>
          <w:highlight w:val="none"/>
        </w:rPr>
      </w:pPr>
      <w:r>
        <w:rPr>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0C1C9851">
      <w:pPr>
        <w:keepNext/>
        <w:keepLines/>
        <w:spacing w:line="400" w:lineRule="exact"/>
        <w:outlineLvl w:val="2"/>
        <w:rPr>
          <w:rFonts w:eastAsia="黑体"/>
          <w:sz w:val="24"/>
          <w:szCs w:val="20"/>
          <w:highlight w:val="none"/>
        </w:rPr>
      </w:pPr>
      <w:bookmarkStart w:id="1146" w:name="_Toc159950701"/>
      <w:bookmarkStart w:id="1147" w:name="_Toc342296351"/>
      <w:bookmarkStart w:id="1148" w:name="_Toc338944793"/>
      <w:r>
        <w:rPr>
          <w:rFonts w:eastAsia="黑体"/>
          <w:sz w:val="24"/>
          <w:szCs w:val="20"/>
          <w:highlight w:val="none"/>
        </w:rPr>
        <w:t>13.5 工程隐蔽部位覆盖前的检查</w:t>
      </w:r>
      <w:bookmarkEnd w:id="1146"/>
      <w:bookmarkEnd w:id="1147"/>
      <w:bookmarkEnd w:id="1148"/>
    </w:p>
    <w:p w14:paraId="0F810AC5">
      <w:pPr>
        <w:spacing w:line="400" w:lineRule="exact"/>
        <w:ind w:firstLine="420" w:firstLineChars="200"/>
        <w:rPr>
          <w:highlight w:val="none"/>
        </w:rPr>
      </w:pPr>
      <w:r>
        <w:rPr>
          <w:highlight w:val="none"/>
        </w:rPr>
        <w:t xml:space="preserve">13.5.1 </w:t>
      </w:r>
      <w:r>
        <w:rPr>
          <w:rFonts w:hint="eastAsia" w:ascii="宋体" w:hAnsi="宋体" w:cs="宋体"/>
          <w:highlight w:val="none"/>
        </w:rPr>
        <w:t>通知监理人检查</w:t>
      </w:r>
    </w:p>
    <w:p w14:paraId="419624C5">
      <w:pPr>
        <w:spacing w:line="400" w:lineRule="exact"/>
        <w:ind w:firstLine="420" w:firstLineChars="200"/>
        <w:rPr>
          <w:highlight w:val="none"/>
        </w:rPr>
      </w:pPr>
      <w:r>
        <w:rPr>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542F9682">
      <w:pPr>
        <w:spacing w:line="400" w:lineRule="exact"/>
        <w:ind w:firstLine="420" w:firstLineChars="200"/>
        <w:rPr>
          <w:highlight w:val="none"/>
        </w:rPr>
      </w:pPr>
      <w:r>
        <w:rPr>
          <w:highlight w:val="none"/>
        </w:rPr>
        <w:t xml:space="preserve">13.5.2 </w:t>
      </w:r>
      <w:r>
        <w:rPr>
          <w:rFonts w:hint="eastAsia" w:ascii="宋体" w:hAnsi="宋体" w:cs="宋体"/>
          <w:highlight w:val="none"/>
        </w:rPr>
        <w:t>监理人未到场检查</w:t>
      </w:r>
    </w:p>
    <w:p w14:paraId="0B1E0125">
      <w:pPr>
        <w:spacing w:line="400" w:lineRule="exact"/>
        <w:ind w:firstLine="420" w:firstLineChars="200"/>
        <w:rPr>
          <w:highlight w:val="none"/>
        </w:rPr>
      </w:pPr>
      <w:r>
        <w:rPr>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1DD0E154">
      <w:pPr>
        <w:spacing w:line="400" w:lineRule="exact"/>
        <w:ind w:firstLine="420" w:firstLineChars="200"/>
        <w:rPr>
          <w:highlight w:val="none"/>
        </w:rPr>
      </w:pPr>
      <w:r>
        <w:rPr>
          <w:highlight w:val="none"/>
        </w:rPr>
        <w:t xml:space="preserve">13.5.3 </w:t>
      </w:r>
      <w:r>
        <w:rPr>
          <w:rFonts w:hint="eastAsia" w:ascii="宋体" w:hAnsi="宋体" w:cs="宋体"/>
          <w:highlight w:val="none"/>
        </w:rPr>
        <w:t>监理人重新检查</w:t>
      </w:r>
    </w:p>
    <w:p w14:paraId="0CF11343">
      <w:pPr>
        <w:spacing w:line="400" w:lineRule="exact"/>
        <w:ind w:firstLine="420" w:firstLineChars="200"/>
        <w:rPr>
          <w:highlight w:val="none"/>
        </w:rPr>
      </w:pPr>
      <w:r>
        <w:rPr>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4ACB76DC">
      <w:pPr>
        <w:spacing w:line="400" w:lineRule="exact"/>
        <w:ind w:firstLine="420" w:firstLineChars="200"/>
        <w:rPr>
          <w:highlight w:val="none"/>
        </w:rPr>
      </w:pPr>
      <w:r>
        <w:rPr>
          <w:highlight w:val="none"/>
        </w:rPr>
        <w:t xml:space="preserve">13.5.4 </w:t>
      </w:r>
      <w:r>
        <w:rPr>
          <w:rFonts w:hint="eastAsia" w:ascii="宋体" w:hAnsi="宋体" w:cs="宋体"/>
          <w:highlight w:val="none"/>
        </w:rPr>
        <w:t>承包人私自覆盖</w:t>
      </w:r>
    </w:p>
    <w:p w14:paraId="0378D753">
      <w:pPr>
        <w:spacing w:line="400" w:lineRule="exact"/>
        <w:ind w:firstLine="420" w:firstLineChars="200"/>
        <w:rPr>
          <w:highlight w:val="none"/>
        </w:rPr>
      </w:pPr>
      <w:r>
        <w:rPr>
          <w:highlight w:val="none"/>
        </w:rPr>
        <w:t>承包人未通知监理人到场检查，私自将工程隐蔽部位覆盖的，监理人有权指示承包人钻孔探测或揭开检查，由此增加的费用和（或）工期延误由承包人承担。</w:t>
      </w:r>
    </w:p>
    <w:p w14:paraId="5864B236">
      <w:pPr>
        <w:keepNext/>
        <w:keepLines/>
        <w:spacing w:line="400" w:lineRule="exact"/>
        <w:outlineLvl w:val="2"/>
        <w:rPr>
          <w:rFonts w:eastAsia="黑体"/>
          <w:sz w:val="24"/>
          <w:szCs w:val="20"/>
          <w:highlight w:val="none"/>
        </w:rPr>
      </w:pPr>
      <w:bookmarkStart w:id="1149" w:name="_Toc179632719"/>
      <w:bookmarkStart w:id="1150" w:name="_Toc152045701"/>
      <w:bookmarkStart w:id="1151" w:name="_Toc152042479"/>
      <w:bookmarkStart w:id="1152" w:name="_Toc338944794"/>
      <w:bookmarkStart w:id="1153" w:name="_Toc342296352"/>
      <w:bookmarkStart w:id="1154" w:name="_Toc144974670"/>
      <w:bookmarkStart w:id="1155" w:name="_Toc159950702"/>
      <w:r>
        <w:rPr>
          <w:rFonts w:eastAsia="黑体"/>
          <w:sz w:val="24"/>
          <w:szCs w:val="20"/>
          <w:highlight w:val="none"/>
        </w:rPr>
        <w:t>13.6 清除不合格工程</w:t>
      </w:r>
      <w:bookmarkEnd w:id="1149"/>
      <w:bookmarkEnd w:id="1150"/>
      <w:bookmarkEnd w:id="1151"/>
      <w:bookmarkEnd w:id="1152"/>
      <w:bookmarkEnd w:id="1153"/>
      <w:bookmarkEnd w:id="1154"/>
      <w:bookmarkEnd w:id="1155"/>
    </w:p>
    <w:p w14:paraId="6971E053">
      <w:pPr>
        <w:spacing w:line="400" w:lineRule="exact"/>
        <w:ind w:firstLine="420" w:firstLineChars="200"/>
        <w:rPr>
          <w:highlight w:val="none"/>
        </w:rPr>
      </w:pPr>
      <w:r>
        <w:rPr>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34141483">
      <w:pPr>
        <w:spacing w:line="400" w:lineRule="exact"/>
        <w:ind w:firstLine="420" w:firstLineChars="200"/>
        <w:rPr>
          <w:highlight w:val="none"/>
        </w:rPr>
      </w:pPr>
      <w:r>
        <w:rPr>
          <w:highlight w:val="none"/>
        </w:rPr>
        <w:t>13.6.2 由于发包人提供的材料或工程设备不合格造成的工程不合格，需要承包人采取措施补救的，发包人应承担由此增加的费用和（或）工期延误，并支付承包人合理利润。</w:t>
      </w:r>
    </w:p>
    <w:p w14:paraId="44F7A237">
      <w:pPr>
        <w:keepNext/>
        <w:keepLines/>
        <w:spacing w:line="400" w:lineRule="exact"/>
        <w:outlineLvl w:val="1"/>
        <w:rPr>
          <w:rFonts w:eastAsia="黑体" w:cs="仿宋_GB2312"/>
          <w:sz w:val="28"/>
          <w:szCs w:val="20"/>
          <w:highlight w:val="none"/>
        </w:rPr>
      </w:pPr>
      <w:bookmarkStart w:id="1156" w:name="_Toc152045702"/>
      <w:bookmarkStart w:id="1157" w:name="_Toc338944795"/>
      <w:bookmarkStart w:id="1158" w:name="_Toc442365627"/>
      <w:bookmarkStart w:id="1159" w:name="_Toc144974671"/>
      <w:bookmarkStart w:id="1160" w:name="_Toc342296353"/>
      <w:bookmarkStart w:id="1161" w:name="_Toc469660030"/>
      <w:bookmarkStart w:id="1162" w:name="_Toc179632720"/>
      <w:bookmarkStart w:id="1163" w:name="_Toc152042480"/>
      <w:bookmarkStart w:id="1164" w:name="_Toc448758535"/>
      <w:bookmarkStart w:id="1165" w:name="_Toc159950703"/>
      <w:bookmarkStart w:id="1166" w:name="_Toc448758435"/>
      <w:r>
        <w:rPr>
          <w:rFonts w:eastAsia="黑体" w:cs="仿宋_GB2312"/>
          <w:sz w:val="28"/>
          <w:szCs w:val="20"/>
          <w:highlight w:val="none"/>
        </w:rPr>
        <w:t>14. 试验和检验</w:t>
      </w:r>
      <w:bookmarkEnd w:id="1156"/>
      <w:bookmarkEnd w:id="1157"/>
      <w:bookmarkEnd w:id="1158"/>
      <w:bookmarkEnd w:id="1159"/>
      <w:bookmarkEnd w:id="1160"/>
      <w:bookmarkEnd w:id="1161"/>
      <w:bookmarkEnd w:id="1162"/>
      <w:bookmarkEnd w:id="1163"/>
      <w:bookmarkEnd w:id="1164"/>
      <w:bookmarkEnd w:id="1165"/>
      <w:bookmarkEnd w:id="1166"/>
    </w:p>
    <w:p w14:paraId="0558DBCA">
      <w:pPr>
        <w:keepNext/>
        <w:keepLines/>
        <w:spacing w:line="400" w:lineRule="exact"/>
        <w:outlineLvl w:val="2"/>
        <w:rPr>
          <w:rFonts w:eastAsia="黑体"/>
          <w:sz w:val="24"/>
          <w:szCs w:val="20"/>
          <w:highlight w:val="none"/>
        </w:rPr>
      </w:pPr>
      <w:bookmarkStart w:id="1167" w:name="_Toc152042481"/>
      <w:bookmarkStart w:id="1168" w:name="_Toc159950704"/>
      <w:bookmarkStart w:id="1169" w:name="_Toc179632721"/>
      <w:bookmarkStart w:id="1170" w:name="_Toc152045703"/>
      <w:bookmarkStart w:id="1171" w:name="_Toc338944796"/>
      <w:bookmarkStart w:id="1172" w:name="_Toc342296354"/>
      <w:bookmarkStart w:id="1173" w:name="_Toc144974672"/>
      <w:r>
        <w:rPr>
          <w:rFonts w:eastAsia="黑体"/>
          <w:sz w:val="24"/>
          <w:szCs w:val="20"/>
          <w:highlight w:val="none"/>
        </w:rPr>
        <w:t>14.1 材料、工程设备和工程的试验和检验</w:t>
      </w:r>
      <w:bookmarkEnd w:id="1167"/>
      <w:bookmarkEnd w:id="1168"/>
      <w:bookmarkEnd w:id="1169"/>
      <w:bookmarkEnd w:id="1170"/>
      <w:bookmarkEnd w:id="1171"/>
      <w:bookmarkEnd w:id="1172"/>
      <w:bookmarkEnd w:id="1173"/>
    </w:p>
    <w:p w14:paraId="093C9A6E">
      <w:pPr>
        <w:spacing w:line="400" w:lineRule="exact"/>
        <w:ind w:firstLine="420" w:firstLineChars="200"/>
        <w:rPr>
          <w:highlight w:val="none"/>
        </w:rPr>
      </w:pPr>
      <w:r>
        <w:rPr>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52201AA">
      <w:pPr>
        <w:spacing w:line="400" w:lineRule="exact"/>
        <w:ind w:firstLine="420" w:firstLineChars="200"/>
        <w:rPr>
          <w:highlight w:val="none"/>
        </w:rPr>
      </w:pPr>
      <w:r>
        <w:rPr>
          <w:highlight w:val="none"/>
        </w:rPr>
        <w:t>14.1.2 监理人未按合同约定派员参加试验和检验的，除监理人另有指示外，承包人可自行试验和检验，并应立即将试验和检验结果报送监理人，监理人应签字确认。</w:t>
      </w:r>
    </w:p>
    <w:p w14:paraId="554463C2">
      <w:pPr>
        <w:spacing w:line="400" w:lineRule="exact"/>
        <w:ind w:firstLine="420" w:firstLineChars="200"/>
        <w:rPr>
          <w:highlight w:val="none"/>
        </w:rPr>
      </w:pPr>
      <w:r>
        <w:rPr>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7E1DE31E">
      <w:pPr>
        <w:keepNext/>
        <w:keepLines/>
        <w:spacing w:line="400" w:lineRule="exact"/>
        <w:outlineLvl w:val="2"/>
        <w:rPr>
          <w:rFonts w:eastAsia="黑体"/>
          <w:sz w:val="24"/>
          <w:szCs w:val="20"/>
          <w:highlight w:val="none"/>
        </w:rPr>
      </w:pPr>
      <w:bookmarkStart w:id="1174" w:name="_Toc338944797"/>
      <w:bookmarkStart w:id="1175" w:name="_Toc342296355"/>
      <w:bookmarkStart w:id="1176" w:name="_Toc152045704"/>
      <w:bookmarkStart w:id="1177" w:name="_Toc144974673"/>
      <w:bookmarkStart w:id="1178" w:name="_Toc159950705"/>
      <w:bookmarkStart w:id="1179" w:name="_Toc179632722"/>
      <w:bookmarkStart w:id="1180" w:name="_Toc152042482"/>
      <w:r>
        <w:rPr>
          <w:rFonts w:eastAsia="黑体"/>
          <w:sz w:val="24"/>
          <w:szCs w:val="20"/>
          <w:highlight w:val="none"/>
        </w:rPr>
        <w:t>14.2 现场材料试验</w:t>
      </w:r>
      <w:bookmarkEnd w:id="1174"/>
      <w:bookmarkEnd w:id="1175"/>
      <w:bookmarkEnd w:id="1176"/>
      <w:bookmarkEnd w:id="1177"/>
      <w:bookmarkEnd w:id="1178"/>
      <w:bookmarkEnd w:id="1179"/>
      <w:bookmarkEnd w:id="1180"/>
    </w:p>
    <w:p w14:paraId="31208A78">
      <w:pPr>
        <w:spacing w:line="400" w:lineRule="exact"/>
        <w:ind w:firstLine="420" w:firstLineChars="200"/>
        <w:rPr>
          <w:highlight w:val="none"/>
        </w:rPr>
      </w:pPr>
      <w:r>
        <w:rPr>
          <w:highlight w:val="none"/>
        </w:rPr>
        <w:t>14.2.1 承包人根据合同约定或监理人指示进行的现场材料试验，应由承包人提供试验场所、试验人员、试验设备器材以及其他必要的试验条件。</w:t>
      </w:r>
    </w:p>
    <w:p w14:paraId="22487658">
      <w:pPr>
        <w:spacing w:line="400" w:lineRule="exact"/>
        <w:ind w:firstLine="420" w:firstLineChars="200"/>
        <w:rPr>
          <w:highlight w:val="none"/>
        </w:rPr>
      </w:pPr>
      <w:r>
        <w:rPr>
          <w:highlight w:val="none"/>
        </w:rPr>
        <w:t>14.2.2 监理人在必要时可以使用承包人的试验场所、试验设备器材以及其他试验条件，进行以工程质量检查为目的的复核性材料试验，承包人应予以协助。</w:t>
      </w:r>
    </w:p>
    <w:p w14:paraId="25388E5B">
      <w:pPr>
        <w:keepNext/>
        <w:keepLines/>
        <w:spacing w:line="400" w:lineRule="exact"/>
        <w:outlineLvl w:val="2"/>
        <w:rPr>
          <w:rFonts w:eastAsia="黑体"/>
          <w:sz w:val="24"/>
          <w:szCs w:val="20"/>
          <w:highlight w:val="none"/>
        </w:rPr>
      </w:pPr>
      <w:bookmarkStart w:id="1181" w:name="_Toc144974674"/>
      <w:bookmarkStart w:id="1182" w:name="_Toc159950706"/>
      <w:bookmarkStart w:id="1183" w:name="_Toc179632723"/>
      <w:bookmarkStart w:id="1184" w:name="_Toc152042483"/>
      <w:bookmarkStart w:id="1185" w:name="_Toc338944798"/>
      <w:bookmarkStart w:id="1186" w:name="_Toc152045705"/>
      <w:bookmarkStart w:id="1187" w:name="_Toc342296356"/>
      <w:r>
        <w:rPr>
          <w:rFonts w:eastAsia="黑体"/>
          <w:sz w:val="24"/>
          <w:szCs w:val="20"/>
          <w:highlight w:val="none"/>
        </w:rPr>
        <w:t>14.3 现场工艺试验</w:t>
      </w:r>
      <w:bookmarkEnd w:id="1181"/>
      <w:bookmarkEnd w:id="1182"/>
      <w:bookmarkEnd w:id="1183"/>
      <w:bookmarkEnd w:id="1184"/>
      <w:bookmarkEnd w:id="1185"/>
      <w:bookmarkEnd w:id="1186"/>
      <w:bookmarkEnd w:id="1187"/>
    </w:p>
    <w:p w14:paraId="2BAC22A7">
      <w:pPr>
        <w:spacing w:line="400" w:lineRule="exact"/>
        <w:ind w:firstLine="420" w:firstLineChars="200"/>
        <w:rPr>
          <w:highlight w:val="none"/>
        </w:rPr>
      </w:pPr>
      <w:r>
        <w:rPr>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4B4265B5">
      <w:pPr>
        <w:keepNext/>
        <w:keepLines/>
        <w:spacing w:line="400" w:lineRule="exact"/>
        <w:outlineLvl w:val="1"/>
        <w:rPr>
          <w:rFonts w:eastAsia="黑体" w:cs="仿宋_GB2312"/>
          <w:sz w:val="28"/>
          <w:szCs w:val="20"/>
          <w:highlight w:val="none"/>
        </w:rPr>
      </w:pPr>
      <w:bookmarkStart w:id="1188" w:name="_Toc469660031"/>
      <w:bookmarkStart w:id="1189" w:name="_Toc338944799"/>
      <w:bookmarkStart w:id="1190" w:name="_Toc159950707"/>
      <w:bookmarkStart w:id="1191" w:name="_Toc442365628"/>
      <w:bookmarkStart w:id="1192" w:name="_Toc448758536"/>
      <w:bookmarkStart w:id="1193" w:name="_Toc342296357"/>
      <w:bookmarkStart w:id="1194" w:name="_Toc448758436"/>
      <w:r>
        <w:rPr>
          <w:rFonts w:eastAsia="黑体" w:cs="仿宋_GB2312"/>
          <w:sz w:val="28"/>
          <w:szCs w:val="20"/>
          <w:highlight w:val="none"/>
        </w:rPr>
        <w:t>15. 变更</w:t>
      </w:r>
      <w:bookmarkEnd w:id="1188"/>
      <w:bookmarkEnd w:id="1189"/>
      <w:bookmarkEnd w:id="1190"/>
      <w:bookmarkEnd w:id="1191"/>
      <w:bookmarkEnd w:id="1192"/>
      <w:bookmarkEnd w:id="1193"/>
      <w:bookmarkEnd w:id="1194"/>
    </w:p>
    <w:p w14:paraId="1C305DFB">
      <w:pPr>
        <w:keepNext/>
        <w:keepLines/>
        <w:spacing w:line="400" w:lineRule="exact"/>
        <w:outlineLvl w:val="2"/>
        <w:rPr>
          <w:rFonts w:eastAsia="黑体"/>
          <w:sz w:val="24"/>
          <w:szCs w:val="20"/>
          <w:highlight w:val="none"/>
        </w:rPr>
      </w:pPr>
      <w:bookmarkStart w:id="1195" w:name="_Toc159950708"/>
      <w:bookmarkStart w:id="1196" w:name="_Toc342296358"/>
      <w:bookmarkStart w:id="1197" w:name="_Toc338944800"/>
      <w:r>
        <w:rPr>
          <w:rFonts w:eastAsia="黑体"/>
          <w:sz w:val="24"/>
          <w:szCs w:val="20"/>
          <w:highlight w:val="none"/>
        </w:rPr>
        <w:t>15.1 变更的范围和内容</w:t>
      </w:r>
      <w:bookmarkEnd w:id="1195"/>
      <w:bookmarkEnd w:id="1196"/>
      <w:bookmarkEnd w:id="1197"/>
    </w:p>
    <w:p w14:paraId="26DB987A">
      <w:pPr>
        <w:spacing w:line="400" w:lineRule="exact"/>
        <w:ind w:firstLine="420" w:firstLineChars="200"/>
        <w:rPr>
          <w:highlight w:val="none"/>
        </w:rPr>
      </w:pPr>
      <w:r>
        <w:rPr>
          <w:highlight w:val="none"/>
        </w:rPr>
        <w:t>除专用合同条款另有约定外，在履行合同中发生以下情形之一，应按照本条规定进行变更。</w:t>
      </w:r>
    </w:p>
    <w:p w14:paraId="43DFEDB9">
      <w:pPr>
        <w:spacing w:line="400" w:lineRule="exact"/>
        <w:ind w:firstLine="359" w:firstLineChars="171"/>
        <w:rPr>
          <w:highlight w:val="none"/>
        </w:rPr>
      </w:pPr>
      <w:r>
        <w:rPr>
          <w:highlight w:val="none"/>
        </w:rPr>
        <w:t>（1）取消合同中任何一项工作，但被取消的工作不能转由发包人或其他人实施；</w:t>
      </w:r>
    </w:p>
    <w:p w14:paraId="20E121EC">
      <w:pPr>
        <w:spacing w:line="400" w:lineRule="exact"/>
        <w:ind w:firstLine="359" w:firstLineChars="171"/>
        <w:rPr>
          <w:highlight w:val="none"/>
        </w:rPr>
      </w:pPr>
      <w:r>
        <w:rPr>
          <w:highlight w:val="none"/>
        </w:rPr>
        <w:t>（2）改变合同中任何一项工作的质量或其他特性；</w:t>
      </w:r>
    </w:p>
    <w:p w14:paraId="125421EB">
      <w:pPr>
        <w:spacing w:line="400" w:lineRule="exact"/>
        <w:ind w:firstLine="359" w:firstLineChars="171"/>
        <w:rPr>
          <w:highlight w:val="none"/>
        </w:rPr>
      </w:pPr>
      <w:r>
        <w:rPr>
          <w:highlight w:val="none"/>
        </w:rPr>
        <w:t>（3）改变合同工程的基线、标高、位置或尺寸；</w:t>
      </w:r>
    </w:p>
    <w:p w14:paraId="2281CF10">
      <w:pPr>
        <w:spacing w:line="400" w:lineRule="exact"/>
        <w:ind w:firstLine="359" w:firstLineChars="171"/>
        <w:rPr>
          <w:highlight w:val="none"/>
        </w:rPr>
      </w:pPr>
      <w:r>
        <w:rPr>
          <w:highlight w:val="none"/>
        </w:rPr>
        <w:t>（4）改变合同中任何一项工作的施工时间或改变已批准的施工工艺或顺序；</w:t>
      </w:r>
    </w:p>
    <w:p w14:paraId="48D60E15">
      <w:pPr>
        <w:spacing w:line="400" w:lineRule="exact"/>
        <w:ind w:firstLine="359" w:firstLineChars="171"/>
        <w:rPr>
          <w:highlight w:val="none"/>
        </w:rPr>
      </w:pPr>
      <w:r>
        <w:rPr>
          <w:highlight w:val="none"/>
        </w:rPr>
        <w:t>（5）为完成工程需要追加的额外工作。</w:t>
      </w:r>
    </w:p>
    <w:p w14:paraId="5EE7E66B">
      <w:pPr>
        <w:keepNext/>
        <w:keepLines/>
        <w:spacing w:line="400" w:lineRule="exact"/>
        <w:outlineLvl w:val="2"/>
        <w:rPr>
          <w:rFonts w:eastAsia="黑体"/>
          <w:sz w:val="24"/>
          <w:szCs w:val="20"/>
          <w:highlight w:val="none"/>
        </w:rPr>
      </w:pPr>
      <w:bookmarkStart w:id="1198" w:name="_Toc338944801"/>
      <w:bookmarkStart w:id="1199" w:name="_Toc159950709"/>
      <w:bookmarkStart w:id="1200" w:name="_Toc342296359"/>
      <w:bookmarkStart w:id="1201" w:name="_Toc152042486"/>
      <w:bookmarkStart w:id="1202" w:name="_Toc144974677"/>
      <w:bookmarkStart w:id="1203" w:name="_Toc152045708"/>
      <w:bookmarkStart w:id="1204" w:name="_Toc179632726"/>
      <w:r>
        <w:rPr>
          <w:rFonts w:eastAsia="黑体"/>
          <w:sz w:val="24"/>
          <w:szCs w:val="20"/>
          <w:highlight w:val="none"/>
        </w:rPr>
        <w:t>15.2 变更权</w:t>
      </w:r>
      <w:bookmarkEnd w:id="1198"/>
      <w:bookmarkEnd w:id="1199"/>
      <w:bookmarkEnd w:id="1200"/>
      <w:bookmarkEnd w:id="1201"/>
      <w:bookmarkEnd w:id="1202"/>
      <w:bookmarkEnd w:id="1203"/>
      <w:bookmarkEnd w:id="1204"/>
    </w:p>
    <w:p w14:paraId="03F4FA19">
      <w:pPr>
        <w:spacing w:line="400" w:lineRule="exact"/>
        <w:ind w:firstLine="420" w:firstLineChars="200"/>
        <w:rPr>
          <w:highlight w:val="none"/>
        </w:rPr>
      </w:pPr>
      <w:r>
        <w:rPr>
          <w:highlight w:val="none"/>
        </w:rPr>
        <w:t>在履行合同过程中，经发包人同意，监理人可按第15.3款约定的变更程序向承包人作出变更指示，承包人应遵照执行。没有监理人的变更指示，承包人不得擅自变更。</w:t>
      </w:r>
    </w:p>
    <w:p w14:paraId="323A959C">
      <w:pPr>
        <w:keepNext/>
        <w:keepLines/>
        <w:spacing w:line="400" w:lineRule="exact"/>
        <w:outlineLvl w:val="2"/>
        <w:rPr>
          <w:rFonts w:eastAsia="黑体"/>
          <w:sz w:val="24"/>
          <w:szCs w:val="20"/>
          <w:highlight w:val="none"/>
        </w:rPr>
      </w:pPr>
      <w:bookmarkStart w:id="1205" w:name="_Toc338944802"/>
      <w:bookmarkStart w:id="1206" w:name="_Toc159950710"/>
      <w:bookmarkStart w:id="1207" w:name="_Toc342296360"/>
      <w:r>
        <w:rPr>
          <w:rFonts w:eastAsia="黑体"/>
          <w:sz w:val="24"/>
          <w:szCs w:val="20"/>
          <w:highlight w:val="none"/>
        </w:rPr>
        <w:t>15.3 变更程序</w:t>
      </w:r>
      <w:bookmarkEnd w:id="1205"/>
      <w:bookmarkEnd w:id="1206"/>
      <w:bookmarkEnd w:id="1207"/>
    </w:p>
    <w:p w14:paraId="4691EFB7">
      <w:pPr>
        <w:spacing w:line="400" w:lineRule="exact"/>
        <w:ind w:firstLine="420" w:firstLineChars="200"/>
        <w:rPr>
          <w:highlight w:val="none"/>
        </w:rPr>
      </w:pPr>
      <w:r>
        <w:rPr>
          <w:highlight w:val="none"/>
        </w:rPr>
        <w:t xml:space="preserve">15.3.1 </w:t>
      </w:r>
      <w:r>
        <w:rPr>
          <w:rFonts w:hint="eastAsia" w:ascii="宋体" w:hAnsi="宋体" w:cs="宋体"/>
          <w:highlight w:val="none"/>
        </w:rPr>
        <w:t>变更的提出</w:t>
      </w:r>
    </w:p>
    <w:p w14:paraId="455C535F">
      <w:pPr>
        <w:spacing w:line="400" w:lineRule="exact"/>
        <w:ind w:firstLine="420" w:firstLineChars="200"/>
        <w:rPr>
          <w:highlight w:val="none"/>
        </w:rPr>
      </w:pPr>
      <w:r>
        <w:rPr>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50ADB208">
      <w:pPr>
        <w:spacing w:line="400" w:lineRule="exact"/>
        <w:ind w:firstLine="420" w:firstLineChars="200"/>
        <w:rPr>
          <w:highlight w:val="none"/>
        </w:rPr>
      </w:pPr>
      <w:r>
        <w:rPr>
          <w:highlight w:val="none"/>
        </w:rPr>
        <w:t>（2）在合同履行过程中，发生第15.1款约定情形的，监理人应按照第15.3.3项约定向承包人发出变更指示。</w:t>
      </w:r>
    </w:p>
    <w:p w14:paraId="444B346F">
      <w:pPr>
        <w:spacing w:line="400" w:lineRule="exact"/>
        <w:ind w:firstLine="420" w:firstLineChars="200"/>
        <w:rPr>
          <w:highlight w:val="none"/>
        </w:rPr>
      </w:pPr>
      <w:r>
        <w:rPr>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3C695C34">
      <w:pPr>
        <w:spacing w:line="400" w:lineRule="exact"/>
        <w:ind w:firstLine="420" w:firstLineChars="200"/>
        <w:rPr>
          <w:highlight w:val="none"/>
        </w:rPr>
      </w:pPr>
      <w:r>
        <w:rPr>
          <w:highlight w:val="none"/>
        </w:rPr>
        <w:t>（4）若承包人收到监理人的变更意向书后认为难以实施此项变更，应立即通知监理人，说明原因并附详细依据。监理人与承包人和发包人协商后确定撤销、改变或不改变原变更意向书。</w:t>
      </w:r>
    </w:p>
    <w:p w14:paraId="6599FC9A">
      <w:pPr>
        <w:spacing w:line="400" w:lineRule="exact"/>
        <w:ind w:firstLine="420" w:firstLineChars="200"/>
        <w:rPr>
          <w:highlight w:val="none"/>
        </w:rPr>
      </w:pPr>
      <w:r>
        <w:rPr>
          <w:highlight w:val="none"/>
        </w:rPr>
        <w:t xml:space="preserve">15.3.2 </w:t>
      </w:r>
      <w:r>
        <w:rPr>
          <w:rFonts w:hint="eastAsia" w:ascii="宋体" w:hAnsi="宋体" w:cs="宋体"/>
          <w:highlight w:val="none"/>
        </w:rPr>
        <w:t>变更估价</w:t>
      </w:r>
    </w:p>
    <w:p w14:paraId="6EED8B63">
      <w:pPr>
        <w:spacing w:line="400" w:lineRule="exact"/>
        <w:ind w:firstLine="420" w:firstLineChars="200"/>
        <w:rPr>
          <w:highlight w:val="none"/>
        </w:rPr>
      </w:pPr>
      <w:r>
        <w:rPr>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3F4ECBBE">
      <w:pPr>
        <w:spacing w:line="400" w:lineRule="exact"/>
        <w:ind w:firstLine="420" w:firstLineChars="200"/>
        <w:rPr>
          <w:highlight w:val="none"/>
        </w:rPr>
      </w:pPr>
      <w:r>
        <w:rPr>
          <w:highlight w:val="none"/>
        </w:rPr>
        <w:t>（2）变更工作影响工期的，承包人应提出调整工期的具体细节。监理人认为有必要时，可要求承包人提交要求提前或延长工期的施工进度计划及相应施工措施等详细资料。</w:t>
      </w:r>
    </w:p>
    <w:p w14:paraId="76CB53C0">
      <w:pPr>
        <w:spacing w:line="400" w:lineRule="exact"/>
        <w:ind w:firstLine="420" w:firstLineChars="200"/>
        <w:rPr>
          <w:highlight w:val="none"/>
        </w:rPr>
      </w:pPr>
      <w:r>
        <w:rPr>
          <w:highlight w:val="none"/>
        </w:rPr>
        <w:t>（3）除专用合同条款对期限另有约定外，监理人收到承包人变更报价书后的14天内，根据第15.4款约定的估价原则，按照第3.5款商定或确定变更价格。</w:t>
      </w:r>
    </w:p>
    <w:p w14:paraId="2E9DD5F1">
      <w:pPr>
        <w:spacing w:line="400" w:lineRule="exact"/>
        <w:ind w:firstLine="420" w:firstLineChars="200"/>
        <w:rPr>
          <w:highlight w:val="none"/>
        </w:rPr>
      </w:pPr>
      <w:r>
        <w:rPr>
          <w:highlight w:val="none"/>
        </w:rPr>
        <w:t xml:space="preserve">15.3.3 </w:t>
      </w:r>
      <w:r>
        <w:rPr>
          <w:rFonts w:hint="eastAsia" w:ascii="宋体" w:hAnsi="宋体" w:cs="宋体"/>
          <w:highlight w:val="none"/>
        </w:rPr>
        <w:t>变更指示</w:t>
      </w:r>
    </w:p>
    <w:p w14:paraId="42C2B3FB">
      <w:pPr>
        <w:spacing w:line="400" w:lineRule="exact"/>
        <w:ind w:firstLine="420" w:firstLineChars="200"/>
        <w:rPr>
          <w:highlight w:val="none"/>
        </w:rPr>
      </w:pPr>
      <w:r>
        <w:rPr>
          <w:highlight w:val="none"/>
        </w:rPr>
        <w:t>（1）变更指示只能由监理人发出。</w:t>
      </w:r>
    </w:p>
    <w:p w14:paraId="00283E4F">
      <w:pPr>
        <w:spacing w:line="400" w:lineRule="exact"/>
        <w:ind w:firstLine="420" w:firstLineChars="200"/>
        <w:rPr>
          <w:highlight w:val="none"/>
        </w:rPr>
      </w:pPr>
      <w:r>
        <w:rPr>
          <w:highlight w:val="none"/>
        </w:rPr>
        <w:t>（2）变更指示应说明变更的目的、范围、变更内容以及变更的工程量及其进度和技术要求，并附有关图纸和文件。承包人收到变更指示后，应按变更指示进行变更工作。</w:t>
      </w:r>
    </w:p>
    <w:p w14:paraId="6BE4CD85">
      <w:pPr>
        <w:keepNext/>
        <w:keepLines/>
        <w:spacing w:line="400" w:lineRule="exact"/>
        <w:outlineLvl w:val="2"/>
        <w:rPr>
          <w:rFonts w:eastAsia="黑体"/>
          <w:sz w:val="24"/>
          <w:szCs w:val="20"/>
          <w:highlight w:val="none"/>
        </w:rPr>
      </w:pPr>
      <w:bookmarkStart w:id="1208" w:name="_Toc338944803"/>
      <w:bookmarkStart w:id="1209" w:name="_Toc159950711"/>
      <w:bookmarkStart w:id="1210" w:name="_Toc342296361"/>
      <w:r>
        <w:rPr>
          <w:rFonts w:eastAsia="黑体"/>
          <w:sz w:val="24"/>
          <w:szCs w:val="20"/>
          <w:highlight w:val="none"/>
        </w:rPr>
        <w:t>15.4 变更的估价原则</w:t>
      </w:r>
      <w:bookmarkEnd w:id="1208"/>
      <w:bookmarkEnd w:id="1209"/>
      <w:bookmarkEnd w:id="1210"/>
    </w:p>
    <w:p w14:paraId="7E514DD7">
      <w:pPr>
        <w:spacing w:line="400" w:lineRule="exact"/>
        <w:ind w:firstLine="420" w:firstLineChars="200"/>
        <w:rPr>
          <w:highlight w:val="none"/>
        </w:rPr>
      </w:pPr>
      <w:r>
        <w:rPr>
          <w:highlight w:val="none"/>
        </w:rPr>
        <w:t>除专用合同条款另有约定外，因变更引起的价格调整按照本款约定处理。</w:t>
      </w:r>
    </w:p>
    <w:p w14:paraId="5B3FE91F">
      <w:pPr>
        <w:spacing w:line="400" w:lineRule="exact"/>
        <w:ind w:firstLine="420" w:firstLineChars="200"/>
        <w:rPr>
          <w:highlight w:val="none"/>
        </w:rPr>
      </w:pPr>
      <w:r>
        <w:rPr>
          <w:highlight w:val="none"/>
        </w:rPr>
        <w:t>15.4.1 已标价工程量清单中有适用于变更工作的子目的，采用该子目的单价。</w:t>
      </w:r>
    </w:p>
    <w:p w14:paraId="3FDAA3FE">
      <w:pPr>
        <w:spacing w:line="400" w:lineRule="exact"/>
        <w:ind w:firstLine="420" w:firstLineChars="200"/>
        <w:rPr>
          <w:highlight w:val="none"/>
        </w:rPr>
      </w:pPr>
      <w:r>
        <w:rPr>
          <w:highlight w:val="none"/>
        </w:rPr>
        <w:t>15.4.2 已标价工程量清单中无适用于变更工作的子目，但有类似子目的，可在合理范围内参照类似子目的单价，由监理人按第3.5款商定或确定变更工作的单价。</w:t>
      </w:r>
    </w:p>
    <w:p w14:paraId="51574C93">
      <w:pPr>
        <w:spacing w:line="400" w:lineRule="exact"/>
        <w:ind w:firstLine="420" w:firstLineChars="200"/>
        <w:rPr>
          <w:highlight w:val="none"/>
        </w:rPr>
      </w:pPr>
      <w:r>
        <w:rPr>
          <w:highlight w:val="none"/>
        </w:rPr>
        <w:t>15.4.3 已标价工程量清单中无适用或类似子目的单价，可按照成本加利润的原则，由监理人按第3.5款商定或确定变更工作的单价。</w:t>
      </w:r>
    </w:p>
    <w:p w14:paraId="326D4FF3">
      <w:pPr>
        <w:keepNext/>
        <w:keepLines/>
        <w:spacing w:line="400" w:lineRule="exact"/>
        <w:outlineLvl w:val="2"/>
        <w:rPr>
          <w:rFonts w:eastAsia="黑体"/>
          <w:sz w:val="24"/>
          <w:szCs w:val="20"/>
          <w:highlight w:val="none"/>
        </w:rPr>
      </w:pPr>
      <w:bookmarkStart w:id="1211" w:name="_Toc159950712"/>
      <w:bookmarkStart w:id="1212" w:name="_Toc342296362"/>
      <w:bookmarkStart w:id="1213" w:name="_Toc338944804"/>
      <w:r>
        <w:rPr>
          <w:rFonts w:eastAsia="黑体"/>
          <w:sz w:val="24"/>
          <w:szCs w:val="20"/>
          <w:highlight w:val="none"/>
        </w:rPr>
        <w:t>15.5 承包人的合理化建议</w:t>
      </w:r>
      <w:bookmarkEnd w:id="1211"/>
      <w:bookmarkEnd w:id="1212"/>
      <w:bookmarkEnd w:id="1213"/>
    </w:p>
    <w:p w14:paraId="73E623CD">
      <w:pPr>
        <w:spacing w:line="400" w:lineRule="exact"/>
        <w:ind w:firstLine="420" w:firstLineChars="200"/>
        <w:rPr>
          <w:highlight w:val="none"/>
        </w:rPr>
      </w:pPr>
      <w:r>
        <w:rPr>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0A0DB81E">
      <w:pPr>
        <w:spacing w:line="400" w:lineRule="exact"/>
        <w:ind w:firstLine="420" w:firstLineChars="200"/>
        <w:rPr>
          <w:highlight w:val="none"/>
        </w:rPr>
      </w:pPr>
      <w:r>
        <w:rPr>
          <w:highlight w:val="none"/>
        </w:rPr>
        <w:t>15.5.2 承包人提出的合理化建议降低了合同价格、缩短了工期或者提高了工程经济效益的，发包人可按国家有关规定在专用合同条款中约定给予奖励。</w:t>
      </w:r>
    </w:p>
    <w:p w14:paraId="14B674B5">
      <w:pPr>
        <w:keepNext/>
        <w:keepLines/>
        <w:spacing w:line="400" w:lineRule="exact"/>
        <w:outlineLvl w:val="2"/>
        <w:rPr>
          <w:rFonts w:eastAsia="黑体"/>
          <w:sz w:val="24"/>
          <w:szCs w:val="20"/>
          <w:highlight w:val="none"/>
        </w:rPr>
      </w:pPr>
      <w:bookmarkStart w:id="1214" w:name="_Toc342296363"/>
      <w:bookmarkStart w:id="1215" w:name="_Toc152045712"/>
      <w:bookmarkStart w:id="1216" w:name="_Toc144974681"/>
      <w:bookmarkStart w:id="1217" w:name="_Toc179632730"/>
      <w:bookmarkStart w:id="1218" w:name="_Toc152042490"/>
      <w:bookmarkStart w:id="1219" w:name="_Toc159950713"/>
      <w:bookmarkStart w:id="1220" w:name="_Toc338944805"/>
      <w:r>
        <w:rPr>
          <w:rFonts w:eastAsia="黑体"/>
          <w:sz w:val="24"/>
          <w:szCs w:val="20"/>
          <w:highlight w:val="none"/>
        </w:rPr>
        <w:t>15.6 暂列金额</w:t>
      </w:r>
      <w:bookmarkEnd w:id="1214"/>
      <w:bookmarkEnd w:id="1215"/>
      <w:bookmarkEnd w:id="1216"/>
      <w:bookmarkEnd w:id="1217"/>
      <w:bookmarkEnd w:id="1218"/>
      <w:bookmarkEnd w:id="1219"/>
      <w:bookmarkEnd w:id="1220"/>
    </w:p>
    <w:p w14:paraId="64C77AF3">
      <w:pPr>
        <w:spacing w:line="400" w:lineRule="exact"/>
        <w:ind w:firstLine="420" w:firstLineChars="200"/>
        <w:rPr>
          <w:highlight w:val="none"/>
        </w:rPr>
      </w:pPr>
      <w:r>
        <w:rPr>
          <w:highlight w:val="none"/>
        </w:rPr>
        <w:t>暂列金额只能按照监理人的指示使用，并对合同价格进行相应调整。</w:t>
      </w:r>
    </w:p>
    <w:p w14:paraId="7A813388">
      <w:pPr>
        <w:keepNext/>
        <w:keepLines/>
        <w:spacing w:line="400" w:lineRule="exact"/>
        <w:outlineLvl w:val="2"/>
        <w:rPr>
          <w:rFonts w:eastAsia="黑体"/>
          <w:sz w:val="24"/>
          <w:szCs w:val="20"/>
          <w:highlight w:val="none"/>
        </w:rPr>
      </w:pPr>
      <w:bookmarkStart w:id="1221" w:name="_Toc159950714"/>
      <w:bookmarkStart w:id="1222" w:name="_Toc179632731"/>
      <w:bookmarkStart w:id="1223" w:name="_Toc152042491"/>
      <w:bookmarkStart w:id="1224" w:name="_Toc152045713"/>
      <w:bookmarkStart w:id="1225" w:name="_Toc338944806"/>
      <w:bookmarkStart w:id="1226" w:name="_Toc144974682"/>
      <w:bookmarkStart w:id="1227" w:name="_Toc342296364"/>
      <w:r>
        <w:rPr>
          <w:rFonts w:eastAsia="黑体"/>
          <w:sz w:val="24"/>
          <w:szCs w:val="20"/>
          <w:highlight w:val="none"/>
        </w:rPr>
        <w:t>15.7 计日工</w:t>
      </w:r>
      <w:bookmarkEnd w:id="1221"/>
      <w:bookmarkEnd w:id="1222"/>
      <w:bookmarkEnd w:id="1223"/>
      <w:bookmarkEnd w:id="1224"/>
      <w:bookmarkEnd w:id="1225"/>
      <w:bookmarkEnd w:id="1226"/>
      <w:bookmarkEnd w:id="1227"/>
    </w:p>
    <w:p w14:paraId="618B7787">
      <w:pPr>
        <w:spacing w:line="400" w:lineRule="exact"/>
        <w:ind w:firstLine="420" w:firstLineChars="200"/>
        <w:rPr>
          <w:highlight w:val="none"/>
          <w:shd w:val="pct10" w:color="auto" w:fill="FFFFFF"/>
        </w:rPr>
      </w:pPr>
      <w:r>
        <w:rPr>
          <w:highlight w:val="none"/>
        </w:rPr>
        <w:t>15.7.1 发包人认为有必要时，</w:t>
      </w:r>
      <w:r>
        <w:rPr>
          <w:szCs w:val="21"/>
          <w:highlight w:val="none"/>
        </w:rPr>
        <w:t>由</w:t>
      </w:r>
      <w:r>
        <w:rPr>
          <w:highlight w:val="none"/>
        </w:rPr>
        <w:t>监理人通知承包人以计日工方式实施变更的零星工作。其价款按列入已标价工程量清单中的计日工计价子目及其单价进行计算。</w:t>
      </w:r>
    </w:p>
    <w:p w14:paraId="4FFC12D9">
      <w:pPr>
        <w:spacing w:line="400" w:lineRule="exact"/>
        <w:ind w:firstLine="420" w:firstLineChars="200"/>
        <w:rPr>
          <w:highlight w:val="none"/>
        </w:rPr>
      </w:pPr>
      <w:r>
        <w:rPr>
          <w:highlight w:val="none"/>
        </w:rPr>
        <w:t>15.7.2 采用计日工计价的任何一项变更工作，应从暂列金额中支付，承包人应在该项变更的实施过程中，每天提交以下报表和有关凭证报送监理人审批：</w:t>
      </w:r>
    </w:p>
    <w:p w14:paraId="3259EF5D">
      <w:pPr>
        <w:spacing w:line="400" w:lineRule="exact"/>
        <w:ind w:firstLine="718" w:firstLineChars="342"/>
        <w:rPr>
          <w:highlight w:val="none"/>
        </w:rPr>
      </w:pPr>
      <w:r>
        <w:rPr>
          <w:highlight w:val="none"/>
        </w:rPr>
        <w:t>（1）工作名称、内容和数量；</w:t>
      </w:r>
    </w:p>
    <w:p w14:paraId="447A5164">
      <w:pPr>
        <w:spacing w:line="400" w:lineRule="exact"/>
        <w:ind w:firstLine="718" w:firstLineChars="342"/>
        <w:rPr>
          <w:highlight w:val="none"/>
        </w:rPr>
      </w:pPr>
      <w:r>
        <w:rPr>
          <w:highlight w:val="none"/>
        </w:rPr>
        <w:t>（2）投入该工作所有人员的姓名、工种、级别和耗用工时；</w:t>
      </w:r>
    </w:p>
    <w:p w14:paraId="698215D5">
      <w:pPr>
        <w:spacing w:line="400" w:lineRule="exact"/>
        <w:ind w:firstLine="718" w:firstLineChars="342"/>
        <w:rPr>
          <w:highlight w:val="none"/>
        </w:rPr>
      </w:pPr>
      <w:r>
        <w:rPr>
          <w:highlight w:val="none"/>
        </w:rPr>
        <w:t>（3）投入该工作的材料类别和数量；</w:t>
      </w:r>
    </w:p>
    <w:p w14:paraId="1F5379F5">
      <w:pPr>
        <w:spacing w:line="400" w:lineRule="exact"/>
        <w:ind w:firstLine="718" w:firstLineChars="342"/>
        <w:rPr>
          <w:highlight w:val="none"/>
        </w:rPr>
      </w:pPr>
      <w:r>
        <w:rPr>
          <w:highlight w:val="none"/>
        </w:rPr>
        <w:t>（4）投入该工作的施工设备型号、台数和耗用台时；</w:t>
      </w:r>
    </w:p>
    <w:p w14:paraId="35364C4A">
      <w:pPr>
        <w:spacing w:line="400" w:lineRule="exact"/>
        <w:ind w:firstLine="718" w:firstLineChars="342"/>
        <w:rPr>
          <w:highlight w:val="none"/>
        </w:rPr>
      </w:pPr>
      <w:r>
        <w:rPr>
          <w:highlight w:val="none"/>
        </w:rPr>
        <w:t>（5）监理人要求提交的其他资料和凭证。</w:t>
      </w:r>
    </w:p>
    <w:p w14:paraId="75D350A9">
      <w:pPr>
        <w:spacing w:line="400" w:lineRule="exact"/>
        <w:ind w:firstLine="420" w:firstLineChars="200"/>
        <w:rPr>
          <w:highlight w:val="none"/>
        </w:rPr>
      </w:pPr>
      <w:r>
        <w:rPr>
          <w:highlight w:val="none"/>
        </w:rPr>
        <w:t>15.7.3 计日工由承包人汇总后，按第17.3.2项的约定列入进度付款申请单，由监理人复核并经发包人同意后列入进度付款。</w:t>
      </w:r>
    </w:p>
    <w:p w14:paraId="65CC4375">
      <w:pPr>
        <w:keepNext/>
        <w:keepLines/>
        <w:spacing w:line="400" w:lineRule="exact"/>
        <w:outlineLvl w:val="2"/>
        <w:rPr>
          <w:rFonts w:eastAsia="黑体"/>
          <w:sz w:val="24"/>
          <w:szCs w:val="20"/>
          <w:highlight w:val="none"/>
        </w:rPr>
      </w:pPr>
      <w:bookmarkStart w:id="1228" w:name="_Toc338944807"/>
      <w:bookmarkStart w:id="1229" w:name="_Toc342296365"/>
      <w:bookmarkStart w:id="1230" w:name="_Toc159950715"/>
      <w:r>
        <w:rPr>
          <w:rFonts w:eastAsia="黑体"/>
          <w:sz w:val="24"/>
          <w:szCs w:val="20"/>
          <w:highlight w:val="none"/>
        </w:rPr>
        <w:t>15.8 暂估价</w:t>
      </w:r>
      <w:bookmarkEnd w:id="1228"/>
      <w:bookmarkEnd w:id="1229"/>
      <w:bookmarkEnd w:id="1230"/>
    </w:p>
    <w:p w14:paraId="0E22AA65">
      <w:pPr>
        <w:spacing w:line="400" w:lineRule="exact"/>
        <w:rPr>
          <w:highlight w:val="none"/>
        </w:rPr>
      </w:pPr>
      <w:r>
        <w:rPr>
          <w:highlight w:val="none"/>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12812F7D">
      <w:pPr>
        <w:spacing w:line="400" w:lineRule="exact"/>
        <w:ind w:firstLine="420" w:firstLineChars="200"/>
        <w:rPr>
          <w:highlight w:val="none"/>
        </w:rPr>
      </w:pPr>
      <w:r>
        <w:rPr>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211A25EA">
      <w:pPr>
        <w:spacing w:line="400" w:lineRule="exact"/>
        <w:ind w:firstLine="420" w:firstLineChars="200"/>
        <w:rPr>
          <w:highlight w:val="none"/>
        </w:rPr>
      </w:pPr>
      <w:r>
        <w:rPr>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37560E8E">
      <w:pPr>
        <w:keepNext/>
        <w:keepLines/>
        <w:spacing w:line="400" w:lineRule="exact"/>
        <w:outlineLvl w:val="1"/>
        <w:rPr>
          <w:rFonts w:eastAsia="黑体" w:cs="仿宋_GB2312"/>
          <w:sz w:val="28"/>
          <w:szCs w:val="20"/>
          <w:highlight w:val="none"/>
        </w:rPr>
      </w:pPr>
      <w:bookmarkStart w:id="1231" w:name="_Toc159950716"/>
      <w:bookmarkStart w:id="1232" w:name="_Toc469660032"/>
      <w:bookmarkStart w:id="1233" w:name="_Toc442365629"/>
      <w:bookmarkStart w:id="1234" w:name="_Toc448758437"/>
      <w:bookmarkStart w:id="1235" w:name="_Toc342296366"/>
      <w:bookmarkStart w:id="1236" w:name="_Toc448758537"/>
      <w:bookmarkStart w:id="1237" w:name="_Toc338944808"/>
      <w:r>
        <w:rPr>
          <w:rFonts w:eastAsia="黑体" w:cs="仿宋_GB2312"/>
          <w:sz w:val="28"/>
          <w:szCs w:val="20"/>
          <w:highlight w:val="none"/>
        </w:rPr>
        <w:t>16. 价格调整</w:t>
      </w:r>
      <w:bookmarkEnd w:id="1231"/>
      <w:bookmarkEnd w:id="1232"/>
      <w:bookmarkEnd w:id="1233"/>
      <w:bookmarkEnd w:id="1234"/>
      <w:bookmarkEnd w:id="1235"/>
      <w:bookmarkEnd w:id="1236"/>
      <w:bookmarkEnd w:id="1237"/>
    </w:p>
    <w:p w14:paraId="3D56723C">
      <w:pPr>
        <w:keepNext/>
        <w:keepLines/>
        <w:spacing w:line="400" w:lineRule="exact"/>
        <w:outlineLvl w:val="2"/>
        <w:rPr>
          <w:rFonts w:eastAsia="黑体"/>
          <w:sz w:val="24"/>
          <w:szCs w:val="20"/>
          <w:highlight w:val="none"/>
        </w:rPr>
      </w:pPr>
      <w:bookmarkStart w:id="1238" w:name="_Toc338944809"/>
      <w:bookmarkStart w:id="1239" w:name="_Toc342296367"/>
      <w:bookmarkStart w:id="1240" w:name="_Toc159950717"/>
      <w:r>
        <w:rPr>
          <w:rFonts w:eastAsia="黑体"/>
          <w:sz w:val="24"/>
          <w:szCs w:val="20"/>
          <w:highlight w:val="none"/>
        </w:rPr>
        <w:t>16.1 物价波动引起的价格调整</w:t>
      </w:r>
      <w:bookmarkEnd w:id="1238"/>
      <w:bookmarkEnd w:id="1239"/>
      <w:bookmarkEnd w:id="1240"/>
    </w:p>
    <w:p w14:paraId="3C16F036">
      <w:pPr>
        <w:rPr>
          <w:highlight w:val="none"/>
        </w:rPr>
      </w:pPr>
      <w:r>
        <w:rPr>
          <w:highlight w:val="none"/>
        </w:rPr>
        <w:t>除专用合同条款另有约定外，因物价波动引起的价格调整按照本款约定处理。</w:t>
      </w:r>
    </w:p>
    <w:p w14:paraId="22324A3F">
      <w:pPr>
        <w:rPr>
          <w:highlight w:val="none"/>
        </w:rPr>
      </w:pPr>
      <w:r>
        <w:rPr>
          <w:highlight w:val="none"/>
        </w:rPr>
        <w:t xml:space="preserve">16.1.1 </w:t>
      </w:r>
      <w:r>
        <w:rPr>
          <w:rFonts w:hint="eastAsia" w:ascii="宋体" w:hAnsi="宋体" w:cs="宋体"/>
          <w:highlight w:val="none"/>
        </w:rPr>
        <w:t>采用价格指数调整价格差额</w:t>
      </w:r>
    </w:p>
    <w:p w14:paraId="5CCF3F07">
      <w:pPr>
        <w:rPr>
          <w:highlight w:val="none"/>
        </w:rPr>
      </w:pPr>
      <w:r>
        <w:rPr>
          <w:highlight w:val="none"/>
        </w:rPr>
        <w:t>16.1.1.1 价格调整公式</w:t>
      </w:r>
    </w:p>
    <w:p w14:paraId="0E31E25C">
      <w:pPr>
        <w:rPr>
          <w:highlight w:val="none"/>
        </w:rPr>
      </w:pPr>
      <w:r>
        <w:rPr>
          <w:highlight w:val="none"/>
        </w:rPr>
        <w:t>因人工、材料和设备等价格波动影响合同价格时，根据投标函附录中的价格指数和权重表约定的数据，按以下公式计算差额并调整合同价格。</w:t>
      </w:r>
    </w:p>
    <w:p w14:paraId="56DE52A2">
      <w:pPr>
        <w:rPr>
          <w:highlight w:val="none"/>
        </w:rPr>
      </w:pPr>
      <w:r>
        <w:rPr>
          <w:b/>
          <w:bCs/>
          <w:kern w:val="0"/>
          <w:sz w:val="19"/>
          <w:szCs w:val="19"/>
          <w:highlight w:val="none"/>
          <w:lang w:val="zh-CN"/>
        </w:rPr>
        <w:t xml:space="preserve">        </w:t>
      </w:r>
      <w:r>
        <w:rPr>
          <w:position w:val="-34"/>
          <w:highlight w:val="none"/>
        </w:rPr>
        <w:drawing>
          <wp:inline distT="0" distB="0" distL="0" distR="0">
            <wp:extent cx="3892550" cy="5080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3892550" cy="508000"/>
                    </a:xfrm>
                    <a:prstGeom prst="rect">
                      <a:avLst/>
                    </a:prstGeom>
                    <a:noFill/>
                    <a:ln>
                      <a:noFill/>
                    </a:ln>
                  </pic:spPr>
                </pic:pic>
              </a:graphicData>
            </a:graphic>
          </wp:inline>
        </w:drawing>
      </w:r>
    </w:p>
    <w:p w14:paraId="0F5762D7">
      <w:pPr>
        <w:rPr>
          <w:highlight w:val="none"/>
        </w:rPr>
      </w:pPr>
      <w:r>
        <w:rPr>
          <w:highlight w:val="none"/>
        </w:rPr>
        <w:t xml:space="preserve"> </w:t>
      </w:r>
    </w:p>
    <w:p w14:paraId="51EEC1B8">
      <w:pPr>
        <w:rPr>
          <w:highlight w:val="none"/>
        </w:rPr>
      </w:pPr>
      <w:r>
        <w:rPr>
          <w:highlight w:val="none"/>
        </w:rPr>
        <w:t xml:space="preserve">式中： </w:t>
      </w:r>
      <w:r>
        <w:rPr>
          <w:rFonts w:hint="eastAsia" w:ascii="Cambria" w:hAnsi="Cambria" w:cs="Cambria"/>
          <w:highlight w:val="none"/>
        </w:rPr>
        <w:t>△</w:t>
      </w:r>
      <w:r>
        <w:rPr>
          <w:highlight w:val="none"/>
        </w:rPr>
        <w:t>P -- 需调整的价格差额；</w:t>
      </w:r>
    </w:p>
    <w:p w14:paraId="36CC61DA">
      <w:pPr>
        <w:rPr>
          <w:highlight w:val="none"/>
        </w:rPr>
      </w:pPr>
      <w:r>
        <w:rPr>
          <w:highlight w:val="none"/>
        </w:rPr>
        <w:tab/>
      </w:r>
      <w:r>
        <w:rPr>
          <w:highlight w:val="none"/>
        </w:rPr>
        <w:t>P</w:t>
      </w:r>
      <w:r>
        <w:rPr>
          <w:szCs w:val="21"/>
          <w:highlight w:val="none"/>
          <w:vertAlign w:val="subscript"/>
        </w:rPr>
        <w:t>0</w:t>
      </w:r>
      <w:r>
        <w:rPr>
          <w:highlight w:val="non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7D3FA112">
      <w:pPr>
        <w:rPr>
          <w:highlight w:val="none"/>
        </w:rPr>
      </w:pPr>
      <w:r>
        <w:rPr>
          <w:highlight w:val="none"/>
        </w:rPr>
        <w:tab/>
      </w:r>
      <w:bookmarkStart w:id="1241" w:name="_Toc152042495"/>
      <w:bookmarkStart w:id="1242" w:name="_Toc144974686"/>
      <w:r>
        <w:rPr>
          <w:highlight w:val="none"/>
        </w:rPr>
        <w:t>A -- 定值权重(即不调部分的权重)；</w:t>
      </w:r>
      <w:bookmarkEnd w:id="1241"/>
      <w:bookmarkEnd w:id="1242"/>
    </w:p>
    <w:p w14:paraId="017735BD">
      <w:pPr>
        <w:rPr>
          <w:highlight w:val="none"/>
        </w:rPr>
      </w:pPr>
      <w:r>
        <w:rPr>
          <w:highlight w:val="none"/>
        </w:rPr>
        <w:tab/>
      </w:r>
      <w:r>
        <w:rPr>
          <w:highlight w:val="none"/>
        </w:rPr>
        <w:t>B</w:t>
      </w:r>
      <w:r>
        <w:rPr>
          <w:szCs w:val="21"/>
          <w:highlight w:val="none"/>
          <w:vertAlign w:val="subscript"/>
        </w:rPr>
        <w:t>1</w:t>
      </w:r>
      <w:r>
        <w:rPr>
          <w:sz w:val="15"/>
          <w:szCs w:val="15"/>
          <w:highlight w:val="none"/>
        </w:rPr>
        <w:t>;</w:t>
      </w:r>
      <w:r>
        <w:rPr>
          <w:highlight w:val="none"/>
        </w:rPr>
        <w:t xml:space="preserve"> B</w:t>
      </w:r>
      <w:r>
        <w:rPr>
          <w:szCs w:val="21"/>
          <w:highlight w:val="none"/>
          <w:vertAlign w:val="subscript"/>
        </w:rPr>
        <w:t>2</w:t>
      </w:r>
      <w:r>
        <w:rPr>
          <w:highlight w:val="none"/>
        </w:rPr>
        <w:t xml:space="preserve"> ;B</w:t>
      </w:r>
      <w:r>
        <w:rPr>
          <w:szCs w:val="21"/>
          <w:highlight w:val="none"/>
          <w:vertAlign w:val="subscript"/>
        </w:rPr>
        <w:t>3</w:t>
      </w:r>
      <w:r>
        <w:rPr>
          <w:sz w:val="15"/>
          <w:szCs w:val="15"/>
          <w:highlight w:val="none"/>
        </w:rPr>
        <w:t>·····</w:t>
      </w:r>
      <w:r>
        <w:rPr>
          <w:highlight w:val="none"/>
        </w:rPr>
        <w:t>B</w:t>
      </w:r>
      <w:r>
        <w:rPr>
          <w:szCs w:val="21"/>
          <w:highlight w:val="none"/>
          <w:vertAlign w:val="subscript"/>
        </w:rPr>
        <w:t>n</w:t>
      </w:r>
      <w:r>
        <w:rPr>
          <w:highlight w:val="none"/>
        </w:rPr>
        <w:t xml:space="preserve"> -- 各可调因子的变值权重(即可调部分的权重)为各可调因子在投标函投标总报价中所占的比例；</w:t>
      </w:r>
    </w:p>
    <w:p w14:paraId="3ACAF352">
      <w:pPr>
        <w:rPr>
          <w:highlight w:val="none"/>
        </w:rPr>
      </w:pPr>
      <w:r>
        <w:rPr>
          <w:highlight w:val="none"/>
        </w:rPr>
        <w:tab/>
      </w:r>
      <w:r>
        <w:rPr>
          <w:highlight w:val="none"/>
        </w:rPr>
        <w:t>F</w:t>
      </w:r>
      <w:r>
        <w:rPr>
          <w:szCs w:val="21"/>
          <w:highlight w:val="none"/>
          <w:vertAlign w:val="subscript"/>
        </w:rPr>
        <w:t>t1</w:t>
      </w:r>
      <w:r>
        <w:rPr>
          <w:highlight w:val="none"/>
        </w:rPr>
        <w:t xml:space="preserve"> ;F</w:t>
      </w:r>
      <w:r>
        <w:rPr>
          <w:szCs w:val="21"/>
          <w:highlight w:val="none"/>
          <w:vertAlign w:val="subscript"/>
        </w:rPr>
        <w:t>t2</w:t>
      </w:r>
      <w:r>
        <w:rPr>
          <w:highlight w:val="none"/>
        </w:rPr>
        <w:t xml:space="preserve"> ;F</w:t>
      </w:r>
      <w:r>
        <w:rPr>
          <w:szCs w:val="21"/>
          <w:highlight w:val="none"/>
          <w:vertAlign w:val="subscript"/>
        </w:rPr>
        <w:t>t3</w:t>
      </w:r>
      <w:r>
        <w:rPr>
          <w:sz w:val="15"/>
          <w:szCs w:val="15"/>
          <w:highlight w:val="none"/>
        </w:rPr>
        <w:t>·····</w:t>
      </w:r>
      <w:r>
        <w:rPr>
          <w:highlight w:val="none"/>
        </w:rPr>
        <w:t>F</w:t>
      </w:r>
      <w:r>
        <w:rPr>
          <w:szCs w:val="21"/>
          <w:highlight w:val="none"/>
          <w:vertAlign w:val="subscript"/>
        </w:rPr>
        <w:t>tn</w:t>
      </w:r>
      <w:r>
        <w:rPr>
          <w:highlight w:val="none"/>
        </w:rPr>
        <w:t xml:space="preserve"> -- 各可调因子的现行价格指数，指第17.3.3项、第17.5.2项和第17.6.2项约定的付款证书相关周期最后一天的前42天的各可调因子的价格指数；</w:t>
      </w:r>
    </w:p>
    <w:p w14:paraId="6BEB3B5D">
      <w:pPr>
        <w:rPr>
          <w:highlight w:val="none"/>
        </w:rPr>
      </w:pPr>
      <w:r>
        <w:rPr>
          <w:highlight w:val="none"/>
        </w:rPr>
        <w:tab/>
      </w:r>
      <w:r>
        <w:rPr>
          <w:highlight w:val="none"/>
        </w:rPr>
        <w:t>F</w:t>
      </w:r>
      <w:r>
        <w:rPr>
          <w:szCs w:val="21"/>
          <w:highlight w:val="none"/>
          <w:vertAlign w:val="subscript"/>
        </w:rPr>
        <w:t>o1</w:t>
      </w:r>
      <w:r>
        <w:rPr>
          <w:highlight w:val="none"/>
        </w:rPr>
        <w:t>; F</w:t>
      </w:r>
      <w:r>
        <w:rPr>
          <w:szCs w:val="21"/>
          <w:highlight w:val="none"/>
          <w:vertAlign w:val="subscript"/>
        </w:rPr>
        <w:t>o2</w:t>
      </w:r>
      <w:r>
        <w:rPr>
          <w:sz w:val="15"/>
          <w:szCs w:val="15"/>
          <w:highlight w:val="none"/>
        </w:rPr>
        <w:t>;</w:t>
      </w:r>
      <w:r>
        <w:rPr>
          <w:highlight w:val="none"/>
        </w:rPr>
        <w:t xml:space="preserve"> F</w:t>
      </w:r>
      <w:r>
        <w:rPr>
          <w:szCs w:val="21"/>
          <w:highlight w:val="none"/>
          <w:vertAlign w:val="subscript"/>
        </w:rPr>
        <w:t>o3</w:t>
      </w:r>
      <w:r>
        <w:rPr>
          <w:sz w:val="15"/>
          <w:szCs w:val="15"/>
          <w:highlight w:val="none"/>
        </w:rPr>
        <w:t>·····</w:t>
      </w:r>
      <w:r>
        <w:rPr>
          <w:highlight w:val="none"/>
        </w:rPr>
        <w:t>F</w:t>
      </w:r>
      <w:r>
        <w:rPr>
          <w:szCs w:val="21"/>
          <w:highlight w:val="none"/>
          <w:vertAlign w:val="subscript"/>
        </w:rPr>
        <w:t>on</w:t>
      </w:r>
      <w:r>
        <w:rPr>
          <w:highlight w:val="none"/>
        </w:rPr>
        <w:t xml:space="preserve"> -- 各可调因子的基本价格指数，指基准日期的各可调因子的价格指数。</w:t>
      </w:r>
    </w:p>
    <w:p w14:paraId="21D0E524">
      <w:pPr>
        <w:rPr>
          <w:highlight w:val="none"/>
        </w:rPr>
      </w:pPr>
      <w:r>
        <w:rPr>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325C3524">
      <w:pPr>
        <w:rPr>
          <w:highlight w:val="none"/>
        </w:rPr>
      </w:pPr>
      <w:r>
        <w:rPr>
          <w:highlight w:val="none"/>
        </w:rPr>
        <w:t>16.1.1.2 暂时确定调整差额</w:t>
      </w:r>
    </w:p>
    <w:p w14:paraId="39115EAE">
      <w:pPr>
        <w:rPr>
          <w:highlight w:val="none"/>
        </w:rPr>
      </w:pPr>
      <w:r>
        <w:rPr>
          <w:highlight w:val="none"/>
        </w:rPr>
        <w:t>在计算调整差额时得不到现行价格指数的，可暂用上一次价格指数计算，并在以后的付款中再按实际价格指数进行调整。</w:t>
      </w:r>
    </w:p>
    <w:p w14:paraId="615FC0FE">
      <w:pPr>
        <w:rPr>
          <w:highlight w:val="none"/>
        </w:rPr>
      </w:pPr>
      <w:r>
        <w:rPr>
          <w:highlight w:val="none"/>
        </w:rPr>
        <w:t>16.1.1.3 权重的调整</w:t>
      </w:r>
    </w:p>
    <w:p w14:paraId="5AB8E2AF">
      <w:pPr>
        <w:rPr>
          <w:highlight w:val="none"/>
        </w:rPr>
      </w:pPr>
      <w:r>
        <w:rPr>
          <w:highlight w:val="none"/>
        </w:rPr>
        <w:t>按第15.1款约定的变更导致原定合同中的权重不合理时，由监理人与承包人和发包人协商后进行调整。</w:t>
      </w:r>
    </w:p>
    <w:p w14:paraId="7801090E">
      <w:pPr>
        <w:rPr>
          <w:highlight w:val="none"/>
        </w:rPr>
      </w:pPr>
      <w:r>
        <w:rPr>
          <w:highlight w:val="none"/>
        </w:rPr>
        <w:t>16.1.1.4 承包人工期延误后的价格调整</w:t>
      </w:r>
    </w:p>
    <w:p w14:paraId="57410D9D">
      <w:pPr>
        <w:rPr>
          <w:highlight w:val="none"/>
        </w:rPr>
      </w:pPr>
      <w:r>
        <w:rPr>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380A540B">
      <w:pPr>
        <w:rPr>
          <w:rFonts w:eastAsia="Cambria"/>
          <w:highlight w:val="none"/>
        </w:rPr>
      </w:pPr>
      <w:r>
        <w:rPr>
          <w:rFonts w:eastAsia="Cambria"/>
          <w:highlight w:val="none"/>
        </w:rPr>
        <w:t xml:space="preserve">16.1.2 </w:t>
      </w:r>
      <w:r>
        <w:rPr>
          <w:rFonts w:hint="eastAsia" w:ascii="宋体" w:hAnsi="宋体" w:cs="宋体"/>
          <w:highlight w:val="none"/>
        </w:rPr>
        <w:t>采用造价信息调整价格差额</w:t>
      </w:r>
    </w:p>
    <w:p w14:paraId="050A7D55">
      <w:pPr>
        <w:rPr>
          <w:highlight w:val="none"/>
        </w:rPr>
      </w:pPr>
      <w:r>
        <w:rPr>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54F47369">
      <w:pPr>
        <w:keepNext/>
        <w:keepLines/>
        <w:spacing w:line="400" w:lineRule="exact"/>
        <w:outlineLvl w:val="2"/>
        <w:rPr>
          <w:rFonts w:eastAsia="黑体"/>
          <w:sz w:val="24"/>
          <w:szCs w:val="20"/>
          <w:highlight w:val="none"/>
        </w:rPr>
      </w:pPr>
      <w:bookmarkStart w:id="1243" w:name="_Toc152042496"/>
      <w:bookmarkStart w:id="1244" w:name="_Toc152045717"/>
      <w:bookmarkStart w:id="1245" w:name="_Toc338944810"/>
      <w:bookmarkStart w:id="1246" w:name="_Toc342296368"/>
      <w:bookmarkStart w:id="1247" w:name="_Toc144974688"/>
      <w:bookmarkStart w:id="1248" w:name="_Toc159950718"/>
      <w:bookmarkStart w:id="1249" w:name="_Toc179632735"/>
      <w:r>
        <w:rPr>
          <w:rFonts w:eastAsia="黑体"/>
          <w:sz w:val="24"/>
          <w:szCs w:val="20"/>
          <w:highlight w:val="none"/>
        </w:rPr>
        <w:t>16.2 法律变化引起的价格调整</w:t>
      </w:r>
      <w:bookmarkEnd w:id="1243"/>
      <w:bookmarkEnd w:id="1244"/>
      <w:bookmarkEnd w:id="1245"/>
      <w:bookmarkEnd w:id="1246"/>
      <w:bookmarkEnd w:id="1247"/>
      <w:bookmarkEnd w:id="1248"/>
      <w:bookmarkEnd w:id="1249"/>
    </w:p>
    <w:p w14:paraId="2D0CA3E6">
      <w:pPr>
        <w:spacing w:line="400" w:lineRule="exact"/>
        <w:ind w:firstLine="420" w:firstLineChars="200"/>
        <w:rPr>
          <w:highlight w:val="none"/>
        </w:rPr>
      </w:pPr>
      <w:r>
        <w:rPr>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3D83FFAF">
      <w:pPr>
        <w:keepNext/>
        <w:keepLines/>
        <w:spacing w:line="400" w:lineRule="exact"/>
        <w:outlineLvl w:val="1"/>
        <w:rPr>
          <w:rFonts w:eastAsia="黑体" w:cs="仿宋_GB2312"/>
          <w:sz w:val="28"/>
          <w:szCs w:val="20"/>
          <w:highlight w:val="none"/>
        </w:rPr>
      </w:pPr>
      <w:bookmarkStart w:id="1250" w:name="_Toc448758438"/>
      <w:bookmarkStart w:id="1251" w:name="_Toc159950719"/>
      <w:bookmarkStart w:id="1252" w:name="_Toc448758538"/>
      <w:bookmarkStart w:id="1253" w:name="_Toc442365630"/>
      <w:bookmarkStart w:id="1254" w:name="_Toc342296369"/>
      <w:bookmarkStart w:id="1255" w:name="_Toc469660033"/>
      <w:bookmarkStart w:id="1256" w:name="_Toc338944811"/>
      <w:r>
        <w:rPr>
          <w:rFonts w:eastAsia="黑体" w:cs="仿宋_GB2312"/>
          <w:sz w:val="28"/>
          <w:szCs w:val="20"/>
          <w:highlight w:val="none"/>
        </w:rPr>
        <w:t>17. 计量与支付</w:t>
      </w:r>
      <w:bookmarkEnd w:id="1250"/>
      <w:bookmarkEnd w:id="1251"/>
      <w:bookmarkEnd w:id="1252"/>
      <w:bookmarkEnd w:id="1253"/>
      <w:bookmarkEnd w:id="1254"/>
      <w:bookmarkEnd w:id="1255"/>
      <w:bookmarkEnd w:id="1256"/>
    </w:p>
    <w:p w14:paraId="5CD2C9C2">
      <w:pPr>
        <w:keepNext/>
        <w:keepLines/>
        <w:spacing w:line="400" w:lineRule="exact"/>
        <w:outlineLvl w:val="2"/>
        <w:rPr>
          <w:rFonts w:eastAsia="黑体"/>
          <w:sz w:val="24"/>
          <w:szCs w:val="20"/>
          <w:highlight w:val="none"/>
        </w:rPr>
      </w:pPr>
      <w:bookmarkStart w:id="1257" w:name="_Toc159950720"/>
      <w:bookmarkStart w:id="1258" w:name="_Toc338944812"/>
      <w:bookmarkStart w:id="1259" w:name="_Toc342296370"/>
      <w:r>
        <w:rPr>
          <w:rFonts w:eastAsia="黑体"/>
          <w:sz w:val="24"/>
          <w:szCs w:val="20"/>
          <w:highlight w:val="none"/>
        </w:rPr>
        <w:t>17.1 计量</w:t>
      </w:r>
      <w:bookmarkEnd w:id="1257"/>
      <w:bookmarkEnd w:id="1258"/>
      <w:bookmarkEnd w:id="1259"/>
    </w:p>
    <w:p w14:paraId="266E3DBC">
      <w:pPr>
        <w:spacing w:line="400" w:lineRule="exact"/>
        <w:ind w:firstLine="420" w:firstLineChars="200"/>
        <w:rPr>
          <w:highlight w:val="none"/>
        </w:rPr>
      </w:pPr>
      <w:r>
        <w:rPr>
          <w:highlight w:val="none"/>
        </w:rPr>
        <w:t xml:space="preserve">17.1.1 </w:t>
      </w:r>
      <w:r>
        <w:rPr>
          <w:rFonts w:hint="eastAsia" w:ascii="宋体" w:hAnsi="宋体" w:cs="宋体"/>
          <w:highlight w:val="none"/>
        </w:rPr>
        <w:t>计量单位</w:t>
      </w:r>
    </w:p>
    <w:p w14:paraId="240B636B">
      <w:pPr>
        <w:spacing w:line="400" w:lineRule="exact"/>
        <w:ind w:firstLine="420" w:firstLineChars="200"/>
        <w:rPr>
          <w:highlight w:val="none"/>
        </w:rPr>
      </w:pPr>
      <w:r>
        <w:rPr>
          <w:highlight w:val="none"/>
        </w:rPr>
        <w:t>计量采用国家法定的计量单位。</w:t>
      </w:r>
    </w:p>
    <w:p w14:paraId="0E4B83D0">
      <w:pPr>
        <w:spacing w:line="400" w:lineRule="exact"/>
        <w:ind w:firstLine="420" w:firstLineChars="200"/>
        <w:rPr>
          <w:highlight w:val="none"/>
        </w:rPr>
      </w:pPr>
      <w:r>
        <w:rPr>
          <w:highlight w:val="none"/>
        </w:rPr>
        <w:t xml:space="preserve">17.1.2 </w:t>
      </w:r>
      <w:r>
        <w:rPr>
          <w:rFonts w:hint="eastAsia" w:ascii="宋体" w:hAnsi="宋体" w:cs="宋体"/>
          <w:highlight w:val="none"/>
        </w:rPr>
        <w:t>计量方法</w:t>
      </w:r>
    </w:p>
    <w:p w14:paraId="47C8DD6F">
      <w:pPr>
        <w:spacing w:line="400" w:lineRule="exact"/>
        <w:ind w:firstLine="420" w:firstLineChars="200"/>
        <w:rPr>
          <w:highlight w:val="none"/>
        </w:rPr>
      </w:pPr>
      <w:r>
        <w:rPr>
          <w:highlight w:val="none"/>
        </w:rPr>
        <w:t>工程量清单中的工程量计算规则应按有关国家标准、行业标准的规定，并在合同中约定执行。</w:t>
      </w:r>
    </w:p>
    <w:p w14:paraId="594784CA">
      <w:pPr>
        <w:spacing w:line="400" w:lineRule="exact"/>
        <w:ind w:firstLine="420" w:firstLineChars="200"/>
        <w:rPr>
          <w:highlight w:val="none"/>
        </w:rPr>
      </w:pPr>
      <w:r>
        <w:rPr>
          <w:highlight w:val="none"/>
        </w:rPr>
        <w:t xml:space="preserve">17.1.3 </w:t>
      </w:r>
      <w:r>
        <w:rPr>
          <w:rFonts w:hint="eastAsia" w:ascii="宋体" w:hAnsi="宋体" w:cs="宋体"/>
          <w:highlight w:val="none"/>
        </w:rPr>
        <w:t>计量周期</w:t>
      </w:r>
    </w:p>
    <w:p w14:paraId="083BDDF0">
      <w:pPr>
        <w:spacing w:line="400" w:lineRule="exact"/>
        <w:ind w:firstLine="420" w:firstLineChars="200"/>
        <w:rPr>
          <w:highlight w:val="none"/>
        </w:rPr>
      </w:pPr>
      <w:r>
        <w:rPr>
          <w:highlight w:val="none"/>
        </w:rPr>
        <w:t>除专用合同条款另有约定外，单价子目已完成工程量按月计量，总价子目的计量周期按批准的支付分解报告确定。</w:t>
      </w:r>
    </w:p>
    <w:p w14:paraId="1F04C154">
      <w:pPr>
        <w:spacing w:line="400" w:lineRule="exact"/>
        <w:ind w:firstLine="420" w:firstLineChars="200"/>
        <w:rPr>
          <w:highlight w:val="none"/>
        </w:rPr>
      </w:pPr>
      <w:r>
        <w:rPr>
          <w:highlight w:val="none"/>
        </w:rPr>
        <w:t>17.1.4</w:t>
      </w:r>
      <w:r>
        <w:rPr>
          <w:rFonts w:eastAsia="Cambria"/>
          <w:highlight w:val="none"/>
        </w:rPr>
        <w:t xml:space="preserve"> </w:t>
      </w:r>
      <w:r>
        <w:rPr>
          <w:rFonts w:hint="eastAsia" w:ascii="宋体" w:hAnsi="宋体" w:cs="宋体"/>
          <w:highlight w:val="none"/>
        </w:rPr>
        <w:t>单价子目的计量</w:t>
      </w:r>
    </w:p>
    <w:p w14:paraId="06CC26A4">
      <w:pPr>
        <w:spacing w:line="400" w:lineRule="exact"/>
        <w:ind w:firstLine="283" w:firstLineChars="135"/>
        <w:rPr>
          <w:highlight w:val="none"/>
        </w:rPr>
      </w:pPr>
      <w:r>
        <w:rPr>
          <w:highlight w:val="none"/>
        </w:rPr>
        <w:t>（1）已标价工程量清单中的单价子目工程量为估算工程量。结算工程量是承包人实际完成的，并按合同约定的计量方法进行计量的工程量。</w:t>
      </w:r>
    </w:p>
    <w:p w14:paraId="3228CA4D">
      <w:pPr>
        <w:spacing w:line="400" w:lineRule="exact"/>
        <w:ind w:firstLine="283" w:firstLineChars="135"/>
        <w:rPr>
          <w:highlight w:val="none"/>
        </w:rPr>
      </w:pPr>
      <w:r>
        <w:rPr>
          <w:highlight w:val="none"/>
        </w:rPr>
        <w:t>（2）承包人对已完成的工程进行计量，向监理人提交进度付款申请单、已完成工程量报表和有关计量资料。</w:t>
      </w:r>
    </w:p>
    <w:p w14:paraId="3368AEBF">
      <w:pPr>
        <w:spacing w:line="400" w:lineRule="exact"/>
        <w:ind w:firstLine="283" w:firstLineChars="135"/>
        <w:rPr>
          <w:highlight w:val="none"/>
        </w:rPr>
      </w:pPr>
      <w:r>
        <w:rPr>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5A8D860E">
      <w:pPr>
        <w:spacing w:line="400" w:lineRule="exact"/>
        <w:ind w:firstLine="283" w:firstLineChars="135"/>
        <w:rPr>
          <w:highlight w:val="none"/>
        </w:rPr>
      </w:pPr>
      <w:r>
        <w:rPr>
          <w:highlight w:val="none"/>
        </w:rPr>
        <w:t>（4）监理人认为有必要时，可通知承包人共同进行联合测量、计量，承包人应遵照执行。</w:t>
      </w:r>
    </w:p>
    <w:p w14:paraId="2FAE4335">
      <w:pPr>
        <w:spacing w:line="400" w:lineRule="exact"/>
        <w:ind w:firstLine="283" w:firstLineChars="135"/>
        <w:rPr>
          <w:highlight w:val="none"/>
        </w:rPr>
      </w:pPr>
      <w:r>
        <w:rPr>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645D822B">
      <w:pPr>
        <w:spacing w:line="400" w:lineRule="exact"/>
        <w:ind w:firstLine="283" w:firstLineChars="135"/>
        <w:rPr>
          <w:highlight w:val="none"/>
        </w:rPr>
      </w:pPr>
      <w:r>
        <w:rPr>
          <w:highlight w:val="none"/>
        </w:rPr>
        <w:t>（6）监理人应在收到承包人提交的工程量报表后的7天内进行复核，监理人未在约定时间内复核的，承包人提交的工程量报表中的工程量视为承包人实际完成的工程量，据此计算工程价款。</w:t>
      </w:r>
    </w:p>
    <w:p w14:paraId="5A8CE3CB">
      <w:pPr>
        <w:spacing w:line="400" w:lineRule="exact"/>
        <w:ind w:firstLine="420" w:firstLineChars="200"/>
        <w:rPr>
          <w:rFonts w:eastAsia="Cambria"/>
          <w:highlight w:val="none"/>
        </w:rPr>
      </w:pPr>
      <w:r>
        <w:rPr>
          <w:highlight w:val="none"/>
        </w:rPr>
        <w:t xml:space="preserve">17.1.5 </w:t>
      </w:r>
      <w:r>
        <w:rPr>
          <w:rFonts w:hint="eastAsia" w:ascii="宋体" w:hAnsi="宋体" w:cs="宋体"/>
          <w:highlight w:val="none"/>
        </w:rPr>
        <w:t>总价子目的计量</w:t>
      </w:r>
    </w:p>
    <w:p w14:paraId="1F997B30">
      <w:pPr>
        <w:spacing w:line="400" w:lineRule="exact"/>
        <w:ind w:firstLine="630" w:firstLineChars="300"/>
        <w:rPr>
          <w:highlight w:val="none"/>
        </w:rPr>
      </w:pPr>
      <w:r>
        <w:rPr>
          <w:highlight w:val="none"/>
        </w:rPr>
        <w:t>除专用合同条款另有约定外，总价子目的分解和计量按照下述约定进行。</w:t>
      </w:r>
    </w:p>
    <w:p w14:paraId="5B4C0301">
      <w:pPr>
        <w:spacing w:line="400" w:lineRule="exact"/>
        <w:ind w:firstLine="424" w:firstLineChars="202"/>
        <w:rPr>
          <w:highlight w:val="none"/>
        </w:rPr>
      </w:pPr>
      <w:r>
        <w:rPr>
          <w:highlight w:val="none"/>
        </w:rPr>
        <w:t>（1）总价子目的计量和支付应以总价为基础，不因第16.1款中的因素而进行调整。承包人实际完成的工程量，是进行工程目标管理和控制进度支付的依据。</w:t>
      </w:r>
    </w:p>
    <w:p w14:paraId="483378EC">
      <w:pPr>
        <w:spacing w:line="400" w:lineRule="exact"/>
        <w:ind w:firstLine="424" w:firstLineChars="202"/>
        <w:rPr>
          <w:highlight w:val="none"/>
        </w:rPr>
      </w:pPr>
      <w:r>
        <w:rPr>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742B2DCB">
      <w:pPr>
        <w:spacing w:line="400" w:lineRule="exact"/>
        <w:ind w:firstLine="424" w:firstLineChars="202"/>
        <w:rPr>
          <w:highlight w:val="none"/>
        </w:rPr>
      </w:pPr>
      <w:r>
        <w:rPr>
          <w:highlight w:val="none"/>
        </w:rPr>
        <w:t>（3）监理人对承包人提交的上述资料进行复核，以确定分阶段实际完成的工程量和工程形象目标。对其有异议的，可要求承包人按第8.2款约定进行共同复核和抽样复测。</w:t>
      </w:r>
    </w:p>
    <w:p w14:paraId="345EDEB7">
      <w:pPr>
        <w:spacing w:line="400" w:lineRule="exact"/>
        <w:ind w:firstLine="424" w:firstLineChars="202"/>
        <w:rPr>
          <w:highlight w:val="none"/>
        </w:rPr>
      </w:pPr>
      <w:r>
        <w:rPr>
          <w:highlight w:val="none"/>
        </w:rPr>
        <w:t xml:space="preserve">（4）除按照第15条约定的变更外，总价子目的工程量是承包人用于结算的最终工程量。 </w:t>
      </w:r>
    </w:p>
    <w:p w14:paraId="6513A4AB">
      <w:pPr>
        <w:keepNext/>
        <w:keepLines/>
        <w:spacing w:line="400" w:lineRule="exact"/>
        <w:outlineLvl w:val="2"/>
        <w:rPr>
          <w:rFonts w:eastAsia="黑体"/>
          <w:sz w:val="24"/>
          <w:szCs w:val="20"/>
          <w:highlight w:val="none"/>
        </w:rPr>
      </w:pPr>
      <w:bookmarkStart w:id="1260" w:name="_Toc159950721"/>
      <w:bookmarkStart w:id="1261" w:name="_Toc342296371"/>
      <w:bookmarkStart w:id="1262" w:name="_Toc338944813"/>
      <w:r>
        <w:rPr>
          <w:rFonts w:eastAsia="黑体"/>
          <w:sz w:val="24"/>
          <w:szCs w:val="20"/>
          <w:highlight w:val="none"/>
        </w:rPr>
        <w:t>17.2 预付款</w:t>
      </w:r>
      <w:bookmarkEnd w:id="1260"/>
      <w:bookmarkEnd w:id="1261"/>
      <w:bookmarkEnd w:id="1262"/>
    </w:p>
    <w:p w14:paraId="0CF83186">
      <w:pPr>
        <w:spacing w:line="400" w:lineRule="exact"/>
        <w:ind w:firstLine="420" w:firstLineChars="200"/>
        <w:rPr>
          <w:highlight w:val="none"/>
        </w:rPr>
      </w:pPr>
      <w:r>
        <w:rPr>
          <w:highlight w:val="none"/>
        </w:rPr>
        <w:t xml:space="preserve">17.2.1 </w:t>
      </w:r>
      <w:r>
        <w:rPr>
          <w:rFonts w:hint="eastAsia" w:ascii="宋体" w:hAnsi="宋体" w:cs="宋体"/>
          <w:highlight w:val="none"/>
        </w:rPr>
        <w:t>预付款</w:t>
      </w:r>
    </w:p>
    <w:p w14:paraId="7FACD928">
      <w:pPr>
        <w:spacing w:line="400" w:lineRule="exact"/>
        <w:ind w:firstLine="420" w:firstLineChars="200"/>
        <w:rPr>
          <w:highlight w:val="none"/>
        </w:rPr>
      </w:pPr>
      <w:r>
        <w:rPr>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5E9BB576">
      <w:pPr>
        <w:spacing w:line="400" w:lineRule="exact"/>
        <w:ind w:firstLine="420" w:firstLineChars="200"/>
        <w:rPr>
          <w:highlight w:val="none"/>
        </w:rPr>
      </w:pPr>
      <w:r>
        <w:rPr>
          <w:highlight w:val="none"/>
        </w:rPr>
        <w:t xml:space="preserve">17.2.2 </w:t>
      </w:r>
      <w:r>
        <w:rPr>
          <w:rFonts w:hint="eastAsia" w:ascii="宋体" w:hAnsi="宋体" w:cs="宋体"/>
          <w:highlight w:val="none"/>
        </w:rPr>
        <w:t>预付款保函</w:t>
      </w:r>
    </w:p>
    <w:p w14:paraId="03F5D3FE">
      <w:pPr>
        <w:spacing w:line="400" w:lineRule="exact"/>
        <w:ind w:firstLine="420" w:firstLineChars="200"/>
        <w:rPr>
          <w:highlight w:val="none"/>
        </w:rPr>
      </w:pPr>
      <w:r>
        <w:rPr>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2304B830">
      <w:pPr>
        <w:spacing w:line="400" w:lineRule="exact"/>
        <w:ind w:firstLine="420" w:firstLineChars="200"/>
        <w:rPr>
          <w:highlight w:val="none"/>
        </w:rPr>
      </w:pPr>
      <w:r>
        <w:rPr>
          <w:highlight w:val="none"/>
        </w:rPr>
        <w:t xml:space="preserve">17.2.3 </w:t>
      </w:r>
      <w:r>
        <w:rPr>
          <w:rFonts w:hint="eastAsia" w:ascii="宋体" w:hAnsi="宋体" w:cs="宋体"/>
          <w:highlight w:val="none"/>
        </w:rPr>
        <w:t>预付款的扣回与还清</w:t>
      </w:r>
    </w:p>
    <w:p w14:paraId="1CCE2AF4">
      <w:pPr>
        <w:spacing w:line="400" w:lineRule="exact"/>
        <w:ind w:firstLine="420" w:firstLineChars="200"/>
        <w:rPr>
          <w:highlight w:val="none"/>
        </w:rPr>
      </w:pPr>
      <w:r>
        <w:rPr>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6E4E63D9">
      <w:pPr>
        <w:keepNext/>
        <w:keepLines/>
        <w:spacing w:line="400" w:lineRule="exact"/>
        <w:outlineLvl w:val="2"/>
        <w:rPr>
          <w:rFonts w:eastAsia="黑体"/>
          <w:sz w:val="24"/>
          <w:szCs w:val="20"/>
          <w:highlight w:val="none"/>
        </w:rPr>
      </w:pPr>
      <w:bookmarkStart w:id="1263" w:name="_Toc338944814"/>
      <w:bookmarkStart w:id="1264" w:name="_Toc342296372"/>
      <w:bookmarkStart w:id="1265" w:name="_Toc159950722"/>
      <w:r>
        <w:rPr>
          <w:rFonts w:eastAsia="黑体"/>
          <w:sz w:val="24"/>
          <w:szCs w:val="20"/>
          <w:highlight w:val="none"/>
        </w:rPr>
        <w:t>17.3 工程进度付款</w:t>
      </w:r>
      <w:bookmarkEnd w:id="1263"/>
      <w:bookmarkEnd w:id="1264"/>
      <w:bookmarkEnd w:id="1265"/>
    </w:p>
    <w:p w14:paraId="7A752749">
      <w:pPr>
        <w:spacing w:line="400" w:lineRule="exact"/>
        <w:ind w:firstLine="420" w:firstLineChars="200"/>
        <w:rPr>
          <w:highlight w:val="none"/>
        </w:rPr>
      </w:pPr>
      <w:r>
        <w:rPr>
          <w:highlight w:val="none"/>
        </w:rPr>
        <w:t xml:space="preserve">17.3.1 </w:t>
      </w:r>
      <w:r>
        <w:rPr>
          <w:rFonts w:hint="eastAsia" w:ascii="宋体" w:hAnsi="宋体" w:cs="宋体"/>
          <w:highlight w:val="none"/>
        </w:rPr>
        <w:t>付款周期</w:t>
      </w:r>
    </w:p>
    <w:p w14:paraId="3478F276">
      <w:pPr>
        <w:spacing w:line="400" w:lineRule="exact"/>
        <w:ind w:firstLine="420" w:firstLineChars="200"/>
        <w:rPr>
          <w:highlight w:val="none"/>
        </w:rPr>
      </w:pPr>
      <w:r>
        <w:rPr>
          <w:highlight w:val="none"/>
        </w:rPr>
        <w:t>付款周期同计量周期。</w:t>
      </w:r>
    </w:p>
    <w:p w14:paraId="2B5017F3">
      <w:pPr>
        <w:spacing w:line="400" w:lineRule="exact"/>
        <w:ind w:firstLine="420" w:firstLineChars="200"/>
        <w:rPr>
          <w:highlight w:val="none"/>
        </w:rPr>
      </w:pPr>
      <w:r>
        <w:rPr>
          <w:highlight w:val="none"/>
        </w:rPr>
        <w:t xml:space="preserve">17.3.2 </w:t>
      </w:r>
      <w:r>
        <w:rPr>
          <w:rFonts w:hint="eastAsia" w:ascii="宋体" w:hAnsi="宋体" w:cs="宋体"/>
          <w:highlight w:val="none"/>
        </w:rPr>
        <w:t>进度付款申请单</w:t>
      </w:r>
    </w:p>
    <w:p w14:paraId="6A56045C">
      <w:pPr>
        <w:spacing w:line="400" w:lineRule="exact"/>
        <w:ind w:firstLine="420" w:firstLineChars="200"/>
        <w:rPr>
          <w:dstrike/>
          <w:szCs w:val="21"/>
          <w:highlight w:val="none"/>
        </w:rPr>
      </w:pPr>
      <w:r>
        <w:rPr>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3E3D0A7F">
      <w:pPr>
        <w:spacing w:line="400" w:lineRule="exact"/>
        <w:ind w:firstLine="420" w:firstLineChars="200"/>
        <w:rPr>
          <w:highlight w:val="none"/>
        </w:rPr>
      </w:pPr>
      <w:r>
        <w:rPr>
          <w:highlight w:val="none"/>
        </w:rPr>
        <w:t>（1）截至本次付款周期末已实施工程的价款；</w:t>
      </w:r>
    </w:p>
    <w:p w14:paraId="793C3516">
      <w:pPr>
        <w:spacing w:line="400" w:lineRule="exact"/>
        <w:ind w:firstLine="420" w:firstLineChars="200"/>
        <w:rPr>
          <w:highlight w:val="none"/>
        </w:rPr>
      </w:pPr>
      <w:r>
        <w:rPr>
          <w:highlight w:val="none"/>
        </w:rPr>
        <w:t>（2）根据第15条应增加和扣减的变更金额；</w:t>
      </w:r>
    </w:p>
    <w:p w14:paraId="013ED7DE">
      <w:pPr>
        <w:spacing w:line="400" w:lineRule="exact"/>
        <w:ind w:firstLine="420" w:firstLineChars="200"/>
        <w:rPr>
          <w:highlight w:val="none"/>
        </w:rPr>
      </w:pPr>
      <w:r>
        <w:rPr>
          <w:highlight w:val="none"/>
        </w:rPr>
        <w:t>（3）根据第23条应增加和扣减的索赔金额；</w:t>
      </w:r>
    </w:p>
    <w:p w14:paraId="1CF5D697">
      <w:pPr>
        <w:spacing w:line="400" w:lineRule="exact"/>
        <w:ind w:firstLine="420" w:firstLineChars="200"/>
        <w:rPr>
          <w:highlight w:val="none"/>
        </w:rPr>
      </w:pPr>
      <w:r>
        <w:rPr>
          <w:highlight w:val="none"/>
        </w:rPr>
        <w:t>（4）根据第17.2款约定应支付的预付款和扣减的返还预付款；</w:t>
      </w:r>
    </w:p>
    <w:p w14:paraId="0D86978F">
      <w:pPr>
        <w:spacing w:line="400" w:lineRule="exact"/>
        <w:ind w:firstLine="420" w:firstLineChars="200"/>
        <w:rPr>
          <w:highlight w:val="none"/>
        </w:rPr>
      </w:pPr>
      <w:r>
        <w:rPr>
          <w:highlight w:val="none"/>
        </w:rPr>
        <w:t>（5）根据第17.4.1项约定应扣减的质量保证金；</w:t>
      </w:r>
    </w:p>
    <w:p w14:paraId="0099E0E5">
      <w:pPr>
        <w:spacing w:line="400" w:lineRule="exact"/>
        <w:ind w:firstLine="420" w:firstLineChars="200"/>
        <w:rPr>
          <w:highlight w:val="none"/>
        </w:rPr>
      </w:pPr>
      <w:r>
        <w:rPr>
          <w:highlight w:val="none"/>
        </w:rPr>
        <w:t>（6）根据合同应增加和扣减的其他金额。</w:t>
      </w:r>
    </w:p>
    <w:p w14:paraId="7EA97D0E">
      <w:pPr>
        <w:spacing w:line="400" w:lineRule="exact"/>
        <w:ind w:firstLine="420" w:firstLineChars="200"/>
        <w:rPr>
          <w:highlight w:val="none"/>
        </w:rPr>
      </w:pPr>
      <w:r>
        <w:rPr>
          <w:highlight w:val="none"/>
        </w:rPr>
        <w:t xml:space="preserve">17.3.3 </w:t>
      </w:r>
      <w:r>
        <w:rPr>
          <w:rFonts w:hint="eastAsia" w:ascii="宋体" w:hAnsi="宋体" w:cs="宋体"/>
          <w:highlight w:val="none"/>
        </w:rPr>
        <w:t>进度付款证书和支付时间</w:t>
      </w:r>
    </w:p>
    <w:p w14:paraId="285570E5">
      <w:pPr>
        <w:spacing w:line="400" w:lineRule="exact"/>
        <w:ind w:firstLine="424" w:firstLineChars="202"/>
        <w:rPr>
          <w:highlight w:val="none"/>
        </w:rPr>
      </w:pPr>
      <w:r>
        <w:rPr>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349C2037">
      <w:pPr>
        <w:spacing w:line="400" w:lineRule="exact"/>
        <w:ind w:firstLine="424" w:firstLineChars="202"/>
        <w:rPr>
          <w:highlight w:val="none"/>
        </w:rPr>
      </w:pPr>
      <w:r>
        <w:rPr>
          <w:highlight w:val="none"/>
        </w:rPr>
        <w:t>（2）发包人应在监理人收到进度付款申请单后的28天内，将进度应付款支付给承包人。发包人不按期支付的，按专用合同条款的约定支付逾期付款违约金。</w:t>
      </w:r>
    </w:p>
    <w:p w14:paraId="774F2860">
      <w:pPr>
        <w:spacing w:line="400" w:lineRule="exact"/>
        <w:ind w:firstLine="424" w:firstLineChars="202"/>
        <w:rPr>
          <w:highlight w:val="none"/>
        </w:rPr>
      </w:pPr>
      <w:r>
        <w:rPr>
          <w:highlight w:val="none"/>
        </w:rPr>
        <w:t>（3）监理人出具进度付款证书，不应视为监理人已同意、批准或接受了承包人完成的该部分工作。</w:t>
      </w:r>
    </w:p>
    <w:p w14:paraId="7825796B">
      <w:pPr>
        <w:spacing w:line="400" w:lineRule="exact"/>
        <w:ind w:firstLine="424" w:firstLineChars="202"/>
        <w:rPr>
          <w:highlight w:val="none"/>
        </w:rPr>
      </w:pPr>
      <w:r>
        <w:rPr>
          <w:highlight w:val="none"/>
        </w:rPr>
        <w:t>（4）进度付款涉及政府投资资金的，按照国库集中支付等国家相关规定和专用合同条款的约定办理。</w:t>
      </w:r>
    </w:p>
    <w:p w14:paraId="3DFD5944">
      <w:pPr>
        <w:spacing w:line="400" w:lineRule="exact"/>
        <w:ind w:firstLine="420" w:firstLineChars="200"/>
        <w:rPr>
          <w:highlight w:val="none"/>
        </w:rPr>
      </w:pPr>
      <w:r>
        <w:rPr>
          <w:highlight w:val="none"/>
        </w:rPr>
        <w:t xml:space="preserve">17.3.4 </w:t>
      </w:r>
      <w:r>
        <w:rPr>
          <w:rFonts w:hint="eastAsia" w:ascii="宋体" w:hAnsi="宋体" w:cs="宋体"/>
          <w:highlight w:val="none"/>
        </w:rPr>
        <w:t>工程进度付款的修正</w:t>
      </w:r>
    </w:p>
    <w:p w14:paraId="0F45F7F7">
      <w:pPr>
        <w:spacing w:line="400" w:lineRule="exact"/>
        <w:ind w:firstLine="420" w:firstLineChars="200"/>
        <w:rPr>
          <w:highlight w:val="none"/>
        </w:rPr>
      </w:pPr>
      <w:r>
        <w:rPr>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0E8AC4D4">
      <w:pPr>
        <w:keepNext/>
        <w:keepLines/>
        <w:spacing w:line="400" w:lineRule="exact"/>
        <w:outlineLvl w:val="2"/>
        <w:rPr>
          <w:rFonts w:eastAsia="黑体"/>
          <w:sz w:val="24"/>
          <w:szCs w:val="20"/>
          <w:highlight w:val="none"/>
        </w:rPr>
      </w:pPr>
      <w:bookmarkStart w:id="1266" w:name="_Toc338944815"/>
      <w:bookmarkStart w:id="1267" w:name="_Toc159950723"/>
      <w:bookmarkStart w:id="1268" w:name="_Toc342296373"/>
      <w:r>
        <w:rPr>
          <w:rFonts w:eastAsia="黑体"/>
          <w:sz w:val="24"/>
          <w:szCs w:val="20"/>
          <w:highlight w:val="none"/>
        </w:rPr>
        <w:t>17.4 质量保证金</w:t>
      </w:r>
      <w:bookmarkEnd w:id="1266"/>
      <w:bookmarkEnd w:id="1267"/>
      <w:bookmarkEnd w:id="1268"/>
    </w:p>
    <w:p w14:paraId="5F222C52">
      <w:pPr>
        <w:spacing w:line="400" w:lineRule="exact"/>
        <w:ind w:firstLine="420" w:firstLineChars="200"/>
        <w:rPr>
          <w:highlight w:val="none"/>
        </w:rPr>
      </w:pPr>
      <w:r>
        <w:rPr>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05BBBD74">
      <w:pPr>
        <w:spacing w:line="400" w:lineRule="exact"/>
        <w:ind w:firstLine="420" w:firstLineChars="200"/>
        <w:rPr>
          <w:highlight w:val="none"/>
        </w:rPr>
      </w:pPr>
      <w:r>
        <w:rPr>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4F39DCF5">
      <w:pPr>
        <w:spacing w:line="400" w:lineRule="exact"/>
        <w:ind w:firstLine="420" w:firstLineChars="200"/>
        <w:rPr>
          <w:highlight w:val="none"/>
        </w:rPr>
      </w:pPr>
      <w:r>
        <w:rPr>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16AB2BA5">
      <w:pPr>
        <w:keepNext/>
        <w:keepLines/>
        <w:spacing w:line="400" w:lineRule="exact"/>
        <w:outlineLvl w:val="2"/>
        <w:rPr>
          <w:rFonts w:eastAsia="黑体"/>
          <w:sz w:val="24"/>
          <w:szCs w:val="20"/>
          <w:highlight w:val="none"/>
        </w:rPr>
      </w:pPr>
      <w:bookmarkStart w:id="1269" w:name="_Toc159950724"/>
      <w:bookmarkStart w:id="1270" w:name="_Toc342296374"/>
      <w:bookmarkStart w:id="1271" w:name="_Toc338944816"/>
      <w:r>
        <w:rPr>
          <w:rFonts w:eastAsia="黑体"/>
          <w:sz w:val="24"/>
          <w:szCs w:val="20"/>
          <w:highlight w:val="none"/>
        </w:rPr>
        <w:t>17.5 竣工结算</w:t>
      </w:r>
      <w:bookmarkEnd w:id="1269"/>
      <w:bookmarkEnd w:id="1270"/>
      <w:bookmarkEnd w:id="1271"/>
    </w:p>
    <w:p w14:paraId="641668C1">
      <w:pPr>
        <w:spacing w:line="400" w:lineRule="exact"/>
        <w:ind w:firstLine="420" w:firstLineChars="200"/>
        <w:rPr>
          <w:highlight w:val="none"/>
        </w:rPr>
      </w:pPr>
      <w:r>
        <w:rPr>
          <w:highlight w:val="none"/>
        </w:rPr>
        <w:t xml:space="preserve">17.5.1 </w:t>
      </w:r>
      <w:r>
        <w:rPr>
          <w:rFonts w:hint="eastAsia" w:ascii="宋体" w:hAnsi="宋体" w:cs="宋体"/>
          <w:highlight w:val="none"/>
        </w:rPr>
        <w:t>竣工付款申请单</w:t>
      </w:r>
    </w:p>
    <w:p w14:paraId="0732EDC2">
      <w:pPr>
        <w:spacing w:line="400" w:lineRule="exact"/>
        <w:ind w:firstLine="718" w:firstLineChars="342"/>
        <w:rPr>
          <w:highlight w:val="none"/>
        </w:rPr>
      </w:pPr>
      <w:r>
        <w:rPr>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43615938">
      <w:pPr>
        <w:spacing w:line="400" w:lineRule="exact"/>
        <w:ind w:firstLine="718" w:firstLineChars="342"/>
        <w:rPr>
          <w:highlight w:val="none"/>
        </w:rPr>
      </w:pPr>
      <w:r>
        <w:rPr>
          <w:highlight w:val="none"/>
        </w:rPr>
        <w:t>（2）监理人对竣工付款申请单有异议的，有权要求承包人进行修正和提供补充资料。经监理人和承包人协商后，由承包人向监理人提交修正后的竣工付款申请单。</w:t>
      </w:r>
    </w:p>
    <w:p w14:paraId="3D8E4E4B">
      <w:pPr>
        <w:spacing w:line="400" w:lineRule="exact"/>
        <w:ind w:firstLine="420" w:firstLineChars="200"/>
        <w:rPr>
          <w:highlight w:val="none"/>
        </w:rPr>
      </w:pPr>
      <w:r>
        <w:rPr>
          <w:highlight w:val="none"/>
        </w:rPr>
        <w:t xml:space="preserve">17.5.2 </w:t>
      </w:r>
      <w:r>
        <w:rPr>
          <w:rFonts w:hint="eastAsia" w:ascii="宋体" w:hAnsi="宋体" w:cs="宋体"/>
          <w:highlight w:val="none"/>
        </w:rPr>
        <w:t>竣工付款证书及支付时间</w:t>
      </w:r>
    </w:p>
    <w:p w14:paraId="100887D4">
      <w:pPr>
        <w:spacing w:line="400" w:lineRule="exact"/>
        <w:ind w:firstLine="424" w:firstLineChars="202"/>
        <w:rPr>
          <w:highlight w:val="none"/>
        </w:rPr>
      </w:pPr>
      <w:r>
        <w:rPr>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4500EF31">
      <w:pPr>
        <w:spacing w:line="400" w:lineRule="exact"/>
        <w:ind w:firstLine="424" w:firstLineChars="202"/>
        <w:rPr>
          <w:highlight w:val="none"/>
        </w:rPr>
      </w:pPr>
      <w:r>
        <w:rPr>
          <w:highlight w:val="none"/>
        </w:rPr>
        <w:t>（2）发包人应在监理人出具竣工付款证书后的14天内，将应支付款支付给承包人。发包人不按期支付的，按第17.3.3（2）目的约定，将逾期付款违约金支付给承包人。</w:t>
      </w:r>
    </w:p>
    <w:p w14:paraId="578834A4">
      <w:pPr>
        <w:spacing w:line="400" w:lineRule="exact"/>
        <w:ind w:firstLine="424" w:firstLineChars="202"/>
        <w:rPr>
          <w:highlight w:val="none"/>
        </w:rPr>
      </w:pPr>
      <w:r>
        <w:rPr>
          <w:highlight w:val="none"/>
        </w:rPr>
        <w:t>（3）承包人对发包人签认的竣工付款证书有异议的，发包人可出具竣工付款申请单中承包人已同意部分的临时付款证书。存在争议的部分，按第24条的约定办理。</w:t>
      </w:r>
    </w:p>
    <w:p w14:paraId="68FC85EE">
      <w:pPr>
        <w:spacing w:line="400" w:lineRule="exact"/>
        <w:ind w:firstLine="424" w:firstLineChars="202"/>
        <w:rPr>
          <w:highlight w:val="none"/>
        </w:rPr>
      </w:pPr>
      <w:r>
        <w:rPr>
          <w:highlight w:val="none"/>
        </w:rPr>
        <w:t>（4）竣工付款涉及政府投资资金的，按第17.3.3（４）目的约定办理。</w:t>
      </w:r>
    </w:p>
    <w:p w14:paraId="1DF1F74D">
      <w:pPr>
        <w:keepNext/>
        <w:keepLines/>
        <w:spacing w:line="400" w:lineRule="exact"/>
        <w:outlineLvl w:val="2"/>
        <w:rPr>
          <w:rFonts w:eastAsia="黑体"/>
          <w:sz w:val="24"/>
          <w:szCs w:val="20"/>
          <w:highlight w:val="none"/>
        </w:rPr>
      </w:pPr>
      <w:bookmarkStart w:id="1272" w:name="_Toc342296375"/>
      <w:bookmarkStart w:id="1273" w:name="_Toc338944817"/>
      <w:bookmarkStart w:id="1274" w:name="_Toc159950725"/>
      <w:r>
        <w:rPr>
          <w:rFonts w:eastAsia="黑体"/>
          <w:sz w:val="24"/>
          <w:szCs w:val="20"/>
          <w:highlight w:val="none"/>
        </w:rPr>
        <w:t>17.6 最终结清</w:t>
      </w:r>
      <w:bookmarkEnd w:id="1272"/>
      <w:bookmarkEnd w:id="1273"/>
      <w:bookmarkEnd w:id="1274"/>
    </w:p>
    <w:p w14:paraId="2EA370E3">
      <w:pPr>
        <w:spacing w:line="400" w:lineRule="exact"/>
        <w:ind w:firstLine="420" w:firstLineChars="200"/>
        <w:rPr>
          <w:highlight w:val="none"/>
        </w:rPr>
      </w:pPr>
      <w:r>
        <w:rPr>
          <w:highlight w:val="none"/>
        </w:rPr>
        <w:t xml:space="preserve">17.6.1 </w:t>
      </w:r>
      <w:r>
        <w:rPr>
          <w:rFonts w:hint="eastAsia" w:ascii="宋体" w:hAnsi="宋体" w:cs="宋体"/>
          <w:highlight w:val="none"/>
        </w:rPr>
        <w:t>最终结清申请单</w:t>
      </w:r>
    </w:p>
    <w:p w14:paraId="2741A8C9">
      <w:pPr>
        <w:spacing w:line="400" w:lineRule="exact"/>
        <w:ind w:firstLine="718" w:firstLineChars="342"/>
        <w:rPr>
          <w:highlight w:val="none"/>
        </w:rPr>
      </w:pPr>
      <w:r>
        <w:rPr>
          <w:highlight w:val="none"/>
        </w:rPr>
        <w:t>（1）缺陷责任期终止证书签发后，承包人可按专用合同条款约定的份数和期限向监理人提交最终结清申请单，并提供相关证明材料。</w:t>
      </w:r>
    </w:p>
    <w:p w14:paraId="4D6AEDC9">
      <w:pPr>
        <w:spacing w:line="400" w:lineRule="exact"/>
        <w:ind w:firstLine="718" w:firstLineChars="342"/>
        <w:rPr>
          <w:highlight w:val="none"/>
        </w:rPr>
      </w:pPr>
      <w:r>
        <w:rPr>
          <w:highlight w:val="none"/>
        </w:rPr>
        <w:t>（2）发包人对最终结清申请单内容有异议的，有权要求承包人进行修正和提供补充资料，由承包人向监理人提交修正后的最终结清申请单。</w:t>
      </w:r>
    </w:p>
    <w:p w14:paraId="67E5DC7D">
      <w:pPr>
        <w:spacing w:line="400" w:lineRule="exact"/>
        <w:ind w:firstLine="420" w:firstLineChars="200"/>
        <w:rPr>
          <w:highlight w:val="none"/>
        </w:rPr>
      </w:pPr>
      <w:r>
        <w:rPr>
          <w:highlight w:val="none"/>
        </w:rPr>
        <w:t xml:space="preserve">17.6.2 </w:t>
      </w:r>
      <w:r>
        <w:rPr>
          <w:rFonts w:hint="eastAsia" w:ascii="宋体" w:hAnsi="宋体" w:cs="宋体"/>
          <w:highlight w:val="none"/>
        </w:rPr>
        <w:t>最终结清证书和支付时间</w:t>
      </w:r>
    </w:p>
    <w:p w14:paraId="72874171">
      <w:pPr>
        <w:spacing w:line="400" w:lineRule="exact"/>
        <w:ind w:firstLine="718" w:firstLineChars="342"/>
        <w:rPr>
          <w:highlight w:val="none"/>
        </w:rPr>
      </w:pPr>
      <w:r>
        <w:rPr>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72CC9BF4">
      <w:pPr>
        <w:spacing w:line="400" w:lineRule="exact"/>
        <w:ind w:firstLine="718" w:firstLineChars="342"/>
        <w:rPr>
          <w:highlight w:val="none"/>
        </w:rPr>
      </w:pPr>
      <w:r>
        <w:rPr>
          <w:highlight w:val="none"/>
        </w:rPr>
        <w:t>（2）发包人应在监理人出具最终结清证书后的14天内，将应支付款支付给承包人。发包人不按期支付的，按第17.3.3（2）目的约定，将逾期付款违约金支付给承包人。</w:t>
      </w:r>
    </w:p>
    <w:p w14:paraId="1552F514">
      <w:pPr>
        <w:spacing w:line="400" w:lineRule="exact"/>
        <w:ind w:firstLine="718" w:firstLineChars="342"/>
        <w:rPr>
          <w:highlight w:val="none"/>
        </w:rPr>
      </w:pPr>
      <w:r>
        <w:rPr>
          <w:highlight w:val="none"/>
        </w:rPr>
        <w:t>（3）承包人对发包人签认的最终结清证书有异议的，按第24条的约定办理。</w:t>
      </w:r>
    </w:p>
    <w:p w14:paraId="74AD3FED">
      <w:pPr>
        <w:spacing w:line="400" w:lineRule="exact"/>
        <w:ind w:firstLine="718" w:firstLineChars="342"/>
        <w:rPr>
          <w:highlight w:val="none"/>
        </w:rPr>
      </w:pPr>
      <w:r>
        <w:rPr>
          <w:highlight w:val="none"/>
        </w:rPr>
        <w:t>（4）最终结清付款涉及政府投资资金的，按第17.3.3（４）目的约定办理。</w:t>
      </w:r>
    </w:p>
    <w:p w14:paraId="6E04E5F3">
      <w:pPr>
        <w:keepNext/>
        <w:keepLines/>
        <w:spacing w:line="400" w:lineRule="exact"/>
        <w:outlineLvl w:val="1"/>
        <w:rPr>
          <w:rFonts w:eastAsia="黑体" w:cs="仿宋_GB2312"/>
          <w:sz w:val="28"/>
          <w:szCs w:val="20"/>
          <w:highlight w:val="none"/>
        </w:rPr>
      </w:pPr>
      <w:bookmarkStart w:id="1275" w:name="_Toc469660034"/>
      <w:bookmarkStart w:id="1276" w:name="_Toc448758539"/>
      <w:bookmarkStart w:id="1277" w:name="_Toc442365631"/>
      <w:bookmarkStart w:id="1278" w:name="_Toc342296376"/>
      <w:bookmarkStart w:id="1279" w:name="_Toc448758439"/>
      <w:bookmarkStart w:id="1280" w:name="_Toc159950726"/>
      <w:bookmarkStart w:id="1281" w:name="_Toc338944818"/>
      <w:r>
        <w:rPr>
          <w:rFonts w:eastAsia="黑体" w:cs="仿宋_GB2312"/>
          <w:sz w:val="28"/>
          <w:szCs w:val="20"/>
          <w:highlight w:val="none"/>
        </w:rPr>
        <w:t>18. 竣工验收</w:t>
      </w:r>
      <w:bookmarkEnd w:id="1275"/>
      <w:bookmarkEnd w:id="1276"/>
      <w:bookmarkEnd w:id="1277"/>
      <w:bookmarkEnd w:id="1278"/>
      <w:bookmarkEnd w:id="1279"/>
      <w:bookmarkEnd w:id="1280"/>
      <w:bookmarkEnd w:id="1281"/>
    </w:p>
    <w:p w14:paraId="5BB5C8FA">
      <w:pPr>
        <w:keepNext/>
        <w:keepLines/>
        <w:spacing w:line="400" w:lineRule="exact"/>
        <w:outlineLvl w:val="2"/>
        <w:rPr>
          <w:rFonts w:eastAsia="黑体"/>
          <w:sz w:val="24"/>
          <w:szCs w:val="20"/>
          <w:highlight w:val="none"/>
        </w:rPr>
      </w:pPr>
      <w:bookmarkStart w:id="1282" w:name="_Toc179632744"/>
      <w:bookmarkStart w:id="1283" w:name="_Toc144974697"/>
      <w:bookmarkStart w:id="1284" w:name="_Toc159950727"/>
      <w:bookmarkStart w:id="1285" w:name="_Toc338944819"/>
      <w:bookmarkStart w:id="1286" w:name="_Toc342296377"/>
      <w:bookmarkStart w:id="1287" w:name="_Toc152042505"/>
      <w:bookmarkStart w:id="1288" w:name="_Toc152045726"/>
      <w:r>
        <w:rPr>
          <w:rFonts w:eastAsia="黑体"/>
          <w:sz w:val="24"/>
          <w:szCs w:val="20"/>
          <w:highlight w:val="none"/>
        </w:rPr>
        <w:t>18.1 竣工验收的含义</w:t>
      </w:r>
      <w:bookmarkEnd w:id="1282"/>
      <w:bookmarkEnd w:id="1283"/>
      <w:bookmarkEnd w:id="1284"/>
      <w:bookmarkEnd w:id="1285"/>
      <w:bookmarkEnd w:id="1286"/>
      <w:bookmarkEnd w:id="1287"/>
      <w:bookmarkEnd w:id="1288"/>
    </w:p>
    <w:p w14:paraId="6A30701A">
      <w:pPr>
        <w:spacing w:line="400" w:lineRule="exact"/>
        <w:ind w:firstLine="420" w:firstLineChars="200"/>
        <w:rPr>
          <w:highlight w:val="none"/>
        </w:rPr>
      </w:pPr>
      <w:r>
        <w:rPr>
          <w:highlight w:val="none"/>
        </w:rPr>
        <w:t>18.1.1 竣工验收指承包人完成了全部合同工作后，发包人按合同要求进行的验收。</w:t>
      </w:r>
    </w:p>
    <w:p w14:paraId="124B10E9">
      <w:pPr>
        <w:spacing w:line="400" w:lineRule="exact"/>
        <w:ind w:firstLine="420" w:firstLineChars="200"/>
        <w:rPr>
          <w:highlight w:val="none"/>
        </w:rPr>
      </w:pPr>
      <w:r>
        <w:rPr>
          <w:highlight w:val="none"/>
        </w:rPr>
        <w:t>18.1.2 国家验收是政府有关部门根据法律、规范、规程和政策要求，针对发包人全面组织实施的整个工程正式交付投运前的验收。</w:t>
      </w:r>
    </w:p>
    <w:p w14:paraId="241A4D44">
      <w:pPr>
        <w:spacing w:line="400" w:lineRule="exact"/>
        <w:ind w:firstLine="420" w:firstLineChars="200"/>
        <w:rPr>
          <w:highlight w:val="none"/>
        </w:rPr>
      </w:pPr>
      <w:r>
        <w:rPr>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3DA4567A">
      <w:pPr>
        <w:keepNext/>
        <w:keepLines/>
        <w:spacing w:line="400" w:lineRule="exact"/>
        <w:outlineLvl w:val="2"/>
        <w:rPr>
          <w:rFonts w:eastAsia="黑体"/>
          <w:sz w:val="24"/>
          <w:szCs w:val="20"/>
          <w:highlight w:val="none"/>
        </w:rPr>
      </w:pPr>
      <w:bookmarkStart w:id="1289" w:name="_Toc338944820"/>
      <w:bookmarkStart w:id="1290" w:name="_Toc342296378"/>
      <w:bookmarkStart w:id="1291" w:name="_Toc159950728"/>
      <w:r>
        <w:rPr>
          <w:rFonts w:eastAsia="黑体"/>
          <w:sz w:val="24"/>
          <w:szCs w:val="20"/>
          <w:highlight w:val="none"/>
        </w:rPr>
        <w:t>18.2 竣工验收申请报告</w:t>
      </w:r>
      <w:bookmarkEnd w:id="1289"/>
      <w:bookmarkEnd w:id="1290"/>
      <w:bookmarkEnd w:id="1291"/>
    </w:p>
    <w:p w14:paraId="7FDD2E72">
      <w:pPr>
        <w:spacing w:line="400" w:lineRule="exact"/>
        <w:ind w:firstLine="420" w:firstLineChars="200"/>
        <w:rPr>
          <w:highlight w:val="none"/>
        </w:rPr>
      </w:pPr>
      <w:r>
        <w:rPr>
          <w:highlight w:val="none"/>
        </w:rPr>
        <w:t>当工程具备以下条件时，承包人即可向监理人报送竣工验收申请报告：</w:t>
      </w:r>
    </w:p>
    <w:p w14:paraId="40B4D035">
      <w:pPr>
        <w:spacing w:line="400" w:lineRule="exact"/>
        <w:ind w:firstLine="359" w:firstLineChars="171"/>
        <w:rPr>
          <w:highlight w:val="none"/>
        </w:rPr>
      </w:pPr>
      <w:r>
        <w:rPr>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6085B8A6">
      <w:pPr>
        <w:spacing w:line="400" w:lineRule="exact"/>
        <w:ind w:firstLine="359" w:firstLineChars="171"/>
        <w:rPr>
          <w:highlight w:val="none"/>
        </w:rPr>
      </w:pPr>
      <w:r>
        <w:rPr>
          <w:highlight w:val="none"/>
        </w:rPr>
        <w:t xml:space="preserve">（2）已按合同约定的内容和份数备齐了符合要求的竣工资料； </w:t>
      </w:r>
    </w:p>
    <w:p w14:paraId="6F08D9C6">
      <w:pPr>
        <w:spacing w:line="400" w:lineRule="exact"/>
        <w:ind w:firstLine="359" w:firstLineChars="171"/>
        <w:rPr>
          <w:highlight w:val="none"/>
        </w:rPr>
      </w:pPr>
      <w:r>
        <w:rPr>
          <w:highlight w:val="none"/>
        </w:rPr>
        <w:t>（3）已按监理人的要求编制了在缺陷责任期内完成的尾工（甩项）工程和缺陷修补工作清单以及相应施工计划；</w:t>
      </w:r>
    </w:p>
    <w:p w14:paraId="577E8446">
      <w:pPr>
        <w:spacing w:line="400" w:lineRule="exact"/>
        <w:ind w:firstLine="359" w:firstLineChars="171"/>
        <w:rPr>
          <w:highlight w:val="none"/>
        </w:rPr>
      </w:pPr>
      <w:r>
        <w:rPr>
          <w:highlight w:val="none"/>
        </w:rPr>
        <w:t>（4）监理人要求在竣工验收前应完成的其他工作；</w:t>
      </w:r>
    </w:p>
    <w:p w14:paraId="15380ACF">
      <w:pPr>
        <w:spacing w:line="400" w:lineRule="exact"/>
        <w:ind w:firstLine="359" w:firstLineChars="171"/>
        <w:rPr>
          <w:highlight w:val="none"/>
        </w:rPr>
      </w:pPr>
      <w:r>
        <w:rPr>
          <w:highlight w:val="none"/>
        </w:rPr>
        <w:t>（5）监理人要求提交的竣工验收资料清单。</w:t>
      </w:r>
    </w:p>
    <w:p w14:paraId="0DA772B3">
      <w:pPr>
        <w:keepNext/>
        <w:keepLines/>
        <w:spacing w:line="400" w:lineRule="exact"/>
        <w:outlineLvl w:val="2"/>
        <w:rPr>
          <w:rFonts w:eastAsia="黑体"/>
          <w:sz w:val="24"/>
          <w:szCs w:val="20"/>
          <w:highlight w:val="none"/>
        </w:rPr>
      </w:pPr>
      <w:bookmarkStart w:id="1292" w:name="_Toc159950729"/>
      <w:bookmarkStart w:id="1293" w:name="_Toc342296379"/>
      <w:bookmarkStart w:id="1294" w:name="_Toc338944821"/>
      <w:r>
        <w:rPr>
          <w:rFonts w:eastAsia="黑体"/>
          <w:sz w:val="24"/>
          <w:szCs w:val="20"/>
          <w:highlight w:val="none"/>
        </w:rPr>
        <w:t>18.3 验收</w:t>
      </w:r>
      <w:bookmarkEnd w:id="1292"/>
      <w:bookmarkEnd w:id="1293"/>
      <w:bookmarkEnd w:id="1294"/>
    </w:p>
    <w:p w14:paraId="5D51ED53">
      <w:pPr>
        <w:spacing w:line="400" w:lineRule="exact"/>
        <w:ind w:firstLine="420" w:firstLineChars="200"/>
        <w:rPr>
          <w:highlight w:val="none"/>
        </w:rPr>
      </w:pPr>
      <w:r>
        <w:rPr>
          <w:highlight w:val="none"/>
        </w:rPr>
        <w:t>监理人收到承包人按第18.2款约定提交的竣工验收申请报告后，应审查申请报告的各项内容，并按以下不同情况进行处理。</w:t>
      </w:r>
    </w:p>
    <w:p w14:paraId="37A6DA3B">
      <w:pPr>
        <w:spacing w:line="400" w:lineRule="exact"/>
        <w:ind w:firstLine="420" w:firstLineChars="200"/>
        <w:rPr>
          <w:highlight w:val="none"/>
        </w:rPr>
      </w:pPr>
      <w:r>
        <w:rPr>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0A5D078F">
      <w:pPr>
        <w:spacing w:line="400" w:lineRule="exact"/>
        <w:ind w:firstLine="420" w:firstLineChars="200"/>
        <w:rPr>
          <w:highlight w:val="none"/>
        </w:rPr>
      </w:pPr>
      <w:r>
        <w:rPr>
          <w:highlight w:val="none"/>
        </w:rPr>
        <w:t>18.3.2 监理人审查后认为已具备竣工验收条件的，应在收到竣工验收申请报告后的28天内提请发包人进行工程验收。</w:t>
      </w:r>
    </w:p>
    <w:p w14:paraId="100B1835">
      <w:pPr>
        <w:spacing w:line="400" w:lineRule="exact"/>
        <w:ind w:firstLine="420" w:firstLineChars="200"/>
        <w:rPr>
          <w:highlight w:val="none"/>
        </w:rPr>
      </w:pPr>
      <w:r>
        <w:rPr>
          <w:highlight w:val="none"/>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07D59E35">
      <w:pPr>
        <w:spacing w:line="400" w:lineRule="exact"/>
        <w:ind w:firstLine="420" w:firstLineChars="200"/>
        <w:rPr>
          <w:highlight w:val="none"/>
        </w:rPr>
      </w:pPr>
      <w:r>
        <w:rPr>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7118E85F">
      <w:pPr>
        <w:spacing w:line="400" w:lineRule="exact"/>
        <w:ind w:firstLine="420" w:firstLineChars="200"/>
        <w:rPr>
          <w:highlight w:val="none"/>
        </w:rPr>
      </w:pPr>
      <w:r>
        <w:rPr>
          <w:highlight w:val="none"/>
        </w:rPr>
        <w:t>18.3.5 除专用合同条款另有约定外，经验收合格工程的实际竣工日期，以提交竣工验收申请报告的日期为准，并在工程接收证书中写明。</w:t>
      </w:r>
    </w:p>
    <w:p w14:paraId="1908C0D0">
      <w:pPr>
        <w:spacing w:line="400" w:lineRule="exact"/>
        <w:ind w:firstLine="420" w:firstLineChars="200"/>
        <w:rPr>
          <w:highlight w:val="none"/>
        </w:rPr>
      </w:pPr>
      <w:r>
        <w:rPr>
          <w:highlight w:val="none"/>
        </w:rPr>
        <w:t>18.3.6 发包人在收到承包人竣工验收申请报告56天后未进行验收的，视为验收合格，实际竣工日期以提交竣工验收申请报告的日期为准，但发包人由于不可抗力不能进行验收的除外。</w:t>
      </w:r>
    </w:p>
    <w:p w14:paraId="473FA6EC">
      <w:pPr>
        <w:keepNext/>
        <w:keepLines/>
        <w:spacing w:line="400" w:lineRule="exact"/>
        <w:outlineLvl w:val="2"/>
        <w:rPr>
          <w:rFonts w:eastAsia="黑体"/>
          <w:sz w:val="24"/>
          <w:szCs w:val="20"/>
          <w:highlight w:val="none"/>
        </w:rPr>
      </w:pPr>
      <w:bookmarkStart w:id="1295" w:name="_Toc159950730"/>
      <w:bookmarkStart w:id="1296" w:name="_Toc179632747"/>
      <w:bookmarkStart w:id="1297" w:name="_Toc338944822"/>
      <w:bookmarkStart w:id="1298" w:name="_Toc342296380"/>
      <w:bookmarkStart w:id="1299" w:name="_Toc152045729"/>
      <w:bookmarkStart w:id="1300" w:name="_Toc152042508"/>
      <w:bookmarkStart w:id="1301" w:name="_Toc144974700"/>
      <w:r>
        <w:rPr>
          <w:rFonts w:eastAsia="黑体"/>
          <w:sz w:val="24"/>
          <w:szCs w:val="20"/>
          <w:highlight w:val="none"/>
        </w:rPr>
        <w:t>18.4 单位工程验收</w:t>
      </w:r>
      <w:bookmarkEnd w:id="1295"/>
      <w:bookmarkEnd w:id="1296"/>
      <w:bookmarkEnd w:id="1297"/>
      <w:bookmarkEnd w:id="1298"/>
      <w:bookmarkEnd w:id="1299"/>
      <w:bookmarkEnd w:id="1300"/>
      <w:bookmarkEnd w:id="1301"/>
    </w:p>
    <w:p w14:paraId="38C0F48C">
      <w:pPr>
        <w:spacing w:line="400" w:lineRule="exact"/>
        <w:ind w:firstLine="420" w:firstLineChars="200"/>
        <w:rPr>
          <w:highlight w:val="none"/>
        </w:rPr>
      </w:pPr>
      <w:r>
        <w:rPr>
          <w:highlight w:val="none"/>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7EB1BEFF">
      <w:pPr>
        <w:spacing w:line="400" w:lineRule="exact"/>
        <w:ind w:firstLine="420" w:firstLineChars="200"/>
        <w:rPr>
          <w:highlight w:val="none"/>
        </w:rPr>
      </w:pPr>
      <w:r>
        <w:rPr>
          <w:highlight w:val="none"/>
        </w:rPr>
        <w:t>18.4.2 发包人在全部工程竣工前，使用已接收的单位工程导致承包人费用增加的，发包人应承担由此增加的费用和（或）工期延误，并支付承包人合理利润。</w:t>
      </w:r>
    </w:p>
    <w:p w14:paraId="788A1BA2">
      <w:pPr>
        <w:keepNext/>
        <w:keepLines/>
        <w:spacing w:line="400" w:lineRule="exact"/>
        <w:outlineLvl w:val="2"/>
        <w:rPr>
          <w:rFonts w:eastAsia="黑体"/>
          <w:sz w:val="24"/>
          <w:szCs w:val="20"/>
          <w:highlight w:val="none"/>
        </w:rPr>
      </w:pPr>
      <w:bookmarkStart w:id="1302" w:name="_Toc338944823"/>
      <w:bookmarkStart w:id="1303" w:name="_Toc342296381"/>
      <w:bookmarkStart w:id="1304" w:name="_Toc159950731"/>
      <w:r>
        <w:rPr>
          <w:rFonts w:eastAsia="黑体"/>
          <w:sz w:val="24"/>
          <w:szCs w:val="20"/>
          <w:highlight w:val="none"/>
        </w:rPr>
        <w:t>18.5 施工期运行</w:t>
      </w:r>
      <w:bookmarkEnd w:id="1302"/>
      <w:bookmarkEnd w:id="1303"/>
      <w:bookmarkEnd w:id="1304"/>
    </w:p>
    <w:p w14:paraId="7E5E8040">
      <w:pPr>
        <w:spacing w:line="400" w:lineRule="exact"/>
        <w:ind w:firstLine="420" w:firstLineChars="200"/>
        <w:rPr>
          <w:highlight w:val="none"/>
        </w:rPr>
      </w:pPr>
      <w:r>
        <w:rPr>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7DC8B69B">
      <w:pPr>
        <w:spacing w:line="400" w:lineRule="exact"/>
        <w:ind w:firstLine="420" w:firstLineChars="200"/>
        <w:rPr>
          <w:highlight w:val="none"/>
        </w:rPr>
      </w:pPr>
      <w:r>
        <w:rPr>
          <w:highlight w:val="none"/>
        </w:rPr>
        <w:t>18.5.2 在施工期运行中发现工程或工程设备损坏或存在缺陷的，由承包人按第19.2款约定进行修复。</w:t>
      </w:r>
    </w:p>
    <w:p w14:paraId="39890AC9">
      <w:pPr>
        <w:keepNext/>
        <w:keepLines/>
        <w:spacing w:line="400" w:lineRule="exact"/>
        <w:outlineLvl w:val="2"/>
        <w:rPr>
          <w:rFonts w:eastAsia="黑体"/>
          <w:sz w:val="24"/>
          <w:szCs w:val="20"/>
          <w:highlight w:val="none"/>
        </w:rPr>
      </w:pPr>
      <w:bookmarkStart w:id="1305" w:name="_Toc338944824"/>
      <w:bookmarkStart w:id="1306" w:name="_Toc342296382"/>
      <w:bookmarkStart w:id="1307" w:name="_Toc159950732"/>
      <w:r>
        <w:rPr>
          <w:rFonts w:eastAsia="黑体"/>
          <w:sz w:val="24"/>
          <w:szCs w:val="20"/>
          <w:highlight w:val="none"/>
        </w:rPr>
        <w:t>18.6 试运行</w:t>
      </w:r>
      <w:bookmarkEnd w:id="1305"/>
      <w:bookmarkEnd w:id="1306"/>
      <w:bookmarkEnd w:id="1307"/>
    </w:p>
    <w:p w14:paraId="36C7E26A">
      <w:pPr>
        <w:spacing w:line="400" w:lineRule="exact"/>
        <w:ind w:firstLine="420" w:firstLineChars="200"/>
        <w:rPr>
          <w:highlight w:val="none"/>
        </w:rPr>
      </w:pPr>
      <w:r>
        <w:rPr>
          <w:highlight w:val="none"/>
        </w:rPr>
        <w:t>18.6.1 除专用合同条款另有约定外，承包人应按专用合同条款约定进行工程及工程设备试运行，负责提供试运行所需的人员、器材和必要的条件，并承担全部试运行费用。</w:t>
      </w:r>
    </w:p>
    <w:p w14:paraId="0C31A53C">
      <w:pPr>
        <w:spacing w:line="400" w:lineRule="exact"/>
        <w:ind w:firstLine="420" w:firstLineChars="200"/>
        <w:rPr>
          <w:highlight w:val="none"/>
        </w:rPr>
      </w:pPr>
      <w:r>
        <w:rPr>
          <w:highlight w:val="none"/>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32937447">
      <w:pPr>
        <w:keepNext/>
        <w:keepLines/>
        <w:spacing w:line="400" w:lineRule="exact"/>
        <w:outlineLvl w:val="2"/>
        <w:rPr>
          <w:rFonts w:eastAsia="黑体"/>
          <w:sz w:val="24"/>
          <w:szCs w:val="20"/>
          <w:highlight w:val="none"/>
        </w:rPr>
      </w:pPr>
      <w:bookmarkStart w:id="1308" w:name="_Toc342296383"/>
      <w:bookmarkStart w:id="1309" w:name="_Toc338944825"/>
      <w:bookmarkStart w:id="1310" w:name="_Toc159950733"/>
      <w:r>
        <w:rPr>
          <w:rFonts w:eastAsia="黑体"/>
          <w:sz w:val="24"/>
          <w:szCs w:val="20"/>
          <w:highlight w:val="none"/>
        </w:rPr>
        <w:t>18.7 竣工清场</w:t>
      </w:r>
      <w:bookmarkEnd w:id="1308"/>
      <w:bookmarkEnd w:id="1309"/>
      <w:bookmarkEnd w:id="1310"/>
    </w:p>
    <w:p w14:paraId="461B6C9D">
      <w:pPr>
        <w:spacing w:line="400" w:lineRule="exact"/>
        <w:ind w:firstLine="420" w:firstLineChars="200"/>
        <w:rPr>
          <w:highlight w:val="none"/>
        </w:rPr>
      </w:pPr>
      <w:r>
        <w:rPr>
          <w:highlight w:val="none"/>
        </w:rPr>
        <w:t>18.7.1 除合同另有约定外，工程接收证书颁发后，承包人应按以下要求对施工场地进行清理，直至监理人检验合格为止。竣工清场费用由承包人承担。</w:t>
      </w:r>
    </w:p>
    <w:p w14:paraId="033E8FDC">
      <w:pPr>
        <w:spacing w:line="400" w:lineRule="exact"/>
        <w:ind w:firstLine="718" w:firstLineChars="342"/>
        <w:rPr>
          <w:highlight w:val="none"/>
        </w:rPr>
      </w:pPr>
      <w:r>
        <w:rPr>
          <w:highlight w:val="none"/>
        </w:rPr>
        <w:t>（1）施工场地内残留的垃圾已全部清除出场；</w:t>
      </w:r>
    </w:p>
    <w:p w14:paraId="162A5A71">
      <w:pPr>
        <w:spacing w:line="400" w:lineRule="exact"/>
        <w:ind w:firstLine="718" w:firstLineChars="342"/>
        <w:rPr>
          <w:highlight w:val="none"/>
        </w:rPr>
      </w:pPr>
      <w:r>
        <w:rPr>
          <w:highlight w:val="none"/>
        </w:rPr>
        <w:t>（2）临时工程已拆除，场地已按合同要求进行清理、平整或复原；</w:t>
      </w:r>
    </w:p>
    <w:p w14:paraId="2986E045">
      <w:pPr>
        <w:spacing w:line="400" w:lineRule="exact"/>
        <w:ind w:firstLine="718" w:firstLineChars="342"/>
        <w:rPr>
          <w:highlight w:val="none"/>
        </w:rPr>
      </w:pPr>
      <w:r>
        <w:rPr>
          <w:highlight w:val="none"/>
        </w:rPr>
        <w:t>（3）按合同约定应撤离的承包人设备和剩余的材料，包括废弃的施工设备和材料，已按计划撤离施工场地；</w:t>
      </w:r>
    </w:p>
    <w:p w14:paraId="4F883FF6">
      <w:pPr>
        <w:spacing w:line="400" w:lineRule="exact"/>
        <w:ind w:firstLine="718" w:firstLineChars="342"/>
        <w:rPr>
          <w:highlight w:val="none"/>
        </w:rPr>
      </w:pPr>
      <w:r>
        <w:rPr>
          <w:highlight w:val="none"/>
        </w:rPr>
        <w:t>（4）工程建筑物周边及其附近道路、河道的施工堆积物，已按监理人指示全部清理；</w:t>
      </w:r>
    </w:p>
    <w:p w14:paraId="196B6313">
      <w:pPr>
        <w:spacing w:line="400" w:lineRule="exact"/>
        <w:ind w:firstLine="718" w:firstLineChars="342"/>
        <w:rPr>
          <w:highlight w:val="none"/>
        </w:rPr>
      </w:pPr>
      <w:r>
        <w:rPr>
          <w:highlight w:val="none"/>
        </w:rPr>
        <w:t>（5）监理人指示的其他场地清理工作已全部完成。</w:t>
      </w:r>
    </w:p>
    <w:p w14:paraId="1E2F7FF6">
      <w:pPr>
        <w:spacing w:line="400" w:lineRule="exact"/>
        <w:ind w:firstLine="420" w:firstLineChars="200"/>
        <w:rPr>
          <w:highlight w:val="none"/>
        </w:rPr>
      </w:pPr>
      <w:r>
        <w:rPr>
          <w:highlight w:val="none"/>
        </w:rPr>
        <w:t>18.7.2 承包人未按监理人的要求恢复临时占地，或者场地清理未达到合同约定的，发包人有权委托其他人恢复或清理，所发生的金额从拟支付给承包人的款项中扣除。</w:t>
      </w:r>
    </w:p>
    <w:p w14:paraId="64246A95">
      <w:pPr>
        <w:keepNext/>
        <w:keepLines/>
        <w:spacing w:line="400" w:lineRule="exact"/>
        <w:outlineLvl w:val="2"/>
        <w:rPr>
          <w:rFonts w:eastAsia="黑体"/>
          <w:sz w:val="24"/>
          <w:szCs w:val="20"/>
          <w:highlight w:val="none"/>
        </w:rPr>
      </w:pPr>
      <w:bookmarkStart w:id="1311" w:name="_Toc342296384"/>
      <w:bookmarkStart w:id="1312" w:name="_Toc338944826"/>
      <w:bookmarkStart w:id="1313" w:name="_Toc159950734"/>
      <w:r>
        <w:rPr>
          <w:rFonts w:eastAsia="黑体"/>
          <w:sz w:val="24"/>
          <w:szCs w:val="20"/>
          <w:highlight w:val="none"/>
        </w:rPr>
        <w:t>18.8 施工队伍的撤离</w:t>
      </w:r>
      <w:bookmarkEnd w:id="1311"/>
      <w:bookmarkEnd w:id="1312"/>
      <w:bookmarkEnd w:id="1313"/>
    </w:p>
    <w:p w14:paraId="2A7AA39A">
      <w:pPr>
        <w:spacing w:line="400" w:lineRule="exact"/>
        <w:ind w:firstLine="420" w:firstLineChars="200"/>
        <w:rPr>
          <w:highlight w:val="none"/>
        </w:rPr>
      </w:pPr>
      <w:r>
        <w:rPr>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5B085B5D">
      <w:pPr>
        <w:keepNext/>
        <w:keepLines/>
        <w:spacing w:line="400" w:lineRule="exact"/>
        <w:outlineLvl w:val="1"/>
        <w:rPr>
          <w:rFonts w:eastAsia="黑体" w:cs="仿宋_GB2312"/>
          <w:sz w:val="28"/>
          <w:szCs w:val="20"/>
          <w:highlight w:val="none"/>
        </w:rPr>
      </w:pPr>
      <w:bookmarkStart w:id="1314" w:name="_Toc338944827"/>
      <w:bookmarkStart w:id="1315" w:name="_Toc448758540"/>
      <w:bookmarkStart w:id="1316" w:name="_Toc469660035"/>
      <w:bookmarkStart w:id="1317" w:name="_Toc448758440"/>
      <w:bookmarkStart w:id="1318" w:name="_Toc442365632"/>
      <w:bookmarkStart w:id="1319" w:name="_Toc342296385"/>
      <w:bookmarkStart w:id="1320" w:name="_Toc159950735"/>
      <w:r>
        <w:rPr>
          <w:rFonts w:eastAsia="黑体" w:cs="仿宋_GB2312"/>
          <w:sz w:val="28"/>
          <w:szCs w:val="20"/>
          <w:highlight w:val="none"/>
        </w:rPr>
        <w:t>19. 缺陷责任与保修责任</w:t>
      </w:r>
      <w:bookmarkEnd w:id="1314"/>
      <w:bookmarkEnd w:id="1315"/>
      <w:bookmarkEnd w:id="1316"/>
      <w:bookmarkEnd w:id="1317"/>
      <w:bookmarkEnd w:id="1318"/>
      <w:bookmarkEnd w:id="1319"/>
      <w:bookmarkEnd w:id="1320"/>
    </w:p>
    <w:p w14:paraId="12F15346">
      <w:pPr>
        <w:keepNext/>
        <w:keepLines/>
        <w:spacing w:line="400" w:lineRule="exact"/>
        <w:outlineLvl w:val="2"/>
        <w:rPr>
          <w:rFonts w:eastAsia="黑体"/>
          <w:sz w:val="24"/>
          <w:szCs w:val="20"/>
          <w:highlight w:val="none"/>
        </w:rPr>
      </w:pPr>
      <w:bookmarkStart w:id="1321" w:name="_Toc338944828"/>
      <w:bookmarkStart w:id="1322" w:name="_Toc179632753"/>
      <w:bookmarkStart w:id="1323" w:name="_Toc342296386"/>
      <w:bookmarkStart w:id="1324" w:name="_Toc152045735"/>
      <w:bookmarkStart w:id="1325" w:name="_Toc152042514"/>
      <w:bookmarkStart w:id="1326" w:name="_Toc144974706"/>
      <w:bookmarkStart w:id="1327" w:name="_Toc159950736"/>
      <w:r>
        <w:rPr>
          <w:rFonts w:eastAsia="黑体"/>
          <w:sz w:val="24"/>
          <w:szCs w:val="20"/>
          <w:highlight w:val="none"/>
        </w:rPr>
        <w:t>19.1 缺陷责任期的起算时间</w:t>
      </w:r>
      <w:bookmarkEnd w:id="1321"/>
      <w:bookmarkEnd w:id="1322"/>
      <w:bookmarkEnd w:id="1323"/>
      <w:bookmarkEnd w:id="1324"/>
      <w:bookmarkEnd w:id="1325"/>
      <w:bookmarkEnd w:id="1326"/>
      <w:bookmarkEnd w:id="1327"/>
    </w:p>
    <w:p w14:paraId="4A01E072">
      <w:pPr>
        <w:spacing w:line="400" w:lineRule="exact"/>
        <w:ind w:firstLine="420" w:firstLineChars="200"/>
        <w:rPr>
          <w:highlight w:val="none"/>
        </w:rPr>
      </w:pPr>
      <w:r>
        <w:rPr>
          <w:highlight w:val="none"/>
        </w:rPr>
        <w:t>缺陷责任期自实际竣工日期起计算。在全部工程竣工验收前，已经发包人提前验收的单位工程，其缺陷责任期的起算日期相应提前。</w:t>
      </w:r>
    </w:p>
    <w:p w14:paraId="7EBF1580">
      <w:pPr>
        <w:keepNext/>
        <w:keepLines/>
        <w:spacing w:line="400" w:lineRule="exact"/>
        <w:outlineLvl w:val="2"/>
        <w:rPr>
          <w:rFonts w:eastAsia="黑体"/>
          <w:sz w:val="24"/>
          <w:szCs w:val="20"/>
          <w:highlight w:val="none"/>
        </w:rPr>
      </w:pPr>
      <w:bookmarkStart w:id="1328" w:name="_Toc338944829"/>
      <w:bookmarkStart w:id="1329" w:name="_Toc144974707"/>
      <w:bookmarkStart w:id="1330" w:name="_Toc152045736"/>
      <w:bookmarkStart w:id="1331" w:name="_Toc342296387"/>
      <w:bookmarkStart w:id="1332" w:name="_Toc159950737"/>
      <w:bookmarkStart w:id="1333" w:name="_Toc179632754"/>
      <w:bookmarkStart w:id="1334" w:name="_Toc152042515"/>
      <w:r>
        <w:rPr>
          <w:rFonts w:eastAsia="黑体"/>
          <w:sz w:val="24"/>
          <w:szCs w:val="20"/>
          <w:highlight w:val="none"/>
        </w:rPr>
        <w:t>19.2 缺陷责任</w:t>
      </w:r>
      <w:bookmarkEnd w:id="1328"/>
      <w:bookmarkEnd w:id="1329"/>
      <w:bookmarkEnd w:id="1330"/>
      <w:bookmarkEnd w:id="1331"/>
      <w:bookmarkEnd w:id="1332"/>
      <w:bookmarkEnd w:id="1333"/>
      <w:bookmarkEnd w:id="1334"/>
    </w:p>
    <w:p w14:paraId="4D74B011">
      <w:pPr>
        <w:spacing w:line="400" w:lineRule="exact"/>
        <w:ind w:firstLine="420" w:firstLineChars="200"/>
        <w:rPr>
          <w:highlight w:val="none"/>
        </w:rPr>
      </w:pPr>
      <w:r>
        <w:rPr>
          <w:highlight w:val="none"/>
        </w:rPr>
        <w:t>19.2.1 承包人应在缺陷责任期内对已交付使用的工程承担缺陷责任。</w:t>
      </w:r>
    </w:p>
    <w:p w14:paraId="26AD8E3B">
      <w:pPr>
        <w:spacing w:line="400" w:lineRule="exact"/>
        <w:ind w:firstLine="420" w:firstLineChars="200"/>
        <w:rPr>
          <w:highlight w:val="none"/>
        </w:rPr>
      </w:pPr>
      <w:r>
        <w:rPr>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0B60653A">
      <w:pPr>
        <w:spacing w:line="400" w:lineRule="exact"/>
        <w:ind w:firstLine="420" w:firstLineChars="200"/>
        <w:rPr>
          <w:highlight w:val="none"/>
        </w:rPr>
      </w:pPr>
      <w:r>
        <w:rPr>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3FBD048B">
      <w:pPr>
        <w:spacing w:line="400" w:lineRule="exact"/>
        <w:ind w:firstLine="420" w:firstLineChars="200"/>
        <w:rPr>
          <w:highlight w:val="none"/>
        </w:rPr>
      </w:pPr>
      <w:r>
        <w:rPr>
          <w:highlight w:val="none"/>
        </w:rPr>
        <w:t>19.2.4 承包人不能在合理时间内修复缺陷的，发包人可自行修复或委托其他人修复，所需费用和利润的承担，按第19.2.3项约定办理。</w:t>
      </w:r>
    </w:p>
    <w:p w14:paraId="0DE895E0">
      <w:pPr>
        <w:keepNext/>
        <w:keepLines/>
        <w:spacing w:line="400" w:lineRule="exact"/>
        <w:outlineLvl w:val="2"/>
        <w:rPr>
          <w:rFonts w:eastAsia="黑体"/>
          <w:sz w:val="24"/>
          <w:szCs w:val="20"/>
          <w:highlight w:val="none"/>
        </w:rPr>
      </w:pPr>
      <w:bookmarkStart w:id="1335" w:name="_Toc152045737"/>
      <w:bookmarkStart w:id="1336" w:name="_Toc338944830"/>
      <w:bookmarkStart w:id="1337" w:name="_Toc144974708"/>
      <w:bookmarkStart w:id="1338" w:name="_Toc179632755"/>
      <w:bookmarkStart w:id="1339" w:name="_Toc159950738"/>
      <w:bookmarkStart w:id="1340" w:name="_Toc152042516"/>
      <w:bookmarkStart w:id="1341" w:name="_Toc342296388"/>
      <w:r>
        <w:rPr>
          <w:rFonts w:eastAsia="黑体"/>
          <w:sz w:val="24"/>
          <w:szCs w:val="20"/>
          <w:highlight w:val="none"/>
        </w:rPr>
        <w:t>19.3 缺陷责任期的延长</w:t>
      </w:r>
      <w:bookmarkEnd w:id="1335"/>
      <w:bookmarkEnd w:id="1336"/>
      <w:bookmarkEnd w:id="1337"/>
      <w:bookmarkEnd w:id="1338"/>
      <w:bookmarkEnd w:id="1339"/>
      <w:bookmarkEnd w:id="1340"/>
      <w:bookmarkEnd w:id="1341"/>
    </w:p>
    <w:p w14:paraId="0B687112">
      <w:pPr>
        <w:spacing w:line="400" w:lineRule="exact"/>
        <w:ind w:firstLine="420" w:firstLineChars="200"/>
        <w:rPr>
          <w:highlight w:val="none"/>
        </w:rPr>
      </w:pPr>
      <w:r>
        <w:rPr>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28DA9B24">
      <w:pPr>
        <w:keepNext/>
        <w:keepLines/>
        <w:spacing w:line="400" w:lineRule="exact"/>
        <w:outlineLvl w:val="2"/>
        <w:rPr>
          <w:rFonts w:eastAsia="黑体"/>
          <w:sz w:val="24"/>
          <w:szCs w:val="20"/>
          <w:highlight w:val="none"/>
        </w:rPr>
      </w:pPr>
      <w:bookmarkStart w:id="1342" w:name="_Toc179632756"/>
      <w:bookmarkStart w:id="1343" w:name="_Toc338944831"/>
      <w:bookmarkStart w:id="1344" w:name="_Toc144974709"/>
      <w:bookmarkStart w:id="1345" w:name="_Toc152045738"/>
      <w:bookmarkStart w:id="1346" w:name="_Toc159950739"/>
      <w:bookmarkStart w:id="1347" w:name="_Toc152042517"/>
      <w:bookmarkStart w:id="1348" w:name="_Toc342296389"/>
      <w:r>
        <w:rPr>
          <w:rFonts w:eastAsia="黑体"/>
          <w:sz w:val="24"/>
          <w:szCs w:val="20"/>
          <w:highlight w:val="none"/>
        </w:rPr>
        <w:t>19.4 进一步试验和试运行</w:t>
      </w:r>
      <w:bookmarkEnd w:id="1342"/>
      <w:bookmarkEnd w:id="1343"/>
      <w:bookmarkEnd w:id="1344"/>
      <w:bookmarkEnd w:id="1345"/>
      <w:bookmarkEnd w:id="1346"/>
      <w:bookmarkEnd w:id="1347"/>
      <w:bookmarkEnd w:id="1348"/>
    </w:p>
    <w:p w14:paraId="048DF65E">
      <w:pPr>
        <w:spacing w:line="400" w:lineRule="exact"/>
        <w:ind w:firstLine="420" w:firstLineChars="200"/>
        <w:rPr>
          <w:highlight w:val="none"/>
        </w:rPr>
      </w:pPr>
      <w:r>
        <w:rPr>
          <w:highlight w:val="none"/>
        </w:rPr>
        <w:t>任何一项缺陷或损坏修复后，经检查证明其影响了工程或工程设备的使用性能，承包人应重新进行合同约定的试验和试运行，试验和试运行的全部费用应由责任方承担。</w:t>
      </w:r>
    </w:p>
    <w:p w14:paraId="16ADC395">
      <w:pPr>
        <w:keepNext/>
        <w:keepLines/>
        <w:spacing w:line="400" w:lineRule="exact"/>
        <w:outlineLvl w:val="2"/>
        <w:rPr>
          <w:rFonts w:eastAsia="黑体"/>
          <w:sz w:val="24"/>
          <w:szCs w:val="20"/>
          <w:highlight w:val="none"/>
        </w:rPr>
      </w:pPr>
      <w:bookmarkStart w:id="1349" w:name="_Toc152042518"/>
      <w:bookmarkStart w:id="1350" w:name="_Toc338944832"/>
      <w:bookmarkStart w:id="1351" w:name="_Toc179632757"/>
      <w:bookmarkStart w:id="1352" w:name="_Toc152045739"/>
      <w:bookmarkStart w:id="1353" w:name="_Toc144974710"/>
      <w:bookmarkStart w:id="1354" w:name="_Toc159950740"/>
      <w:bookmarkStart w:id="1355" w:name="_Toc342296390"/>
      <w:r>
        <w:rPr>
          <w:rFonts w:eastAsia="黑体"/>
          <w:sz w:val="24"/>
          <w:szCs w:val="20"/>
          <w:highlight w:val="none"/>
        </w:rPr>
        <w:t>19.5 承包人的进入权</w:t>
      </w:r>
      <w:bookmarkEnd w:id="1349"/>
      <w:bookmarkEnd w:id="1350"/>
      <w:bookmarkEnd w:id="1351"/>
      <w:bookmarkEnd w:id="1352"/>
      <w:bookmarkEnd w:id="1353"/>
      <w:bookmarkEnd w:id="1354"/>
      <w:bookmarkEnd w:id="1355"/>
    </w:p>
    <w:p w14:paraId="09E7F6D3">
      <w:pPr>
        <w:spacing w:line="400" w:lineRule="exact"/>
        <w:ind w:firstLine="420" w:firstLineChars="200"/>
        <w:rPr>
          <w:highlight w:val="none"/>
        </w:rPr>
      </w:pPr>
      <w:r>
        <w:rPr>
          <w:highlight w:val="none"/>
        </w:rPr>
        <w:t>缺陷责任期内承包人为缺陷修复工作需要，有权进入工程现场，但应遵守发包人的保安和保密规定。</w:t>
      </w:r>
    </w:p>
    <w:p w14:paraId="1EC7A243">
      <w:pPr>
        <w:keepNext/>
        <w:keepLines/>
        <w:spacing w:line="400" w:lineRule="exact"/>
        <w:outlineLvl w:val="2"/>
        <w:rPr>
          <w:rFonts w:eastAsia="黑体"/>
          <w:sz w:val="24"/>
          <w:szCs w:val="20"/>
          <w:highlight w:val="none"/>
        </w:rPr>
      </w:pPr>
      <w:bookmarkStart w:id="1356" w:name="_Toc179632758"/>
      <w:bookmarkStart w:id="1357" w:name="_Toc338944833"/>
      <w:bookmarkStart w:id="1358" w:name="_Toc152045740"/>
      <w:bookmarkStart w:id="1359" w:name="_Toc342296391"/>
      <w:bookmarkStart w:id="1360" w:name="_Toc144974711"/>
      <w:bookmarkStart w:id="1361" w:name="_Toc152042519"/>
      <w:bookmarkStart w:id="1362" w:name="_Toc159950741"/>
      <w:r>
        <w:rPr>
          <w:rFonts w:eastAsia="黑体"/>
          <w:sz w:val="24"/>
          <w:szCs w:val="20"/>
          <w:highlight w:val="none"/>
        </w:rPr>
        <w:t>19.6 缺陷责任期终止证书</w:t>
      </w:r>
      <w:bookmarkEnd w:id="1356"/>
      <w:bookmarkEnd w:id="1357"/>
      <w:bookmarkEnd w:id="1358"/>
      <w:bookmarkEnd w:id="1359"/>
      <w:bookmarkEnd w:id="1360"/>
      <w:bookmarkEnd w:id="1361"/>
      <w:bookmarkEnd w:id="1362"/>
    </w:p>
    <w:p w14:paraId="7FA6EBBE">
      <w:pPr>
        <w:spacing w:line="400" w:lineRule="exact"/>
        <w:ind w:firstLine="420" w:firstLineChars="200"/>
        <w:rPr>
          <w:highlight w:val="none"/>
        </w:rPr>
      </w:pPr>
      <w:r>
        <w:rPr>
          <w:highlight w:val="none"/>
        </w:rPr>
        <w:t>在第1.1.4.5目约定的缺陷责任期，包括根据第19.3款延长的期限终止后14天内，由监理人向承包人出具经发包人签认的缺陷责任期终止证书，并退还剩余的质量保证金。</w:t>
      </w:r>
    </w:p>
    <w:p w14:paraId="4D30C7E2">
      <w:pPr>
        <w:keepNext/>
        <w:keepLines/>
        <w:spacing w:line="400" w:lineRule="exact"/>
        <w:outlineLvl w:val="2"/>
        <w:rPr>
          <w:rFonts w:eastAsia="黑体"/>
          <w:sz w:val="24"/>
          <w:szCs w:val="20"/>
          <w:highlight w:val="none"/>
        </w:rPr>
      </w:pPr>
      <w:bookmarkStart w:id="1363" w:name="_Toc338944834"/>
      <w:bookmarkStart w:id="1364" w:name="_Toc342296392"/>
      <w:bookmarkStart w:id="1365" w:name="_Toc159950742"/>
      <w:r>
        <w:rPr>
          <w:rFonts w:eastAsia="黑体"/>
          <w:sz w:val="24"/>
          <w:szCs w:val="20"/>
          <w:highlight w:val="none"/>
        </w:rPr>
        <w:t>19.7 保修责任</w:t>
      </w:r>
      <w:bookmarkEnd w:id="1363"/>
      <w:bookmarkEnd w:id="1364"/>
      <w:bookmarkEnd w:id="1365"/>
    </w:p>
    <w:p w14:paraId="4C12E1F8">
      <w:pPr>
        <w:spacing w:line="400" w:lineRule="exact"/>
        <w:ind w:firstLine="420" w:firstLineChars="200"/>
        <w:rPr>
          <w:highlight w:val="none"/>
        </w:rPr>
      </w:pPr>
      <w:r>
        <w:rPr>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265B5A44">
      <w:pPr>
        <w:keepNext/>
        <w:keepLines/>
        <w:spacing w:line="400" w:lineRule="exact"/>
        <w:outlineLvl w:val="1"/>
        <w:rPr>
          <w:rFonts w:eastAsia="黑体" w:cs="仿宋_GB2312"/>
          <w:sz w:val="28"/>
          <w:szCs w:val="20"/>
          <w:highlight w:val="none"/>
        </w:rPr>
      </w:pPr>
      <w:bookmarkStart w:id="1366" w:name="_Toc342296393"/>
      <w:bookmarkStart w:id="1367" w:name="_Toc469660036"/>
      <w:bookmarkStart w:id="1368" w:name="_Toc442365633"/>
      <w:bookmarkStart w:id="1369" w:name="_Toc448758541"/>
      <w:bookmarkStart w:id="1370" w:name="_Toc338944835"/>
      <w:bookmarkStart w:id="1371" w:name="_Toc448758441"/>
      <w:bookmarkStart w:id="1372" w:name="_Toc159950743"/>
      <w:r>
        <w:rPr>
          <w:rFonts w:eastAsia="黑体" w:cs="仿宋_GB2312"/>
          <w:sz w:val="28"/>
          <w:szCs w:val="20"/>
          <w:highlight w:val="none"/>
        </w:rPr>
        <w:t>20. 保险</w:t>
      </w:r>
      <w:bookmarkEnd w:id="1366"/>
      <w:bookmarkEnd w:id="1367"/>
      <w:bookmarkEnd w:id="1368"/>
      <w:bookmarkEnd w:id="1369"/>
      <w:bookmarkEnd w:id="1370"/>
      <w:bookmarkEnd w:id="1371"/>
      <w:bookmarkEnd w:id="1372"/>
    </w:p>
    <w:p w14:paraId="5A7AF7E0">
      <w:pPr>
        <w:keepNext/>
        <w:keepLines/>
        <w:spacing w:line="400" w:lineRule="exact"/>
        <w:outlineLvl w:val="2"/>
        <w:rPr>
          <w:rFonts w:eastAsia="黑体"/>
          <w:sz w:val="24"/>
          <w:szCs w:val="20"/>
          <w:highlight w:val="none"/>
        </w:rPr>
      </w:pPr>
      <w:bookmarkStart w:id="1373" w:name="_Toc342296394"/>
      <w:bookmarkStart w:id="1374" w:name="_Toc338944836"/>
      <w:bookmarkStart w:id="1375" w:name="_Toc159950744"/>
      <w:r>
        <w:rPr>
          <w:rFonts w:eastAsia="黑体"/>
          <w:sz w:val="24"/>
          <w:szCs w:val="20"/>
          <w:highlight w:val="none"/>
        </w:rPr>
        <w:t>20.1 工程保险</w:t>
      </w:r>
      <w:bookmarkEnd w:id="1373"/>
      <w:bookmarkEnd w:id="1374"/>
      <w:bookmarkEnd w:id="1375"/>
    </w:p>
    <w:p w14:paraId="07001EA0">
      <w:pPr>
        <w:spacing w:line="400" w:lineRule="exact"/>
        <w:ind w:firstLine="420" w:firstLineChars="200"/>
        <w:rPr>
          <w:highlight w:val="none"/>
        </w:rPr>
      </w:pPr>
      <w:r>
        <w:rPr>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70A67D79">
      <w:pPr>
        <w:keepNext/>
        <w:keepLines/>
        <w:spacing w:line="400" w:lineRule="exact"/>
        <w:outlineLvl w:val="2"/>
        <w:rPr>
          <w:rFonts w:eastAsia="黑体"/>
          <w:sz w:val="24"/>
          <w:szCs w:val="20"/>
          <w:highlight w:val="none"/>
        </w:rPr>
      </w:pPr>
      <w:bookmarkStart w:id="1376" w:name="_Toc159950745"/>
      <w:bookmarkStart w:id="1377" w:name="_Toc338944837"/>
      <w:bookmarkStart w:id="1378" w:name="_Toc342296395"/>
      <w:r>
        <w:rPr>
          <w:rFonts w:eastAsia="黑体"/>
          <w:sz w:val="24"/>
          <w:szCs w:val="20"/>
          <w:highlight w:val="none"/>
        </w:rPr>
        <w:t>20.2 人员工伤事故的保险</w:t>
      </w:r>
      <w:bookmarkEnd w:id="1376"/>
      <w:bookmarkEnd w:id="1377"/>
      <w:bookmarkEnd w:id="1378"/>
    </w:p>
    <w:p w14:paraId="5C94A5DE">
      <w:pPr>
        <w:spacing w:line="400" w:lineRule="exact"/>
        <w:ind w:firstLine="420" w:firstLineChars="200"/>
        <w:rPr>
          <w:rFonts w:eastAsia="Cambria"/>
          <w:highlight w:val="none"/>
        </w:rPr>
      </w:pPr>
      <w:r>
        <w:rPr>
          <w:highlight w:val="none"/>
        </w:rPr>
        <w:t xml:space="preserve">20.2.1 </w:t>
      </w:r>
      <w:r>
        <w:rPr>
          <w:rFonts w:hint="eastAsia" w:ascii="宋体" w:hAnsi="宋体" w:cs="宋体"/>
          <w:highlight w:val="none"/>
        </w:rPr>
        <w:t>承包人员工伤事故的保险</w:t>
      </w:r>
    </w:p>
    <w:p w14:paraId="77152EE4">
      <w:pPr>
        <w:spacing w:line="400" w:lineRule="exact"/>
        <w:ind w:firstLine="420" w:firstLineChars="200"/>
        <w:rPr>
          <w:highlight w:val="none"/>
        </w:rPr>
      </w:pPr>
      <w:r>
        <w:rPr>
          <w:highlight w:val="none"/>
        </w:rPr>
        <w:t>承包人应依照有关法律规定参加工伤保险，为其履行合同所雇佣的全部人员，缴纳工伤保险费，并要求其分包人也进行此项保险。</w:t>
      </w:r>
    </w:p>
    <w:p w14:paraId="53A356BB">
      <w:pPr>
        <w:spacing w:line="400" w:lineRule="exact"/>
        <w:ind w:firstLine="420" w:firstLineChars="200"/>
        <w:rPr>
          <w:rFonts w:eastAsia="Cambria"/>
          <w:highlight w:val="none"/>
        </w:rPr>
      </w:pPr>
      <w:r>
        <w:rPr>
          <w:highlight w:val="none"/>
        </w:rPr>
        <w:t>20.2.2</w:t>
      </w:r>
      <w:r>
        <w:rPr>
          <w:rFonts w:eastAsia="Cambria"/>
          <w:highlight w:val="none"/>
        </w:rPr>
        <w:t xml:space="preserve"> </w:t>
      </w:r>
      <w:r>
        <w:rPr>
          <w:rFonts w:hint="eastAsia" w:ascii="宋体" w:hAnsi="宋体" w:cs="宋体"/>
          <w:highlight w:val="none"/>
        </w:rPr>
        <w:t>发包人员工伤事故的保险</w:t>
      </w:r>
    </w:p>
    <w:p w14:paraId="37C95795">
      <w:pPr>
        <w:spacing w:line="400" w:lineRule="exact"/>
        <w:ind w:firstLine="420" w:firstLineChars="200"/>
        <w:rPr>
          <w:highlight w:val="none"/>
        </w:rPr>
      </w:pPr>
      <w:r>
        <w:rPr>
          <w:highlight w:val="none"/>
        </w:rPr>
        <w:t>发包人应依照有关法律规定参加工伤保险，为其现场机构雇佣的全部人员，缴纳工伤保险费，并要求其监理人也进行此项保险。</w:t>
      </w:r>
    </w:p>
    <w:p w14:paraId="2E58C996">
      <w:pPr>
        <w:keepNext/>
        <w:keepLines/>
        <w:spacing w:line="400" w:lineRule="exact"/>
        <w:outlineLvl w:val="2"/>
        <w:rPr>
          <w:rFonts w:eastAsia="黑体"/>
          <w:sz w:val="24"/>
          <w:szCs w:val="20"/>
          <w:highlight w:val="none"/>
        </w:rPr>
      </w:pPr>
      <w:bookmarkStart w:id="1379" w:name="_Toc179632763"/>
      <w:bookmarkStart w:id="1380" w:name="_Toc342296396"/>
      <w:bookmarkStart w:id="1381" w:name="_Toc152042524"/>
      <w:bookmarkStart w:id="1382" w:name="_Toc152045745"/>
      <w:bookmarkStart w:id="1383" w:name="_Toc159950746"/>
      <w:bookmarkStart w:id="1384" w:name="_Toc338944838"/>
      <w:bookmarkStart w:id="1385" w:name="_Toc144974716"/>
      <w:r>
        <w:rPr>
          <w:rFonts w:eastAsia="黑体"/>
          <w:sz w:val="24"/>
          <w:szCs w:val="20"/>
          <w:highlight w:val="none"/>
        </w:rPr>
        <w:t>20.3 人身意外伤害险</w:t>
      </w:r>
      <w:bookmarkEnd w:id="1379"/>
      <w:bookmarkEnd w:id="1380"/>
      <w:bookmarkEnd w:id="1381"/>
      <w:bookmarkEnd w:id="1382"/>
      <w:bookmarkEnd w:id="1383"/>
      <w:bookmarkEnd w:id="1384"/>
      <w:bookmarkEnd w:id="1385"/>
    </w:p>
    <w:p w14:paraId="3C1DE7E4">
      <w:pPr>
        <w:spacing w:line="400" w:lineRule="exact"/>
        <w:ind w:firstLine="420" w:firstLineChars="200"/>
        <w:rPr>
          <w:highlight w:val="none"/>
        </w:rPr>
      </w:pPr>
      <w:r>
        <w:rPr>
          <w:highlight w:val="none"/>
        </w:rPr>
        <w:t>20.3.1 发包人应在整个施工期间为其现场机构雇用的全部人员，投保人身意外伤害险，缴纳保险费，并要求其监理人也进行此项保险。</w:t>
      </w:r>
    </w:p>
    <w:p w14:paraId="36945C90">
      <w:pPr>
        <w:spacing w:line="400" w:lineRule="exact"/>
        <w:ind w:firstLine="420" w:firstLineChars="200"/>
        <w:rPr>
          <w:highlight w:val="none"/>
        </w:rPr>
      </w:pPr>
      <w:r>
        <w:rPr>
          <w:highlight w:val="none"/>
        </w:rPr>
        <w:t>20.3.2 承包人应在整个施工期间为其现场机构雇用的全部人员，投保人身意外伤害险，缴纳保险费，并要求其分包人也进行此项保险。</w:t>
      </w:r>
    </w:p>
    <w:p w14:paraId="08F78472">
      <w:pPr>
        <w:keepNext/>
        <w:keepLines/>
        <w:spacing w:line="400" w:lineRule="exact"/>
        <w:outlineLvl w:val="2"/>
        <w:rPr>
          <w:rFonts w:eastAsia="黑体"/>
          <w:sz w:val="24"/>
          <w:szCs w:val="20"/>
          <w:highlight w:val="none"/>
        </w:rPr>
      </w:pPr>
      <w:bookmarkStart w:id="1386" w:name="_Toc159950747"/>
      <w:bookmarkStart w:id="1387" w:name="_Toc342296397"/>
      <w:bookmarkStart w:id="1388" w:name="_Toc338944839"/>
      <w:r>
        <w:rPr>
          <w:rFonts w:eastAsia="黑体"/>
          <w:sz w:val="24"/>
          <w:szCs w:val="20"/>
          <w:highlight w:val="none"/>
        </w:rPr>
        <w:t>20.4 第三者责任险</w:t>
      </w:r>
      <w:bookmarkEnd w:id="1386"/>
      <w:bookmarkEnd w:id="1387"/>
      <w:bookmarkEnd w:id="1388"/>
    </w:p>
    <w:p w14:paraId="335DDEE0">
      <w:pPr>
        <w:spacing w:line="400" w:lineRule="exact"/>
        <w:ind w:firstLine="420" w:firstLineChars="200"/>
        <w:rPr>
          <w:highlight w:val="none"/>
        </w:rPr>
      </w:pPr>
      <w:r>
        <w:rPr>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2006F48E">
      <w:pPr>
        <w:spacing w:line="400" w:lineRule="exact"/>
        <w:ind w:firstLine="420" w:firstLineChars="200"/>
        <w:rPr>
          <w:highlight w:val="none"/>
        </w:rPr>
      </w:pPr>
      <w:r>
        <w:rPr>
          <w:highlight w:val="none"/>
        </w:rPr>
        <w:t>20.4.2 在缺陷责任期终止证书颁发前，承包人应以承包人和发包人的共同名义，投保第20.4.1项约定的第三者责任险，其保险费率、保险金额等有关内容在专用合同条款中约定。</w:t>
      </w:r>
    </w:p>
    <w:p w14:paraId="56421623">
      <w:pPr>
        <w:keepNext/>
        <w:keepLines/>
        <w:spacing w:line="400" w:lineRule="exact"/>
        <w:outlineLvl w:val="2"/>
        <w:rPr>
          <w:rFonts w:eastAsia="黑体"/>
          <w:sz w:val="24"/>
          <w:szCs w:val="20"/>
          <w:highlight w:val="none"/>
        </w:rPr>
      </w:pPr>
      <w:bookmarkStart w:id="1389" w:name="_Toc338944840"/>
      <w:bookmarkStart w:id="1390" w:name="_Toc159950748"/>
      <w:bookmarkStart w:id="1391" w:name="_Toc342296398"/>
      <w:r>
        <w:rPr>
          <w:rFonts w:eastAsia="黑体"/>
          <w:sz w:val="24"/>
          <w:szCs w:val="20"/>
          <w:highlight w:val="none"/>
        </w:rPr>
        <w:t>20.5 其他保险</w:t>
      </w:r>
      <w:bookmarkEnd w:id="1389"/>
      <w:bookmarkEnd w:id="1390"/>
      <w:bookmarkEnd w:id="1391"/>
    </w:p>
    <w:p w14:paraId="5A4BBBCA">
      <w:pPr>
        <w:spacing w:line="400" w:lineRule="exact"/>
        <w:ind w:firstLine="420" w:firstLineChars="200"/>
        <w:rPr>
          <w:highlight w:val="none"/>
        </w:rPr>
      </w:pPr>
      <w:r>
        <w:rPr>
          <w:highlight w:val="none"/>
        </w:rPr>
        <w:t>除专用合同条款另有约定外，承包人应为其施工设备、进场的材料和工程设备等办理保险。</w:t>
      </w:r>
    </w:p>
    <w:p w14:paraId="54AB22B0">
      <w:pPr>
        <w:keepNext/>
        <w:keepLines/>
        <w:spacing w:line="400" w:lineRule="exact"/>
        <w:outlineLvl w:val="2"/>
        <w:rPr>
          <w:rFonts w:eastAsia="黑体"/>
          <w:sz w:val="24"/>
          <w:szCs w:val="20"/>
          <w:highlight w:val="none"/>
        </w:rPr>
      </w:pPr>
      <w:bookmarkStart w:id="1392" w:name="_Toc342296399"/>
      <w:bookmarkStart w:id="1393" w:name="_Toc159950749"/>
      <w:bookmarkStart w:id="1394" w:name="_Toc338944841"/>
      <w:r>
        <w:rPr>
          <w:rFonts w:eastAsia="黑体"/>
          <w:sz w:val="24"/>
          <w:szCs w:val="20"/>
          <w:highlight w:val="none"/>
        </w:rPr>
        <w:t>20.6 对各项保险的一般要求</w:t>
      </w:r>
      <w:bookmarkEnd w:id="1392"/>
      <w:bookmarkEnd w:id="1393"/>
      <w:bookmarkEnd w:id="1394"/>
    </w:p>
    <w:p w14:paraId="4EF3EDEE">
      <w:pPr>
        <w:spacing w:line="400" w:lineRule="exact"/>
        <w:ind w:firstLine="420" w:firstLineChars="200"/>
        <w:rPr>
          <w:highlight w:val="none"/>
        </w:rPr>
      </w:pPr>
      <w:r>
        <w:rPr>
          <w:highlight w:val="none"/>
        </w:rPr>
        <w:t xml:space="preserve">20.6.1 </w:t>
      </w:r>
      <w:r>
        <w:rPr>
          <w:rFonts w:hint="eastAsia" w:ascii="宋体" w:hAnsi="宋体" w:cs="宋体"/>
          <w:highlight w:val="none"/>
        </w:rPr>
        <w:t>保险凭证</w:t>
      </w:r>
    </w:p>
    <w:p w14:paraId="6DEC73AF">
      <w:pPr>
        <w:spacing w:line="400" w:lineRule="exact"/>
        <w:ind w:firstLine="420" w:firstLineChars="200"/>
        <w:rPr>
          <w:highlight w:val="none"/>
        </w:rPr>
      </w:pPr>
      <w:r>
        <w:rPr>
          <w:highlight w:val="none"/>
        </w:rPr>
        <w:t>承包人应在专用合同条款约定的期限内向发包人提交各项保险生效的证据和保险单副本，保险单必须与专用合同条款约定的条件保持一致。</w:t>
      </w:r>
    </w:p>
    <w:p w14:paraId="71BDEB51">
      <w:pPr>
        <w:spacing w:line="400" w:lineRule="exact"/>
        <w:ind w:firstLine="420" w:firstLineChars="200"/>
        <w:rPr>
          <w:highlight w:val="none"/>
        </w:rPr>
      </w:pPr>
      <w:r>
        <w:rPr>
          <w:highlight w:val="none"/>
        </w:rPr>
        <w:t xml:space="preserve">20.6.2 </w:t>
      </w:r>
      <w:r>
        <w:rPr>
          <w:rFonts w:hint="eastAsia" w:ascii="宋体" w:hAnsi="宋体" w:cs="宋体"/>
          <w:highlight w:val="none"/>
        </w:rPr>
        <w:t>保险合同条款的变动</w:t>
      </w:r>
    </w:p>
    <w:p w14:paraId="0B3E1B06">
      <w:pPr>
        <w:spacing w:line="400" w:lineRule="exact"/>
        <w:ind w:firstLine="420" w:firstLineChars="200"/>
        <w:rPr>
          <w:highlight w:val="none"/>
        </w:rPr>
      </w:pPr>
      <w:r>
        <w:rPr>
          <w:highlight w:val="none"/>
        </w:rPr>
        <w:t>承包人需要变动保险合同条款时，应事先征得发包人同意，并通知监理人。保险人作出变动的，承包人应在收到保险人通知后立即通知发包人和监理人。</w:t>
      </w:r>
    </w:p>
    <w:p w14:paraId="45FDC8C3">
      <w:pPr>
        <w:spacing w:line="400" w:lineRule="exact"/>
        <w:ind w:firstLine="420" w:firstLineChars="200"/>
        <w:rPr>
          <w:highlight w:val="none"/>
        </w:rPr>
      </w:pPr>
      <w:r>
        <w:rPr>
          <w:highlight w:val="none"/>
        </w:rPr>
        <w:t xml:space="preserve">20.6.3 </w:t>
      </w:r>
      <w:r>
        <w:rPr>
          <w:rFonts w:hint="eastAsia" w:ascii="宋体" w:hAnsi="宋体" w:cs="宋体"/>
          <w:highlight w:val="none"/>
        </w:rPr>
        <w:t>持续保险</w:t>
      </w:r>
    </w:p>
    <w:p w14:paraId="1D45671E">
      <w:pPr>
        <w:spacing w:line="400" w:lineRule="exact"/>
        <w:ind w:firstLine="420" w:firstLineChars="200"/>
        <w:rPr>
          <w:highlight w:val="none"/>
        </w:rPr>
      </w:pPr>
      <w:r>
        <w:rPr>
          <w:highlight w:val="none"/>
        </w:rPr>
        <w:t>承包人应与保险人保持联系，使保险人能够随时了解工程实施中的变动，并确保按保险合同条款要求持续保险。</w:t>
      </w:r>
    </w:p>
    <w:p w14:paraId="29D261F7">
      <w:pPr>
        <w:spacing w:line="400" w:lineRule="exact"/>
        <w:ind w:firstLine="420" w:firstLineChars="200"/>
        <w:rPr>
          <w:rFonts w:eastAsia="Cambria"/>
          <w:highlight w:val="none"/>
        </w:rPr>
      </w:pPr>
      <w:r>
        <w:rPr>
          <w:highlight w:val="none"/>
        </w:rPr>
        <w:t xml:space="preserve">20.6.4 </w:t>
      </w:r>
      <w:r>
        <w:rPr>
          <w:rFonts w:hint="eastAsia" w:ascii="宋体" w:hAnsi="宋体" w:cs="宋体"/>
          <w:highlight w:val="none"/>
        </w:rPr>
        <w:t>保险金不足的补偿</w:t>
      </w:r>
    </w:p>
    <w:p w14:paraId="2D234210">
      <w:pPr>
        <w:spacing w:line="400" w:lineRule="exact"/>
        <w:ind w:firstLine="420" w:firstLineChars="200"/>
        <w:rPr>
          <w:highlight w:val="none"/>
        </w:rPr>
      </w:pPr>
      <w:r>
        <w:rPr>
          <w:highlight w:val="none"/>
        </w:rPr>
        <w:t>保险金不足以补偿损失的，应由承包人和（或）发包人按合同约定负责补偿。</w:t>
      </w:r>
    </w:p>
    <w:p w14:paraId="1A31AB6A">
      <w:pPr>
        <w:spacing w:line="400" w:lineRule="exact"/>
        <w:ind w:firstLine="420" w:firstLineChars="200"/>
        <w:rPr>
          <w:rFonts w:eastAsia="Cambria"/>
          <w:highlight w:val="none"/>
        </w:rPr>
      </w:pPr>
      <w:r>
        <w:rPr>
          <w:highlight w:val="none"/>
        </w:rPr>
        <w:t xml:space="preserve">20.6.5 </w:t>
      </w:r>
      <w:r>
        <w:rPr>
          <w:rFonts w:hint="eastAsia" w:ascii="宋体" w:hAnsi="宋体" w:cs="宋体"/>
          <w:highlight w:val="none"/>
        </w:rPr>
        <w:t>未按约定投保的补救</w:t>
      </w:r>
    </w:p>
    <w:p w14:paraId="563CF12A">
      <w:pPr>
        <w:spacing w:line="400" w:lineRule="exact"/>
        <w:ind w:firstLine="420" w:firstLineChars="200"/>
        <w:rPr>
          <w:rFonts w:eastAsia="Cambria"/>
          <w:highlight w:val="none"/>
        </w:rPr>
      </w:pPr>
      <w:r>
        <w:rPr>
          <w:highlight w:val="none"/>
        </w:rPr>
        <w:t>（1）由于负有投保义务的一方当事人未按合同约定办理保险，或未能使保险持续有效的，另一方当事人可代为办理，所需费用由对方当事人承担。</w:t>
      </w:r>
    </w:p>
    <w:p w14:paraId="62AB0E4F">
      <w:pPr>
        <w:spacing w:line="400" w:lineRule="exact"/>
        <w:ind w:firstLine="420" w:firstLineChars="200"/>
        <w:rPr>
          <w:highlight w:val="none"/>
        </w:rPr>
      </w:pPr>
      <w:r>
        <w:rPr>
          <w:highlight w:val="none"/>
        </w:rPr>
        <w:t>（2）由于负有投保义务的一方当事人未按合同约定办理某项保险，导致受益人未能得到保险人的赔偿，原应从该项保险得到的保险金应由负有投保义务的一方当事人支付。</w:t>
      </w:r>
    </w:p>
    <w:p w14:paraId="6C1B71DE">
      <w:pPr>
        <w:spacing w:line="400" w:lineRule="exact"/>
        <w:ind w:firstLine="420" w:firstLineChars="200"/>
        <w:rPr>
          <w:rFonts w:eastAsia="Cambria"/>
          <w:highlight w:val="none"/>
        </w:rPr>
      </w:pPr>
      <w:r>
        <w:rPr>
          <w:highlight w:val="none"/>
        </w:rPr>
        <w:t xml:space="preserve">20.6.6 </w:t>
      </w:r>
      <w:r>
        <w:rPr>
          <w:rFonts w:hint="eastAsia" w:ascii="宋体" w:hAnsi="宋体" w:cs="宋体"/>
          <w:highlight w:val="none"/>
        </w:rPr>
        <w:t>报告义务</w:t>
      </w:r>
    </w:p>
    <w:p w14:paraId="0052E5EB">
      <w:pPr>
        <w:spacing w:line="400" w:lineRule="exact"/>
        <w:ind w:firstLine="420" w:firstLineChars="200"/>
        <w:rPr>
          <w:highlight w:val="none"/>
        </w:rPr>
      </w:pPr>
      <w:r>
        <w:rPr>
          <w:highlight w:val="none"/>
        </w:rPr>
        <w:t>当保险事故发生时，投保人应按照保险单规定的条件和期限及时向保险人报告。</w:t>
      </w:r>
    </w:p>
    <w:p w14:paraId="75675F29">
      <w:pPr>
        <w:keepNext/>
        <w:keepLines/>
        <w:spacing w:line="400" w:lineRule="exact"/>
        <w:outlineLvl w:val="1"/>
        <w:rPr>
          <w:rFonts w:eastAsia="黑体" w:cs="仿宋_GB2312"/>
          <w:sz w:val="28"/>
          <w:szCs w:val="20"/>
          <w:highlight w:val="none"/>
        </w:rPr>
      </w:pPr>
      <w:bookmarkStart w:id="1395" w:name="_Toc469660037"/>
      <w:bookmarkStart w:id="1396" w:name="_Toc448758542"/>
      <w:bookmarkStart w:id="1397" w:name="_Toc159950750"/>
      <w:bookmarkStart w:id="1398" w:name="_Toc342296400"/>
      <w:bookmarkStart w:id="1399" w:name="_Toc338944842"/>
      <w:bookmarkStart w:id="1400" w:name="_Toc448758442"/>
      <w:bookmarkStart w:id="1401" w:name="_Toc442365634"/>
      <w:r>
        <w:rPr>
          <w:rFonts w:eastAsia="黑体" w:cs="仿宋_GB2312"/>
          <w:sz w:val="28"/>
          <w:szCs w:val="20"/>
          <w:highlight w:val="none"/>
        </w:rPr>
        <w:t>21. 不可抗力</w:t>
      </w:r>
      <w:bookmarkEnd w:id="1395"/>
      <w:bookmarkEnd w:id="1396"/>
      <w:bookmarkEnd w:id="1397"/>
      <w:bookmarkEnd w:id="1398"/>
      <w:bookmarkEnd w:id="1399"/>
      <w:bookmarkEnd w:id="1400"/>
      <w:bookmarkEnd w:id="1401"/>
    </w:p>
    <w:p w14:paraId="40D35302">
      <w:pPr>
        <w:keepNext/>
        <w:keepLines/>
        <w:spacing w:line="400" w:lineRule="exact"/>
        <w:outlineLvl w:val="2"/>
        <w:rPr>
          <w:rFonts w:eastAsia="黑体"/>
          <w:sz w:val="24"/>
          <w:szCs w:val="20"/>
          <w:highlight w:val="none"/>
        </w:rPr>
      </w:pPr>
      <w:bookmarkStart w:id="1402" w:name="_Toc338944843"/>
      <w:bookmarkStart w:id="1403" w:name="_Toc159950751"/>
      <w:bookmarkStart w:id="1404" w:name="_Toc342296401"/>
      <w:r>
        <w:rPr>
          <w:rFonts w:eastAsia="黑体"/>
          <w:sz w:val="24"/>
          <w:szCs w:val="20"/>
          <w:highlight w:val="none"/>
        </w:rPr>
        <w:t>21.1 不可抗力的确认</w:t>
      </w:r>
      <w:bookmarkEnd w:id="1402"/>
      <w:bookmarkEnd w:id="1403"/>
      <w:bookmarkEnd w:id="1404"/>
    </w:p>
    <w:p w14:paraId="36F1A254">
      <w:pPr>
        <w:spacing w:line="400" w:lineRule="exact"/>
        <w:ind w:firstLine="420" w:firstLineChars="200"/>
        <w:rPr>
          <w:highlight w:val="none"/>
        </w:rPr>
      </w:pPr>
      <w:r>
        <w:rPr>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59282148">
      <w:pPr>
        <w:spacing w:line="400" w:lineRule="exact"/>
        <w:ind w:firstLine="420" w:firstLineChars="200"/>
        <w:rPr>
          <w:highlight w:val="none"/>
        </w:rPr>
      </w:pPr>
      <w:r>
        <w:rPr>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48E0DE8A">
      <w:pPr>
        <w:keepNext/>
        <w:keepLines/>
        <w:spacing w:line="400" w:lineRule="exact"/>
        <w:outlineLvl w:val="2"/>
        <w:rPr>
          <w:rFonts w:eastAsia="黑体"/>
          <w:sz w:val="24"/>
          <w:szCs w:val="20"/>
          <w:highlight w:val="none"/>
        </w:rPr>
      </w:pPr>
      <w:bookmarkStart w:id="1405" w:name="_Toc179632769"/>
      <w:bookmarkStart w:id="1406" w:name="_Toc152045751"/>
      <w:bookmarkStart w:id="1407" w:name="_Toc144974722"/>
      <w:bookmarkStart w:id="1408" w:name="_Toc342296402"/>
      <w:bookmarkStart w:id="1409" w:name="_Toc159950752"/>
      <w:bookmarkStart w:id="1410" w:name="_Toc152042530"/>
      <w:bookmarkStart w:id="1411" w:name="_Toc338944844"/>
      <w:r>
        <w:rPr>
          <w:rFonts w:eastAsia="黑体"/>
          <w:sz w:val="24"/>
          <w:szCs w:val="20"/>
          <w:highlight w:val="none"/>
        </w:rPr>
        <w:t>21.2 不可抗力的通知</w:t>
      </w:r>
      <w:bookmarkEnd w:id="1405"/>
      <w:bookmarkEnd w:id="1406"/>
      <w:bookmarkEnd w:id="1407"/>
      <w:bookmarkEnd w:id="1408"/>
      <w:bookmarkEnd w:id="1409"/>
      <w:bookmarkEnd w:id="1410"/>
      <w:bookmarkEnd w:id="1411"/>
    </w:p>
    <w:p w14:paraId="5B513955">
      <w:pPr>
        <w:spacing w:line="400" w:lineRule="exact"/>
        <w:ind w:firstLine="420" w:firstLineChars="200"/>
        <w:rPr>
          <w:highlight w:val="none"/>
        </w:rPr>
      </w:pPr>
      <w:r>
        <w:rPr>
          <w:highlight w:val="none"/>
        </w:rPr>
        <w:t>21.2.1 合同一方当事人遇到不可抗力事件，使其履行合同义务受到阻碍时，应立即通知合同另一方当事人和监理人，书面说明不可抗力和受阻碍的详细情况，并提供必要的证明。</w:t>
      </w:r>
    </w:p>
    <w:p w14:paraId="731E3D42">
      <w:pPr>
        <w:spacing w:line="400" w:lineRule="exact"/>
        <w:ind w:firstLine="420" w:firstLineChars="200"/>
        <w:rPr>
          <w:highlight w:val="none"/>
        </w:rPr>
      </w:pPr>
      <w:r>
        <w:rPr>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5FC8ED3D">
      <w:pPr>
        <w:keepNext/>
        <w:keepLines/>
        <w:spacing w:line="400" w:lineRule="exact"/>
        <w:outlineLvl w:val="2"/>
        <w:rPr>
          <w:rFonts w:eastAsia="黑体"/>
          <w:sz w:val="24"/>
          <w:szCs w:val="20"/>
          <w:highlight w:val="none"/>
        </w:rPr>
      </w:pPr>
      <w:bookmarkStart w:id="1412" w:name="_Toc342296403"/>
      <w:bookmarkStart w:id="1413" w:name="_Toc338944845"/>
      <w:bookmarkStart w:id="1414" w:name="_Toc159950753"/>
      <w:r>
        <w:rPr>
          <w:rFonts w:eastAsia="黑体"/>
          <w:sz w:val="24"/>
          <w:szCs w:val="20"/>
          <w:highlight w:val="none"/>
        </w:rPr>
        <w:t>21.3 不可抗力后果及其处理</w:t>
      </w:r>
      <w:bookmarkEnd w:id="1412"/>
      <w:bookmarkEnd w:id="1413"/>
      <w:bookmarkEnd w:id="1414"/>
    </w:p>
    <w:p w14:paraId="38573ADF">
      <w:pPr>
        <w:spacing w:line="400" w:lineRule="exact"/>
        <w:ind w:firstLine="420" w:firstLineChars="200"/>
        <w:rPr>
          <w:highlight w:val="none"/>
        </w:rPr>
      </w:pPr>
      <w:r>
        <w:rPr>
          <w:highlight w:val="none"/>
        </w:rPr>
        <w:t xml:space="preserve">21.3.1 </w:t>
      </w:r>
      <w:r>
        <w:rPr>
          <w:rFonts w:hint="eastAsia" w:ascii="宋体" w:hAnsi="宋体" w:cs="宋体"/>
          <w:highlight w:val="none"/>
        </w:rPr>
        <w:t>不可抗力造成损害的责任</w:t>
      </w:r>
    </w:p>
    <w:p w14:paraId="14448732">
      <w:pPr>
        <w:spacing w:line="400" w:lineRule="exact"/>
        <w:ind w:firstLine="420" w:firstLineChars="200"/>
        <w:rPr>
          <w:highlight w:val="none"/>
        </w:rPr>
      </w:pPr>
      <w:r>
        <w:rPr>
          <w:highlight w:val="none"/>
        </w:rPr>
        <w:t>除专用合同条款另有约定外，不可抗力导致的人员伤亡、财产损失、费用增加和（或）工期延误等后果，由合同双方按以下原则承担：</w:t>
      </w:r>
    </w:p>
    <w:p w14:paraId="220163C7">
      <w:pPr>
        <w:spacing w:line="400" w:lineRule="exact"/>
        <w:ind w:firstLine="718" w:firstLineChars="342"/>
        <w:rPr>
          <w:highlight w:val="none"/>
        </w:rPr>
      </w:pPr>
      <w:r>
        <w:rPr>
          <w:highlight w:val="none"/>
        </w:rPr>
        <w:t>（1）永久工程，包括已运至施工场地的材料和工程设备的损害，以及因工程损害造成的第三者人员伤亡和财产损失由发包人承担；</w:t>
      </w:r>
    </w:p>
    <w:p w14:paraId="115838AD">
      <w:pPr>
        <w:spacing w:line="400" w:lineRule="exact"/>
        <w:ind w:firstLine="718" w:firstLineChars="342"/>
        <w:rPr>
          <w:highlight w:val="none"/>
        </w:rPr>
      </w:pPr>
      <w:r>
        <w:rPr>
          <w:highlight w:val="none"/>
        </w:rPr>
        <w:t>（2）承包人设备的损坏由承包人承担；</w:t>
      </w:r>
    </w:p>
    <w:p w14:paraId="7199E9F2">
      <w:pPr>
        <w:spacing w:line="400" w:lineRule="exact"/>
        <w:ind w:firstLine="718" w:firstLineChars="342"/>
        <w:rPr>
          <w:highlight w:val="none"/>
        </w:rPr>
      </w:pPr>
      <w:r>
        <w:rPr>
          <w:highlight w:val="none"/>
        </w:rPr>
        <w:t>（3）发包人和承包人各自承担其人员伤亡和其他财产损失及其相关费用；</w:t>
      </w:r>
    </w:p>
    <w:p w14:paraId="19A66795">
      <w:pPr>
        <w:spacing w:line="400" w:lineRule="exact"/>
        <w:ind w:firstLine="718" w:firstLineChars="342"/>
        <w:rPr>
          <w:highlight w:val="none"/>
        </w:rPr>
      </w:pPr>
      <w:r>
        <w:rPr>
          <w:highlight w:val="none"/>
        </w:rPr>
        <w:t>（4）承包人的停工损失由承包人承担，但停工期间应监理人要求照管工程和清理、修复工程的金额由发包人承担；</w:t>
      </w:r>
    </w:p>
    <w:p w14:paraId="54C051AA">
      <w:pPr>
        <w:spacing w:line="400" w:lineRule="exact"/>
        <w:ind w:firstLine="718" w:firstLineChars="342"/>
        <w:rPr>
          <w:highlight w:val="none"/>
        </w:rPr>
      </w:pPr>
      <w:r>
        <w:rPr>
          <w:highlight w:val="none"/>
        </w:rPr>
        <w:t>（5）不能按期竣工的，应合理延长工期，承包人不需支付逾期竣工违约金。发包人要求赶工的，承包人应采取赶工措施，赶工费用由发包人承担。</w:t>
      </w:r>
    </w:p>
    <w:p w14:paraId="179CB3ED">
      <w:pPr>
        <w:spacing w:line="400" w:lineRule="exact"/>
        <w:ind w:firstLine="420" w:firstLineChars="200"/>
        <w:rPr>
          <w:highlight w:val="none"/>
        </w:rPr>
      </w:pPr>
      <w:r>
        <w:rPr>
          <w:highlight w:val="none"/>
        </w:rPr>
        <w:t xml:space="preserve">21.3.2 </w:t>
      </w:r>
      <w:r>
        <w:rPr>
          <w:rFonts w:hint="eastAsia" w:ascii="宋体" w:hAnsi="宋体" w:cs="宋体"/>
          <w:highlight w:val="none"/>
        </w:rPr>
        <w:t>延迟履行期间发生的不可抗力</w:t>
      </w:r>
    </w:p>
    <w:p w14:paraId="1CA81D50">
      <w:pPr>
        <w:spacing w:line="400" w:lineRule="exact"/>
        <w:ind w:firstLine="420" w:firstLineChars="200"/>
        <w:rPr>
          <w:highlight w:val="none"/>
        </w:rPr>
      </w:pPr>
      <w:r>
        <w:rPr>
          <w:highlight w:val="none"/>
        </w:rPr>
        <w:t>合同一方当事人延迟履行，在延迟履行期间发生不可抗力的，不免除其责任。</w:t>
      </w:r>
    </w:p>
    <w:p w14:paraId="080789A2">
      <w:pPr>
        <w:spacing w:line="400" w:lineRule="exact"/>
        <w:ind w:firstLine="420" w:firstLineChars="200"/>
        <w:rPr>
          <w:highlight w:val="none"/>
        </w:rPr>
      </w:pPr>
      <w:r>
        <w:rPr>
          <w:highlight w:val="none"/>
        </w:rPr>
        <w:t xml:space="preserve">21.3.3 </w:t>
      </w:r>
      <w:r>
        <w:rPr>
          <w:rFonts w:hint="eastAsia" w:ascii="宋体" w:hAnsi="宋体" w:cs="宋体"/>
          <w:highlight w:val="none"/>
        </w:rPr>
        <w:t>避免和减少不可抗力损失</w:t>
      </w:r>
    </w:p>
    <w:p w14:paraId="36AE134C">
      <w:pPr>
        <w:spacing w:line="400" w:lineRule="exact"/>
        <w:ind w:firstLine="420" w:firstLineChars="200"/>
        <w:rPr>
          <w:highlight w:val="none"/>
        </w:rPr>
      </w:pPr>
      <w:r>
        <w:rPr>
          <w:highlight w:val="none"/>
        </w:rPr>
        <w:t>不可抗力发生后，发包人和承包人均应采取措施尽量避免和减少损失的扩大，任何一方没有采取有效措施导致损失扩大的，应对扩大的损失承担责任。</w:t>
      </w:r>
    </w:p>
    <w:p w14:paraId="4387FE7A">
      <w:pPr>
        <w:spacing w:line="400" w:lineRule="exact"/>
        <w:ind w:firstLine="420" w:firstLineChars="200"/>
        <w:rPr>
          <w:highlight w:val="none"/>
        </w:rPr>
      </w:pPr>
      <w:r>
        <w:rPr>
          <w:highlight w:val="none"/>
        </w:rPr>
        <w:t xml:space="preserve">21.3.4 </w:t>
      </w:r>
      <w:r>
        <w:rPr>
          <w:rFonts w:hint="eastAsia" w:ascii="宋体" w:hAnsi="宋体" w:cs="宋体"/>
          <w:highlight w:val="none"/>
        </w:rPr>
        <w:t>因不可抗力解除合同</w:t>
      </w:r>
    </w:p>
    <w:p w14:paraId="1F1BA480">
      <w:pPr>
        <w:spacing w:line="400" w:lineRule="exact"/>
        <w:ind w:firstLine="420" w:firstLineChars="200"/>
        <w:rPr>
          <w:highlight w:val="none"/>
        </w:rPr>
      </w:pPr>
      <w:r>
        <w:rPr>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3D329C9D">
      <w:pPr>
        <w:keepNext/>
        <w:keepLines/>
        <w:spacing w:line="400" w:lineRule="exact"/>
        <w:outlineLvl w:val="1"/>
        <w:rPr>
          <w:rFonts w:eastAsia="黑体" w:cs="仿宋_GB2312"/>
          <w:sz w:val="28"/>
          <w:szCs w:val="20"/>
          <w:highlight w:val="none"/>
        </w:rPr>
      </w:pPr>
      <w:bookmarkStart w:id="1415" w:name="_Toc179632771"/>
      <w:bookmarkStart w:id="1416" w:name="_Toc448758443"/>
      <w:bookmarkStart w:id="1417" w:name="_Toc152042532"/>
      <w:bookmarkStart w:id="1418" w:name="_Toc469660038"/>
      <w:bookmarkStart w:id="1419" w:name="_Toc152045753"/>
      <w:bookmarkStart w:id="1420" w:name="_Toc442365635"/>
      <w:bookmarkStart w:id="1421" w:name="_Toc144974724"/>
      <w:bookmarkStart w:id="1422" w:name="_Toc338944846"/>
      <w:bookmarkStart w:id="1423" w:name="_Toc159950754"/>
      <w:bookmarkStart w:id="1424" w:name="_Toc342296404"/>
      <w:bookmarkStart w:id="1425" w:name="_Toc448758543"/>
      <w:r>
        <w:rPr>
          <w:rFonts w:eastAsia="黑体" w:cs="仿宋_GB2312"/>
          <w:sz w:val="28"/>
          <w:szCs w:val="20"/>
          <w:highlight w:val="none"/>
        </w:rPr>
        <w:t>22. 违约</w:t>
      </w:r>
      <w:bookmarkEnd w:id="1415"/>
      <w:bookmarkEnd w:id="1416"/>
      <w:bookmarkEnd w:id="1417"/>
      <w:bookmarkEnd w:id="1418"/>
      <w:bookmarkEnd w:id="1419"/>
      <w:bookmarkEnd w:id="1420"/>
      <w:bookmarkEnd w:id="1421"/>
      <w:bookmarkEnd w:id="1422"/>
      <w:bookmarkEnd w:id="1423"/>
      <w:bookmarkEnd w:id="1424"/>
      <w:bookmarkEnd w:id="1425"/>
    </w:p>
    <w:p w14:paraId="4FD4060B">
      <w:pPr>
        <w:keepNext/>
        <w:keepLines/>
        <w:spacing w:line="400" w:lineRule="exact"/>
        <w:outlineLvl w:val="2"/>
        <w:rPr>
          <w:rFonts w:eastAsia="黑体"/>
          <w:sz w:val="24"/>
          <w:szCs w:val="20"/>
          <w:highlight w:val="none"/>
        </w:rPr>
      </w:pPr>
      <w:bookmarkStart w:id="1426" w:name="_Toc338944847"/>
      <w:bookmarkStart w:id="1427" w:name="_Toc159950755"/>
      <w:bookmarkStart w:id="1428" w:name="_Toc179632772"/>
      <w:bookmarkStart w:id="1429" w:name="_Toc144974725"/>
      <w:bookmarkStart w:id="1430" w:name="_Toc342296405"/>
      <w:bookmarkStart w:id="1431" w:name="_Toc152045754"/>
      <w:bookmarkStart w:id="1432" w:name="_Toc152042533"/>
      <w:r>
        <w:rPr>
          <w:rFonts w:eastAsia="黑体"/>
          <w:sz w:val="24"/>
          <w:szCs w:val="20"/>
          <w:highlight w:val="none"/>
        </w:rPr>
        <w:t>22.1 承包人违约</w:t>
      </w:r>
      <w:bookmarkEnd w:id="1426"/>
      <w:bookmarkEnd w:id="1427"/>
      <w:bookmarkEnd w:id="1428"/>
      <w:bookmarkEnd w:id="1429"/>
      <w:bookmarkEnd w:id="1430"/>
      <w:bookmarkEnd w:id="1431"/>
      <w:bookmarkEnd w:id="1432"/>
    </w:p>
    <w:p w14:paraId="4C9D8645">
      <w:pPr>
        <w:spacing w:line="400" w:lineRule="exact"/>
        <w:ind w:firstLine="420" w:firstLineChars="200"/>
        <w:rPr>
          <w:highlight w:val="none"/>
        </w:rPr>
      </w:pPr>
      <w:r>
        <w:rPr>
          <w:highlight w:val="none"/>
        </w:rPr>
        <w:t>22.1.1</w:t>
      </w:r>
      <w:r>
        <w:rPr>
          <w:rFonts w:eastAsia="Cambria"/>
          <w:highlight w:val="none"/>
        </w:rPr>
        <w:t xml:space="preserve"> </w:t>
      </w:r>
      <w:r>
        <w:rPr>
          <w:rFonts w:hint="eastAsia" w:ascii="宋体" w:hAnsi="宋体" w:cs="宋体"/>
          <w:highlight w:val="none"/>
        </w:rPr>
        <w:t>承包人违约的情形</w:t>
      </w:r>
    </w:p>
    <w:p w14:paraId="734AFC06">
      <w:pPr>
        <w:spacing w:line="400" w:lineRule="exact"/>
        <w:ind w:firstLine="420" w:firstLineChars="200"/>
        <w:rPr>
          <w:highlight w:val="none"/>
        </w:rPr>
      </w:pPr>
      <w:r>
        <w:rPr>
          <w:highlight w:val="none"/>
        </w:rPr>
        <w:t>在履行合同过程中发生的下列情况属承包人违约：</w:t>
      </w:r>
    </w:p>
    <w:p w14:paraId="3B941719">
      <w:pPr>
        <w:spacing w:line="400" w:lineRule="exact"/>
        <w:ind w:firstLine="718" w:firstLineChars="342"/>
        <w:rPr>
          <w:highlight w:val="none"/>
        </w:rPr>
      </w:pPr>
      <w:r>
        <w:rPr>
          <w:highlight w:val="none"/>
        </w:rPr>
        <w:t>（1）承包人违反第1.8款或第4.3款的约定，私自将合同的全部或部分权利转让给其他人，或私自将合同的全部或部分义务转移给其他人；</w:t>
      </w:r>
    </w:p>
    <w:p w14:paraId="472BEE17">
      <w:pPr>
        <w:spacing w:line="400" w:lineRule="exact"/>
        <w:ind w:firstLine="718" w:firstLineChars="342"/>
        <w:rPr>
          <w:highlight w:val="none"/>
        </w:rPr>
      </w:pPr>
      <w:r>
        <w:rPr>
          <w:highlight w:val="none"/>
        </w:rPr>
        <w:t>（2）承包人违反第5.3款或第6.4款的约定，未经监理人批准，私自将已按合同约定进入施工场地的施工设备、临时设施或材料撤离施工场地；</w:t>
      </w:r>
    </w:p>
    <w:p w14:paraId="5274BF2B">
      <w:pPr>
        <w:spacing w:line="400" w:lineRule="exact"/>
        <w:ind w:firstLine="718" w:firstLineChars="342"/>
        <w:rPr>
          <w:highlight w:val="none"/>
        </w:rPr>
      </w:pPr>
      <w:r>
        <w:rPr>
          <w:highlight w:val="none"/>
        </w:rPr>
        <w:t>（3）承包人违反第5.4款的约定使用了不合格材料或工程设备，工程质量达不到标准要求，又拒绝清除不合格工程；</w:t>
      </w:r>
    </w:p>
    <w:p w14:paraId="1A82CA54">
      <w:pPr>
        <w:spacing w:line="400" w:lineRule="exact"/>
        <w:ind w:firstLine="718" w:firstLineChars="342"/>
        <w:rPr>
          <w:highlight w:val="none"/>
        </w:rPr>
      </w:pPr>
      <w:r>
        <w:rPr>
          <w:highlight w:val="none"/>
        </w:rPr>
        <w:t>（4）承包人未能按合同进度计划及时完成合同约定的工作，已造成或预期造成工期延误；</w:t>
      </w:r>
    </w:p>
    <w:p w14:paraId="7CD21504">
      <w:pPr>
        <w:spacing w:line="400" w:lineRule="exact"/>
        <w:ind w:firstLine="718" w:firstLineChars="342"/>
        <w:rPr>
          <w:highlight w:val="none"/>
        </w:rPr>
      </w:pPr>
      <w:r>
        <w:rPr>
          <w:highlight w:val="none"/>
        </w:rPr>
        <w:t>（5）承包人在缺陷责任期内，未能对工程接收证书所列的缺陷清单的内容或缺陷责任期内发生的缺陷进行修复，而又拒绝按监理人指示再进行修补；</w:t>
      </w:r>
    </w:p>
    <w:p w14:paraId="6BD0E639">
      <w:pPr>
        <w:spacing w:line="400" w:lineRule="exact"/>
        <w:ind w:firstLine="718" w:firstLineChars="342"/>
        <w:rPr>
          <w:highlight w:val="none"/>
        </w:rPr>
      </w:pPr>
      <w:r>
        <w:rPr>
          <w:highlight w:val="none"/>
        </w:rPr>
        <w:t>（6）承包人无法继续履行或明确表示不履行或实质上已停止履行合同；</w:t>
      </w:r>
    </w:p>
    <w:p w14:paraId="3C971A9B">
      <w:pPr>
        <w:spacing w:line="400" w:lineRule="exact"/>
        <w:ind w:firstLine="718" w:firstLineChars="342"/>
        <w:rPr>
          <w:highlight w:val="none"/>
        </w:rPr>
      </w:pPr>
      <w:r>
        <w:rPr>
          <w:highlight w:val="none"/>
        </w:rPr>
        <w:t>（7）承包人不按合同约定履行义务的其他情况。</w:t>
      </w:r>
    </w:p>
    <w:p w14:paraId="6211F128">
      <w:pPr>
        <w:spacing w:line="400" w:lineRule="exact"/>
        <w:ind w:firstLine="420" w:firstLineChars="200"/>
        <w:rPr>
          <w:rFonts w:eastAsia="Cambria"/>
          <w:highlight w:val="none"/>
        </w:rPr>
      </w:pPr>
      <w:r>
        <w:rPr>
          <w:highlight w:val="none"/>
        </w:rPr>
        <w:t>22.1.2</w:t>
      </w:r>
      <w:r>
        <w:rPr>
          <w:rFonts w:eastAsia="Cambria"/>
          <w:highlight w:val="none"/>
        </w:rPr>
        <w:t xml:space="preserve"> </w:t>
      </w:r>
      <w:r>
        <w:rPr>
          <w:rFonts w:hint="eastAsia" w:ascii="宋体" w:hAnsi="宋体" w:cs="宋体"/>
          <w:highlight w:val="none"/>
        </w:rPr>
        <w:t>对承包人违约的处理</w:t>
      </w:r>
    </w:p>
    <w:p w14:paraId="0A5F41D0">
      <w:pPr>
        <w:spacing w:line="400" w:lineRule="exact"/>
        <w:ind w:firstLine="718" w:firstLineChars="342"/>
        <w:rPr>
          <w:highlight w:val="none"/>
        </w:rPr>
      </w:pPr>
      <w:r>
        <w:rPr>
          <w:highlight w:val="none"/>
        </w:rPr>
        <w:t>（1）承包人发生第22.1.1（6）目约定的违约情况时，发包人可通知承包人立即解除合同，并按有关法律处理。</w:t>
      </w:r>
    </w:p>
    <w:p w14:paraId="79819D27">
      <w:pPr>
        <w:spacing w:line="400" w:lineRule="exact"/>
        <w:ind w:firstLine="718" w:firstLineChars="342"/>
        <w:rPr>
          <w:highlight w:val="none"/>
        </w:rPr>
      </w:pPr>
      <w:r>
        <w:rPr>
          <w:highlight w:val="none"/>
        </w:rPr>
        <w:t>（2）承包人发生除第22.1.1（6）目约定以外的其他违约情况时，监理人可向承包人发出整改通知，要求其在指定的期限内改正。承包人应承担其违约所引起的费用增加和（或）工期延误。</w:t>
      </w:r>
    </w:p>
    <w:p w14:paraId="27FE85F7">
      <w:pPr>
        <w:spacing w:line="400" w:lineRule="exact"/>
        <w:ind w:firstLine="718" w:firstLineChars="342"/>
        <w:rPr>
          <w:highlight w:val="none"/>
        </w:rPr>
      </w:pPr>
      <w:r>
        <w:rPr>
          <w:highlight w:val="none"/>
        </w:rPr>
        <w:t>（3）经检查证明承包人已采取了有效措施纠正违约行为，具备复工条件的，可由监理人签发复工通知复工。</w:t>
      </w:r>
    </w:p>
    <w:p w14:paraId="40D5F3D3">
      <w:pPr>
        <w:spacing w:line="400" w:lineRule="exact"/>
        <w:ind w:firstLine="420" w:firstLineChars="200"/>
        <w:rPr>
          <w:rFonts w:eastAsia="Cambria"/>
          <w:highlight w:val="none"/>
        </w:rPr>
      </w:pPr>
      <w:r>
        <w:rPr>
          <w:highlight w:val="none"/>
        </w:rPr>
        <w:t>22.1.3</w:t>
      </w:r>
      <w:r>
        <w:rPr>
          <w:rFonts w:eastAsia="Cambria"/>
          <w:highlight w:val="none"/>
        </w:rPr>
        <w:t xml:space="preserve"> </w:t>
      </w:r>
      <w:r>
        <w:rPr>
          <w:rFonts w:hint="eastAsia" w:ascii="宋体" w:hAnsi="宋体" w:cs="宋体"/>
          <w:highlight w:val="none"/>
        </w:rPr>
        <w:t>承包人违约解除合同</w:t>
      </w:r>
    </w:p>
    <w:p w14:paraId="6925A1ED">
      <w:pPr>
        <w:spacing w:line="400" w:lineRule="exact"/>
        <w:ind w:firstLine="420" w:firstLineChars="200"/>
        <w:rPr>
          <w:highlight w:val="none"/>
        </w:rPr>
      </w:pPr>
      <w:r>
        <w:rPr>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2160FEE8">
      <w:pPr>
        <w:spacing w:line="400" w:lineRule="exact"/>
        <w:ind w:firstLine="420" w:firstLineChars="200"/>
        <w:rPr>
          <w:rFonts w:eastAsia="Cambria"/>
          <w:highlight w:val="none"/>
        </w:rPr>
      </w:pPr>
      <w:r>
        <w:rPr>
          <w:highlight w:val="none"/>
        </w:rPr>
        <w:t>22.1.4</w:t>
      </w:r>
      <w:r>
        <w:rPr>
          <w:rFonts w:eastAsia="Cambria"/>
          <w:highlight w:val="none"/>
        </w:rPr>
        <w:t xml:space="preserve"> </w:t>
      </w:r>
      <w:r>
        <w:rPr>
          <w:rFonts w:hint="eastAsia" w:ascii="宋体" w:hAnsi="宋体" w:cs="宋体"/>
          <w:highlight w:val="none"/>
        </w:rPr>
        <w:t>合同解除后的估价、付款和结清</w:t>
      </w:r>
    </w:p>
    <w:p w14:paraId="4225AEC2">
      <w:pPr>
        <w:spacing w:line="400" w:lineRule="exact"/>
        <w:ind w:firstLine="718" w:firstLineChars="342"/>
        <w:rPr>
          <w:highlight w:val="none"/>
        </w:rPr>
      </w:pPr>
      <w:r>
        <w:rPr>
          <w:highlight w:val="none"/>
        </w:rPr>
        <w:t xml:space="preserve">（1）合同解除后，监理人按第3.5款商定或确定承包人实际完成工作的价值，以及承包人已提供的材料、施工设备、工程设备和临时工程等的价值。 </w:t>
      </w:r>
    </w:p>
    <w:p w14:paraId="52638629">
      <w:pPr>
        <w:spacing w:line="400" w:lineRule="exact"/>
        <w:ind w:firstLine="718" w:firstLineChars="342"/>
        <w:rPr>
          <w:highlight w:val="none"/>
        </w:rPr>
      </w:pPr>
      <w:r>
        <w:rPr>
          <w:highlight w:val="none"/>
        </w:rPr>
        <w:t xml:space="preserve">（2）合同解除后，发包人应暂停对承包人的一切付款，查清各项付款和已扣款金额，包括承包人应支付的违约金。 </w:t>
      </w:r>
    </w:p>
    <w:p w14:paraId="44547794">
      <w:pPr>
        <w:spacing w:line="400" w:lineRule="exact"/>
        <w:ind w:firstLine="718" w:firstLineChars="342"/>
        <w:rPr>
          <w:highlight w:val="none"/>
        </w:rPr>
      </w:pPr>
      <w:r>
        <w:rPr>
          <w:highlight w:val="none"/>
        </w:rPr>
        <w:t>（3）合同解除后，发包人应按第23.4款的约定向承包人索赔由于解除合同给发包人造成的损失。</w:t>
      </w:r>
    </w:p>
    <w:p w14:paraId="036AC227">
      <w:pPr>
        <w:spacing w:line="400" w:lineRule="exact"/>
        <w:ind w:firstLine="718" w:firstLineChars="342"/>
        <w:rPr>
          <w:highlight w:val="none"/>
        </w:rPr>
      </w:pPr>
      <w:r>
        <w:rPr>
          <w:highlight w:val="none"/>
        </w:rPr>
        <w:t>（4）合同双方确认上述往来款项后，出具最终结清付款证书，结清全部合同款项。</w:t>
      </w:r>
    </w:p>
    <w:p w14:paraId="06403F13">
      <w:pPr>
        <w:spacing w:line="400" w:lineRule="exact"/>
        <w:ind w:firstLine="718" w:firstLineChars="342"/>
        <w:rPr>
          <w:highlight w:val="none"/>
        </w:rPr>
      </w:pPr>
      <w:r>
        <w:rPr>
          <w:highlight w:val="none"/>
        </w:rPr>
        <w:t>（5）发包人和承包人未能就解除合同后的结清达成一致而形成争议的，按第24条的约定办理。</w:t>
      </w:r>
    </w:p>
    <w:p w14:paraId="51CA7F7F">
      <w:pPr>
        <w:spacing w:line="400" w:lineRule="exact"/>
        <w:ind w:firstLine="420" w:firstLineChars="200"/>
        <w:rPr>
          <w:rFonts w:eastAsia="Cambria"/>
          <w:highlight w:val="none"/>
        </w:rPr>
      </w:pPr>
      <w:r>
        <w:rPr>
          <w:highlight w:val="none"/>
        </w:rPr>
        <w:t>22.1.5</w:t>
      </w:r>
      <w:r>
        <w:rPr>
          <w:rFonts w:eastAsia="Cambria"/>
          <w:highlight w:val="none"/>
        </w:rPr>
        <w:t xml:space="preserve"> </w:t>
      </w:r>
      <w:r>
        <w:rPr>
          <w:rFonts w:hint="eastAsia" w:ascii="宋体" w:hAnsi="宋体" w:cs="宋体"/>
          <w:highlight w:val="none"/>
        </w:rPr>
        <w:t>协议利益的转让</w:t>
      </w:r>
    </w:p>
    <w:p w14:paraId="2F9F2D48">
      <w:pPr>
        <w:spacing w:line="400" w:lineRule="exact"/>
        <w:ind w:firstLine="420" w:firstLineChars="200"/>
        <w:rPr>
          <w:highlight w:val="none"/>
        </w:rPr>
      </w:pPr>
      <w:r>
        <w:rPr>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16D6F7C9">
      <w:pPr>
        <w:spacing w:line="400" w:lineRule="exact"/>
        <w:ind w:firstLine="420" w:firstLineChars="200"/>
        <w:rPr>
          <w:rFonts w:eastAsia="Cambria"/>
          <w:highlight w:val="none"/>
        </w:rPr>
      </w:pPr>
      <w:r>
        <w:rPr>
          <w:highlight w:val="none"/>
        </w:rPr>
        <w:t>22.1.6</w:t>
      </w:r>
      <w:r>
        <w:rPr>
          <w:rFonts w:eastAsia="Cambria"/>
          <w:highlight w:val="none"/>
        </w:rPr>
        <w:t xml:space="preserve"> </w:t>
      </w:r>
      <w:r>
        <w:rPr>
          <w:rFonts w:hint="eastAsia" w:ascii="宋体" w:hAnsi="宋体" w:cs="宋体"/>
          <w:highlight w:val="none"/>
        </w:rPr>
        <w:t>紧急情况下无能力或不愿进行抢救</w:t>
      </w:r>
    </w:p>
    <w:p w14:paraId="50529758">
      <w:pPr>
        <w:spacing w:line="400" w:lineRule="exact"/>
        <w:ind w:firstLine="420" w:firstLineChars="200"/>
        <w:rPr>
          <w:highlight w:val="none"/>
        </w:rPr>
      </w:pPr>
      <w:r>
        <w:rPr>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6104F820">
      <w:pPr>
        <w:keepNext/>
        <w:keepLines/>
        <w:spacing w:line="400" w:lineRule="exact"/>
        <w:outlineLvl w:val="2"/>
        <w:rPr>
          <w:rFonts w:eastAsia="黑体"/>
          <w:sz w:val="24"/>
          <w:szCs w:val="20"/>
          <w:highlight w:val="none"/>
        </w:rPr>
      </w:pPr>
      <w:bookmarkStart w:id="1433" w:name="_Toc144974726"/>
      <w:bookmarkStart w:id="1434" w:name="_Toc338944848"/>
      <w:bookmarkStart w:id="1435" w:name="_Toc342296406"/>
      <w:bookmarkStart w:id="1436" w:name="_Toc179632773"/>
      <w:bookmarkStart w:id="1437" w:name="_Toc152045755"/>
      <w:bookmarkStart w:id="1438" w:name="_Toc152042534"/>
      <w:bookmarkStart w:id="1439" w:name="_Toc159950756"/>
      <w:r>
        <w:rPr>
          <w:rFonts w:eastAsia="黑体"/>
          <w:sz w:val="24"/>
          <w:szCs w:val="20"/>
          <w:highlight w:val="none"/>
        </w:rPr>
        <w:t>22.2 发包人违约</w:t>
      </w:r>
      <w:bookmarkEnd w:id="1433"/>
      <w:bookmarkEnd w:id="1434"/>
      <w:bookmarkEnd w:id="1435"/>
      <w:bookmarkEnd w:id="1436"/>
      <w:bookmarkEnd w:id="1437"/>
      <w:bookmarkEnd w:id="1438"/>
      <w:bookmarkEnd w:id="1439"/>
    </w:p>
    <w:p w14:paraId="13600AE1">
      <w:pPr>
        <w:spacing w:line="400" w:lineRule="exact"/>
        <w:ind w:firstLine="420" w:firstLineChars="200"/>
        <w:rPr>
          <w:rFonts w:eastAsia="Cambria"/>
          <w:highlight w:val="none"/>
        </w:rPr>
      </w:pPr>
      <w:r>
        <w:rPr>
          <w:highlight w:val="none"/>
        </w:rPr>
        <w:t xml:space="preserve">22.2.1 </w:t>
      </w:r>
      <w:r>
        <w:rPr>
          <w:rFonts w:hint="eastAsia" w:ascii="宋体" w:hAnsi="宋体" w:cs="宋体"/>
          <w:highlight w:val="none"/>
        </w:rPr>
        <w:t>发包人违约的情形</w:t>
      </w:r>
    </w:p>
    <w:p w14:paraId="751456D6">
      <w:pPr>
        <w:spacing w:line="400" w:lineRule="exact"/>
        <w:ind w:firstLine="420" w:firstLineChars="200"/>
        <w:rPr>
          <w:highlight w:val="none"/>
        </w:rPr>
      </w:pPr>
      <w:r>
        <w:rPr>
          <w:highlight w:val="none"/>
        </w:rPr>
        <w:t>在履行合同过程中发生的下列情形，属发包人违约：</w:t>
      </w:r>
    </w:p>
    <w:p w14:paraId="618DE5EF">
      <w:pPr>
        <w:spacing w:line="400" w:lineRule="exact"/>
        <w:ind w:firstLine="718" w:firstLineChars="342"/>
        <w:rPr>
          <w:highlight w:val="none"/>
        </w:rPr>
      </w:pPr>
      <w:r>
        <w:rPr>
          <w:highlight w:val="none"/>
        </w:rPr>
        <w:t>（1）发包人未能按合同约定支付预付款或合同价款，或拖延、拒绝批准付款申请和支付凭证，导致付款延误的；</w:t>
      </w:r>
    </w:p>
    <w:p w14:paraId="719AA212">
      <w:pPr>
        <w:spacing w:line="400" w:lineRule="exact"/>
        <w:ind w:firstLine="718" w:firstLineChars="342"/>
        <w:rPr>
          <w:highlight w:val="none"/>
        </w:rPr>
      </w:pPr>
      <w:r>
        <w:rPr>
          <w:highlight w:val="none"/>
        </w:rPr>
        <w:t>（2）发包人原因造成停工的；</w:t>
      </w:r>
    </w:p>
    <w:p w14:paraId="6EB97270">
      <w:pPr>
        <w:spacing w:line="400" w:lineRule="exact"/>
        <w:ind w:firstLine="718" w:firstLineChars="342"/>
        <w:rPr>
          <w:highlight w:val="none"/>
        </w:rPr>
      </w:pPr>
      <w:r>
        <w:rPr>
          <w:highlight w:val="none"/>
        </w:rPr>
        <w:t>（3）监理人无正当理由没有在约定期限内发出复工指示，导致承包人无法复工的；</w:t>
      </w:r>
    </w:p>
    <w:p w14:paraId="54D89A31">
      <w:pPr>
        <w:spacing w:line="400" w:lineRule="exact"/>
        <w:ind w:firstLine="718" w:firstLineChars="342"/>
        <w:rPr>
          <w:highlight w:val="none"/>
        </w:rPr>
      </w:pPr>
      <w:r>
        <w:rPr>
          <w:highlight w:val="none"/>
        </w:rPr>
        <w:t>（4）发包人无法继续履行或明确表示不履行或实质上已停止履行合同的；</w:t>
      </w:r>
    </w:p>
    <w:p w14:paraId="46653F6A">
      <w:pPr>
        <w:spacing w:line="400" w:lineRule="exact"/>
        <w:ind w:firstLine="718" w:firstLineChars="342"/>
        <w:rPr>
          <w:highlight w:val="none"/>
        </w:rPr>
      </w:pPr>
      <w:r>
        <w:rPr>
          <w:highlight w:val="none"/>
        </w:rPr>
        <w:t>（5）发包人不履行合同约定其他义务的。</w:t>
      </w:r>
    </w:p>
    <w:p w14:paraId="3AE03F7D">
      <w:pPr>
        <w:spacing w:line="400" w:lineRule="exact"/>
        <w:ind w:firstLine="420" w:firstLineChars="200"/>
        <w:rPr>
          <w:highlight w:val="none"/>
        </w:rPr>
      </w:pPr>
      <w:r>
        <w:rPr>
          <w:highlight w:val="none"/>
        </w:rPr>
        <w:t>22.2.2</w:t>
      </w:r>
      <w:r>
        <w:rPr>
          <w:rFonts w:eastAsia="Cambria"/>
          <w:highlight w:val="none"/>
        </w:rPr>
        <w:t xml:space="preserve"> </w:t>
      </w:r>
      <w:r>
        <w:rPr>
          <w:rFonts w:hint="eastAsia" w:ascii="宋体" w:hAnsi="宋体" w:cs="宋体"/>
          <w:highlight w:val="none"/>
        </w:rPr>
        <w:t>承包人有权暂停施工</w:t>
      </w:r>
    </w:p>
    <w:p w14:paraId="70BE0620">
      <w:pPr>
        <w:spacing w:line="400" w:lineRule="exact"/>
        <w:ind w:firstLine="420" w:firstLineChars="200"/>
        <w:rPr>
          <w:highlight w:val="none"/>
        </w:rPr>
      </w:pPr>
      <w:r>
        <w:rPr>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2F547CD2">
      <w:pPr>
        <w:spacing w:line="400" w:lineRule="exact"/>
        <w:ind w:firstLine="420" w:firstLineChars="200"/>
        <w:rPr>
          <w:highlight w:val="none"/>
        </w:rPr>
      </w:pPr>
      <w:r>
        <w:rPr>
          <w:highlight w:val="none"/>
        </w:rPr>
        <w:t>22.2.3</w:t>
      </w:r>
      <w:r>
        <w:rPr>
          <w:rFonts w:eastAsia="Cambria"/>
          <w:highlight w:val="none"/>
        </w:rPr>
        <w:t xml:space="preserve"> </w:t>
      </w:r>
      <w:r>
        <w:rPr>
          <w:rFonts w:hint="eastAsia" w:ascii="宋体" w:hAnsi="宋体" w:cs="宋体"/>
          <w:highlight w:val="none"/>
        </w:rPr>
        <w:t>发包人违约解除合同</w:t>
      </w:r>
      <w:r>
        <w:rPr>
          <w:highlight w:val="none"/>
        </w:rPr>
        <w:t xml:space="preserve"> </w:t>
      </w:r>
    </w:p>
    <w:p w14:paraId="41DFC266">
      <w:pPr>
        <w:spacing w:line="400" w:lineRule="exact"/>
        <w:ind w:firstLine="718" w:firstLineChars="342"/>
        <w:rPr>
          <w:highlight w:val="none"/>
        </w:rPr>
      </w:pPr>
      <w:r>
        <w:rPr>
          <w:highlight w:val="none"/>
        </w:rPr>
        <w:t xml:space="preserve">（1）发生第22.2.1（4）目的违约情况时，承包人可书面通知发包人解除合同。   </w:t>
      </w:r>
    </w:p>
    <w:p w14:paraId="37DAF71C">
      <w:pPr>
        <w:spacing w:line="400" w:lineRule="exact"/>
        <w:ind w:firstLine="718" w:firstLineChars="342"/>
        <w:rPr>
          <w:highlight w:val="none"/>
        </w:rPr>
      </w:pPr>
      <w:r>
        <w:rPr>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5F2BA595">
      <w:pPr>
        <w:spacing w:line="400" w:lineRule="exact"/>
        <w:ind w:firstLine="420" w:firstLineChars="200"/>
        <w:rPr>
          <w:rFonts w:eastAsia="Cambria"/>
          <w:highlight w:val="none"/>
        </w:rPr>
      </w:pPr>
      <w:r>
        <w:rPr>
          <w:highlight w:val="none"/>
        </w:rPr>
        <w:t>22.2.4</w:t>
      </w:r>
      <w:r>
        <w:rPr>
          <w:rFonts w:eastAsia="Cambria"/>
          <w:highlight w:val="none"/>
        </w:rPr>
        <w:t xml:space="preserve"> </w:t>
      </w:r>
      <w:r>
        <w:rPr>
          <w:rFonts w:hint="eastAsia" w:ascii="宋体" w:hAnsi="宋体" w:cs="宋体"/>
          <w:highlight w:val="none"/>
        </w:rPr>
        <w:t>解除合同后的付款</w:t>
      </w:r>
    </w:p>
    <w:p w14:paraId="3B6ACE68">
      <w:pPr>
        <w:spacing w:line="400" w:lineRule="exact"/>
        <w:ind w:firstLine="420" w:firstLineChars="200"/>
        <w:rPr>
          <w:highlight w:val="none"/>
        </w:rPr>
      </w:pPr>
      <w:r>
        <w:rPr>
          <w:highlight w:val="none"/>
        </w:rPr>
        <w:t>因发包人违约解除合同的，发包人应在解除合同后28天内向承包人支付下列金额，承包人应在此期限内及时向发包人提交要求支付下列金额的有关资料和凭证：</w:t>
      </w:r>
    </w:p>
    <w:p w14:paraId="7C0C72E5">
      <w:pPr>
        <w:spacing w:line="400" w:lineRule="exact"/>
        <w:ind w:firstLine="718" w:firstLineChars="342"/>
        <w:rPr>
          <w:highlight w:val="none"/>
        </w:rPr>
      </w:pPr>
      <w:r>
        <w:rPr>
          <w:highlight w:val="none"/>
        </w:rPr>
        <w:t>（1）合同解除日以前所完成工作的价款；</w:t>
      </w:r>
    </w:p>
    <w:p w14:paraId="2318E21B">
      <w:pPr>
        <w:spacing w:line="400" w:lineRule="exact"/>
        <w:ind w:firstLine="718" w:firstLineChars="342"/>
        <w:rPr>
          <w:highlight w:val="none"/>
        </w:rPr>
      </w:pPr>
      <w:r>
        <w:rPr>
          <w:highlight w:val="none"/>
        </w:rPr>
        <w:t>（2）承包人为该工程施工订购并已付款的材料、工程设备和其他物品的金额。发包人付还后，该材料、工程设备和其他物品归发包人所有；</w:t>
      </w:r>
    </w:p>
    <w:p w14:paraId="06FD6D9F">
      <w:pPr>
        <w:spacing w:line="400" w:lineRule="exact"/>
        <w:ind w:firstLine="718" w:firstLineChars="342"/>
        <w:rPr>
          <w:highlight w:val="none"/>
        </w:rPr>
      </w:pPr>
      <w:r>
        <w:rPr>
          <w:highlight w:val="none"/>
        </w:rPr>
        <w:t>（3）承包人为完成工程所发生的，而发包人未支付的金额；</w:t>
      </w:r>
    </w:p>
    <w:p w14:paraId="54530BC1">
      <w:pPr>
        <w:spacing w:line="400" w:lineRule="exact"/>
        <w:ind w:firstLine="718" w:firstLineChars="342"/>
        <w:rPr>
          <w:highlight w:val="none"/>
        </w:rPr>
      </w:pPr>
      <w:r>
        <w:rPr>
          <w:highlight w:val="none"/>
        </w:rPr>
        <w:t>（4）承包人撤离施工场地以及遣散承包人人员的金额；</w:t>
      </w:r>
    </w:p>
    <w:p w14:paraId="6951522F">
      <w:pPr>
        <w:spacing w:line="400" w:lineRule="exact"/>
        <w:ind w:firstLine="718" w:firstLineChars="342"/>
        <w:rPr>
          <w:highlight w:val="none"/>
        </w:rPr>
      </w:pPr>
      <w:r>
        <w:rPr>
          <w:highlight w:val="none"/>
        </w:rPr>
        <w:t>（5）由于解除合同应赔偿的承包人损失；</w:t>
      </w:r>
    </w:p>
    <w:p w14:paraId="37027F23">
      <w:pPr>
        <w:spacing w:line="400" w:lineRule="exact"/>
        <w:ind w:firstLine="718" w:firstLineChars="342"/>
        <w:rPr>
          <w:highlight w:val="none"/>
        </w:rPr>
      </w:pPr>
      <w:r>
        <w:rPr>
          <w:highlight w:val="none"/>
        </w:rPr>
        <w:t>（6）按合同约定在合同解除日前应支付给承包人的其他金额。</w:t>
      </w:r>
    </w:p>
    <w:p w14:paraId="12E6F6D4">
      <w:pPr>
        <w:spacing w:line="400" w:lineRule="exact"/>
        <w:ind w:firstLine="420" w:firstLineChars="200"/>
        <w:rPr>
          <w:highlight w:val="none"/>
        </w:rPr>
      </w:pPr>
      <w:r>
        <w:rPr>
          <w:highlight w:val="none"/>
        </w:rPr>
        <w:t>发包人应按本项约定支付上述金额并退还质量保证金和履约担保，但有权要求承包人支付应偿还给发包人的各项金额。</w:t>
      </w:r>
    </w:p>
    <w:p w14:paraId="33DA9220">
      <w:pPr>
        <w:spacing w:line="400" w:lineRule="exact"/>
        <w:ind w:firstLine="420" w:firstLineChars="200"/>
        <w:rPr>
          <w:rFonts w:eastAsia="Cambria"/>
          <w:highlight w:val="none"/>
        </w:rPr>
      </w:pPr>
      <w:r>
        <w:rPr>
          <w:highlight w:val="none"/>
        </w:rPr>
        <w:t>22.2.5</w:t>
      </w:r>
      <w:r>
        <w:rPr>
          <w:rFonts w:eastAsia="Cambria"/>
          <w:highlight w:val="none"/>
        </w:rPr>
        <w:t xml:space="preserve"> </w:t>
      </w:r>
      <w:r>
        <w:rPr>
          <w:rFonts w:hint="eastAsia" w:ascii="宋体" w:hAnsi="宋体" w:cs="宋体"/>
          <w:highlight w:val="none"/>
        </w:rPr>
        <w:t>解除合同后的承包人撤离</w:t>
      </w:r>
    </w:p>
    <w:p w14:paraId="143A4FAD">
      <w:pPr>
        <w:spacing w:line="400" w:lineRule="exact"/>
        <w:ind w:firstLine="420" w:firstLineChars="200"/>
        <w:rPr>
          <w:highlight w:val="none"/>
        </w:rPr>
      </w:pPr>
      <w:r>
        <w:rPr>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0FE39C3E">
      <w:pPr>
        <w:keepNext/>
        <w:keepLines/>
        <w:spacing w:line="400" w:lineRule="exact"/>
        <w:outlineLvl w:val="2"/>
        <w:rPr>
          <w:rFonts w:eastAsia="黑体"/>
          <w:sz w:val="24"/>
          <w:szCs w:val="20"/>
          <w:highlight w:val="none"/>
        </w:rPr>
      </w:pPr>
      <w:bookmarkStart w:id="1440" w:name="_Toc179632774"/>
      <w:bookmarkStart w:id="1441" w:name="_Toc338944849"/>
      <w:bookmarkStart w:id="1442" w:name="_Toc152042535"/>
      <w:bookmarkStart w:id="1443" w:name="_Toc342296407"/>
      <w:bookmarkStart w:id="1444" w:name="_Toc152045756"/>
      <w:bookmarkStart w:id="1445" w:name="_Toc159950757"/>
      <w:r>
        <w:rPr>
          <w:rFonts w:eastAsia="黑体"/>
          <w:sz w:val="24"/>
          <w:szCs w:val="20"/>
          <w:highlight w:val="none"/>
        </w:rPr>
        <w:t>22.3 第三人造成的违约</w:t>
      </w:r>
      <w:bookmarkEnd w:id="1440"/>
      <w:bookmarkEnd w:id="1441"/>
      <w:bookmarkEnd w:id="1442"/>
      <w:bookmarkEnd w:id="1443"/>
      <w:bookmarkEnd w:id="1444"/>
      <w:bookmarkEnd w:id="1445"/>
    </w:p>
    <w:p w14:paraId="614C62F8">
      <w:pPr>
        <w:spacing w:line="400" w:lineRule="exact"/>
        <w:ind w:firstLine="420" w:firstLineChars="200"/>
        <w:rPr>
          <w:highlight w:val="none"/>
        </w:rPr>
      </w:pPr>
      <w:r>
        <w:rPr>
          <w:highlight w:val="none"/>
        </w:rPr>
        <w:t>在履行合同过程中，一方当事人因第三人的原因造成违约的，应当向对方当事人承担违约责任。一方当事人和第三人之间的纠纷，依照法律规定或者按照约定解决。</w:t>
      </w:r>
    </w:p>
    <w:p w14:paraId="0BA20C84">
      <w:pPr>
        <w:keepNext/>
        <w:keepLines/>
        <w:spacing w:line="400" w:lineRule="exact"/>
        <w:outlineLvl w:val="1"/>
        <w:rPr>
          <w:rFonts w:eastAsia="黑体" w:cs="仿宋_GB2312"/>
          <w:sz w:val="28"/>
          <w:szCs w:val="20"/>
          <w:highlight w:val="none"/>
        </w:rPr>
      </w:pPr>
      <w:bookmarkStart w:id="1446" w:name="_Toc152045757"/>
      <w:bookmarkStart w:id="1447" w:name="_Toc152042536"/>
      <w:bookmarkStart w:id="1448" w:name="_Toc159950758"/>
      <w:bookmarkStart w:id="1449" w:name="_Toc442365636"/>
      <w:bookmarkStart w:id="1450" w:name="_Toc342296408"/>
      <w:bookmarkStart w:id="1451" w:name="_Toc448758544"/>
      <w:bookmarkStart w:id="1452" w:name="_Toc144974727"/>
      <w:bookmarkStart w:id="1453" w:name="_Toc179632775"/>
      <w:bookmarkStart w:id="1454" w:name="_Toc469660039"/>
      <w:bookmarkStart w:id="1455" w:name="_Toc448758444"/>
      <w:bookmarkStart w:id="1456" w:name="_Toc338944850"/>
      <w:r>
        <w:rPr>
          <w:rFonts w:eastAsia="黑体" w:cs="仿宋_GB2312"/>
          <w:sz w:val="28"/>
          <w:szCs w:val="20"/>
          <w:highlight w:val="none"/>
        </w:rPr>
        <w:t>23. 索赔</w:t>
      </w:r>
      <w:bookmarkEnd w:id="1446"/>
      <w:bookmarkEnd w:id="1447"/>
      <w:bookmarkEnd w:id="1448"/>
      <w:bookmarkEnd w:id="1449"/>
      <w:bookmarkEnd w:id="1450"/>
      <w:bookmarkEnd w:id="1451"/>
      <w:bookmarkEnd w:id="1452"/>
      <w:bookmarkEnd w:id="1453"/>
      <w:bookmarkEnd w:id="1454"/>
      <w:bookmarkEnd w:id="1455"/>
      <w:bookmarkEnd w:id="1456"/>
    </w:p>
    <w:p w14:paraId="052060B3">
      <w:pPr>
        <w:keepNext/>
        <w:keepLines/>
        <w:spacing w:line="400" w:lineRule="exact"/>
        <w:outlineLvl w:val="2"/>
        <w:rPr>
          <w:rFonts w:eastAsia="黑体"/>
          <w:sz w:val="24"/>
          <w:szCs w:val="20"/>
          <w:highlight w:val="none"/>
        </w:rPr>
      </w:pPr>
      <w:bookmarkStart w:id="1457" w:name="_Toc152045758"/>
      <w:bookmarkStart w:id="1458" w:name="_Toc342296409"/>
      <w:bookmarkStart w:id="1459" w:name="_Toc159950759"/>
      <w:bookmarkStart w:id="1460" w:name="_Toc338944851"/>
      <w:bookmarkStart w:id="1461" w:name="_Toc144974728"/>
      <w:bookmarkStart w:id="1462" w:name="_Toc179632776"/>
      <w:bookmarkStart w:id="1463" w:name="_Toc152042537"/>
      <w:r>
        <w:rPr>
          <w:rFonts w:eastAsia="黑体"/>
          <w:sz w:val="24"/>
          <w:szCs w:val="20"/>
          <w:highlight w:val="none"/>
        </w:rPr>
        <w:t>23.1 承包人索赔的提出</w:t>
      </w:r>
      <w:bookmarkEnd w:id="1457"/>
      <w:bookmarkEnd w:id="1458"/>
      <w:bookmarkEnd w:id="1459"/>
      <w:bookmarkEnd w:id="1460"/>
      <w:bookmarkEnd w:id="1461"/>
      <w:bookmarkEnd w:id="1462"/>
      <w:bookmarkEnd w:id="1463"/>
    </w:p>
    <w:p w14:paraId="7B57CA63">
      <w:pPr>
        <w:spacing w:line="400" w:lineRule="exact"/>
        <w:ind w:firstLine="420" w:firstLineChars="200"/>
        <w:rPr>
          <w:highlight w:val="none"/>
        </w:rPr>
      </w:pPr>
      <w:r>
        <w:rPr>
          <w:highlight w:val="none"/>
        </w:rPr>
        <w:t>根据合同约定，承包人认为有权得到追加付款和（或）延长工期的，应按以下程序向发包人提出索赔：</w:t>
      </w:r>
    </w:p>
    <w:p w14:paraId="0DF5A4A7">
      <w:pPr>
        <w:spacing w:line="400" w:lineRule="exact"/>
        <w:ind w:firstLine="359" w:firstLineChars="171"/>
        <w:rPr>
          <w:highlight w:val="none"/>
        </w:rPr>
      </w:pPr>
      <w:r>
        <w:rPr>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FA7EA0F">
      <w:pPr>
        <w:spacing w:line="400" w:lineRule="exact"/>
        <w:ind w:firstLine="359" w:firstLineChars="171"/>
        <w:rPr>
          <w:highlight w:val="none"/>
        </w:rPr>
      </w:pPr>
      <w:r>
        <w:rPr>
          <w:highlight w:val="none"/>
        </w:rPr>
        <w:t>（2）承包人应在发出索赔意向通知书后28天内，向监理人正式递交索赔通知书。索赔通知书应详细说明索赔理由以及要求追加的付款金额和（或）延长的工期，并附必要的记录和证明材料；</w:t>
      </w:r>
    </w:p>
    <w:p w14:paraId="589F676E">
      <w:pPr>
        <w:spacing w:line="400" w:lineRule="exact"/>
        <w:ind w:firstLine="359" w:firstLineChars="171"/>
        <w:rPr>
          <w:highlight w:val="none"/>
        </w:rPr>
      </w:pPr>
      <w:r>
        <w:rPr>
          <w:highlight w:val="none"/>
        </w:rPr>
        <w:t>（3）索赔事件具有连续影响的，承包人应按合理时间间隔继续递交延续索赔通知，说明连续影响的实际情况和记录，列出累计的追加付款金额和（或）工期延长天数；</w:t>
      </w:r>
    </w:p>
    <w:p w14:paraId="20CFBF94">
      <w:pPr>
        <w:spacing w:line="400" w:lineRule="exact"/>
        <w:ind w:firstLine="359" w:firstLineChars="171"/>
        <w:rPr>
          <w:highlight w:val="none"/>
        </w:rPr>
      </w:pPr>
      <w:r>
        <w:rPr>
          <w:highlight w:val="none"/>
        </w:rPr>
        <w:t>（4）在索赔事件影响结束后的28天内，承包人应向监理人递交最终索赔通知书，说明最终要求索赔的追加付款金额和延长的工期，并附必要的记录和证明材料。</w:t>
      </w:r>
    </w:p>
    <w:p w14:paraId="5A756637">
      <w:pPr>
        <w:keepNext/>
        <w:keepLines/>
        <w:spacing w:line="400" w:lineRule="exact"/>
        <w:outlineLvl w:val="2"/>
        <w:rPr>
          <w:rFonts w:eastAsia="黑体"/>
          <w:sz w:val="24"/>
          <w:szCs w:val="20"/>
          <w:highlight w:val="none"/>
        </w:rPr>
      </w:pPr>
      <w:bookmarkStart w:id="1464" w:name="_Toc144974729"/>
      <w:bookmarkStart w:id="1465" w:name="_Toc342296410"/>
      <w:bookmarkStart w:id="1466" w:name="_Toc152042538"/>
      <w:bookmarkStart w:id="1467" w:name="_Toc338944852"/>
      <w:bookmarkStart w:id="1468" w:name="_Toc159950760"/>
      <w:bookmarkStart w:id="1469" w:name="_Toc179632777"/>
      <w:bookmarkStart w:id="1470" w:name="_Toc152045759"/>
      <w:r>
        <w:rPr>
          <w:rFonts w:eastAsia="黑体"/>
          <w:sz w:val="24"/>
          <w:szCs w:val="20"/>
          <w:highlight w:val="none"/>
        </w:rPr>
        <w:t>23.2 承包人索赔处理程序</w:t>
      </w:r>
      <w:bookmarkEnd w:id="1464"/>
      <w:bookmarkEnd w:id="1465"/>
      <w:bookmarkEnd w:id="1466"/>
      <w:bookmarkEnd w:id="1467"/>
      <w:bookmarkEnd w:id="1468"/>
      <w:bookmarkEnd w:id="1469"/>
      <w:bookmarkEnd w:id="1470"/>
    </w:p>
    <w:p w14:paraId="5E4F7071">
      <w:pPr>
        <w:spacing w:line="400" w:lineRule="exact"/>
        <w:ind w:firstLine="359" w:firstLineChars="171"/>
        <w:rPr>
          <w:highlight w:val="none"/>
        </w:rPr>
      </w:pPr>
      <w:r>
        <w:rPr>
          <w:highlight w:val="none"/>
        </w:rPr>
        <w:t>（1）监理人收到承包人提交的索赔通知书后，应及时审查索赔通知书的内容、查验承包人的记录和证明材料，必要时监理人可要求承包人提交全部原始记录副本。</w:t>
      </w:r>
    </w:p>
    <w:p w14:paraId="0E14621F">
      <w:pPr>
        <w:spacing w:line="400" w:lineRule="exact"/>
        <w:ind w:firstLine="359" w:firstLineChars="171"/>
        <w:rPr>
          <w:highlight w:val="none"/>
        </w:rPr>
      </w:pPr>
      <w:r>
        <w:rPr>
          <w:highlight w:val="none"/>
        </w:rPr>
        <w:t>（2）监理人应按第3.5款商定或确定追加的付款和（或）延长的工期，并在收到上述索赔通知书或有关索赔的进一步证明材料后的42天内，将索赔处理结果答复承包人。</w:t>
      </w:r>
    </w:p>
    <w:p w14:paraId="58690314">
      <w:pPr>
        <w:spacing w:line="400" w:lineRule="exact"/>
        <w:ind w:firstLine="359" w:firstLineChars="171"/>
        <w:rPr>
          <w:highlight w:val="none"/>
        </w:rPr>
      </w:pPr>
      <w:r>
        <w:rPr>
          <w:highlight w:val="none"/>
        </w:rPr>
        <w:t>（3）承包人接受索赔处理结果的，发包人应在作出索赔处理结果答复后28天内完成赔付。承包人不接受索赔处理结果的，按第24条的约定办理。</w:t>
      </w:r>
    </w:p>
    <w:p w14:paraId="2E761131">
      <w:pPr>
        <w:keepNext/>
        <w:keepLines/>
        <w:spacing w:line="400" w:lineRule="exact"/>
        <w:outlineLvl w:val="2"/>
        <w:rPr>
          <w:rFonts w:eastAsia="黑体"/>
          <w:sz w:val="24"/>
          <w:szCs w:val="20"/>
          <w:highlight w:val="none"/>
        </w:rPr>
      </w:pPr>
      <w:bookmarkStart w:id="1471" w:name="_Toc152045760"/>
      <w:bookmarkStart w:id="1472" w:name="_Toc152042539"/>
      <w:bookmarkStart w:id="1473" w:name="_Toc144974730"/>
      <w:bookmarkStart w:id="1474" w:name="_Toc159950761"/>
      <w:bookmarkStart w:id="1475" w:name="_Toc338944853"/>
      <w:bookmarkStart w:id="1476" w:name="_Toc342296411"/>
      <w:bookmarkStart w:id="1477" w:name="_Toc179632778"/>
      <w:r>
        <w:rPr>
          <w:rFonts w:eastAsia="黑体"/>
          <w:sz w:val="24"/>
          <w:szCs w:val="20"/>
          <w:highlight w:val="none"/>
        </w:rPr>
        <w:t>23.3 承包人提出索赔的期限</w:t>
      </w:r>
      <w:bookmarkEnd w:id="1471"/>
      <w:bookmarkEnd w:id="1472"/>
      <w:bookmarkEnd w:id="1473"/>
      <w:bookmarkEnd w:id="1474"/>
      <w:bookmarkEnd w:id="1475"/>
      <w:bookmarkEnd w:id="1476"/>
      <w:bookmarkEnd w:id="1477"/>
    </w:p>
    <w:p w14:paraId="7A8376D8">
      <w:pPr>
        <w:spacing w:line="400" w:lineRule="exact"/>
        <w:ind w:firstLine="420" w:firstLineChars="200"/>
        <w:rPr>
          <w:highlight w:val="none"/>
        </w:rPr>
      </w:pPr>
      <w:r>
        <w:rPr>
          <w:highlight w:val="none"/>
        </w:rPr>
        <w:t>23.3.1 承包人按第17.5款的约定接受了竣工付款证书后，应被认为已无权再提出在合同工程接收证书颁发前所发生的任何索赔。</w:t>
      </w:r>
    </w:p>
    <w:p w14:paraId="4BA28F4F">
      <w:pPr>
        <w:spacing w:line="400" w:lineRule="exact"/>
        <w:ind w:firstLine="420" w:firstLineChars="200"/>
        <w:rPr>
          <w:highlight w:val="none"/>
          <w:shd w:val="pct10" w:color="auto" w:fill="FFFFFF"/>
        </w:rPr>
      </w:pPr>
      <w:r>
        <w:rPr>
          <w:highlight w:val="none"/>
        </w:rPr>
        <w:t xml:space="preserve">23.3.2 承包人按第17.6款的约定提交的最终结清申请单中，只限于提出工程接收证书颁发后发生的索赔。提出索赔的期限自接受最终结清证书时终止。 </w:t>
      </w:r>
    </w:p>
    <w:p w14:paraId="5BD7E691">
      <w:pPr>
        <w:keepNext/>
        <w:keepLines/>
        <w:spacing w:line="400" w:lineRule="exact"/>
        <w:outlineLvl w:val="2"/>
        <w:rPr>
          <w:rFonts w:eastAsia="黑体"/>
          <w:sz w:val="24"/>
          <w:szCs w:val="20"/>
          <w:highlight w:val="none"/>
        </w:rPr>
      </w:pPr>
      <w:bookmarkStart w:id="1478" w:name="_Toc342296412"/>
      <w:bookmarkStart w:id="1479" w:name="_Toc338944854"/>
      <w:bookmarkStart w:id="1480" w:name="_Toc144974731"/>
      <w:bookmarkStart w:id="1481" w:name="_Toc152042540"/>
      <w:bookmarkStart w:id="1482" w:name="_Toc152045761"/>
      <w:bookmarkStart w:id="1483" w:name="_Toc159950762"/>
      <w:bookmarkStart w:id="1484" w:name="_Toc179632779"/>
      <w:r>
        <w:rPr>
          <w:rFonts w:eastAsia="黑体"/>
          <w:sz w:val="24"/>
          <w:szCs w:val="20"/>
          <w:highlight w:val="none"/>
        </w:rPr>
        <w:t>23.4 发包人的索赔</w:t>
      </w:r>
      <w:bookmarkEnd w:id="1478"/>
      <w:bookmarkEnd w:id="1479"/>
      <w:bookmarkEnd w:id="1480"/>
      <w:bookmarkEnd w:id="1481"/>
      <w:bookmarkEnd w:id="1482"/>
      <w:bookmarkEnd w:id="1483"/>
      <w:bookmarkEnd w:id="1484"/>
    </w:p>
    <w:p w14:paraId="62D6EDD4">
      <w:pPr>
        <w:spacing w:line="400" w:lineRule="exact"/>
        <w:ind w:firstLine="420" w:firstLineChars="200"/>
        <w:rPr>
          <w:highlight w:val="none"/>
        </w:rPr>
      </w:pPr>
      <w:r>
        <w:rPr>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769B9629">
      <w:pPr>
        <w:spacing w:line="400" w:lineRule="exact"/>
        <w:ind w:firstLine="420" w:firstLineChars="200"/>
        <w:rPr>
          <w:highlight w:val="none"/>
        </w:rPr>
      </w:pPr>
      <w:r>
        <w:rPr>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1BD9777D">
      <w:pPr>
        <w:keepNext/>
        <w:keepLines/>
        <w:spacing w:line="400" w:lineRule="exact"/>
        <w:outlineLvl w:val="1"/>
        <w:rPr>
          <w:rFonts w:eastAsia="黑体" w:cs="仿宋_GB2312"/>
          <w:sz w:val="28"/>
          <w:szCs w:val="20"/>
          <w:highlight w:val="none"/>
        </w:rPr>
      </w:pPr>
      <w:bookmarkStart w:id="1485" w:name="_Toc338944855"/>
      <w:bookmarkStart w:id="1486" w:name="_Toc159950763"/>
      <w:bookmarkStart w:id="1487" w:name="_Toc469660040"/>
      <w:bookmarkStart w:id="1488" w:name="_Toc448758445"/>
      <w:bookmarkStart w:id="1489" w:name="_Toc448758545"/>
      <w:bookmarkStart w:id="1490" w:name="_Toc342296413"/>
      <w:bookmarkStart w:id="1491" w:name="_Toc442365637"/>
      <w:r>
        <w:rPr>
          <w:rFonts w:eastAsia="黑体" w:cs="仿宋_GB2312"/>
          <w:sz w:val="28"/>
          <w:szCs w:val="20"/>
          <w:highlight w:val="none"/>
        </w:rPr>
        <w:t>24. 争议的解决</w:t>
      </w:r>
      <w:bookmarkEnd w:id="1485"/>
      <w:bookmarkEnd w:id="1486"/>
      <w:bookmarkEnd w:id="1487"/>
      <w:bookmarkEnd w:id="1488"/>
      <w:bookmarkEnd w:id="1489"/>
      <w:bookmarkEnd w:id="1490"/>
      <w:bookmarkEnd w:id="1491"/>
    </w:p>
    <w:p w14:paraId="6CC85C9F">
      <w:pPr>
        <w:keepNext/>
        <w:keepLines/>
        <w:spacing w:line="400" w:lineRule="exact"/>
        <w:outlineLvl w:val="2"/>
        <w:rPr>
          <w:rFonts w:eastAsia="黑体"/>
          <w:sz w:val="24"/>
          <w:szCs w:val="20"/>
          <w:highlight w:val="none"/>
        </w:rPr>
      </w:pPr>
      <w:bookmarkStart w:id="1492" w:name="_Toc338944856"/>
      <w:bookmarkStart w:id="1493" w:name="_Toc159950764"/>
      <w:bookmarkStart w:id="1494" w:name="_Toc342296414"/>
      <w:r>
        <w:rPr>
          <w:rFonts w:eastAsia="黑体"/>
          <w:sz w:val="24"/>
          <w:szCs w:val="20"/>
          <w:highlight w:val="none"/>
        </w:rPr>
        <w:t>24.1 争议的解决方式</w:t>
      </w:r>
      <w:bookmarkEnd w:id="1492"/>
      <w:bookmarkEnd w:id="1493"/>
      <w:bookmarkEnd w:id="1494"/>
    </w:p>
    <w:p w14:paraId="31073F4D">
      <w:pPr>
        <w:spacing w:line="400" w:lineRule="exact"/>
        <w:ind w:firstLine="420" w:firstLineChars="200"/>
        <w:rPr>
          <w:highlight w:val="none"/>
        </w:rPr>
      </w:pPr>
      <w:r>
        <w:rPr>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28C7C982">
      <w:pPr>
        <w:spacing w:line="400" w:lineRule="exact"/>
        <w:ind w:firstLine="420" w:firstLineChars="200"/>
        <w:rPr>
          <w:highlight w:val="none"/>
        </w:rPr>
      </w:pPr>
      <w:r>
        <w:rPr>
          <w:highlight w:val="none"/>
        </w:rPr>
        <w:t>（1）向约定的仲裁委员会申请仲裁；</w:t>
      </w:r>
    </w:p>
    <w:p w14:paraId="29B4E819">
      <w:pPr>
        <w:spacing w:line="400" w:lineRule="exact"/>
        <w:ind w:firstLine="420" w:firstLineChars="200"/>
        <w:rPr>
          <w:highlight w:val="none"/>
        </w:rPr>
      </w:pPr>
      <w:r>
        <w:rPr>
          <w:highlight w:val="none"/>
        </w:rPr>
        <w:t>（2）向有管辖权的人民法院提起诉讼。</w:t>
      </w:r>
    </w:p>
    <w:p w14:paraId="1BE37DA4">
      <w:pPr>
        <w:keepNext/>
        <w:keepLines/>
        <w:spacing w:line="400" w:lineRule="exact"/>
        <w:outlineLvl w:val="2"/>
        <w:rPr>
          <w:rFonts w:eastAsia="黑体"/>
          <w:sz w:val="24"/>
          <w:szCs w:val="20"/>
          <w:highlight w:val="none"/>
        </w:rPr>
      </w:pPr>
      <w:bookmarkStart w:id="1495" w:name="_Toc159950765"/>
      <w:bookmarkStart w:id="1496" w:name="_Toc338944857"/>
      <w:bookmarkStart w:id="1497" w:name="_Toc342296415"/>
      <w:r>
        <w:rPr>
          <w:rFonts w:eastAsia="黑体"/>
          <w:sz w:val="24"/>
          <w:szCs w:val="20"/>
          <w:highlight w:val="none"/>
        </w:rPr>
        <w:t>24.2 友好解决</w:t>
      </w:r>
      <w:bookmarkEnd w:id="1495"/>
      <w:bookmarkEnd w:id="1496"/>
      <w:bookmarkEnd w:id="1497"/>
    </w:p>
    <w:p w14:paraId="33FE1EBD">
      <w:pPr>
        <w:spacing w:line="400" w:lineRule="exact"/>
        <w:ind w:firstLine="420" w:firstLineChars="200"/>
        <w:rPr>
          <w:highlight w:val="none"/>
        </w:rPr>
      </w:pPr>
      <w:r>
        <w:rPr>
          <w:highlight w:val="none"/>
        </w:rPr>
        <w:t>在提请争议评审、仲裁或者诉讼前，以及在争议评审、仲裁或诉讼过程中，发包人和承包人均可共同努力友好协商解决争议。</w:t>
      </w:r>
    </w:p>
    <w:p w14:paraId="445AB556">
      <w:pPr>
        <w:keepNext/>
        <w:keepLines/>
        <w:spacing w:line="400" w:lineRule="exact"/>
        <w:outlineLvl w:val="2"/>
        <w:rPr>
          <w:rFonts w:eastAsia="黑体"/>
          <w:sz w:val="24"/>
          <w:szCs w:val="20"/>
          <w:highlight w:val="none"/>
        </w:rPr>
      </w:pPr>
      <w:bookmarkStart w:id="1498" w:name="_Toc338944858"/>
      <w:bookmarkStart w:id="1499" w:name="_Toc159950766"/>
      <w:bookmarkStart w:id="1500" w:name="_Toc342296416"/>
      <w:r>
        <w:rPr>
          <w:rFonts w:eastAsia="黑体"/>
          <w:sz w:val="24"/>
          <w:szCs w:val="20"/>
          <w:highlight w:val="none"/>
        </w:rPr>
        <w:t>24.3 争议评审</w:t>
      </w:r>
      <w:bookmarkEnd w:id="1498"/>
      <w:bookmarkEnd w:id="1499"/>
      <w:bookmarkEnd w:id="1500"/>
    </w:p>
    <w:p w14:paraId="453502F8">
      <w:pPr>
        <w:spacing w:line="400" w:lineRule="exact"/>
        <w:ind w:firstLine="420" w:firstLineChars="200"/>
        <w:rPr>
          <w:highlight w:val="none"/>
        </w:rPr>
      </w:pPr>
      <w:r>
        <w:rPr>
          <w:highlight w:val="none"/>
        </w:rPr>
        <w:t>24.3.1 采用争议评审的，发包人和承包人应在开工日后的28天内或在争议发生后，协商成立争议评审组。争议评审组由有合同管理和工程实践经验的专家组成。</w:t>
      </w:r>
    </w:p>
    <w:p w14:paraId="68F97A97">
      <w:pPr>
        <w:spacing w:line="400" w:lineRule="exact"/>
        <w:ind w:firstLine="420" w:firstLineChars="200"/>
        <w:rPr>
          <w:highlight w:val="none"/>
        </w:rPr>
      </w:pPr>
      <w:r>
        <w:rPr>
          <w:highlight w:val="none"/>
        </w:rPr>
        <w:t>24.3.2 合同双方的争议，应首先由申请人向争议评审组提交一份详细的评审申请报告，并附必要的文件、图纸和证明材料，申请人还应将上述报告的副本同时提交给被申请人和监理人。</w:t>
      </w:r>
    </w:p>
    <w:p w14:paraId="63751109">
      <w:pPr>
        <w:spacing w:line="400" w:lineRule="exact"/>
        <w:ind w:firstLine="420" w:firstLineChars="200"/>
        <w:rPr>
          <w:highlight w:val="none"/>
        </w:rPr>
      </w:pPr>
      <w:r>
        <w:rPr>
          <w:highlight w:val="none"/>
        </w:rPr>
        <w:t>24.3.3 被申请人在收到申请人评审申请报告副本后的28天内，向争议评审组提交一份答辩报告，并附证明材料。被申请人应将答辩报告的副本同时提交给申请人和监理人。</w:t>
      </w:r>
    </w:p>
    <w:p w14:paraId="3A4F2B6D">
      <w:pPr>
        <w:spacing w:line="400" w:lineRule="exact"/>
        <w:ind w:firstLine="420" w:firstLineChars="200"/>
        <w:rPr>
          <w:highlight w:val="none"/>
        </w:rPr>
      </w:pPr>
      <w:r>
        <w:rPr>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1EEB366B">
      <w:pPr>
        <w:spacing w:line="400" w:lineRule="exact"/>
        <w:ind w:firstLine="420" w:firstLineChars="200"/>
        <w:rPr>
          <w:highlight w:val="none"/>
        </w:rPr>
      </w:pPr>
      <w:r>
        <w:rPr>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1B71C9D1">
      <w:pPr>
        <w:spacing w:line="400" w:lineRule="exact"/>
        <w:ind w:firstLine="420" w:firstLineChars="200"/>
        <w:rPr>
          <w:highlight w:val="none"/>
        </w:rPr>
      </w:pPr>
      <w:r>
        <w:rPr>
          <w:highlight w:val="none"/>
        </w:rPr>
        <w:t>24.3.6 发包人和承包人接受评审意见的，由监理人根据评审意见拟定执行协议，经争议双方签字后作为合同的补充文件，并遵照执行。</w:t>
      </w:r>
    </w:p>
    <w:p w14:paraId="1FE0E0F2">
      <w:pPr>
        <w:spacing w:line="400" w:lineRule="exact"/>
        <w:ind w:firstLine="420" w:firstLineChars="200"/>
        <w:rPr>
          <w:highlight w:val="none"/>
        </w:rPr>
      </w:pPr>
      <w:r>
        <w:rPr>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0C5807CE">
      <w:pPr>
        <w:rPr>
          <w:highlight w:val="none"/>
        </w:rPr>
      </w:pPr>
    </w:p>
    <w:p w14:paraId="301530EA">
      <w:pPr>
        <w:rPr>
          <w:highlight w:val="none"/>
        </w:rPr>
      </w:pPr>
    </w:p>
    <w:p w14:paraId="00944F86">
      <w:pPr>
        <w:rPr>
          <w:highlight w:val="none"/>
        </w:rPr>
        <w:sectPr>
          <w:headerReference r:id="rId13" w:type="default"/>
          <w:footerReference r:id="rId14" w:type="default"/>
          <w:pgSz w:w="11906" w:h="16838"/>
          <w:pgMar w:top="1440" w:right="1740" w:bottom="1440" w:left="1797" w:header="851" w:footer="992" w:gutter="0"/>
          <w:cols w:space="720" w:num="1"/>
          <w:docGrid w:linePitch="312" w:charSpace="0"/>
        </w:sectPr>
      </w:pPr>
    </w:p>
    <w:p w14:paraId="02810760">
      <w:pPr>
        <w:rPr>
          <w:highlight w:val="none"/>
        </w:rPr>
      </w:pPr>
    </w:p>
    <w:p w14:paraId="520539B8">
      <w:pPr>
        <w:jc w:val="center"/>
        <w:rPr>
          <w:b/>
          <w:sz w:val="44"/>
          <w:szCs w:val="44"/>
          <w:highlight w:val="none"/>
        </w:rPr>
      </w:pPr>
    </w:p>
    <w:p w14:paraId="030EA650">
      <w:pPr>
        <w:jc w:val="center"/>
        <w:rPr>
          <w:b/>
          <w:sz w:val="44"/>
          <w:szCs w:val="44"/>
          <w:highlight w:val="none"/>
        </w:rPr>
      </w:pPr>
    </w:p>
    <w:p w14:paraId="172782DD">
      <w:pPr>
        <w:jc w:val="center"/>
        <w:rPr>
          <w:b/>
          <w:sz w:val="44"/>
          <w:szCs w:val="44"/>
          <w:highlight w:val="none"/>
        </w:rPr>
      </w:pPr>
    </w:p>
    <w:p w14:paraId="08F430CD">
      <w:pPr>
        <w:jc w:val="center"/>
        <w:rPr>
          <w:b/>
          <w:sz w:val="44"/>
          <w:szCs w:val="44"/>
          <w:highlight w:val="none"/>
        </w:rPr>
      </w:pPr>
    </w:p>
    <w:p w14:paraId="093276EA">
      <w:pPr>
        <w:jc w:val="center"/>
        <w:rPr>
          <w:b/>
          <w:sz w:val="44"/>
          <w:szCs w:val="44"/>
          <w:highlight w:val="none"/>
        </w:rPr>
      </w:pPr>
    </w:p>
    <w:p w14:paraId="320C4D15">
      <w:pPr>
        <w:jc w:val="center"/>
        <w:rPr>
          <w:b/>
          <w:sz w:val="44"/>
          <w:szCs w:val="44"/>
          <w:highlight w:val="none"/>
        </w:rPr>
      </w:pPr>
      <w:r>
        <w:rPr>
          <w:b/>
          <w:sz w:val="44"/>
          <w:szCs w:val="44"/>
          <w:highlight w:val="none"/>
        </w:rPr>
        <w:t>第</w:t>
      </w:r>
      <w:r>
        <w:rPr>
          <w:rFonts w:hint="eastAsia"/>
          <w:b/>
          <w:sz w:val="44"/>
          <w:szCs w:val="44"/>
          <w:highlight w:val="none"/>
        </w:rPr>
        <w:t xml:space="preserve">三节 </w:t>
      </w:r>
      <w:r>
        <w:rPr>
          <w:b/>
          <w:sz w:val="44"/>
          <w:szCs w:val="44"/>
          <w:highlight w:val="none"/>
        </w:rPr>
        <w:t>合同</w:t>
      </w:r>
      <w:r>
        <w:rPr>
          <w:rFonts w:hint="eastAsia"/>
          <w:b/>
          <w:sz w:val="44"/>
          <w:szCs w:val="44"/>
          <w:highlight w:val="none"/>
        </w:rPr>
        <w:t>条款专用部分</w:t>
      </w:r>
    </w:p>
    <w:p w14:paraId="69DDAC20">
      <w:pPr>
        <w:jc w:val="center"/>
        <w:rPr>
          <w:b/>
          <w:sz w:val="44"/>
          <w:szCs w:val="44"/>
          <w:highlight w:val="none"/>
        </w:rPr>
      </w:pPr>
    </w:p>
    <w:p w14:paraId="1CE3B0C7">
      <w:pPr>
        <w:jc w:val="center"/>
        <w:rPr>
          <w:rFonts w:ascii="宋体" w:hAnsi="宋体" w:cs="等线"/>
          <w:b/>
          <w:highlight w:val="none"/>
        </w:rPr>
      </w:pPr>
      <w:r>
        <w:rPr>
          <w:sz w:val="28"/>
          <w:highlight w:val="none"/>
        </w:rPr>
        <w:br w:type="page"/>
      </w:r>
      <w:r>
        <w:rPr>
          <w:rFonts w:hint="eastAsia" w:ascii="宋体" w:hAnsi="宋体" w:cs="等线"/>
          <w:b/>
          <w:highlight w:val="none"/>
        </w:rPr>
        <w:t>第三节 合同条款专用部分</w:t>
      </w:r>
    </w:p>
    <w:p w14:paraId="7E421F09">
      <w:pPr>
        <w:rPr>
          <w:rFonts w:ascii="宋体" w:hAnsi="宋体" w:cs="等线"/>
          <w:highlight w:val="none"/>
        </w:rPr>
      </w:pPr>
    </w:p>
    <w:p w14:paraId="0163CB4E">
      <w:pPr>
        <w:jc w:val="center"/>
        <w:rPr>
          <w:rFonts w:ascii="宋体" w:hAnsi="宋体" w:cs="等线"/>
          <w:b/>
          <w:highlight w:val="none"/>
        </w:rPr>
      </w:pPr>
      <w:r>
        <w:rPr>
          <w:rFonts w:hint="eastAsia" w:ascii="宋体" w:hAnsi="宋体" w:cs="等线"/>
          <w:b/>
          <w:highlight w:val="none"/>
        </w:rPr>
        <w:t>专用合同条款</w:t>
      </w:r>
    </w:p>
    <w:p w14:paraId="4788561A">
      <w:pPr>
        <w:keepNext/>
        <w:keepLines/>
        <w:spacing w:line="400" w:lineRule="exact"/>
        <w:outlineLvl w:val="1"/>
        <w:rPr>
          <w:rFonts w:ascii="宋体" w:hAnsi="宋体" w:cs="等线"/>
          <w:sz w:val="24"/>
          <w:highlight w:val="none"/>
        </w:rPr>
      </w:pPr>
      <w:bookmarkStart w:id="1501" w:name="_Toc16123"/>
      <w:bookmarkStart w:id="1502" w:name="_Toc38732148"/>
      <w:bookmarkStart w:id="1503" w:name="_Toc159950767"/>
      <w:bookmarkStart w:id="1504" w:name="_Toc13815"/>
      <w:r>
        <w:rPr>
          <w:rFonts w:hint="eastAsia" w:ascii="宋体" w:hAnsi="宋体" w:cs="等线"/>
          <w:sz w:val="24"/>
          <w:highlight w:val="none"/>
        </w:rPr>
        <w:t>1. 一般约定</w:t>
      </w:r>
      <w:bookmarkEnd w:id="1501"/>
      <w:bookmarkEnd w:id="1502"/>
      <w:bookmarkEnd w:id="1503"/>
      <w:bookmarkEnd w:id="1504"/>
    </w:p>
    <w:p w14:paraId="006C73D6">
      <w:pPr>
        <w:keepNext/>
        <w:keepLines/>
        <w:spacing w:line="400" w:lineRule="exact"/>
        <w:outlineLvl w:val="2"/>
        <w:rPr>
          <w:rFonts w:ascii="宋体" w:hAnsi="宋体" w:cs="等线"/>
          <w:sz w:val="24"/>
          <w:highlight w:val="none"/>
        </w:rPr>
      </w:pPr>
      <w:bookmarkStart w:id="1505" w:name="_Toc17764"/>
      <w:bookmarkStart w:id="1506" w:name="_Toc38732149"/>
      <w:bookmarkStart w:id="1507" w:name="_Toc159950768"/>
      <w:r>
        <w:rPr>
          <w:rFonts w:hint="eastAsia" w:ascii="宋体" w:hAnsi="宋体" w:cs="等线"/>
          <w:sz w:val="24"/>
          <w:highlight w:val="none"/>
        </w:rPr>
        <w:t>1.1 词语定义</w:t>
      </w:r>
      <w:bookmarkEnd w:id="1505"/>
      <w:bookmarkEnd w:id="1506"/>
      <w:bookmarkEnd w:id="1507"/>
    </w:p>
    <w:p w14:paraId="009F84E1">
      <w:pPr>
        <w:spacing w:line="360" w:lineRule="auto"/>
        <w:ind w:firstLine="420" w:firstLineChars="200"/>
        <w:rPr>
          <w:rFonts w:ascii="宋体" w:hAnsi="宋体" w:cs="等线"/>
          <w:highlight w:val="none"/>
        </w:rPr>
      </w:pPr>
      <w:r>
        <w:rPr>
          <w:rFonts w:hint="eastAsia" w:ascii="宋体" w:hAnsi="宋体" w:cs="等线"/>
          <w:highlight w:val="none"/>
        </w:rPr>
        <w:t>1.1.2合同当事人和人员</w:t>
      </w:r>
    </w:p>
    <w:p w14:paraId="333A4CF6">
      <w:pPr>
        <w:spacing w:line="360" w:lineRule="auto"/>
        <w:ind w:firstLine="420" w:firstLineChars="200"/>
        <w:rPr>
          <w:rFonts w:ascii="宋体" w:hAnsi="宋体" w:cs="等线"/>
          <w:highlight w:val="none"/>
        </w:rPr>
      </w:pPr>
      <w:r>
        <w:rPr>
          <w:rFonts w:hint="eastAsia" w:ascii="宋体" w:hAnsi="宋体" w:cs="等线"/>
          <w:highlight w:val="none"/>
        </w:rPr>
        <w:t>1.1.2.2发包人：</w:t>
      </w:r>
      <w:r>
        <w:rPr>
          <w:rFonts w:hint="eastAsia" w:ascii="宋体" w:hAnsi="宋体" w:cs="等线"/>
          <w:highlight w:val="none"/>
          <w:u w:val="single"/>
        </w:rPr>
        <w:t xml:space="preserve">     北京财贸职业学院                         </w:t>
      </w:r>
      <w:r>
        <w:rPr>
          <w:rFonts w:hint="eastAsia" w:ascii="宋体" w:hAnsi="宋体" w:cs="等线"/>
          <w:highlight w:val="none"/>
        </w:rPr>
        <w:t>。</w:t>
      </w:r>
    </w:p>
    <w:p w14:paraId="462363FE">
      <w:pPr>
        <w:spacing w:line="360" w:lineRule="auto"/>
        <w:ind w:firstLine="420" w:firstLineChars="200"/>
        <w:rPr>
          <w:rFonts w:ascii="宋体" w:hAnsi="宋体" w:cs="等线"/>
          <w:highlight w:val="none"/>
        </w:rPr>
      </w:pPr>
      <w:r>
        <w:rPr>
          <w:rFonts w:hint="eastAsia" w:ascii="宋体" w:hAnsi="宋体" w:cs="等线"/>
          <w:highlight w:val="none"/>
        </w:rPr>
        <w:t>1.1.2.4发包人代表：指发包人指定的派驻施工场地（现场）的全权代表。</w:t>
      </w:r>
    </w:p>
    <w:p w14:paraId="20BEE1A3">
      <w:pPr>
        <w:spacing w:line="360" w:lineRule="auto"/>
        <w:ind w:firstLine="420" w:firstLineChars="200"/>
        <w:rPr>
          <w:rFonts w:ascii="宋体" w:hAnsi="宋体" w:cs="等线"/>
          <w:highlight w:val="none"/>
        </w:rPr>
      </w:pPr>
      <w:r>
        <w:rPr>
          <w:rFonts w:hint="eastAsia" w:ascii="宋体" w:hAnsi="宋体" w:cs="等线"/>
          <w:highlight w:val="none"/>
        </w:rPr>
        <w:t>姓    名：</w:t>
      </w:r>
      <w:r>
        <w:rPr>
          <w:rFonts w:hint="eastAsia" w:ascii="宋体" w:hAnsi="宋体" w:cs="等线"/>
          <w:highlight w:val="none"/>
          <w:u w:val="single"/>
        </w:rPr>
        <w:t xml:space="preserve">      </w:t>
      </w:r>
      <w:r>
        <w:rPr>
          <w:rFonts w:ascii="宋体" w:hAnsi="宋体" w:cs="等线"/>
          <w:highlight w:val="none"/>
          <w:u w:val="single"/>
        </w:rPr>
        <w:t xml:space="preserve">      </w:t>
      </w:r>
      <w:r>
        <w:rPr>
          <w:rFonts w:hint="eastAsia" w:ascii="宋体" w:hAnsi="宋体" w:cs="等线"/>
          <w:highlight w:val="none"/>
          <w:u w:val="single"/>
        </w:rPr>
        <w:t xml:space="preserve">                                   </w:t>
      </w:r>
      <w:r>
        <w:rPr>
          <w:rFonts w:hint="eastAsia" w:ascii="宋体" w:hAnsi="宋体" w:cs="等线"/>
          <w:highlight w:val="none"/>
        </w:rPr>
        <w:t>。</w:t>
      </w:r>
    </w:p>
    <w:p w14:paraId="6360B6B0">
      <w:pPr>
        <w:spacing w:line="360" w:lineRule="auto"/>
        <w:ind w:firstLine="420" w:firstLineChars="200"/>
        <w:rPr>
          <w:rFonts w:ascii="宋体" w:hAnsi="宋体" w:cs="等线"/>
          <w:highlight w:val="none"/>
        </w:rPr>
      </w:pPr>
      <w:r>
        <w:rPr>
          <w:rFonts w:hint="eastAsia" w:ascii="宋体" w:hAnsi="宋体" w:cs="等线"/>
          <w:highlight w:val="none"/>
        </w:rPr>
        <w:t>职    称：</w:t>
      </w:r>
      <w:r>
        <w:rPr>
          <w:rFonts w:hint="eastAsia" w:ascii="宋体" w:hAnsi="宋体" w:cs="等线"/>
          <w:highlight w:val="none"/>
          <w:u w:val="single"/>
        </w:rPr>
        <w:t xml:space="preserve">      </w:t>
      </w:r>
      <w:r>
        <w:rPr>
          <w:rFonts w:ascii="宋体" w:hAnsi="宋体" w:cs="等线"/>
          <w:highlight w:val="none"/>
          <w:u w:val="single"/>
        </w:rPr>
        <w:t xml:space="preserve">          </w:t>
      </w:r>
      <w:r>
        <w:rPr>
          <w:rFonts w:hint="eastAsia" w:ascii="宋体" w:hAnsi="宋体" w:cs="等线"/>
          <w:highlight w:val="none"/>
          <w:u w:val="single"/>
        </w:rPr>
        <w:t xml:space="preserve">                               </w:t>
      </w:r>
      <w:r>
        <w:rPr>
          <w:rFonts w:hint="eastAsia" w:ascii="宋体" w:hAnsi="宋体" w:cs="等线"/>
          <w:highlight w:val="none"/>
        </w:rPr>
        <w:t>。</w:t>
      </w:r>
    </w:p>
    <w:p w14:paraId="727D48D3">
      <w:pPr>
        <w:spacing w:line="360" w:lineRule="auto"/>
        <w:ind w:firstLine="420" w:firstLineChars="200"/>
        <w:rPr>
          <w:rFonts w:ascii="宋体" w:hAnsi="宋体" w:cs="等线"/>
          <w:highlight w:val="none"/>
        </w:rPr>
      </w:pPr>
      <w:r>
        <w:rPr>
          <w:rFonts w:hint="eastAsia" w:ascii="宋体" w:hAnsi="宋体" w:cs="等线"/>
          <w:highlight w:val="none"/>
        </w:rPr>
        <w:t>联系电话：</w:t>
      </w:r>
      <w:r>
        <w:rPr>
          <w:rFonts w:hint="eastAsia" w:ascii="宋体" w:hAnsi="宋体" w:cs="等线"/>
          <w:highlight w:val="none"/>
          <w:u w:val="single"/>
        </w:rPr>
        <w:t xml:space="preserve">     </w:t>
      </w:r>
      <w:r>
        <w:rPr>
          <w:rFonts w:ascii="宋体" w:hAnsi="宋体" w:cs="等线"/>
          <w:highlight w:val="none"/>
          <w:u w:val="single"/>
        </w:rPr>
        <w:t xml:space="preserve">                </w:t>
      </w:r>
      <w:r>
        <w:rPr>
          <w:rFonts w:hint="eastAsia" w:ascii="宋体" w:hAnsi="宋体" w:cs="等线"/>
          <w:highlight w:val="none"/>
          <w:u w:val="single"/>
        </w:rPr>
        <w:t xml:space="preserve">                         </w:t>
      </w:r>
      <w:r>
        <w:rPr>
          <w:rFonts w:hint="eastAsia" w:ascii="宋体" w:hAnsi="宋体" w:cs="等线"/>
          <w:highlight w:val="none"/>
        </w:rPr>
        <w:t>。</w:t>
      </w:r>
    </w:p>
    <w:p w14:paraId="089BA65A">
      <w:pPr>
        <w:spacing w:line="360" w:lineRule="auto"/>
        <w:ind w:firstLine="420" w:firstLineChars="200"/>
        <w:rPr>
          <w:rFonts w:ascii="宋体" w:hAnsi="宋体" w:cs="等线"/>
          <w:highlight w:val="none"/>
        </w:rPr>
      </w:pPr>
      <w:r>
        <w:rPr>
          <w:rFonts w:hint="eastAsia" w:ascii="宋体" w:hAnsi="宋体" w:cs="等线"/>
          <w:highlight w:val="none"/>
        </w:rPr>
        <w:t>电子信箱：</w:t>
      </w:r>
      <w:r>
        <w:rPr>
          <w:rFonts w:hint="eastAsia" w:ascii="宋体" w:hAnsi="宋体" w:cs="等线"/>
          <w:highlight w:val="none"/>
          <w:u w:val="single"/>
        </w:rPr>
        <w:t xml:space="preserve">     </w:t>
      </w:r>
      <w:r>
        <w:rPr>
          <w:rFonts w:ascii="宋体" w:hAnsi="宋体" w:cs="等线"/>
          <w:highlight w:val="none"/>
          <w:u w:val="single"/>
        </w:rPr>
        <w:t xml:space="preserve">                      </w:t>
      </w:r>
      <w:r>
        <w:rPr>
          <w:rFonts w:hint="eastAsia" w:ascii="宋体" w:hAnsi="宋体" w:cs="等线"/>
          <w:highlight w:val="none"/>
          <w:u w:val="single"/>
        </w:rPr>
        <w:t xml:space="preserve">                   </w:t>
      </w:r>
      <w:r>
        <w:rPr>
          <w:rFonts w:hint="eastAsia" w:ascii="宋体" w:hAnsi="宋体" w:cs="等线"/>
          <w:highlight w:val="none"/>
        </w:rPr>
        <w:t>。</w:t>
      </w:r>
    </w:p>
    <w:p w14:paraId="7CCFDA07">
      <w:pPr>
        <w:spacing w:line="360" w:lineRule="auto"/>
        <w:ind w:firstLine="420" w:firstLineChars="200"/>
        <w:rPr>
          <w:rFonts w:ascii="宋体" w:hAnsi="宋体" w:cs="等线"/>
          <w:highlight w:val="none"/>
        </w:rPr>
      </w:pPr>
      <w:r>
        <w:rPr>
          <w:rFonts w:hint="eastAsia" w:ascii="宋体" w:hAnsi="宋体" w:cs="等线"/>
          <w:highlight w:val="none"/>
        </w:rPr>
        <w:t>通信地址：</w:t>
      </w:r>
      <w:r>
        <w:rPr>
          <w:rFonts w:hint="eastAsia" w:ascii="宋体" w:hAnsi="宋体" w:cs="等线"/>
          <w:highlight w:val="none"/>
          <w:u w:val="single"/>
        </w:rPr>
        <w:t xml:space="preserve">  </w:t>
      </w:r>
      <w:r>
        <w:rPr>
          <w:rFonts w:ascii="宋体" w:hAnsi="宋体" w:cs="等线"/>
          <w:highlight w:val="none"/>
          <w:u w:val="single"/>
        </w:rPr>
        <w:t xml:space="preserve">                                     </w:t>
      </w:r>
      <w:r>
        <w:rPr>
          <w:rFonts w:hint="eastAsia" w:ascii="宋体" w:hAnsi="宋体" w:cs="等线"/>
          <w:highlight w:val="none"/>
          <w:u w:val="single"/>
        </w:rPr>
        <w:t xml:space="preserve">       </w:t>
      </w:r>
      <w:r>
        <w:rPr>
          <w:rFonts w:hint="eastAsia" w:ascii="宋体" w:hAnsi="宋体" w:cs="等线"/>
          <w:highlight w:val="none"/>
        </w:rPr>
        <w:t>。</w:t>
      </w:r>
    </w:p>
    <w:p w14:paraId="4A922548">
      <w:pPr>
        <w:spacing w:line="360" w:lineRule="auto"/>
        <w:ind w:firstLine="420" w:firstLineChars="200"/>
        <w:rPr>
          <w:rFonts w:ascii="宋体" w:hAnsi="宋体" w:cs="等线"/>
          <w:highlight w:val="none"/>
        </w:rPr>
      </w:pPr>
      <w:r>
        <w:rPr>
          <w:rFonts w:hint="eastAsia" w:ascii="宋体" w:hAnsi="宋体" w:cs="等线"/>
          <w:highlight w:val="none"/>
        </w:rPr>
        <w:t>1.1.2.6监理人：</w:t>
      </w:r>
    </w:p>
    <w:p w14:paraId="47704DAF">
      <w:pPr>
        <w:spacing w:line="360" w:lineRule="auto"/>
        <w:ind w:firstLine="420" w:firstLineChars="200"/>
        <w:rPr>
          <w:rFonts w:ascii="宋体" w:hAnsi="宋体" w:cs="等线"/>
          <w:highlight w:val="none"/>
        </w:rPr>
      </w:pPr>
      <w:r>
        <w:rPr>
          <w:rFonts w:hint="eastAsia" w:ascii="宋体" w:hAnsi="宋体" w:cs="等线"/>
          <w:highlight w:val="none"/>
        </w:rPr>
        <w:t>名    称：</w:t>
      </w:r>
      <w:r>
        <w:rPr>
          <w:rFonts w:hint="eastAsia" w:ascii="宋体" w:hAnsi="宋体" w:cs="等线"/>
          <w:highlight w:val="none"/>
          <w:u w:val="single"/>
        </w:rPr>
        <w:t xml:space="preserve">              /               </w:t>
      </w:r>
      <w:r>
        <w:rPr>
          <w:rFonts w:hint="eastAsia" w:ascii="宋体" w:hAnsi="宋体" w:cs="等线"/>
          <w:highlight w:val="none"/>
        </w:rPr>
        <w:t>；</w:t>
      </w:r>
    </w:p>
    <w:p w14:paraId="63DDC802">
      <w:pPr>
        <w:spacing w:line="360" w:lineRule="auto"/>
        <w:ind w:firstLine="420" w:firstLineChars="200"/>
        <w:rPr>
          <w:rFonts w:ascii="宋体" w:hAnsi="宋体" w:cs="等线"/>
          <w:highlight w:val="none"/>
        </w:rPr>
      </w:pPr>
      <w:r>
        <w:rPr>
          <w:rFonts w:hint="eastAsia" w:ascii="宋体" w:hAnsi="宋体" w:cs="等线"/>
          <w:highlight w:val="none"/>
        </w:rPr>
        <w:t>资质类别和等级：</w:t>
      </w:r>
      <w:r>
        <w:rPr>
          <w:rFonts w:hint="eastAsia" w:ascii="宋体" w:hAnsi="宋体" w:cs="等线"/>
          <w:highlight w:val="none"/>
          <w:u w:val="single"/>
        </w:rPr>
        <w:t xml:space="preserve">         /              </w:t>
      </w:r>
      <w:r>
        <w:rPr>
          <w:rFonts w:hint="eastAsia" w:ascii="宋体" w:hAnsi="宋体" w:cs="等线"/>
          <w:highlight w:val="none"/>
        </w:rPr>
        <w:t>；</w:t>
      </w:r>
    </w:p>
    <w:p w14:paraId="1FC4D5BE">
      <w:pPr>
        <w:spacing w:line="360" w:lineRule="auto"/>
        <w:ind w:firstLine="420" w:firstLineChars="200"/>
        <w:rPr>
          <w:rFonts w:ascii="宋体" w:hAnsi="宋体" w:cs="等线"/>
          <w:highlight w:val="none"/>
        </w:rPr>
      </w:pPr>
      <w:r>
        <w:rPr>
          <w:rFonts w:hint="eastAsia" w:ascii="宋体" w:hAnsi="宋体" w:cs="等线"/>
          <w:highlight w:val="none"/>
        </w:rPr>
        <w:t>联系电话：</w:t>
      </w:r>
      <w:r>
        <w:rPr>
          <w:rFonts w:hint="eastAsia" w:ascii="宋体" w:hAnsi="宋体" w:cs="等线"/>
          <w:highlight w:val="none"/>
          <w:u w:val="single"/>
        </w:rPr>
        <w:t xml:space="preserve">               /              </w:t>
      </w:r>
      <w:r>
        <w:rPr>
          <w:rFonts w:hint="eastAsia" w:ascii="宋体" w:hAnsi="宋体" w:cs="等线"/>
          <w:highlight w:val="none"/>
        </w:rPr>
        <w:t>；</w:t>
      </w:r>
    </w:p>
    <w:p w14:paraId="7E9BE3BD">
      <w:pPr>
        <w:spacing w:line="360" w:lineRule="auto"/>
        <w:ind w:firstLine="420" w:firstLineChars="200"/>
        <w:rPr>
          <w:rFonts w:ascii="宋体" w:hAnsi="宋体" w:cs="等线"/>
          <w:highlight w:val="none"/>
        </w:rPr>
      </w:pPr>
      <w:r>
        <w:rPr>
          <w:rFonts w:hint="eastAsia" w:ascii="宋体" w:hAnsi="宋体" w:cs="等线"/>
          <w:highlight w:val="none"/>
        </w:rPr>
        <w:t>电子信箱：</w:t>
      </w:r>
      <w:r>
        <w:rPr>
          <w:rFonts w:hint="eastAsia" w:ascii="宋体" w:hAnsi="宋体" w:cs="等线"/>
          <w:highlight w:val="none"/>
          <w:u w:val="single"/>
        </w:rPr>
        <w:t xml:space="preserve">               /              </w:t>
      </w:r>
      <w:r>
        <w:rPr>
          <w:rFonts w:hint="eastAsia" w:ascii="宋体" w:hAnsi="宋体" w:cs="等线"/>
          <w:highlight w:val="none"/>
        </w:rPr>
        <w:t>；</w:t>
      </w:r>
    </w:p>
    <w:p w14:paraId="434CF37B">
      <w:pPr>
        <w:spacing w:line="360" w:lineRule="auto"/>
        <w:ind w:firstLine="420" w:firstLineChars="200"/>
        <w:rPr>
          <w:rFonts w:ascii="宋体" w:hAnsi="宋体" w:cs="等线"/>
          <w:highlight w:val="none"/>
        </w:rPr>
      </w:pPr>
      <w:r>
        <w:rPr>
          <w:rFonts w:hint="eastAsia" w:ascii="宋体" w:hAnsi="宋体" w:cs="等线"/>
          <w:highlight w:val="none"/>
        </w:rPr>
        <w:t>通信地址：</w:t>
      </w:r>
      <w:r>
        <w:rPr>
          <w:rFonts w:hint="eastAsia" w:ascii="宋体" w:hAnsi="宋体" w:cs="等线"/>
          <w:highlight w:val="none"/>
          <w:u w:val="single"/>
        </w:rPr>
        <w:t xml:space="preserve">             /                </w:t>
      </w:r>
      <w:r>
        <w:rPr>
          <w:rFonts w:hint="eastAsia" w:ascii="宋体" w:hAnsi="宋体" w:cs="等线"/>
          <w:highlight w:val="none"/>
        </w:rPr>
        <w:t>。</w:t>
      </w:r>
    </w:p>
    <w:p w14:paraId="46D24C22">
      <w:pPr>
        <w:spacing w:line="360" w:lineRule="auto"/>
        <w:ind w:firstLine="420" w:firstLineChars="200"/>
        <w:rPr>
          <w:rFonts w:ascii="宋体" w:hAnsi="宋体" w:cs="等线"/>
          <w:highlight w:val="none"/>
        </w:rPr>
      </w:pPr>
      <w:r>
        <w:rPr>
          <w:rFonts w:hint="eastAsia" w:ascii="宋体" w:hAnsi="宋体" w:cs="等线"/>
          <w:highlight w:val="none"/>
        </w:rPr>
        <w:t>1.1.2.8 设计人：</w:t>
      </w:r>
    </w:p>
    <w:p w14:paraId="1CBEF2AC">
      <w:pPr>
        <w:spacing w:line="360" w:lineRule="auto"/>
        <w:ind w:firstLine="420" w:firstLineChars="200"/>
        <w:rPr>
          <w:rFonts w:ascii="宋体" w:hAnsi="宋体" w:cs="等线"/>
          <w:highlight w:val="none"/>
        </w:rPr>
      </w:pPr>
      <w:r>
        <w:rPr>
          <w:rFonts w:hint="eastAsia" w:ascii="宋体" w:hAnsi="宋体" w:cs="等线"/>
          <w:highlight w:val="none"/>
        </w:rPr>
        <w:t>名    称：</w:t>
      </w:r>
      <w:r>
        <w:rPr>
          <w:rFonts w:hint="eastAsia" w:ascii="宋体" w:hAnsi="宋体" w:cs="等线"/>
          <w:highlight w:val="none"/>
          <w:u w:val="single"/>
        </w:rPr>
        <w:t xml:space="preserve">                             </w:t>
      </w:r>
      <w:r>
        <w:rPr>
          <w:rFonts w:hint="eastAsia" w:ascii="宋体" w:hAnsi="宋体" w:cs="等线"/>
          <w:highlight w:val="none"/>
        </w:rPr>
        <w:t>；</w:t>
      </w:r>
    </w:p>
    <w:p w14:paraId="1ED6B442">
      <w:pPr>
        <w:spacing w:line="360" w:lineRule="auto"/>
        <w:ind w:firstLine="420" w:firstLineChars="200"/>
        <w:rPr>
          <w:rFonts w:ascii="宋体" w:hAnsi="宋体" w:cs="等线"/>
          <w:highlight w:val="none"/>
        </w:rPr>
      </w:pPr>
      <w:r>
        <w:rPr>
          <w:rFonts w:hint="eastAsia" w:ascii="宋体" w:hAnsi="宋体" w:cs="等线"/>
          <w:highlight w:val="none"/>
        </w:rPr>
        <w:t>资质类别和等级：</w:t>
      </w:r>
      <w:r>
        <w:rPr>
          <w:rFonts w:hint="eastAsia" w:ascii="宋体" w:hAnsi="宋体" w:cs="等线"/>
          <w:highlight w:val="none"/>
          <w:u w:val="single"/>
        </w:rPr>
        <w:t xml:space="preserve">                       </w:t>
      </w:r>
      <w:r>
        <w:rPr>
          <w:rFonts w:hint="eastAsia" w:ascii="宋体" w:hAnsi="宋体" w:cs="等线"/>
          <w:highlight w:val="none"/>
        </w:rPr>
        <w:t>；</w:t>
      </w:r>
    </w:p>
    <w:p w14:paraId="71203150">
      <w:pPr>
        <w:spacing w:line="360" w:lineRule="auto"/>
        <w:ind w:firstLine="420" w:firstLineChars="200"/>
        <w:rPr>
          <w:rFonts w:ascii="宋体" w:hAnsi="宋体" w:cs="等线"/>
          <w:highlight w:val="none"/>
        </w:rPr>
      </w:pPr>
      <w:r>
        <w:rPr>
          <w:rFonts w:hint="eastAsia" w:ascii="宋体" w:hAnsi="宋体" w:cs="等线"/>
          <w:highlight w:val="none"/>
        </w:rPr>
        <w:t>联系电话：</w:t>
      </w:r>
      <w:r>
        <w:rPr>
          <w:rFonts w:hint="eastAsia" w:ascii="宋体" w:hAnsi="宋体" w:cs="等线"/>
          <w:highlight w:val="none"/>
          <w:u w:val="single"/>
        </w:rPr>
        <w:t xml:space="preserve">                             </w:t>
      </w:r>
      <w:r>
        <w:rPr>
          <w:rFonts w:hint="eastAsia" w:ascii="宋体" w:hAnsi="宋体" w:cs="等线"/>
          <w:highlight w:val="none"/>
        </w:rPr>
        <w:t>；</w:t>
      </w:r>
    </w:p>
    <w:p w14:paraId="5ACDE008">
      <w:pPr>
        <w:spacing w:line="360" w:lineRule="auto"/>
        <w:ind w:firstLine="420" w:firstLineChars="200"/>
        <w:rPr>
          <w:rFonts w:ascii="宋体" w:hAnsi="宋体" w:cs="等线"/>
          <w:highlight w:val="none"/>
        </w:rPr>
      </w:pPr>
      <w:r>
        <w:rPr>
          <w:rFonts w:hint="eastAsia" w:ascii="宋体" w:hAnsi="宋体" w:cs="等线"/>
          <w:highlight w:val="none"/>
        </w:rPr>
        <w:t>电子信箱：</w:t>
      </w:r>
      <w:r>
        <w:rPr>
          <w:rFonts w:hint="eastAsia" w:ascii="宋体" w:hAnsi="宋体" w:cs="等线"/>
          <w:highlight w:val="none"/>
          <w:u w:val="single"/>
        </w:rPr>
        <w:t xml:space="preserve">                             </w:t>
      </w:r>
      <w:r>
        <w:rPr>
          <w:rFonts w:hint="eastAsia" w:ascii="宋体" w:hAnsi="宋体" w:cs="等线"/>
          <w:highlight w:val="none"/>
        </w:rPr>
        <w:t>；</w:t>
      </w:r>
    </w:p>
    <w:p w14:paraId="6F11889A">
      <w:pPr>
        <w:spacing w:line="360" w:lineRule="auto"/>
        <w:ind w:firstLine="420" w:firstLineChars="200"/>
        <w:rPr>
          <w:rFonts w:ascii="宋体" w:hAnsi="宋体" w:cs="等线"/>
          <w:highlight w:val="none"/>
        </w:rPr>
      </w:pPr>
      <w:r>
        <w:rPr>
          <w:rFonts w:hint="eastAsia" w:ascii="宋体" w:hAnsi="宋体" w:cs="等线"/>
          <w:highlight w:val="none"/>
        </w:rPr>
        <w:t>通信地址：</w:t>
      </w:r>
      <w:r>
        <w:rPr>
          <w:rFonts w:hint="eastAsia" w:ascii="宋体" w:hAnsi="宋体" w:cs="等线"/>
          <w:highlight w:val="none"/>
          <w:u w:val="single"/>
        </w:rPr>
        <w:t xml:space="preserve">                             </w:t>
      </w:r>
      <w:r>
        <w:rPr>
          <w:rFonts w:hint="eastAsia" w:ascii="宋体" w:hAnsi="宋体" w:cs="等线"/>
          <w:highlight w:val="none"/>
        </w:rPr>
        <w:t>。</w:t>
      </w:r>
    </w:p>
    <w:p w14:paraId="29283328">
      <w:pPr>
        <w:spacing w:line="360" w:lineRule="auto"/>
        <w:ind w:firstLine="420" w:firstLineChars="200"/>
        <w:rPr>
          <w:rFonts w:ascii="宋体" w:hAnsi="宋体" w:cs="等线"/>
          <w:highlight w:val="none"/>
        </w:rPr>
      </w:pPr>
      <w:r>
        <w:rPr>
          <w:rFonts w:hint="eastAsia" w:ascii="宋体" w:hAnsi="宋体" w:cs="等线"/>
          <w:highlight w:val="none"/>
        </w:rPr>
        <w:t>1.1.2.9承包人：</w:t>
      </w:r>
    </w:p>
    <w:p w14:paraId="386282DB">
      <w:pPr>
        <w:spacing w:line="360" w:lineRule="auto"/>
        <w:ind w:firstLine="420" w:firstLineChars="200"/>
        <w:rPr>
          <w:rFonts w:ascii="宋体" w:hAnsi="宋体" w:cs="等线"/>
          <w:highlight w:val="none"/>
        </w:rPr>
      </w:pPr>
      <w:r>
        <w:rPr>
          <w:rFonts w:hint="eastAsia" w:ascii="宋体" w:hAnsi="宋体" w:cs="等线"/>
          <w:highlight w:val="none"/>
        </w:rPr>
        <w:t>承包人项目经理项目经理：</w:t>
      </w:r>
    </w:p>
    <w:p w14:paraId="4A5C09D9">
      <w:pPr>
        <w:spacing w:line="360" w:lineRule="auto"/>
        <w:ind w:firstLine="420" w:firstLineChars="200"/>
        <w:rPr>
          <w:rFonts w:ascii="宋体" w:hAnsi="宋体" w:cs="等线"/>
          <w:highlight w:val="none"/>
        </w:rPr>
      </w:pPr>
      <w:r>
        <w:rPr>
          <w:rFonts w:hint="eastAsia" w:ascii="宋体" w:hAnsi="宋体" w:cs="等线"/>
          <w:highlight w:val="none"/>
        </w:rPr>
        <w:t>姓    名：</w:t>
      </w:r>
      <w:r>
        <w:rPr>
          <w:rFonts w:hint="eastAsia" w:ascii="宋体" w:hAnsi="宋体" w:cs="等线"/>
          <w:highlight w:val="none"/>
          <w:u w:val="single"/>
        </w:rPr>
        <w:t xml:space="preserve">                             </w:t>
      </w:r>
      <w:r>
        <w:rPr>
          <w:rFonts w:hint="eastAsia" w:ascii="宋体" w:hAnsi="宋体" w:cs="等线"/>
          <w:highlight w:val="none"/>
        </w:rPr>
        <w:t>；</w:t>
      </w:r>
    </w:p>
    <w:p w14:paraId="0A6D929E">
      <w:pPr>
        <w:spacing w:line="360" w:lineRule="auto"/>
        <w:ind w:firstLine="420" w:firstLineChars="200"/>
        <w:rPr>
          <w:rFonts w:ascii="宋体" w:hAnsi="宋体" w:cs="等线"/>
          <w:highlight w:val="none"/>
        </w:rPr>
      </w:pPr>
      <w:r>
        <w:rPr>
          <w:rFonts w:hint="eastAsia" w:ascii="宋体" w:hAnsi="宋体" w:cs="等线"/>
          <w:highlight w:val="none"/>
        </w:rPr>
        <w:t>身份证号：</w:t>
      </w:r>
      <w:r>
        <w:rPr>
          <w:rFonts w:hint="eastAsia" w:ascii="宋体" w:hAnsi="宋体" w:cs="等线"/>
          <w:highlight w:val="none"/>
          <w:u w:val="single"/>
        </w:rPr>
        <w:t xml:space="preserve">                             </w:t>
      </w:r>
      <w:r>
        <w:rPr>
          <w:rFonts w:hint="eastAsia" w:ascii="宋体" w:hAnsi="宋体" w:cs="等线"/>
          <w:highlight w:val="none"/>
        </w:rPr>
        <w:t>；</w:t>
      </w:r>
    </w:p>
    <w:p w14:paraId="4D7EABBE">
      <w:pPr>
        <w:spacing w:line="360" w:lineRule="auto"/>
        <w:ind w:firstLine="420" w:firstLineChars="200"/>
        <w:rPr>
          <w:rFonts w:ascii="宋体" w:hAnsi="宋体" w:cs="等线"/>
          <w:highlight w:val="none"/>
        </w:rPr>
      </w:pPr>
      <w:r>
        <w:rPr>
          <w:rFonts w:hint="eastAsia" w:ascii="宋体" w:hAnsi="宋体" w:cs="等线"/>
          <w:highlight w:val="none"/>
        </w:rPr>
        <w:t>建造师执业资格等级：</w:t>
      </w:r>
      <w:r>
        <w:rPr>
          <w:rFonts w:hint="eastAsia" w:ascii="宋体" w:hAnsi="宋体" w:cs="等线"/>
          <w:highlight w:val="none"/>
          <w:u w:val="single"/>
        </w:rPr>
        <w:t xml:space="preserve">                   </w:t>
      </w:r>
      <w:r>
        <w:rPr>
          <w:rFonts w:hint="eastAsia" w:ascii="宋体" w:hAnsi="宋体" w:cs="等线"/>
          <w:highlight w:val="none"/>
        </w:rPr>
        <w:t>；</w:t>
      </w:r>
    </w:p>
    <w:p w14:paraId="4E56E1A1">
      <w:pPr>
        <w:spacing w:line="360" w:lineRule="auto"/>
        <w:ind w:firstLine="420" w:firstLineChars="200"/>
        <w:rPr>
          <w:rFonts w:ascii="宋体" w:hAnsi="宋体" w:cs="等线"/>
          <w:highlight w:val="none"/>
        </w:rPr>
      </w:pPr>
      <w:r>
        <w:rPr>
          <w:rFonts w:hint="eastAsia" w:ascii="宋体" w:hAnsi="宋体" w:cs="等线"/>
          <w:highlight w:val="none"/>
        </w:rPr>
        <w:t>建造师注册证书号：</w:t>
      </w:r>
      <w:r>
        <w:rPr>
          <w:rFonts w:hint="eastAsia" w:ascii="宋体" w:hAnsi="宋体" w:cs="等线"/>
          <w:highlight w:val="none"/>
          <w:u w:val="single"/>
        </w:rPr>
        <w:t xml:space="preserve">                     </w:t>
      </w:r>
      <w:r>
        <w:rPr>
          <w:rFonts w:hint="eastAsia" w:ascii="宋体" w:hAnsi="宋体" w:cs="等线"/>
          <w:highlight w:val="none"/>
        </w:rPr>
        <w:t>；</w:t>
      </w:r>
    </w:p>
    <w:p w14:paraId="3BD2DE8E">
      <w:pPr>
        <w:spacing w:line="360" w:lineRule="auto"/>
        <w:ind w:firstLine="420" w:firstLineChars="200"/>
        <w:rPr>
          <w:rFonts w:ascii="宋体" w:hAnsi="宋体" w:cs="等线"/>
          <w:highlight w:val="none"/>
        </w:rPr>
      </w:pPr>
      <w:r>
        <w:rPr>
          <w:rFonts w:hint="eastAsia" w:ascii="宋体" w:hAnsi="宋体" w:cs="等线"/>
          <w:highlight w:val="none"/>
        </w:rPr>
        <w:t>建造师执业印章号：</w:t>
      </w:r>
      <w:r>
        <w:rPr>
          <w:rFonts w:hint="eastAsia" w:ascii="宋体" w:hAnsi="宋体" w:cs="等线"/>
          <w:highlight w:val="none"/>
          <w:u w:val="single"/>
        </w:rPr>
        <w:t xml:space="preserve">                     </w:t>
      </w:r>
      <w:r>
        <w:rPr>
          <w:rFonts w:hint="eastAsia" w:ascii="宋体" w:hAnsi="宋体" w:cs="等线"/>
          <w:highlight w:val="none"/>
        </w:rPr>
        <w:t>；</w:t>
      </w:r>
    </w:p>
    <w:p w14:paraId="620B3126">
      <w:pPr>
        <w:spacing w:line="360" w:lineRule="auto"/>
        <w:ind w:firstLine="420" w:firstLineChars="200"/>
        <w:rPr>
          <w:rFonts w:ascii="宋体" w:hAnsi="宋体" w:cs="等线"/>
          <w:highlight w:val="none"/>
        </w:rPr>
      </w:pPr>
      <w:r>
        <w:rPr>
          <w:rFonts w:hint="eastAsia" w:ascii="宋体" w:hAnsi="宋体" w:cs="等线"/>
          <w:highlight w:val="none"/>
        </w:rPr>
        <w:t>安全生产考核合格证书号：</w:t>
      </w:r>
      <w:r>
        <w:rPr>
          <w:rFonts w:hint="eastAsia" w:ascii="宋体" w:hAnsi="宋体" w:cs="等线"/>
          <w:highlight w:val="none"/>
          <w:u w:val="single"/>
        </w:rPr>
        <w:t xml:space="preserve">               </w:t>
      </w:r>
      <w:r>
        <w:rPr>
          <w:rFonts w:hint="eastAsia" w:ascii="宋体" w:hAnsi="宋体" w:cs="等线"/>
          <w:highlight w:val="none"/>
        </w:rPr>
        <w:t>；</w:t>
      </w:r>
    </w:p>
    <w:p w14:paraId="4B844600">
      <w:pPr>
        <w:spacing w:line="360" w:lineRule="auto"/>
        <w:ind w:firstLine="420" w:firstLineChars="200"/>
        <w:rPr>
          <w:rFonts w:ascii="宋体" w:hAnsi="宋体" w:cs="等线"/>
          <w:highlight w:val="none"/>
        </w:rPr>
      </w:pPr>
      <w:r>
        <w:rPr>
          <w:rFonts w:hint="eastAsia" w:ascii="宋体" w:hAnsi="宋体" w:cs="等线"/>
          <w:highlight w:val="none"/>
        </w:rPr>
        <w:t>联系电话：</w:t>
      </w:r>
      <w:r>
        <w:rPr>
          <w:rFonts w:hint="eastAsia" w:ascii="宋体" w:hAnsi="宋体" w:cs="等线"/>
          <w:highlight w:val="none"/>
          <w:u w:val="single"/>
        </w:rPr>
        <w:t xml:space="preserve">                             </w:t>
      </w:r>
      <w:r>
        <w:rPr>
          <w:rFonts w:hint="eastAsia" w:ascii="宋体" w:hAnsi="宋体" w:cs="等线"/>
          <w:highlight w:val="none"/>
        </w:rPr>
        <w:t>；</w:t>
      </w:r>
    </w:p>
    <w:p w14:paraId="7A3FD5AB">
      <w:pPr>
        <w:spacing w:line="360" w:lineRule="auto"/>
        <w:ind w:firstLine="420" w:firstLineChars="200"/>
        <w:rPr>
          <w:rFonts w:ascii="宋体" w:hAnsi="宋体" w:cs="等线"/>
          <w:highlight w:val="none"/>
        </w:rPr>
      </w:pPr>
      <w:r>
        <w:rPr>
          <w:rFonts w:hint="eastAsia" w:ascii="宋体" w:hAnsi="宋体" w:cs="等线"/>
          <w:highlight w:val="none"/>
        </w:rPr>
        <w:t>电子信箱：</w:t>
      </w:r>
      <w:r>
        <w:rPr>
          <w:rFonts w:hint="eastAsia" w:ascii="宋体" w:hAnsi="宋体" w:cs="等线"/>
          <w:highlight w:val="none"/>
          <w:u w:val="single"/>
        </w:rPr>
        <w:t xml:space="preserve">                             </w:t>
      </w:r>
      <w:r>
        <w:rPr>
          <w:rFonts w:hint="eastAsia" w:ascii="宋体" w:hAnsi="宋体" w:cs="等线"/>
          <w:highlight w:val="none"/>
        </w:rPr>
        <w:t>；</w:t>
      </w:r>
    </w:p>
    <w:p w14:paraId="3DCE3A49">
      <w:pPr>
        <w:spacing w:line="360" w:lineRule="auto"/>
        <w:ind w:firstLine="420" w:firstLineChars="200"/>
        <w:rPr>
          <w:rFonts w:ascii="宋体" w:hAnsi="宋体" w:cs="等线"/>
          <w:highlight w:val="none"/>
        </w:rPr>
      </w:pPr>
      <w:r>
        <w:rPr>
          <w:rFonts w:hint="eastAsia" w:ascii="宋体" w:hAnsi="宋体" w:cs="等线"/>
          <w:highlight w:val="none"/>
        </w:rPr>
        <w:t>通信地址：</w:t>
      </w:r>
      <w:r>
        <w:rPr>
          <w:rFonts w:hint="eastAsia" w:ascii="宋体" w:hAnsi="宋体" w:cs="等线"/>
          <w:highlight w:val="none"/>
          <w:u w:val="single"/>
        </w:rPr>
        <w:t xml:space="preserve">                             </w:t>
      </w:r>
      <w:r>
        <w:rPr>
          <w:rFonts w:hint="eastAsia" w:ascii="宋体" w:hAnsi="宋体" w:cs="等线"/>
          <w:highlight w:val="none"/>
        </w:rPr>
        <w:t>；</w:t>
      </w:r>
    </w:p>
    <w:p w14:paraId="00E8C55A">
      <w:pPr>
        <w:spacing w:line="360" w:lineRule="auto"/>
        <w:ind w:firstLine="420" w:firstLineChars="200"/>
        <w:rPr>
          <w:rFonts w:ascii="宋体" w:hAnsi="宋体" w:cs="等线"/>
          <w:highlight w:val="none"/>
        </w:rPr>
      </w:pPr>
      <w:r>
        <w:rPr>
          <w:rFonts w:hint="eastAsia" w:ascii="宋体" w:hAnsi="宋体" w:cs="等线"/>
          <w:highlight w:val="none"/>
        </w:rPr>
        <w:t>承包人对项目经理的授权范围如下：</w:t>
      </w:r>
      <w:r>
        <w:rPr>
          <w:rFonts w:hint="eastAsia" w:ascii="宋体" w:hAnsi="宋体" w:cs="等线"/>
          <w:highlight w:val="none"/>
          <w:u w:val="single"/>
        </w:rPr>
        <w:t xml:space="preserve">                             </w:t>
      </w:r>
      <w:r>
        <w:rPr>
          <w:rFonts w:hint="eastAsia" w:ascii="宋体" w:hAnsi="宋体" w:cs="等线"/>
          <w:highlight w:val="none"/>
        </w:rPr>
        <w:t xml:space="preserve"> 。</w:t>
      </w:r>
    </w:p>
    <w:p w14:paraId="67C5B48E">
      <w:pPr>
        <w:spacing w:line="360" w:lineRule="auto"/>
        <w:ind w:firstLine="420" w:firstLineChars="200"/>
        <w:rPr>
          <w:rFonts w:ascii="宋体" w:hAnsi="宋体" w:cs="等线"/>
          <w:highlight w:val="none"/>
        </w:rPr>
      </w:pPr>
      <w:r>
        <w:rPr>
          <w:rFonts w:hint="eastAsia" w:ascii="宋体" w:hAnsi="宋体" w:cs="等线"/>
          <w:highlight w:val="none"/>
        </w:rPr>
        <w:t>关于项目经理每月在施工现场的时间要求：</w:t>
      </w:r>
      <w:r>
        <w:rPr>
          <w:rFonts w:hint="eastAsia" w:ascii="宋体" w:hAnsi="宋体" w:cs="等线"/>
          <w:highlight w:val="none"/>
          <w:u w:val="single"/>
        </w:rPr>
        <w:t xml:space="preserve">                        </w:t>
      </w:r>
      <w:r>
        <w:rPr>
          <w:rFonts w:hint="eastAsia" w:ascii="宋体" w:hAnsi="宋体" w:cs="等线"/>
          <w:highlight w:val="none"/>
        </w:rPr>
        <w:t>。</w:t>
      </w:r>
    </w:p>
    <w:p w14:paraId="72E3D806">
      <w:pPr>
        <w:spacing w:line="360" w:lineRule="auto"/>
        <w:ind w:firstLine="420" w:firstLineChars="200"/>
        <w:rPr>
          <w:rFonts w:ascii="宋体" w:hAnsi="宋体" w:cs="等线"/>
          <w:highlight w:val="none"/>
        </w:rPr>
      </w:pPr>
      <w:r>
        <w:rPr>
          <w:rFonts w:hint="eastAsia" w:ascii="宋体" w:hAnsi="宋体" w:cs="等线"/>
          <w:highlight w:val="none"/>
        </w:rPr>
        <w:t>承包人未提交劳动合同，以及没有为项目经理缴纳社会保险证明的违约责任：</w:t>
      </w:r>
      <w:r>
        <w:rPr>
          <w:rFonts w:hint="eastAsia" w:ascii="宋体" w:hAnsi="宋体" w:cs="等线"/>
          <w:highlight w:val="none"/>
          <w:u w:val="single"/>
        </w:rPr>
        <w:t xml:space="preserve">     </w:t>
      </w:r>
      <w:r>
        <w:rPr>
          <w:rFonts w:hint="eastAsia" w:ascii="宋体" w:hAnsi="宋体" w:cs="等线"/>
          <w:highlight w:val="none"/>
        </w:rPr>
        <w:t>。</w:t>
      </w:r>
    </w:p>
    <w:p w14:paraId="36B0FAAB">
      <w:pPr>
        <w:spacing w:line="360" w:lineRule="auto"/>
        <w:ind w:firstLine="420" w:firstLineChars="200"/>
        <w:rPr>
          <w:rFonts w:ascii="宋体" w:hAnsi="宋体" w:cs="等线"/>
          <w:highlight w:val="none"/>
        </w:rPr>
      </w:pPr>
      <w:r>
        <w:rPr>
          <w:rFonts w:hint="eastAsia" w:ascii="宋体" w:hAnsi="宋体" w:cs="等线"/>
          <w:highlight w:val="none"/>
        </w:rPr>
        <w:t>项目经理未经批准，擅自离开施工现场的违约责任：</w:t>
      </w:r>
      <w:r>
        <w:rPr>
          <w:rFonts w:hint="eastAsia" w:ascii="宋体" w:hAnsi="宋体" w:cs="等线"/>
          <w:highlight w:val="none"/>
          <w:u w:val="single"/>
        </w:rPr>
        <w:t xml:space="preserve">                 </w:t>
      </w:r>
      <w:r>
        <w:rPr>
          <w:rFonts w:hint="eastAsia" w:ascii="宋体" w:hAnsi="宋体" w:cs="等线"/>
          <w:highlight w:val="none"/>
        </w:rPr>
        <w:t>。</w:t>
      </w:r>
    </w:p>
    <w:p w14:paraId="4E95F117">
      <w:pPr>
        <w:spacing w:line="360" w:lineRule="auto"/>
        <w:ind w:firstLine="420" w:firstLineChars="200"/>
        <w:rPr>
          <w:rFonts w:ascii="宋体" w:hAnsi="宋体" w:cs="等线"/>
          <w:highlight w:val="none"/>
        </w:rPr>
      </w:pPr>
      <w:r>
        <w:rPr>
          <w:rFonts w:hint="eastAsia" w:ascii="宋体" w:hAnsi="宋体" w:cs="等线"/>
          <w:highlight w:val="none"/>
        </w:rPr>
        <w:t>3.2.3 承包人擅自更换项目经理的违约责任：</w:t>
      </w:r>
      <w:r>
        <w:rPr>
          <w:rFonts w:hint="eastAsia" w:ascii="宋体" w:hAnsi="宋体" w:cs="等线"/>
          <w:highlight w:val="none"/>
          <w:u w:val="single"/>
        </w:rPr>
        <w:t xml:space="preserve">                       </w:t>
      </w:r>
      <w:r>
        <w:rPr>
          <w:rFonts w:hint="eastAsia" w:ascii="宋体" w:hAnsi="宋体" w:cs="等线"/>
          <w:highlight w:val="none"/>
        </w:rPr>
        <w:t>。</w:t>
      </w:r>
    </w:p>
    <w:p w14:paraId="1E9B84E0">
      <w:pPr>
        <w:spacing w:line="360" w:lineRule="auto"/>
        <w:ind w:firstLine="420" w:firstLineChars="200"/>
        <w:rPr>
          <w:rFonts w:ascii="宋体" w:hAnsi="宋体" w:cs="等线"/>
          <w:highlight w:val="none"/>
        </w:rPr>
      </w:pPr>
      <w:r>
        <w:rPr>
          <w:rFonts w:hint="eastAsia" w:ascii="宋体" w:hAnsi="宋体" w:cs="等线"/>
          <w:highlight w:val="none"/>
        </w:rPr>
        <w:t>1.1.2.9专业分包人：指根据合同条款第15.8.1项的约定，由发包人和承包人以招标方式选择的分包人。</w:t>
      </w:r>
    </w:p>
    <w:p w14:paraId="76169ADA">
      <w:pPr>
        <w:spacing w:line="360" w:lineRule="auto"/>
        <w:ind w:firstLine="420" w:firstLineChars="200"/>
        <w:rPr>
          <w:rFonts w:ascii="宋体" w:hAnsi="宋体" w:cs="等线"/>
          <w:highlight w:val="none"/>
        </w:rPr>
      </w:pPr>
      <w:r>
        <w:rPr>
          <w:rFonts w:hint="eastAsia" w:ascii="宋体" w:hAnsi="宋体" w:cs="等线"/>
          <w:highlight w:val="none"/>
        </w:rPr>
        <w:t>1.1.2.10专项供应商：指根据合同条款第15.8.1项的约定，由发包人和承包人以招标方式选择的供应商。</w:t>
      </w:r>
    </w:p>
    <w:p w14:paraId="7CD7560E">
      <w:pPr>
        <w:spacing w:line="360" w:lineRule="auto"/>
        <w:ind w:firstLine="420" w:firstLineChars="200"/>
        <w:rPr>
          <w:rFonts w:ascii="宋体" w:hAnsi="宋体" w:cs="等线"/>
          <w:highlight w:val="none"/>
          <w:u w:val="single"/>
        </w:rPr>
      </w:pPr>
      <w:r>
        <w:rPr>
          <w:rFonts w:hint="eastAsia" w:ascii="宋体" w:hAnsi="宋体" w:cs="等线"/>
          <w:highlight w:val="none"/>
        </w:rPr>
        <w:t>1.1.2.11独立承包人：指与发包人直接订立工程承包合同，负责实施与工程有关的其他工作的当事人。</w:t>
      </w:r>
    </w:p>
    <w:p w14:paraId="476F2DFE">
      <w:pPr>
        <w:spacing w:line="360" w:lineRule="auto"/>
        <w:ind w:firstLine="420" w:firstLineChars="200"/>
        <w:rPr>
          <w:rFonts w:ascii="宋体" w:hAnsi="宋体" w:cs="等线"/>
          <w:highlight w:val="none"/>
        </w:rPr>
      </w:pPr>
      <w:r>
        <w:rPr>
          <w:rFonts w:hint="eastAsia" w:ascii="宋体" w:hAnsi="宋体" w:cs="等线"/>
          <w:highlight w:val="none"/>
        </w:rPr>
        <w:t>1.1.3工程和设备</w:t>
      </w:r>
    </w:p>
    <w:p w14:paraId="7DC40487">
      <w:pPr>
        <w:spacing w:line="360" w:lineRule="auto"/>
        <w:ind w:firstLine="420" w:firstLineChars="200"/>
        <w:rPr>
          <w:rFonts w:ascii="宋体" w:hAnsi="宋体" w:cs="等线"/>
          <w:highlight w:val="none"/>
        </w:rPr>
      </w:pPr>
      <w:r>
        <w:rPr>
          <w:rFonts w:hint="eastAsia" w:ascii="宋体" w:hAnsi="宋体" w:cs="等线"/>
          <w:highlight w:val="none"/>
        </w:rPr>
        <w:t>1.1.3.2永久工程：指按合同约定建造并移交给发包人的工程，包括工程设备       。</w:t>
      </w:r>
    </w:p>
    <w:p w14:paraId="7E9998F3">
      <w:pPr>
        <w:spacing w:line="360" w:lineRule="auto"/>
        <w:ind w:firstLine="420" w:firstLineChars="200"/>
        <w:rPr>
          <w:rFonts w:ascii="宋体" w:hAnsi="宋体" w:cs="等线"/>
          <w:highlight w:val="none"/>
        </w:rPr>
      </w:pPr>
      <w:r>
        <w:rPr>
          <w:rFonts w:hint="eastAsia" w:ascii="宋体" w:hAnsi="宋体" w:cs="等线"/>
          <w:highlight w:val="none"/>
        </w:rPr>
        <w:t>1.1.3.3临时工程：承包人为完成永久工程所修建的临时性工程，并在本工程竣工后或在发包人要求时，承包人需予以全部拆除的工程。包括临时性围挡、施工照明工程等    。</w:t>
      </w:r>
    </w:p>
    <w:p w14:paraId="6D27C18D">
      <w:pPr>
        <w:spacing w:line="360" w:lineRule="auto"/>
        <w:ind w:firstLine="420" w:firstLineChars="200"/>
        <w:rPr>
          <w:rFonts w:ascii="宋体" w:hAnsi="宋体" w:cs="等线"/>
          <w:highlight w:val="none"/>
        </w:rPr>
      </w:pPr>
      <w:r>
        <w:rPr>
          <w:rFonts w:hint="eastAsia" w:ascii="宋体" w:hAnsi="宋体" w:cs="等线"/>
          <w:highlight w:val="none"/>
        </w:rPr>
        <w:t>1.1.3.4单位工程：指具有相对独立的设计文件，能够独立组织施工并能形成独立使用功能的永久工程的组成部分。</w:t>
      </w:r>
    </w:p>
    <w:p w14:paraId="366D3817">
      <w:pPr>
        <w:spacing w:line="360" w:lineRule="auto"/>
        <w:ind w:firstLine="420" w:firstLineChars="200"/>
        <w:rPr>
          <w:rFonts w:ascii="宋体" w:hAnsi="宋体" w:cs="等线"/>
          <w:highlight w:val="none"/>
        </w:rPr>
      </w:pPr>
      <w:r>
        <w:rPr>
          <w:rFonts w:hint="eastAsia" w:ascii="宋体" w:hAnsi="宋体" w:cs="等线"/>
          <w:highlight w:val="none"/>
        </w:rPr>
        <w:t>1.1.3.10永久占地：指为实施本合同工程而需要的一切永久占用的土地，包括道路两侧路权范围内的用地  。</w:t>
      </w:r>
    </w:p>
    <w:p w14:paraId="137AAE25">
      <w:pPr>
        <w:spacing w:line="360" w:lineRule="auto"/>
        <w:ind w:firstLine="420" w:firstLineChars="200"/>
        <w:rPr>
          <w:rFonts w:ascii="宋体" w:hAnsi="宋体" w:cs="等线"/>
          <w:highlight w:val="none"/>
        </w:rPr>
      </w:pPr>
      <w:r>
        <w:rPr>
          <w:rFonts w:hint="eastAsia" w:ascii="宋体" w:hAnsi="宋体" w:cs="等线"/>
          <w:highlight w:val="none"/>
        </w:rPr>
        <w:t>1.1.3.11临时占地：指为实施本合同工程而需要的一切临时占用的土地，包括施工所用的现场临时出入通道，以及生产(办公)、生活等临时设施用地等  。</w:t>
      </w:r>
    </w:p>
    <w:p w14:paraId="18BA4CD8">
      <w:pPr>
        <w:spacing w:line="360" w:lineRule="auto"/>
        <w:ind w:firstLine="420" w:firstLineChars="200"/>
        <w:rPr>
          <w:rFonts w:ascii="宋体" w:hAnsi="宋体" w:cs="等线"/>
          <w:highlight w:val="none"/>
        </w:rPr>
      </w:pPr>
      <w:r>
        <w:rPr>
          <w:rFonts w:hint="eastAsia" w:ascii="宋体" w:hAnsi="宋体" w:cs="等线"/>
          <w:highlight w:val="none"/>
        </w:rPr>
        <w:t>1.1.4日期</w:t>
      </w:r>
    </w:p>
    <w:p w14:paraId="7C75A627">
      <w:pPr>
        <w:spacing w:line="360" w:lineRule="auto"/>
        <w:ind w:firstLine="420" w:firstLineChars="200"/>
        <w:rPr>
          <w:rFonts w:ascii="宋体" w:hAnsi="宋体" w:cs="等线"/>
          <w:highlight w:val="none"/>
          <w:u w:val="single"/>
        </w:rPr>
      </w:pPr>
      <w:r>
        <w:rPr>
          <w:rFonts w:hint="eastAsia" w:ascii="宋体" w:hAnsi="宋体" w:cs="等线"/>
          <w:highlight w:val="none"/>
        </w:rPr>
        <w:t>1.1.4.5缺陷责任期期限：</w:t>
      </w:r>
      <w:r>
        <w:rPr>
          <w:rFonts w:hint="eastAsia" w:ascii="宋体" w:hAnsi="宋体" w:cs="等线"/>
          <w:highlight w:val="none"/>
          <w:u w:val="single"/>
        </w:rPr>
        <w:t xml:space="preserve">  24   </w:t>
      </w:r>
      <w:r>
        <w:rPr>
          <w:rFonts w:hint="eastAsia" w:ascii="宋体" w:hAnsi="宋体" w:cs="等线"/>
          <w:highlight w:val="none"/>
        </w:rPr>
        <w:t>个月，涉及防水施工项目为</w:t>
      </w:r>
      <w:r>
        <w:rPr>
          <w:rFonts w:hint="eastAsia" w:ascii="宋体" w:hAnsi="宋体" w:cs="等线"/>
          <w:highlight w:val="none"/>
          <w:u w:val="single"/>
        </w:rPr>
        <w:t xml:space="preserve">   5   </w:t>
      </w:r>
      <w:r>
        <w:rPr>
          <w:rFonts w:hint="eastAsia" w:ascii="宋体" w:hAnsi="宋体" w:cs="等线"/>
          <w:highlight w:val="none"/>
        </w:rPr>
        <w:t>年。</w:t>
      </w:r>
    </w:p>
    <w:p w14:paraId="57CC83EE">
      <w:pPr>
        <w:spacing w:line="360" w:lineRule="auto"/>
        <w:ind w:firstLine="420" w:firstLineChars="200"/>
        <w:rPr>
          <w:rFonts w:ascii="宋体" w:hAnsi="宋体" w:cs="等线"/>
          <w:highlight w:val="none"/>
        </w:rPr>
      </w:pPr>
      <w:r>
        <w:rPr>
          <w:rFonts w:hint="eastAsia" w:ascii="宋体" w:hAnsi="宋体" w:cs="等线"/>
          <w:highlight w:val="none"/>
        </w:rPr>
        <w:t>1.1.4.8保修期：是根据现行有关法律规定，在合同条款第19.7款中约定的由承包人负责对合同约定的保修范围内发生的质量问题履行保修义务并对造成的损失承担赔偿责任的期限。</w:t>
      </w:r>
    </w:p>
    <w:p w14:paraId="475DECAF">
      <w:pPr>
        <w:spacing w:line="360" w:lineRule="auto"/>
        <w:ind w:firstLine="420" w:firstLineChars="200"/>
        <w:rPr>
          <w:rFonts w:ascii="宋体" w:hAnsi="宋体" w:cs="等线"/>
          <w:highlight w:val="none"/>
        </w:rPr>
      </w:pPr>
      <w:r>
        <w:rPr>
          <w:rFonts w:hint="eastAsia" w:ascii="宋体" w:hAnsi="宋体" w:cs="等线"/>
          <w:highlight w:val="none"/>
        </w:rPr>
        <w:t>1.1.6其他</w:t>
      </w:r>
    </w:p>
    <w:p w14:paraId="63CCCAC4">
      <w:pPr>
        <w:spacing w:line="360" w:lineRule="auto"/>
        <w:ind w:firstLine="420" w:firstLineChars="200"/>
        <w:rPr>
          <w:rFonts w:ascii="宋体" w:hAnsi="宋体" w:cs="等线"/>
          <w:highlight w:val="none"/>
        </w:rPr>
      </w:pPr>
      <w:r>
        <w:rPr>
          <w:rFonts w:hint="eastAsia" w:ascii="宋体" w:hAnsi="宋体" w:cs="等线"/>
          <w:highlight w:val="none"/>
        </w:rPr>
        <w:t>1.1.6.2材料：指构成或将构成永久工程组成部分的各类物品(工程设备除外)，包括合同中可能约定的承包人仅负责供应的材料。</w:t>
      </w:r>
    </w:p>
    <w:p w14:paraId="54EC77D0">
      <w:pPr>
        <w:spacing w:line="360" w:lineRule="auto"/>
        <w:ind w:firstLine="420" w:firstLineChars="200"/>
        <w:rPr>
          <w:rFonts w:ascii="宋体" w:hAnsi="宋体" w:cs="等线"/>
          <w:highlight w:val="none"/>
        </w:rPr>
      </w:pPr>
      <w:r>
        <w:rPr>
          <w:rFonts w:hint="eastAsia" w:ascii="宋体" w:hAnsi="宋体" w:cs="等线"/>
          <w:highlight w:val="none"/>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216D1A49">
      <w:pPr>
        <w:spacing w:line="360" w:lineRule="auto"/>
        <w:ind w:firstLine="420" w:firstLineChars="200"/>
        <w:rPr>
          <w:rFonts w:ascii="宋体" w:hAnsi="宋体" w:cs="等线"/>
          <w:highlight w:val="none"/>
        </w:rPr>
      </w:pPr>
      <w:r>
        <w:rPr>
          <w:rFonts w:hint="eastAsia" w:ascii="宋体" w:hAnsi="宋体" w:cs="等线"/>
          <w:highlight w:val="none"/>
        </w:rPr>
        <w:t>1.1.6.4 除另有特别指明外，专用合同条款中使用的措辞“合同条款”指通用合同条款和（或）专用合同条款。</w:t>
      </w:r>
    </w:p>
    <w:p w14:paraId="1B0084D3">
      <w:pPr>
        <w:keepNext/>
        <w:keepLines/>
        <w:spacing w:line="360" w:lineRule="auto"/>
        <w:outlineLvl w:val="2"/>
        <w:rPr>
          <w:rFonts w:ascii="宋体" w:hAnsi="宋体" w:cs="等线"/>
          <w:sz w:val="24"/>
          <w:highlight w:val="none"/>
        </w:rPr>
      </w:pPr>
      <w:bookmarkStart w:id="1508" w:name="_Toc38732150"/>
      <w:bookmarkStart w:id="1509" w:name="_Toc159950769"/>
      <w:bookmarkStart w:id="1510" w:name="_Toc29917"/>
      <w:r>
        <w:rPr>
          <w:rFonts w:hint="eastAsia" w:ascii="宋体" w:hAnsi="宋体" w:cs="等线"/>
          <w:sz w:val="24"/>
          <w:highlight w:val="none"/>
        </w:rPr>
        <w:t>1.4 合同文件的优先顺序</w:t>
      </w:r>
      <w:bookmarkEnd w:id="1508"/>
      <w:bookmarkEnd w:id="1509"/>
      <w:bookmarkEnd w:id="1510"/>
    </w:p>
    <w:p w14:paraId="38D977C9">
      <w:pPr>
        <w:spacing w:line="360" w:lineRule="auto"/>
        <w:ind w:firstLine="482"/>
        <w:rPr>
          <w:rFonts w:ascii="宋体" w:hAnsi="宋体" w:cs="等线"/>
          <w:highlight w:val="none"/>
        </w:rPr>
      </w:pPr>
      <w:r>
        <w:rPr>
          <w:rFonts w:hint="eastAsia" w:ascii="宋体" w:hAnsi="宋体" w:cs="等线"/>
          <w:highlight w:val="none"/>
        </w:rPr>
        <w:t>合同文件的优先解释顺序如下：</w:t>
      </w:r>
    </w:p>
    <w:p w14:paraId="0DCE8B85">
      <w:pPr>
        <w:spacing w:line="360" w:lineRule="auto"/>
        <w:ind w:firstLine="482"/>
        <w:rPr>
          <w:rFonts w:ascii="宋体" w:hAnsi="宋体" w:cs="等线"/>
          <w:highlight w:val="none"/>
        </w:rPr>
      </w:pPr>
      <w:r>
        <w:rPr>
          <w:rFonts w:hint="eastAsia" w:ascii="宋体" w:hAnsi="宋体" w:cs="等线"/>
          <w:highlight w:val="none"/>
        </w:rPr>
        <w:t>（1）合同协议书；</w:t>
      </w:r>
    </w:p>
    <w:p w14:paraId="00619C9C">
      <w:pPr>
        <w:spacing w:line="360" w:lineRule="auto"/>
        <w:ind w:firstLine="482"/>
        <w:rPr>
          <w:rFonts w:ascii="宋体" w:hAnsi="宋体" w:cs="等线"/>
          <w:highlight w:val="none"/>
        </w:rPr>
      </w:pPr>
      <w:r>
        <w:rPr>
          <w:rFonts w:hint="eastAsia" w:ascii="宋体" w:hAnsi="宋体" w:cs="等线"/>
          <w:highlight w:val="none"/>
        </w:rPr>
        <w:t>（2）中标通知书；</w:t>
      </w:r>
    </w:p>
    <w:p w14:paraId="49945B90">
      <w:pPr>
        <w:spacing w:line="360" w:lineRule="auto"/>
        <w:ind w:firstLine="482"/>
        <w:rPr>
          <w:rFonts w:ascii="宋体" w:hAnsi="宋体" w:cs="等线"/>
          <w:highlight w:val="none"/>
        </w:rPr>
      </w:pPr>
      <w:r>
        <w:rPr>
          <w:rFonts w:hint="eastAsia" w:ascii="宋体" w:hAnsi="宋体" w:cs="等线"/>
          <w:highlight w:val="none"/>
        </w:rPr>
        <w:t>（3）投标函及投标函附录；</w:t>
      </w:r>
    </w:p>
    <w:p w14:paraId="70E0FC1E">
      <w:pPr>
        <w:spacing w:line="360" w:lineRule="auto"/>
        <w:ind w:firstLine="482"/>
        <w:rPr>
          <w:rFonts w:ascii="宋体" w:hAnsi="宋体" w:cs="等线"/>
          <w:highlight w:val="none"/>
        </w:rPr>
      </w:pPr>
      <w:r>
        <w:rPr>
          <w:rFonts w:hint="eastAsia" w:ascii="宋体" w:hAnsi="宋体" w:cs="等线"/>
          <w:highlight w:val="none"/>
        </w:rPr>
        <w:t>（4）专用合同条款；</w:t>
      </w:r>
    </w:p>
    <w:p w14:paraId="5C4A7325">
      <w:pPr>
        <w:spacing w:line="360" w:lineRule="auto"/>
        <w:ind w:firstLine="482"/>
        <w:rPr>
          <w:rFonts w:ascii="宋体" w:hAnsi="宋体" w:cs="等线"/>
          <w:highlight w:val="none"/>
        </w:rPr>
      </w:pPr>
      <w:r>
        <w:rPr>
          <w:rFonts w:hint="eastAsia" w:ascii="宋体" w:hAnsi="宋体" w:cs="等线"/>
          <w:highlight w:val="none"/>
        </w:rPr>
        <w:t>（5）通用合同条款；</w:t>
      </w:r>
    </w:p>
    <w:p w14:paraId="28CA5129">
      <w:pPr>
        <w:spacing w:line="360" w:lineRule="auto"/>
        <w:ind w:firstLine="482"/>
        <w:rPr>
          <w:rFonts w:ascii="宋体" w:hAnsi="宋体" w:cs="等线"/>
          <w:highlight w:val="none"/>
        </w:rPr>
      </w:pPr>
      <w:r>
        <w:rPr>
          <w:rFonts w:hint="eastAsia" w:ascii="宋体" w:hAnsi="宋体" w:cs="等线"/>
          <w:highlight w:val="none"/>
        </w:rPr>
        <w:t>（6）</w:t>
      </w:r>
      <w:r>
        <w:rPr>
          <w:rFonts w:hint="eastAsia" w:ascii="宋体" w:hAnsi="宋体" w:cs="等线"/>
          <w:highlight w:val="none"/>
          <w:u w:val="single"/>
        </w:rPr>
        <w:t xml:space="preserve">已标价工程量清单    </w:t>
      </w:r>
      <w:r>
        <w:rPr>
          <w:rFonts w:hint="eastAsia" w:ascii="宋体" w:hAnsi="宋体" w:cs="等线"/>
          <w:highlight w:val="none"/>
        </w:rPr>
        <w:t>；</w:t>
      </w:r>
    </w:p>
    <w:p w14:paraId="70CD08B8">
      <w:pPr>
        <w:spacing w:line="360" w:lineRule="auto"/>
        <w:ind w:firstLine="482"/>
        <w:rPr>
          <w:rFonts w:ascii="宋体" w:hAnsi="宋体" w:cs="等线"/>
          <w:highlight w:val="none"/>
        </w:rPr>
      </w:pPr>
      <w:r>
        <w:rPr>
          <w:rFonts w:hint="eastAsia" w:ascii="宋体" w:hAnsi="宋体" w:cs="等线"/>
          <w:highlight w:val="none"/>
        </w:rPr>
        <w:t>（7）</w:t>
      </w:r>
      <w:r>
        <w:rPr>
          <w:rFonts w:hint="eastAsia" w:ascii="宋体" w:hAnsi="宋体" w:cs="等线"/>
          <w:highlight w:val="none"/>
          <w:u w:val="single"/>
        </w:rPr>
        <w:t xml:space="preserve">技术标准和要求      </w:t>
      </w:r>
      <w:r>
        <w:rPr>
          <w:rFonts w:hint="eastAsia" w:ascii="宋体" w:hAnsi="宋体" w:cs="等线"/>
          <w:highlight w:val="none"/>
        </w:rPr>
        <w:t>；</w:t>
      </w:r>
    </w:p>
    <w:p w14:paraId="1F58D2BD">
      <w:pPr>
        <w:spacing w:line="360" w:lineRule="auto"/>
        <w:ind w:firstLine="482"/>
        <w:rPr>
          <w:rFonts w:ascii="宋体" w:hAnsi="宋体" w:cs="等线"/>
          <w:highlight w:val="none"/>
        </w:rPr>
      </w:pPr>
      <w:r>
        <w:rPr>
          <w:rFonts w:hint="eastAsia" w:ascii="宋体" w:hAnsi="宋体" w:cs="等线"/>
          <w:highlight w:val="none"/>
        </w:rPr>
        <w:t>（8）</w:t>
      </w:r>
      <w:r>
        <w:rPr>
          <w:rFonts w:hint="eastAsia" w:ascii="宋体" w:hAnsi="宋体" w:cs="等线"/>
          <w:highlight w:val="none"/>
          <w:u w:val="single"/>
        </w:rPr>
        <w:t xml:space="preserve">施工组织设计        </w:t>
      </w:r>
      <w:r>
        <w:rPr>
          <w:rFonts w:hint="eastAsia" w:ascii="宋体" w:hAnsi="宋体" w:cs="等线"/>
          <w:highlight w:val="none"/>
        </w:rPr>
        <w:t>。</w:t>
      </w:r>
    </w:p>
    <w:p w14:paraId="03482F5D">
      <w:pPr>
        <w:spacing w:line="360" w:lineRule="auto"/>
        <w:ind w:firstLine="480"/>
        <w:rPr>
          <w:rFonts w:ascii="宋体" w:hAnsi="宋体" w:cs="等线"/>
          <w:highlight w:val="none"/>
        </w:rPr>
      </w:pPr>
      <w:r>
        <w:rPr>
          <w:rFonts w:hint="eastAsia" w:ascii="宋体" w:hAnsi="宋体" w:cs="等线"/>
          <w:highlight w:val="none"/>
        </w:rPr>
        <w:t>（说明：（6）、（7）、（8）填空内容分别限于技术标准和要求、已标价工程量清单三者之一。）</w:t>
      </w:r>
    </w:p>
    <w:p w14:paraId="5F133FA3">
      <w:pPr>
        <w:spacing w:line="360" w:lineRule="auto"/>
        <w:ind w:firstLine="420" w:firstLineChars="200"/>
        <w:rPr>
          <w:rFonts w:ascii="宋体" w:hAnsi="宋体" w:cs="等线"/>
          <w:highlight w:val="none"/>
        </w:rPr>
      </w:pPr>
      <w:r>
        <w:rPr>
          <w:rFonts w:hint="eastAsia" w:ascii="宋体" w:hAnsi="宋体" w:cs="等线"/>
          <w:highlight w:val="none"/>
        </w:rPr>
        <w:t>合同协议书中约定采用总价合同形式的，除非合同另有约定，已标价工程量清单中的各项工程量对合同双方不具合同约束力。</w:t>
      </w:r>
    </w:p>
    <w:p w14:paraId="56904964">
      <w:pPr>
        <w:spacing w:line="360" w:lineRule="auto"/>
        <w:ind w:firstLine="420" w:firstLineChars="200"/>
        <w:rPr>
          <w:rFonts w:ascii="宋体" w:hAnsi="宋体" w:cs="等线"/>
          <w:highlight w:val="none"/>
        </w:rPr>
      </w:pPr>
      <w:r>
        <w:rPr>
          <w:rFonts w:hint="eastAsia" w:ascii="宋体" w:hAnsi="宋体" w:cs="等线"/>
          <w:highlight w:val="none"/>
        </w:rPr>
        <w:t>图纸与技术标准和要求之间有矛盾或者不一致的，以其中要求较严格的标准为准。</w:t>
      </w:r>
    </w:p>
    <w:p w14:paraId="03CA5F61">
      <w:pPr>
        <w:spacing w:line="360" w:lineRule="auto"/>
        <w:ind w:firstLine="420" w:firstLineChars="200"/>
        <w:rPr>
          <w:rFonts w:ascii="宋体" w:hAnsi="宋体" w:cs="等线"/>
          <w:highlight w:val="none"/>
        </w:rPr>
      </w:pPr>
      <w:r>
        <w:rPr>
          <w:rFonts w:hint="eastAsia" w:ascii="宋体" w:hAnsi="宋体" w:cs="等线"/>
          <w:highlight w:val="none"/>
        </w:rPr>
        <w:t>合同双方在合同履行过程中签订的补充协议亦构成合同文件的组成部分，其解释顺序视其内容与其他合同文件的相互关系而定。</w:t>
      </w:r>
    </w:p>
    <w:p w14:paraId="12741075">
      <w:pPr>
        <w:keepNext/>
        <w:keepLines/>
        <w:spacing w:line="360" w:lineRule="auto"/>
        <w:outlineLvl w:val="2"/>
        <w:rPr>
          <w:rFonts w:ascii="宋体" w:hAnsi="宋体" w:cs="等线"/>
          <w:sz w:val="24"/>
          <w:highlight w:val="none"/>
        </w:rPr>
      </w:pPr>
      <w:bookmarkStart w:id="1511" w:name="_Toc18405"/>
      <w:bookmarkStart w:id="1512" w:name="_Toc38732151"/>
      <w:bookmarkStart w:id="1513" w:name="_Toc159950770"/>
      <w:r>
        <w:rPr>
          <w:rFonts w:hint="eastAsia" w:ascii="宋体" w:hAnsi="宋体" w:cs="等线"/>
          <w:sz w:val="24"/>
          <w:highlight w:val="none"/>
        </w:rPr>
        <w:t>1.5 合同协议书</w:t>
      </w:r>
      <w:bookmarkEnd w:id="1511"/>
      <w:bookmarkEnd w:id="1512"/>
      <w:bookmarkEnd w:id="1513"/>
    </w:p>
    <w:p w14:paraId="3236441A">
      <w:pPr>
        <w:spacing w:line="360" w:lineRule="auto"/>
        <w:ind w:firstLine="420" w:firstLineChars="200"/>
        <w:rPr>
          <w:rFonts w:ascii="宋体" w:hAnsi="宋体" w:cs="等线"/>
          <w:highlight w:val="none"/>
          <w:u w:val="single"/>
        </w:rPr>
      </w:pPr>
      <w:r>
        <w:rPr>
          <w:rFonts w:hint="eastAsia" w:ascii="宋体" w:hAnsi="宋体" w:cs="等线"/>
          <w:highlight w:val="none"/>
        </w:rPr>
        <w:t>合同生效的条件：</w:t>
      </w:r>
      <w:r>
        <w:rPr>
          <w:rFonts w:hint="eastAsia" w:ascii="宋体" w:hAnsi="宋体" w:cs="等线"/>
          <w:highlight w:val="none"/>
          <w:u w:val="single"/>
        </w:rPr>
        <w:t xml:space="preserve"> 自发包人和承包人的法定代表人或其委托代理人在合同协议书上签字并盖单位章后</w:t>
      </w:r>
      <w:r>
        <w:rPr>
          <w:rFonts w:hint="eastAsia" w:ascii="宋体" w:hAnsi="宋体" w:cs="等线"/>
          <w:highlight w:val="none"/>
        </w:rPr>
        <w:t>。</w:t>
      </w:r>
    </w:p>
    <w:p w14:paraId="025B58C9">
      <w:pPr>
        <w:keepNext/>
        <w:keepLines/>
        <w:spacing w:line="360" w:lineRule="auto"/>
        <w:outlineLvl w:val="2"/>
        <w:rPr>
          <w:rFonts w:ascii="宋体" w:hAnsi="宋体" w:cs="等线"/>
          <w:sz w:val="24"/>
          <w:highlight w:val="none"/>
        </w:rPr>
      </w:pPr>
      <w:bookmarkStart w:id="1514" w:name="_Toc159950771"/>
      <w:bookmarkStart w:id="1515" w:name="_Toc31330"/>
      <w:bookmarkStart w:id="1516" w:name="_Toc38732152"/>
      <w:r>
        <w:rPr>
          <w:rFonts w:hint="eastAsia" w:ascii="宋体" w:hAnsi="宋体" w:cs="等线"/>
          <w:sz w:val="24"/>
          <w:highlight w:val="none"/>
        </w:rPr>
        <w:t>1.6 图纸和承包人文件</w:t>
      </w:r>
      <w:bookmarkEnd w:id="1514"/>
      <w:bookmarkEnd w:id="1515"/>
      <w:bookmarkEnd w:id="1516"/>
    </w:p>
    <w:p w14:paraId="689E1F5B">
      <w:pPr>
        <w:spacing w:line="360" w:lineRule="auto"/>
        <w:ind w:firstLine="420" w:firstLineChars="200"/>
        <w:rPr>
          <w:rFonts w:ascii="宋体" w:hAnsi="宋体" w:cs="等线"/>
          <w:highlight w:val="none"/>
        </w:rPr>
      </w:pPr>
      <w:r>
        <w:rPr>
          <w:rFonts w:hint="eastAsia" w:ascii="宋体" w:hAnsi="宋体" w:cs="等线"/>
          <w:highlight w:val="none"/>
        </w:rPr>
        <w:t>1.6.1图纸的提供（本项目不适用）</w:t>
      </w:r>
    </w:p>
    <w:p w14:paraId="35E52C90">
      <w:pPr>
        <w:spacing w:line="360" w:lineRule="auto"/>
        <w:ind w:firstLine="315" w:firstLineChars="150"/>
        <w:rPr>
          <w:rFonts w:ascii="宋体" w:hAnsi="宋体" w:cs="等线"/>
          <w:highlight w:val="none"/>
        </w:rPr>
      </w:pPr>
      <w:r>
        <w:rPr>
          <w:rFonts w:hint="eastAsia" w:ascii="宋体" w:hAnsi="宋体" w:cs="等线"/>
          <w:highlight w:val="none"/>
        </w:rPr>
        <w:t>（1） 发包人按照合同条款本项的约定向承包人提供图纸。承包人需要增加图纸套数的，发包人应代为复制，复制费用由承包人承担。</w:t>
      </w:r>
    </w:p>
    <w:p w14:paraId="4B16D67C">
      <w:pPr>
        <w:spacing w:line="360" w:lineRule="auto"/>
        <w:ind w:firstLine="315" w:firstLineChars="150"/>
        <w:rPr>
          <w:rFonts w:ascii="宋体" w:hAnsi="宋体" w:cs="等线"/>
          <w:highlight w:val="none"/>
        </w:rPr>
      </w:pPr>
      <w:r>
        <w:rPr>
          <w:rFonts w:hint="eastAsia" w:ascii="宋体" w:hAnsi="宋体" w:cs="等线"/>
          <w:highlight w:val="none"/>
        </w:rPr>
        <w:t>（2） 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691DE40C">
      <w:pPr>
        <w:spacing w:line="360" w:lineRule="auto"/>
        <w:ind w:firstLine="315" w:firstLineChars="150"/>
        <w:rPr>
          <w:rFonts w:ascii="宋体" w:hAnsi="宋体" w:cs="等线"/>
          <w:highlight w:val="none"/>
        </w:rPr>
      </w:pPr>
      <w:r>
        <w:rPr>
          <w:rFonts w:hint="eastAsia" w:ascii="宋体" w:hAnsi="宋体" w:cs="等线"/>
          <w:highlight w:val="none"/>
        </w:rPr>
        <w:t>（3）发包人提供图纸的期限：</w:t>
      </w:r>
      <w:r>
        <w:rPr>
          <w:rFonts w:hint="eastAsia" w:ascii="宋体" w:hAnsi="宋体" w:cs="等线"/>
          <w:highlight w:val="none"/>
          <w:u w:val="single"/>
        </w:rPr>
        <w:t xml:space="preserve">      /                      </w:t>
      </w:r>
      <w:r>
        <w:rPr>
          <w:rFonts w:hint="eastAsia" w:ascii="宋体" w:hAnsi="宋体" w:cs="等线"/>
          <w:highlight w:val="none"/>
        </w:rPr>
        <w:t>。</w:t>
      </w:r>
    </w:p>
    <w:p w14:paraId="18B1EEF0">
      <w:pPr>
        <w:spacing w:line="360" w:lineRule="auto"/>
        <w:ind w:firstLine="315" w:firstLineChars="150"/>
        <w:rPr>
          <w:rFonts w:ascii="宋体" w:hAnsi="宋体" w:cs="等线"/>
          <w:highlight w:val="none"/>
        </w:rPr>
      </w:pPr>
      <w:r>
        <w:rPr>
          <w:rFonts w:hint="eastAsia" w:ascii="宋体" w:hAnsi="宋体" w:cs="等线"/>
          <w:highlight w:val="none"/>
        </w:rPr>
        <w:t>（4）发包人提供图纸的数量：</w:t>
      </w:r>
      <w:r>
        <w:rPr>
          <w:rFonts w:hint="eastAsia" w:ascii="宋体" w:hAnsi="宋体" w:cs="等线"/>
          <w:highlight w:val="none"/>
          <w:u w:val="single"/>
        </w:rPr>
        <w:t xml:space="preserve">      </w:t>
      </w:r>
      <w:r>
        <w:rPr>
          <w:rFonts w:ascii="宋体" w:hAnsi="宋体" w:cs="等线"/>
          <w:highlight w:val="none"/>
          <w:u w:val="single"/>
        </w:rPr>
        <w:t>/</w:t>
      </w:r>
      <w:r>
        <w:rPr>
          <w:rFonts w:hint="eastAsia" w:ascii="宋体" w:hAnsi="宋体" w:cs="等线"/>
          <w:highlight w:val="none"/>
          <w:u w:val="single"/>
        </w:rPr>
        <w:t xml:space="preserve">                      </w:t>
      </w:r>
      <w:r>
        <w:rPr>
          <w:rFonts w:hint="eastAsia" w:ascii="宋体" w:hAnsi="宋体" w:cs="等线"/>
          <w:highlight w:val="none"/>
        </w:rPr>
        <w:t>。</w:t>
      </w:r>
    </w:p>
    <w:p w14:paraId="766E0E70">
      <w:pPr>
        <w:spacing w:line="360" w:lineRule="auto"/>
        <w:ind w:firstLine="420" w:firstLineChars="200"/>
        <w:rPr>
          <w:rFonts w:ascii="宋体" w:hAnsi="宋体" w:cs="等线"/>
          <w:highlight w:val="none"/>
        </w:rPr>
      </w:pPr>
      <w:r>
        <w:rPr>
          <w:rFonts w:hint="eastAsia" w:ascii="宋体" w:hAnsi="宋体" w:cs="等线"/>
          <w:highlight w:val="none"/>
        </w:rPr>
        <w:t>1.6.2 承包人提供的文件</w:t>
      </w:r>
    </w:p>
    <w:p w14:paraId="6437B860">
      <w:pPr>
        <w:spacing w:line="360" w:lineRule="auto"/>
        <w:ind w:firstLine="315" w:firstLineChars="150"/>
        <w:rPr>
          <w:rFonts w:ascii="宋体" w:hAnsi="宋体" w:cs="等线"/>
          <w:highlight w:val="none"/>
          <w:u w:val="single"/>
        </w:rPr>
      </w:pPr>
      <w:r>
        <w:rPr>
          <w:rFonts w:hint="eastAsia" w:ascii="宋体" w:hAnsi="宋体" w:cs="等线"/>
          <w:highlight w:val="none"/>
        </w:rPr>
        <w:t>（1）除专用合同条款第4.1.10(1)目约定的由承包人提供的设计文件外，本项约定的其他应由承包人提供的文件，包括必要的加工图和大样图，均不是合同计量与支付的依据文件。由承包人提供的文件范围：</w:t>
      </w:r>
      <w:r>
        <w:rPr>
          <w:rFonts w:hint="eastAsia" w:ascii="宋体" w:hAnsi="宋体" w:cs="等线"/>
          <w:highlight w:val="none"/>
          <w:u w:val="single"/>
        </w:rPr>
        <w:t xml:space="preserve">A:承包人在开工前，图纸会审时可对施工图（如涉及）、工程量清单中的缺项、漏项、设计不明确等问题提出。B：根据本项目实际情况调整后的施工组织设计、分包计划、分包及材料设备招标采购计划等。承包人所提交的施工组织设计不能低于承包人在投标施工方案内所说明的所有工程内容和承诺的标准。因承包人提交的施工方案不能通过监理工程师审查而造成工期延误，承包人自行承担。C: 承包人应按照监理人同意的格式和详细程度，提交工程进度计划，并获得监理人的批准。该进度计划不得对随投标文件提交的施工组织设计中相应内容做出实质性变动。D:工程竣工图纸（如涉及），工程验收资料 </w:t>
      </w:r>
      <w:r>
        <w:rPr>
          <w:rFonts w:hint="eastAsia" w:ascii="宋体" w:hAnsi="宋体" w:cs="等线"/>
          <w:highlight w:val="none"/>
        </w:rPr>
        <w:t>。</w:t>
      </w:r>
    </w:p>
    <w:p w14:paraId="421161F8">
      <w:pPr>
        <w:spacing w:line="360" w:lineRule="auto"/>
        <w:ind w:firstLine="315" w:firstLineChars="150"/>
        <w:rPr>
          <w:rFonts w:ascii="宋体" w:hAnsi="宋体" w:cs="等线"/>
          <w:highlight w:val="none"/>
          <w:u w:val="single"/>
        </w:rPr>
      </w:pPr>
      <w:r>
        <w:rPr>
          <w:rFonts w:hint="eastAsia" w:ascii="宋体" w:hAnsi="宋体" w:cs="等线"/>
          <w:highlight w:val="none"/>
        </w:rPr>
        <w:t>（2）承包人提供文件的期限：</w:t>
      </w:r>
      <w:r>
        <w:rPr>
          <w:rFonts w:hint="eastAsia" w:ascii="宋体" w:hAnsi="宋体" w:cs="等线"/>
          <w:highlight w:val="none"/>
          <w:u w:val="single"/>
        </w:rPr>
        <w:t xml:space="preserve">  合同签订后10日内；竣工验收完成后10个日内</w:t>
      </w:r>
      <w:r>
        <w:rPr>
          <w:rFonts w:hint="eastAsia" w:ascii="宋体" w:hAnsi="宋体" w:cs="等线"/>
          <w:highlight w:val="none"/>
        </w:rPr>
        <w:t>。</w:t>
      </w:r>
    </w:p>
    <w:p w14:paraId="71BAA4B5">
      <w:pPr>
        <w:spacing w:line="360" w:lineRule="auto"/>
        <w:ind w:firstLine="315" w:firstLineChars="150"/>
        <w:rPr>
          <w:rFonts w:ascii="宋体" w:hAnsi="宋体" w:cs="等线"/>
          <w:highlight w:val="none"/>
          <w:u w:val="single"/>
        </w:rPr>
      </w:pPr>
      <w:r>
        <w:rPr>
          <w:rFonts w:hint="eastAsia" w:ascii="宋体" w:hAnsi="宋体" w:cs="等线"/>
          <w:highlight w:val="none"/>
        </w:rPr>
        <w:t>（3）承包人提供文件的数量：</w:t>
      </w:r>
      <w:r>
        <w:rPr>
          <w:rFonts w:hint="eastAsia" w:ascii="宋体" w:hAnsi="宋体" w:cs="等线"/>
          <w:highlight w:val="none"/>
          <w:u w:val="single"/>
        </w:rPr>
        <w:t xml:space="preserve">   一式三份  </w:t>
      </w:r>
      <w:r>
        <w:rPr>
          <w:rFonts w:hint="eastAsia" w:ascii="宋体" w:hAnsi="宋体" w:cs="等线"/>
          <w:highlight w:val="none"/>
        </w:rPr>
        <w:t>。</w:t>
      </w:r>
    </w:p>
    <w:p w14:paraId="0D8AE9B6">
      <w:pPr>
        <w:spacing w:line="360" w:lineRule="auto"/>
        <w:ind w:firstLine="315" w:firstLineChars="150"/>
        <w:rPr>
          <w:rFonts w:ascii="宋体" w:hAnsi="宋体" w:cs="等线"/>
          <w:highlight w:val="none"/>
        </w:rPr>
      </w:pPr>
      <w:r>
        <w:rPr>
          <w:rFonts w:hint="eastAsia" w:ascii="宋体" w:hAnsi="宋体" w:cs="等线"/>
          <w:highlight w:val="none"/>
        </w:rPr>
        <w:t>（4）监理人批复承包人提供文件的期限：</w:t>
      </w:r>
      <w:r>
        <w:rPr>
          <w:rFonts w:hint="eastAsia" w:ascii="宋体" w:hAnsi="宋体" w:cs="等线"/>
          <w:highlight w:val="none"/>
          <w:u w:val="single"/>
        </w:rPr>
        <w:t xml:space="preserve">  收到承包人提供的文件后7日内   </w:t>
      </w:r>
      <w:r>
        <w:rPr>
          <w:rFonts w:hint="eastAsia" w:ascii="宋体" w:hAnsi="宋体" w:cs="等线"/>
          <w:highlight w:val="none"/>
        </w:rPr>
        <w:t>。</w:t>
      </w:r>
    </w:p>
    <w:p w14:paraId="188985E8">
      <w:pPr>
        <w:spacing w:line="360" w:lineRule="auto"/>
        <w:ind w:firstLine="315" w:firstLineChars="150"/>
        <w:rPr>
          <w:rFonts w:ascii="宋体" w:hAnsi="宋体" w:cs="等线"/>
          <w:highlight w:val="none"/>
          <w:u w:val="single"/>
        </w:rPr>
      </w:pPr>
      <w:r>
        <w:rPr>
          <w:rFonts w:hint="eastAsia" w:ascii="宋体" w:hAnsi="宋体" w:cs="等线"/>
          <w:highlight w:val="none"/>
        </w:rPr>
        <w:t>（5）其他约定：</w:t>
      </w:r>
      <w:r>
        <w:rPr>
          <w:rFonts w:hint="eastAsia" w:ascii="宋体" w:hAnsi="宋体" w:cs="等线"/>
          <w:highlight w:val="none"/>
          <w:u w:val="single"/>
        </w:rPr>
        <w:t xml:space="preserve"> 承包人应当在合同履行期间，每月25日提供当月工程统计报表及下月计划报表，其相应费用已包含在合同价款中</w:t>
      </w:r>
      <w:r>
        <w:rPr>
          <w:rFonts w:hint="eastAsia" w:ascii="宋体" w:hAnsi="宋体" w:cs="等线"/>
          <w:highlight w:val="none"/>
        </w:rPr>
        <w:t>。</w:t>
      </w:r>
    </w:p>
    <w:p w14:paraId="6F45260E">
      <w:pPr>
        <w:spacing w:line="360" w:lineRule="auto"/>
        <w:ind w:firstLine="420" w:firstLineChars="200"/>
        <w:rPr>
          <w:rFonts w:ascii="宋体" w:hAnsi="宋体" w:cs="等线"/>
          <w:highlight w:val="none"/>
        </w:rPr>
      </w:pPr>
      <w:r>
        <w:rPr>
          <w:rFonts w:hint="eastAsia" w:ascii="宋体" w:hAnsi="宋体" w:cs="等线"/>
          <w:highlight w:val="none"/>
        </w:rPr>
        <w:t>1.6.3 图纸的修改（本项目不适用）</w:t>
      </w:r>
    </w:p>
    <w:p w14:paraId="52033B59">
      <w:pPr>
        <w:spacing w:line="360" w:lineRule="auto"/>
        <w:ind w:firstLine="420" w:firstLineChars="200"/>
        <w:rPr>
          <w:rFonts w:ascii="宋体" w:hAnsi="宋体" w:cs="等线"/>
          <w:highlight w:val="none"/>
        </w:rPr>
      </w:pPr>
      <w:r>
        <w:rPr>
          <w:rFonts w:hint="eastAsia" w:ascii="宋体" w:hAnsi="宋体" w:cs="等线"/>
          <w:highlight w:val="none"/>
        </w:rPr>
        <w:t>监理人应当按照合同条款第1.6.1（2）目约定的有合同约束力的图纸供应计划，签发图纸修改图给承包人。</w:t>
      </w:r>
    </w:p>
    <w:p w14:paraId="52B76109">
      <w:pPr>
        <w:keepNext/>
        <w:keepLines/>
        <w:spacing w:line="360" w:lineRule="auto"/>
        <w:outlineLvl w:val="2"/>
        <w:rPr>
          <w:rFonts w:ascii="宋体" w:hAnsi="宋体" w:cs="等线"/>
          <w:sz w:val="24"/>
          <w:highlight w:val="none"/>
        </w:rPr>
      </w:pPr>
      <w:bookmarkStart w:id="1517" w:name="_Toc38732153"/>
      <w:bookmarkStart w:id="1518" w:name="_Toc159950772"/>
      <w:bookmarkStart w:id="1519" w:name="_Toc12377"/>
      <w:r>
        <w:rPr>
          <w:rFonts w:hint="eastAsia" w:ascii="宋体" w:hAnsi="宋体" w:cs="等线"/>
          <w:sz w:val="24"/>
          <w:highlight w:val="none"/>
        </w:rPr>
        <w:t>1.7 联 络</w:t>
      </w:r>
      <w:bookmarkEnd w:id="1517"/>
      <w:bookmarkEnd w:id="1518"/>
      <w:bookmarkEnd w:id="1519"/>
    </w:p>
    <w:p w14:paraId="3FD1F4D9">
      <w:pPr>
        <w:spacing w:line="360" w:lineRule="auto"/>
        <w:ind w:firstLine="420" w:firstLineChars="200"/>
        <w:rPr>
          <w:rFonts w:ascii="宋体" w:hAnsi="宋体" w:cs="等线"/>
          <w:highlight w:val="none"/>
        </w:rPr>
      </w:pPr>
      <w:r>
        <w:rPr>
          <w:rFonts w:hint="eastAsia" w:ascii="宋体" w:hAnsi="宋体" w:cs="等线"/>
          <w:highlight w:val="none"/>
        </w:rPr>
        <w:t>1.7.2联络来往函件的送达和接收</w:t>
      </w:r>
    </w:p>
    <w:p w14:paraId="0139343B">
      <w:pPr>
        <w:spacing w:line="360" w:lineRule="auto"/>
        <w:ind w:firstLine="315" w:firstLineChars="150"/>
        <w:rPr>
          <w:rFonts w:ascii="宋体" w:hAnsi="宋体" w:cs="等线"/>
          <w:highlight w:val="none"/>
        </w:rPr>
      </w:pPr>
      <w:r>
        <w:rPr>
          <w:rFonts w:hint="eastAsia" w:ascii="宋体" w:hAnsi="宋体" w:cs="等线"/>
          <w:highlight w:val="none"/>
        </w:rPr>
        <w:t>（1）联络来往信函的送达期限：合同约定了发出期限的，送达期限为合同约定的发出期限后的24小时内；合同约定了通知、提供或者报送期限的，通知、提供或者报送期限即为送达期限。</w:t>
      </w:r>
    </w:p>
    <w:p w14:paraId="64697E75">
      <w:pPr>
        <w:spacing w:line="360" w:lineRule="auto"/>
        <w:ind w:firstLine="315" w:firstLineChars="150"/>
        <w:rPr>
          <w:rFonts w:ascii="宋体" w:hAnsi="宋体" w:cs="等线"/>
          <w:highlight w:val="none"/>
        </w:rPr>
      </w:pPr>
      <w:r>
        <w:rPr>
          <w:rFonts w:hint="eastAsia" w:ascii="宋体" w:hAnsi="宋体" w:cs="等线"/>
          <w:highlight w:val="none"/>
        </w:rPr>
        <w:t>（2）发包人指定的接收地点：</w:t>
      </w:r>
      <w:r>
        <w:rPr>
          <w:rFonts w:hint="eastAsia" w:ascii="宋体" w:hAnsi="宋体" w:cs="等线"/>
          <w:highlight w:val="none"/>
          <w:u w:val="single"/>
        </w:rPr>
        <w:t xml:space="preserve"> 北京财贸职业学院 </w:t>
      </w:r>
      <w:r>
        <w:rPr>
          <w:rFonts w:ascii="宋体" w:hAnsi="宋体" w:cs="等线"/>
          <w:highlight w:val="none"/>
          <w:u w:val="single"/>
        </w:rPr>
        <w:t xml:space="preserve">     </w:t>
      </w:r>
      <w:r>
        <w:rPr>
          <w:rFonts w:hint="eastAsia" w:ascii="宋体" w:hAnsi="宋体" w:cs="等线"/>
          <w:highlight w:val="none"/>
          <w:u w:val="single"/>
        </w:rPr>
        <w:t xml:space="preserve">  </w:t>
      </w:r>
      <w:r>
        <w:rPr>
          <w:rFonts w:hint="eastAsia" w:ascii="宋体" w:hAnsi="宋体" w:cs="等线"/>
          <w:highlight w:val="none"/>
        </w:rPr>
        <w:t>。</w:t>
      </w:r>
    </w:p>
    <w:p w14:paraId="23406922">
      <w:pPr>
        <w:spacing w:line="360" w:lineRule="auto"/>
        <w:ind w:firstLine="315" w:firstLineChars="150"/>
        <w:rPr>
          <w:rFonts w:ascii="宋体" w:hAnsi="宋体" w:cs="等线"/>
          <w:highlight w:val="none"/>
        </w:rPr>
      </w:pPr>
      <w:r>
        <w:rPr>
          <w:rFonts w:hint="eastAsia" w:ascii="宋体" w:hAnsi="宋体" w:cs="等线"/>
          <w:highlight w:val="none"/>
        </w:rPr>
        <w:t>（3）发包人指定的接收人为：</w:t>
      </w:r>
      <w:r>
        <w:rPr>
          <w:rFonts w:hint="eastAsia" w:ascii="宋体" w:hAnsi="宋体" w:cs="等线"/>
          <w:highlight w:val="none"/>
          <w:u w:val="single"/>
        </w:rPr>
        <w:t xml:space="preserve">         </w:t>
      </w:r>
      <w:r>
        <w:rPr>
          <w:rFonts w:ascii="宋体" w:hAnsi="宋体" w:cs="等线"/>
          <w:highlight w:val="none"/>
          <w:u w:val="single"/>
        </w:rPr>
        <w:t xml:space="preserve"> </w:t>
      </w:r>
      <w:r>
        <w:rPr>
          <w:rFonts w:hint="eastAsia" w:ascii="宋体" w:hAnsi="宋体" w:cs="等线"/>
          <w:highlight w:val="none"/>
          <w:u w:val="single"/>
        </w:rPr>
        <w:t xml:space="preserve">               </w:t>
      </w:r>
      <w:r>
        <w:rPr>
          <w:rFonts w:hint="eastAsia" w:ascii="宋体" w:hAnsi="宋体" w:cs="等线"/>
          <w:highlight w:val="none"/>
        </w:rPr>
        <w:t>。</w:t>
      </w:r>
    </w:p>
    <w:p w14:paraId="2041B74E">
      <w:pPr>
        <w:spacing w:line="360" w:lineRule="auto"/>
        <w:ind w:firstLine="315" w:firstLineChars="150"/>
        <w:rPr>
          <w:rFonts w:ascii="宋体" w:hAnsi="宋体" w:cs="等线"/>
          <w:highlight w:val="none"/>
        </w:rPr>
      </w:pPr>
      <w:r>
        <w:rPr>
          <w:rFonts w:hint="eastAsia" w:ascii="宋体" w:hAnsi="宋体" w:cs="等线"/>
          <w:highlight w:val="none"/>
        </w:rPr>
        <w:t>（4）监理人指定的接收地点：</w:t>
      </w:r>
      <w:r>
        <w:rPr>
          <w:rFonts w:hint="eastAsia" w:ascii="宋体" w:hAnsi="宋体" w:cs="等线"/>
          <w:highlight w:val="none"/>
          <w:u w:val="single"/>
        </w:rPr>
        <w:t xml:space="preserve">   按发包人要求  </w:t>
      </w:r>
      <w:r>
        <w:rPr>
          <w:rFonts w:hint="eastAsia" w:ascii="宋体" w:hAnsi="宋体" w:cs="等线"/>
          <w:highlight w:val="none"/>
        </w:rPr>
        <w:t>。</w:t>
      </w:r>
    </w:p>
    <w:p w14:paraId="6BF67E06">
      <w:pPr>
        <w:spacing w:line="360" w:lineRule="auto"/>
        <w:ind w:firstLine="315" w:firstLineChars="150"/>
        <w:rPr>
          <w:rFonts w:ascii="宋体" w:hAnsi="宋体" w:cs="等线"/>
          <w:highlight w:val="none"/>
        </w:rPr>
      </w:pPr>
      <w:r>
        <w:rPr>
          <w:rFonts w:hint="eastAsia" w:ascii="宋体" w:hAnsi="宋体" w:cs="等线"/>
          <w:highlight w:val="none"/>
        </w:rPr>
        <w:t>（5）监理人指定的接收人为：</w:t>
      </w:r>
      <w:r>
        <w:rPr>
          <w:rFonts w:hint="eastAsia" w:ascii="宋体" w:hAnsi="宋体" w:cs="等线"/>
          <w:highlight w:val="none"/>
          <w:u w:val="single"/>
        </w:rPr>
        <w:t xml:space="preserve">   按发包人要求  </w:t>
      </w:r>
      <w:r>
        <w:rPr>
          <w:rFonts w:hint="eastAsia" w:ascii="宋体" w:hAnsi="宋体" w:cs="等线"/>
          <w:highlight w:val="none"/>
        </w:rPr>
        <w:t>。</w:t>
      </w:r>
    </w:p>
    <w:p w14:paraId="570DBF4B">
      <w:pPr>
        <w:spacing w:line="360" w:lineRule="auto"/>
        <w:ind w:firstLine="315" w:firstLineChars="150"/>
        <w:rPr>
          <w:rFonts w:ascii="宋体" w:hAnsi="宋体" w:cs="等线"/>
          <w:highlight w:val="none"/>
        </w:rPr>
      </w:pPr>
      <w:r>
        <w:rPr>
          <w:rFonts w:hint="eastAsia" w:ascii="宋体" w:hAnsi="宋体" w:cs="等线"/>
          <w:highlight w:val="none"/>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1EDF606F">
      <w:pPr>
        <w:spacing w:line="360" w:lineRule="auto"/>
        <w:ind w:firstLine="315" w:firstLineChars="150"/>
        <w:rPr>
          <w:rFonts w:ascii="宋体" w:hAnsi="宋体" w:cs="等线"/>
          <w:highlight w:val="none"/>
        </w:rPr>
      </w:pPr>
      <w:r>
        <w:rPr>
          <w:rFonts w:hint="eastAsia" w:ascii="宋体" w:hAnsi="宋体" w:cs="等线"/>
          <w:highlight w:val="none"/>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63794CFE">
      <w:pPr>
        <w:spacing w:line="360" w:lineRule="auto"/>
        <w:ind w:firstLine="315" w:firstLineChars="150"/>
        <w:rPr>
          <w:rFonts w:ascii="宋体" w:hAnsi="宋体" w:cs="等线"/>
          <w:highlight w:val="none"/>
        </w:rPr>
      </w:pPr>
      <w:r>
        <w:rPr>
          <w:rFonts w:hint="eastAsia" w:ascii="宋体" w:hAnsi="宋体" w:cs="等线"/>
          <w:highlight w:val="none"/>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1E186D6A">
      <w:pPr>
        <w:keepNext/>
        <w:keepLines/>
        <w:spacing w:line="400" w:lineRule="exact"/>
        <w:outlineLvl w:val="1"/>
        <w:rPr>
          <w:rFonts w:ascii="宋体" w:hAnsi="宋体" w:cs="等线"/>
          <w:sz w:val="24"/>
          <w:highlight w:val="none"/>
        </w:rPr>
      </w:pPr>
      <w:bookmarkStart w:id="1520" w:name="_Toc18100"/>
      <w:bookmarkStart w:id="1521" w:name="_Toc38732154"/>
      <w:bookmarkStart w:id="1522" w:name="_Toc30110"/>
      <w:bookmarkStart w:id="1523" w:name="_Toc159950773"/>
      <w:r>
        <w:rPr>
          <w:rFonts w:hint="eastAsia" w:ascii="宋体" w:hAnsi="宋体" w:cs="等线"/>
          <w:sz w:val="24"/>
          <w:highlight w:val="none"/>
        </w:rPr>
        <w:t>2. 发包人义务</w:t>
      </w:r>
      <w:bookmarkEnd w:id="1520"/>
      <w:bookmarkEnd w:id="1521"/>
      <w:bookmarkEnd w:id="1522"/>
      <w:bookmarkEnd w:id="1523"/>
    </w:p>
    <w:p w14:paraId="5DD5D718">
      <w:pPr>
        <w:keepNext/>
        <w:keepLines/>
        <w:spacing w:line="360" w:lineRule="auto"/>
        <w:outlineLvl w:val="2"/>
        <w:rPr>
          <w:rFonts w:ascii="宋体" w:hAnsi="宋体" w:cs="等线"/>
          <w:sz w:val="24"/>
          <w:highlight w:val="none"/>
        </w:rPr>
      </w:pPr>
      <w:bookmarkStart w:id="1524" w:name="_Toc159950774"/>
      <w:bookmarkStart w:id="1525" w:name="_Toc16900"/>
      <w:bookmarkStart w:id="1526" w:name="_Toc38732155"/>
      <w:r>
        <w:rPr>
          <w:rFonts w:hint="eastAsia" w:ascii="宋体" w:hAnsi="宋体" w:cs="等线"/>
          <w:sz w:val="24"/>
          <w:highlight w:val="none"/>
        </w:rPr>
        <w:t>2.3 提供施工场地</w:t>
      </w:r>
      <w:bookmarkEnd w:id="1524"/>
      <w:bookmarkEnd w:id="1525"/>
      <w:bookmarkEnd w:id="1526"/>
    </w:p>
    <w:p w14:paraId="12763402">
      <w:pPr>
        <w:spacing w:line="360" w:lineRule="auto"/>
        <w:ind w:firstLine="420" w:firstLineChars="200"/>
        <w:rPr>
          <w:rFonts w:ascii="宋体" w:hAnsi="宋体" w:cs="等线"/>
          <w:highlight w:val="none"/>
        </w:rPr>
      </w:pPr>
      <w:r>
        <w:rPr>
          <w:rFonts w:hint="eastAsia" w:ascii="宋体" w:hAnsi="宋体" w:cs="等线"/>
          <w:highlight w:val="none"/>
        </w:rPr>
        <w:t>施工场地应当在监理人发出的开工通知中载明的开工日期前</w:t>
      </w:r>
      <w:r>
        <w:rPr>
          <w:rFonts w:hint="eastAsia" w:ascii="宋体" w:hAnsi="宋体" w:cs="等线"/>
          <w:highlight w:val="none"/>
          <w:u w:val="single"/>
        </w:rPr>
        <w:t xml:space="preserve">  7  </w:t>
      </w:r>
      <w:r>
        <w:rPr>
          <w:rFonts w:hint="eastAsia" w:ascii="宋体" w:hAnsi="宋体" w:cs="等线"/>
          <w:highlight w:val="none"/>
        </w:rPr>
        <w:t>天具备施工条件并移交给承包人，具体施工条件在 “技术标准和要求”第一节“一般要求”中约定。发包人最迟应当在移交施工场地的同时向承包人提供施工场地内地下管线和地下设施等有关资料，并保证资料的真实、准确和完整。</w:t>
      </w:r>
    </w:p>
    <w:p w14:paraId="2F51F9CD">
      <w:pPr>
        <w:keepNext/>
        <w:keepLines/>
        <w:spacing w:line="360" w:lineRule="auto"/>
        <w:outlineLvl w:val="2"/>
        <w:rPr>
          <w:rFonts w:ascii="宋体" w:hAnsi="宋体" w:cs="等线"/>
          <w:sz w:val="24"/>
          <w:highlight w:val="none"/>
        </w:rPr>
      </w:pPr>
      <w:bookmarkStart w:id="1527" w:name="_Toc38732156"/>
      <w:bookmarkStart w:id="1528" w:name="_Toc159950775"/>
      <w:bookmarkStart w:id="1529" w:name="_Toc21280"/>
      <w:r>
        <w:rPr>
          <w:rFonts w:hint="eastAsia" w:ascii="宋体" w:hAnsi="宋体" w:cs="等线"/>
          <w:sz w:val="24"/>
          <w:highlight w:val="none"/>
        </w:rPr>
        <w:t>2.5 组织设计交底</w:t>
      </w:r>
      <w:bookmarkEnd w:id="1527"/>
      <w:bookmarkEnd w:id="1528"/>
      <w:bookmarkEnd w:id="1529"/>
    </w:p>
    <w:p w14:paraId="1B7393C7">
      <w:pPr>
        <w:spacing w:line="360" w:lineRule="auto"/>
        <w:ind w:firstLine="420" w:firstLineChars="200"/>
        <w:rPr>
          <w:rFonts w:ascii="宋体" w:hAnsi="宋体" w:cs="等线"/>
          <w:highlight w:val="none"/>
        </w:rPr>
      </w:pPr>
      <w:r>
        <w:rPr>
          <w:rFonts w:hint="eastAsia" w:ascii="宋体" w:hAnsi="宋体" w:cs="等线"/>
          <w:highlight w:val="none"/>
        </w:rPr>
        <w:t>发包人应当在合同条款11.1.1项约定的开工日期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4C9C4A72">
      <w:pPr>
        <w:keepNext/>
        <w:keepLines/>
        <w:spacing w:line="360" w:lineRule="auto"/>
        <w:outlineLvl w:val="2"/>
        <w:rPr>
          <w:rFonts w:ascii="宋体" w:hAnsi="宋体" w:cs="等线"/>
          <w:sz w:val="24"/>
          <w:highlight w:val="none"/>
        </w:rPr>
      </w:pPr>
      <w:bookmarkStart w:id="1530" w:name="_Toc159950776"/>
      <w:bookmarkStart w:id="1531" w:name="_Toc38732157"/>
      <w:bookmarkStart w:id="1532" w:name="_Toc7188"/>
      <w:r>
        <w:rPr>
          <w:rFonts w:hint="eastAsia" w:ascii="宋体" w:hAnsi="宋体" w:cs="等线"/>
          <w:sz w:val="24"/>
          <w:highlight w:val="none"/>
        </w:rPr>
        <w:t>2.8 其他义务</w:t>
      </w:r>
      <w:bookmarkEnd w:id="1530"/>
      <w:bookmarkEnd w:id="1531"/>
      <w:bookmarkEnd w:id="1532"/>
    </w:p>
    <w:p w14:paraId="103CDFF4">
      <w:pPr>
        <w:spacing w:line="360" w:lineRule="auto"/>
        <w:ind w:firstLine="420" w:firstLineChars="200"/>
        <w:rPr>
          <w:rFonts w:ascii="宋体" w:hAnsi="宋体" w:cs="等线"/>
          <w:highlight w:val="none"/>
        </w:rPr>
      </w:pPr>
      <w:r>
        <w:rPr>
          <w:rFonts w:hint="eastAsia" w:ascii="宋体" w:hAnsi="宋体" w:cs="等线"/>
          <w:highlight w:val="none"/>
        </w:rPr>
        <w:t>（1）向承包人提交对等的支付担保。在承包人按合同条款第4.2条向发包人递交符合合同约定的履约担保的同时，发包人应当按照金额和条件对等的原则和招标文件中规定的格式或者其他经过承包人事先认可的格式向承包人递交一份支付担保。支付担保的有效期应当自本合同生效之日起至发包人实际支付竣工付款之日止。如果发包人无法获得一份不带具体截止日期的担保，支付担保中应当有“变更工程竣工付款支付日期的，保证期间按照变更后的竣工付款支付日期做相应调整”或类似约定的条款。支付担保应在发包人付清竣工付款之日后28天内退还给发包人。承包人不承担发包人与支付担保有关的任何利息或其它类似的费用或者收益。支付担保是本合同的附件。</w:t>
      </w:r>
    </w:p>
    <w:p w14:paraId="1829AC4F">
      <w:pPr>
        <w:spacing w:line="360" w:lineRule="auto"/>
        <w:ind w:firstLine="315" w:firstLineChars="150"/>
        <w:rPr>
          <w:rFonts w:ascii="宋体" w:hAnsi="宋体" w:cs="等线"/>
          <w:highlight w:val="none"/>
        </w:rPr>
      </w:pPr>
      <w:r>
        <w:rPr>
          <w:rFonts w:hint="eastAsia" w:ascii="宋体" w:hAnsi="宋体" w:cs="等线"/>
          <w:highlight w:val="none"/>
        </w:rPr>
        <w:t>（2）按有关规定及时办理工程质量监督手续。</w:t>
      </w:r>
    </w:p>
    <w:p w14:paraId="6603EA9B">
      <w:pPr>
        <w:spacing w:line="360" w:lineRule="auto"/>
        <w:ind w:firstLine="315" w:firstLineChars="150"/>
        <w:rPr>
          <w:rFonts w:ascii="宋体" w:hAnsi="宋体" w:cs="等线"/>
          <w:highlight w:val="none"/>
        </w:rPr>
      </w:pPr>
      <w:r>
        <w:rPr>
          <w:rFonts w:hint="eastAsia" w:ascii="宋体" w:hAnsi="宋体" w:cs="等线"/>
          <w:highlight w:val="none"/>
        </w:rPr>
        <w:t>（3）根据建设行政主管部门和（或）城市建设档案管理机构的规定，收集、整理、立卷、归档工程资料，并按规定时间向建设行政主管部门或者城市建设档案管理机构移交规定的工程档案。</w:t>
      </w:r>
    </w:p>
    <w:p w14:paraId="4F69144D">
      <w:pPr>
        <w:spacing w:line="360" w:lineRule="auto"/>
        <w:ind w:firstLine="315" w:firstLineChars="150"/>
        <w:rPr>
          <w:rFonts w:ascii="宋体" w:hAnsi="宋体" w:cs="等线"/>
          <w:highlight w:val="none"/>
        </w:rPr>
      </w:pPr>
      <w:r>
        <w:rPr>
          <w:rFonts w:hint="eastAsia" w:ascii="宋体" w:hAnsi="宋体" w:cs="等线"/>
          <w:highlight w:val="none"/>
        </w:rPr>
        <w:t>（4）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44625DF6">
      <w:pPr>
        <w:spacing w:line="360" w:lineRule="auto"/>
        <w:ind w:firstLine="315" w:firstLineChars="150"/>
        <w:rPr>
          <w:rFonts w:ascii="宋体" w:hAnsi="宋体" w:cs="等线"/>
          <w:highlight w:val="none"/>
        </w:rPr>
      </w:pPr>
      <w:r>
        <w:rPr>
          <w:rFonts w:hint="eastAsia" w:ascii="宋体" w:hAnsi="宋体" w:cs="等线"/>
          <w:highlight w:val="none"/>
        </w:rPr>
        <w:t>（5）发包人应当履行合同约定的其他义务以及下述义务：</w:t>
      </w:r>
    </w:p>
    <w:p w14:paraId="2EED2B64">
      <w:pPr>
        <w:spacing w:line="360" w:lineRule="auto"/>
        <w:ind w:firstLine="315" w:firstLineChars="150"/>
        <w:rPr>
          <w:rFonts w:ascii="宋体" w:hAnsi="宋体" w:cs="等线"/>
          <w:highlight w:val="none"/>
          <w:u w:val="single"/>
        </w:rPr>
      </w:pPr>
      <w:r>
        <w:rPr>
          <w:rFonts w:hint="eastAsia" w:ascii="宋体" w:hAnsi="宋体" w:cs="等线"/>
          <w:highlight w:val="none"/>
          <w:u w:val="single"/>
        </w:rPr>
        <w:t>（a）按有关规定及时办理工程质量监督手续。</w:t>
      </w:r>
    </w:p>
    <w:p w14:paraId="4E39263E">
      <w:pPr>
        <w:spacing w:line="360" w:lineRule="auto"/>
        <w:ind w:firstLine="315" w:firstLineChars="150"/>
        <w:rPr>
          <w:rFonts w:ascii="宋体" w:hAnsi="宋体" w:cs="等线"/>
          <w:highlight w:val="none"/>
        </w:rPr>
      </w:pPr>
      <w:r>
        <w:rPr>
          <w:rFonts w:hint="eastAsia" w:ascii="宋体" w:hAnsi="宋体" w:cs="等线"/>
          <w:highlight w:val="none"/>
          <w:u w:val="single"/>
        </w:rPr>
        <w:t xml:space="preserve">（b）根据建设行政主管部门和（或）城市建设档案管理机构的规定，收集、整理、立卷、归档工程资料，并按规定时间向建设行政主管部门或者城市建设档案管理机构移交规定的工程档案  </w:t>
      </w:r>
      <w:r>
        <w:rPr>
          <w:rFonts w:hint="eastAsia" w:ascii="宋体" w:hAnsi="宋体" w:cs="等线"/>
          <w:highlight w:val="none"/>
        </w:rPr>
        <w:t xml:space="preserve">。 </w:t>
      </w:r>
    </w:p>
    <w:p w14:paraId="1F8D080A">
      <w:pPr>
        <w:keepNext/>
        <w:keepLines/>
        <w:spacing w:line="400" w:lineRule="exact"/>
        <w:outlineLvl w:val="1"/>
        <w:rPr>
          <w:rFonts w:ascii="宋体" w:hAnsi="宋体" w:cs="等线"/>
          <w:sz w:val="24"/>
          <w:highlight w:val="none"/>
        </w:rPr>
      </w:pPr>
      <w:bookmarkStart w:id="1533" w:name="_Toc38732158"/>
      <w:bookmarkStart w:id="1534" w:name="_Toc159950777"/>
      <w:bookmarkStart w:id="1535" w:name="_Toc28374"/>
      <w:bookmarkStart w:id="1536" w:name="_Toc15025"/>
      <w:r>
        <w:rPr>
          <w:rFonts w:hint="eastAsia" w:ascii="宋体" w:hAnsi="宋体" w:cs="等线"/>
          <w:sz w:val="24"/>
          <w:highlight w:val="none"/>
        </w:rPr>
        <w:t>3. 监理人</w:t>
      </w:r>
      <w:bookmarkEnd w:id="1533"/>
      <w:bookmarkEnd w:id="1534"/>
      <w:bookmarkEnd w:id="1535"/>
      <w:bookmarkEnd w:id="1536"/>
    </w:p>
    <w:p w14:paraId="3BD20392">
      <w:pPr>
        <w:keepNext/>
        <w:keepLines/>
        <w:spacing w:line="360" w:lineRule="auto"/>
        <w:outlineLvl w:val="2"/>
        <w:rPr>
          <w:rFonts w:ascii="宋体" w:hAnsi="宋体" w:cs="等线"/>
          <w:sz w:val="24"/>
          <w:highlight w:val="none"/>
        </w:rPr>
      </w:pPr>
      <w:bookmarkStart w:id="1537" w:name="_Toc159950778"/>
      <w:bookmarkStart w:id="1538" w:name="_Toc18020"/>
      <w:bookmarkStart w:id="1539" w:name="_Toc38732159"/>
      <w:r>
        <w:rPr>
          <w:rFonts w:hint="eastAsia" w:ascii="宋体" w:hAnsi="宋体" w:cs="等线"/>
          <w:sz w:val="24"/>
          <w:highlight w:val="none"/>
        </w:rPr>
        <w:t>3.1 监理人的职责和权力</w:t>
      </w:r>
      <w:bookmarkEnd w:id="1537"/>
      <w:bookmarkEnd w:id="1538"/>
      <w:bookmarkEnd w:id="1539"/>
    </w:p>
    <w:p w14:paraId="3B3E7863">
      <w:pPr>
        <w:spacing w:line="360" w:lineRule="auto"/>
        <w:ind w:firstLine="420" w:firstLineChars="200"/>
        <w:rPr>
          <w:rFonts w:ascii="宋体" w:hAnsi="宋体" w:cs="等线"/>
          <w:highlight w:val="none"/>
        </w:rPr>
      </w:pPr>
      <w:r>
        <w:rPr>
          <w:rFonts w:hint="eastAsia" w:ascii="宋体" w:hAnsi="宋体" w:cs="等线"/>
          <w:highlight w:val="none"/>
        </w:rPr>
        <w:t>3.1.1须经发包人批准行使的权力：</w:t>
      </w:r>
    </w:p>
    <w:p w14:paraId="2C51A895">
      <w:pPr>
        <w:spacing w:line="360" w:lineRule="auto"/>
        <w:rPr>
          <w:rFonts w:ascii="宋体" w:hAnsi="宋体" w:cs="等线"/>
          <w:highlight w:val="none"/>
          <w:u w:val="single"/>
        </w:rPr>
      </w:pPr>
      <w:r>
        <w:rPr>
          <w:rFonts w:hint="eastAsia" w:ascii="宋体" w:hAnsi="宋体" w:cs="等线"/>
          <w:highlight w:val="none"/>
          <w:u w:val="single"/>
        </w:rPr>
        <w:t>（1）发布开工令、停工令、复工令；</w:t>
      </w:r>
    </w:p>
    <w:p w14:paraId="1C6C9C3A">
      <w:pPr>
        <w:spacing w:line="360" w:lineRule="auto"/>
        <w:rPr>
          <w:rFonts w:ascii="宋体" w:hAnsi="宋体" w:cs="等线"/>
          <w:highlight w:val="none"/>
          <w:u w:val="single"/>
        </w:rPr>
      </w:pPr>
      <w:r>
        <w:rPr>
          <w:rFonts w:hint="eastAsia" w:ascii="宋体" w:hAnsi="宋体" w:cs="等线"/>
          <w:highlight w:val="none"/>
          <w:u w:val="single"/>
        </w:rPr>
        <w:t>（2）凡涉影响工程造价的调整及涉及施工工期的延长等变化，须经发包人审核批准；</w:t>
      </w:r>
    </w:p>
    <w:p w14:paraId="730E8AB6">
      <w:pPr>
        <w:spacing w:line="360" w:lineRule="auto"/>
        <w:rPr>
          <w:rFonts w:ascii="宋体" w:hAnsi="宋体" w:cs="等线"/>
          <w:highlight w:val="none"/>
        </w:rPr>
      </w:pPr>
      <w:r>
        <w:rPr>
          <w:rFonts w:hint="eastAsia" w:ascii="宋体" w:hAnsi="宋体" w:cs="等线"/>
          <w:highlight w:val="none"/>
          <w:u w:val="single"/>
        </w:rPr>
        <w:t>（3）对承包人合同规定的义务建议变更等。</w:t>
      </w:r>
    </w:p>
    <w:p w14:paraId="511E689C">
      <w:pPr>
        <w:spacing w:line="360" w:lineRule="auto"/>
        <w:rPr>
          <w:rFonts w:ascii="宋体" w:hAnsi="宋体" w:cs="等线"/>
          <w:highlight w:val="none"/>
        </w:rPr>
      </w:pPr>
      <w:r>
        <w:rPr>
          <w:rFonts w:hint="eastAsia" w:ascii="宋体" w:hAnsi="宋体" w:cs="等线"/>
          <w:highlight w:val="none"/>
        </w:rPr>
        <w:t>不管通用合同条款第3.1.1项如何约定，监理人履行须经发包人批准行使的权力时，应当向承包人出示其行使该权力已经取得发包人批准的文件或者其他合法有效的证明。</w:t>
      </w:r>
    </w:p>
    <w:p w14:paraId="1854DD7D">
      <w:pPr>
        <w:keepNext/>
        <w:keepLines/>
        <w:spacing w:line="360" w:lineRule="auto"/>
        <w:outlineLvl w:val="2"/>
        <w:rPr>
          <w:rFonts w:ascii="宋体" w:hAnsi="宋体" w:cs="等线"/>
          <w:sz w:val="24"/>
          <w:highlight w:val="none"/>
        </w:rPr>
      </w:pPr>
      <w:bookmarkStart w:id="1540" w:name="_Toc159950779"/>
      <w:bookmarkStart w:id="1541" w:name="_Toc1579"/>
      <w:bookmarkStart w:id="1542" w:name="_Toc38732160"/>
      <w:r>
        <w:rPr>
          <w:rFonts w:hint="eastAsia" w:ascii="宋体" w:hAnsi="宋体" w:cs="等线"/>
          <w:sz w:val="24"/>
          <w:highlight w:val="none"/>
        </w:rPr>
        <w:t>3.3 监理人员</w:t>
      </w:r>
      <w:bookmarkEnd w:id="1540"/>
      <w:bookmarkEnd w:id="1541"/>
      <w:bookmarkEnd w:id="1542"/>
    </w:p>
    <w:p w14:paraId="19909D96">
      <w:pPr>
        <w:spacing w:line="360" w:lineRule="auto"/>
        <w:ind w:firstLine="420" w:firstLineChars="200"/>
        <w:rPr>
          <w:rFonts w:ascii="宋体" w:hAnsi="宋体" w:cs="等线"/>
          <w:highlight w:val="none"/>
        </w:rPr>
      </w:pPr>
      <w:r>
        <w:rPr>
          <w:rFonts w:hint="eastAsia" w:ascii="宋体" w:hAnsi="宋体" w:cs="等线"/>
          <w:highlight w:val="none"/>
        </w:rPr>
        <w:t>3.3.4 总监理工程师不应将第3.5款约定应由总监理工程师作出确定的权力授权或者委托给其他监理人员。</w:t>
      </w:r>
    </w:p>
    <w:p w14:paraId="5599B7C7">
      <w:pPr>
        <w:keepNext/>
        <w:keepLines/>
        <w:spacing w:line="360" w:lineRule="auto"/>
        <w:outlineLvl w:val="2"/>
        <w:rPr>
          <w:rFonts w:ascii="宋体" w:hAnsi="宋体" w:cs="等线"/>
          <w:sz w:val="24"/>
          <w:highlight w:val="none"/>
        </w:rPr>
      </w:pPr>
      <w:bookmarkStart w:id="1543" w:name="_Toc4530"/>
      <w:bookmarkStart w:id="1544" w:name="_Toc159950780"/>
      <w:bookmarkStart w:id="1545" w:name="_Toc38732161"/>
      <w:r>
        <w:rPr>
          <w:rFonts w:hint="eastAsia" w:ascii="宋体" w:hAnsi="宋体" w:cs="等线"/>
          <w:sz w:val="24"/>
          <w:highlight w:val="none"/>
        </w:rPr>
        <w:t>3.4 监理人的指示</w:t>
      </w:r>
      <w:bookmarkEnd w:id="1543"/>
      <w:bookmarkEnd w:id="1544"/>
      <w:bookmarkEnd w:id="1545"/>
    </w:p>
    <w:p w14:paraId="57F571A9">
      <w:pPr>
        <w:spacing w:line="360" w:lineRule="auto"/>
        <w:ind w:firstLine="420" w:firstLineChars="200"/>
        <w:rPr>
          <w:rFonts w:ascii="宋体" w:hAnsi="宋体" w:cs="等线"/>
          <w:highlight w:val="none"/>
        </w:rPr>
      </w:pPr>
      <w:r>
        <w:rPr>
          <w:rFonts w:hint="eastAsia" w:ascii="宋体" w:hAnsi="宋体" w:cs="等线"/>
          <w:highlight w:val="none"/>
        </w:rPr>
        <w:t>3.4.4除通用合同条款已有的专门约定外，承包人只能从总监理工程师或按第3.3.1项授权的监理人员处取得指示，发包人应当通过监理人向承包人发出指示。</w:t>
      </w:r>
    </w:p>
    <w:p w14:paraId="73A966B7">
      <w:pPr>
        <w:keepNext/>
        <w:keepLines/>
        <w:spacing w:line="360" w:lineRule="auto"/>
        <w:outlineLvl w:val="2"/>
        <w:rPr>
          <w:rFonts w:ascii="宋体" w:hAnsi="宋体" w:cs="等线"/>
          <w:sz w:val="24"/>
          <w:highlight w:val="none"/>
        </w:rPr>
      </w:pPr>
      <w:bookmarkStart w:id="1546" w:name="_Toc29692"/>
      <w:bookmarkStart w:id="1547" w:name="_Toc159950781"/>
      <w:bookmarkStart w:id="1548" w:name="_Toc38732162"/>
      <w:r>
        <w:rPr>
          <w:rFonts w:hint="eastAsia" w:ascii="宋体" w:hAnsi="宋体" w:cs="等线"/>
          <w:sz w:val="24"/>
          <w:highlight w:val="none"/>
        </w:rPr>
        <w:t>3.6 监理人的宽恕</w:t>
      </w:r>
      <w:bookmarkEnd w:id="1546"/>
      <w:bookmarkEnd w:id="1547"/>
      <w:bookmarkEnd w:id="1548"/>
    </w:p>
    <w:p w14:paraId="768C9069">
      <w:pPr>
        <w:spacing w:line="360" w:lineRule="auto"/>
        <w:ind w:firstLine="420" w:firstLineChars="200"/>
        <w:rPr>
          <w:rFonts w:ascii="宋体" w:hAnsi="宋体" w:cs="等线"/>
          <w:highlight w:val="none"/>
        </w:rPr>
      </w:pPr>
      <w:r>
        <w:rPr>
          <w:rFonts w:hint="eastAsia" w:ascii="宋体" w:hAnsi="宋体" w:cs="等线"/>
          <w:highlight w:val="none"/>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1C16B2C1">
      <w:pPr>
        <w:keepNext/>
        <w:keepLines/>
        <w:spacing w:line="400" w:lineRule="exact"/>
        <w:outlineLvl w:val="1"/>
        <w:rPr>
          <w:rFonts w:ascii="宋体" w:hAnsi="宋体" w:cs="等线"/>
          <w:sz w:val="24"/>
          <w:highlight w:val="none"/>
        </w:rPr>
      </w:pPr>
      <w:bookmarkStart w:id="1549" w:name="_Toc38732163"/>
      <w:bookmarkStart w:id="1550" w:name="_Toc159950782"/>
      <w:bookmarkStart w:id="1551" w:name="_Toc20014"/>
      <w:bookmarkStart w:id="1552" w:name="_Toc24205"/>
      <w:r>
        <w:rPr>
          <w:rFonts w:hint="eastAsia" w:ascii="宋体" w:hAnsi="宋体" w:cs="等线"/>
          <w:sz w:val="24"/>
          <w:highlight w:val="none"/>
        </w:rPr>
        <w:t>4. 承包人</w:t>
      </w:r>
      <w:bookmarkEnd w:id="1549"/>
      <w:bookmarkEnd w:id="1550"/>
      <w:bookmarkEnd w:id="1551"/>
      <w:bookmarkEnd w:id="1552"/>
    </w:p>
    <w:p w14:paraId="50580A68">
      <w:pPr>
        <w:keepNext/>
        <w:keepLines/>
        <w:spacing w:line="360" w:lineRule="auto"/>
        <w:outlineLvl w:val="2"/>
        <w:rPr>
          <w:rFonts w:ascii="宋体" w:hAnsi="宋体" w:cs="等线"/>
          <w:sz w:val="24"/>
          <w:highlight w:val="none"/>
        </w:rPr>
      </w:pPr>
      <w:bookmarkStart w:id="1553" w:name="_Toc38732164"/>
      <w:bookmarkStart w:id="1554" w:name="_Toc19800"/>
      <w:bookmarkStart w:id="1555" w:name="_Toc159950783"/>
      <w:r>
        <w:rPr>
          <w:rFonts w:hint="eastAsia" w:ascii="宋体" w:hAnsi="宋体" w:cs="等线"/>
          <w:sz w:val="24"/>
          <w:highlight w:val="none"/>
        </w:rPr>
        <w:t>4.1 承包人的一般义务</w:t>
      </w:r>
      <w:bookmarkEnd w:id="1553"/>
      <w:bookmarkEnd w:id="1554"/>
      <w:bookmarkEnd w:id="1555"/>
    </w:p>
    <w:p w14:paraId="698BBE87">
      <w:pPr>
        <w:spacing w:line="360" w:lineRule="auto"/>
        <w:ind w:firstLine="420" w:firstLineChars="200"/>
        <w:rPr>
          <w:rFonts w:ascii="宋体" w:hAnsi="宋体" w:cs="等线"/>
          <w:highlight w:val="none"/>
        </w:rPr>
      </w:pPr>
      <w:r>
        <w:rPr>
          <w:rFonts w:hint="eastAsia" w:ascii="宋体" w:hAnsi="宋体" w:cs="等线"/>
          <w:highlight w:val="none"/>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71708569">
      <w:pPr>
        <w:spacing w:line="360" w:lineRule="auto"/>
        <w:ind w:firstLine="420" w:firstLineChars="200"/>
        <w:rPr>
          <w:rFonts w:ascii="宋体" w:hAnsi="宋体" w:cs="等线"/>
          <w:highlight w:val="none"/>
        </w:rPr>
      </w:pPr>
      <w:r>
        <w:rPr>
          <w:rFonts w:hint="eastAsia" w:ascii="宋体" w:hAnsi="宋体" w:cs="等线"/>
          <w:highlight w:val="none"/>
        </w:rPr>
        <w:t>4.1.8为他人提供方便</w:t>
      </w:r>
    </w:p>
    <w:p w14:paraId="59F84DA3">
      <w:pPr>
        <w:numPr>
          <w:ilvl w:val="0"/>
          <w:numId w:val="24"/>
        </w:numPr>
        <w:spacing w:line="360" w:lineRule="auto"/>
        <w:rPr>
          <w:rFonts w:ascii="宋体" w:hAnsi="宋体" w:cs="等线"/>
          <w:highlight w:val="none"/>
          <w:u w:val="single"/>
        </w:rPr>
      </w:pPr>
      <w:r>
        <w:rPr>
          <w:rFonts w:hint="eastAsia" w:ascii="宋体" w:hAnsi="宋体" w:cs="等线"/>
          <w:highlight w:val="none"/>
        </w:rPr>
        <w:t>（1）承包人应当对在施工场地或者附近实施与合同工程有关的其他工作的独立承包人履行管理、协调、配合、照管和服务义务，由此发生的费用被认为已经包括在承包人的签约合同价（投标总报价）中，具体工作内容和要求包括：</w:t>
      </w:r>
      <w:r>
        <w:rPr>
          <w:rFonts w:hint="eastAsia" w:ascii="宋体" w:hAnsi="宋体" w:cs="等线"/>
          <w:highlight w:val="none"/>
          <w:u w:val="single"/>
        </w:rPr>
        <w:t>1)</w:t>
      </w:r>
      <w:r>
        <w:rPr>
          <w:rFonts w:hint="eastAsia" w:ascii="宋体" w:hAnsi="宋体" w:cs="等线"/>
          <w:highlight w:val="none"/>
          <w:u w:val="single"/>
        </w:rPr>
        <w:tab/>
      </w:r>
      <w:r>
        <w:rPr>
          <w:rFonts w:hint="eastAsia" w:ascii="宋体" w:hAnsi="宋体" w:cs="等线"/>
          <w:highlight w:val="none"/>
          <w:u w:val="single"/>
        </w:rPr>
        <w:t>提供施工现场水源、电源及通道。</w:t>
      </w:r>
    </w:p>
    <w:p w14:paraId="549C9DC3">
      <w:pPr>
        <w:numPr>
          <w:ilvl w:val="0"/>
          <w:numId w:val="24"/>
        </w:numPr>
        <w:spacing w:line="360" w:lineRule="auto"/>
        <w:rPr>
          <w:rFonts w:ascii="宋体" w:hAnsi="宋体" w:cs="等线"/>
          <w:highlight w:val="none"/>
          <w:u w:val="single"/>
        </w:rPr>
      </w:pPr>
      <w:r>
        <w:rPr>
          <w:rFonts w:hint="eastAsia" w:ascii="宋体" w:hAnsi="宋体" w:cs="等线"/>
          <w:highlight w:val="none"/>
          <w:u w:val="single"/>
        </w:rPr>
        <w:t>2)</w:t>
      </w:r>
      <w:r>
        <w:rPr>
          <w:rFonts w:hint="eastAsia" w:ascii="宋体" w:hAnsi="宋体" w:cs="等线"/>
          <w:highlight w:val="none"/>
          <w:u w:val="single"/>
        </w:rPr>
        <w:tab/>
      </w:r>
      <w:r>
        <w:rPr>
          <w:rFonts w:hint="eastAsia" w:ascii="宋体" w:hAnsi="宋体" w:cs="等线"/>
          <w:highlight w:val="none"/>
          <w:u w:val="single"/>
        </w:rPr>
        <w:t>提供用于施工及发包人现场检查的照明设备，包括照明线路、照明灯具，在正常施工时间内及发包人批准的抢工时间内保证照明系统处于正常使用状态。</w:t>
      </w:r>
    </w:p>
    <w:p w14:paraId="1FEDD218">
      <w:pPr>
        <w:numPr>
          <w:ilvl w:val="0"/>
          <w:numId w:val="24"/>
        </w:numPr>
        <w:spacing w:line="360" w:lineRule="auto"/>
        <w:rPr>
          <w:rFonts w:ascii="宋体" w:hAnsi="宋体" w:cs="等线"/>
          <w:highlight w:val="none"/>
          <w:u w:val="single"/>
        </w:rPr>
      </w:pPr>
      <w:r>
        <w:rPr>
          <w:rFonts w:hint="eastAsia" w:ascii="宋体" w:hAnsi="宋体" w:cs="等线"/>
          <w:highlight w:val="none"/>
          <w:u w:val="single"/>
        </w:rPr>
        <w:t>3)</w:t>
      </w:r>
      <w:r>
        <w:rPr>
          <w:rFonts w:hint="eastAsia" w:ascii="宋体" w:hAnsi="宋体" w:cs="等线"/>
          <w:highlight w:val="none"/>
          <w:u w:val="single"/>
        </w:rPr>
        <w:tab/>
      </w:r>
      <w:r>
        <w:rPr>
          <w:rFonts w:hint="eastAsia" w:ascii="宋体" w:hAnsi="宋体" w:cs="等线"/>
          <w:highlight w:val="none"/>
          <w:u w:val="single"/>
        </w:rPr>
        <w:t>提供在约定计划工期内的临时工程或承包人在现场已存在的运输机械、设备等临时设施。如果根据工程实际进展情况，承包人需拆除现场已存在的临时设施时，承包人须征得发包人和监理人的认可后方可拆除。</w:t>
      </w:r>
    </w:p>
    <w:p w14:paraId="3A9315CC">
      <w:pPr>
        <w:numPr>
          <w:ilvl w:val="0"/>
          <w:numId w:val="24"/>
        </w:numPr>
        <w:spacing w:line="360" w:lineRule="auto"/>
        <w:rPr>
          <w:rFonts w:ascii="宋体" w:hAnsi="宋体" w:cs="等线"/>
          <w:highlight w:val="none"/>
          <w:u w:val="single"/>
        </w:rPr>
      </w:pPr>
      <w:r>
        <w:rPr>
          <w:rFonts w:hint="eastAsia" w:ascii="宋体" w:hAnsi="宋体" w:cs="等线"/>
          <w:highlight w:val="none"/>
          <w:u w:val="single"/>
        </w:rPr>
        <w:t>4)</w:t>
      </w:r>
      <w:r>
        <w:rPr>
          <w:rFonts w:hint="eastAsia" w:ascii="宋体" w:hAnsi="宋体" w:cs="等线"/>
          <w:highlight w:val="none"/>
          <w:u w:val="single"/>
        </w:rPr>
        <w:tab/>
      </w:r>
      <w:r>
        <w:rPr>
          <w:rFonts w:hint="eastAsia" w:ascii="宋体" w:hAnsi="宋体" w:cs="等线"/>
          <w:highlight w:val="none"/>
          <w:u w:val="single"/>
        </w:rPr>
        <w:t>为保证承包人和其他承包人的工作面不发生冲突，承包人应对其他承包人的工作场所及材料存放场所等的安排、布置负责协调。</w:t>
      </w:r>
    </w:p>
    <w:p w14:paraId="5FA3E607">
      <w:pPr>
        <w:numPr>
          <w:ilvl w:val="0"/>
          <w:numId w:val="24"/>
        </w:numPr>
        <w:spacing w:line="360" w:lineRule="auto"/>
        <w:rPr>
          <w:rFonts w:ascii="宋体" w:hAnsi="宋体" w:cs="等线"/>
          <w:highlight w:val="none"/>
          <w:u w:val="single"/>
        </w:rPr>
      </w:pPr>
      <w:r>
        <w:rPr>
          <w:rFonts w:hint="eastAsia" w:ascii="宋体" w:hAnsi="宋体" w:cs="等线"/>
          <w:highlight w:val="none"/>
          <w:u w:val="single"/>
        </w:rPr>
        <w:t>5)</w:t>
      </w:r>
      <w:r>
        <w:rPr>
          <w:rFonts w:hint="eastAsia" w:ascii="宋体" w:hAnsi="宋体" w:cs="等线"/>
          <w:highlight w:val="none"/>
          <w:u w:val="single"/>
        </w:rPr>
        <w:tab/>
      </w:r>
      <w:r>
        <w:rPr>
          <w:rFonts w:hint="eastAsia" w:ascii="宋体" w:hAnsi="宋体" w:cs="等线"/>
          <w:highlight w:val="none"/>
          <w:u w:val="single"/>
        </w:rPr>
        <w:t>提供正常的临时照明和施工及调试运行所必需的设施。</w:t>
      </w:r>
    </w:p>
    <w:p w14:paraId="7A2A12BA">
      <w:pPr>
        <w:numPr>
          <w:ilvl w:val="0"/>
          <w:numId w:val="24"/>
        </w:numPr>
        <w:spacing w:line="360" w:lineRule="auto"/>
        <w:rPr>
          <w:rFonts w:ascii="宋体" w:hAnsi="宋体" w:cs="等线"/>
          <w:highlight w:val="none"/>
          <w:u w:val="single"/>
        </w:rPr>
      </w:pPr>
      <w:r>
        <w:rPr>
          <w:rFonts w:hint="eastAsia" w:ascii="宋体" w:hAnsi="宋体" w:cs="等线"/>
          <w:highlight w:val="none"/>
          <w:u w:val="single"/>
        </w:rPr>
        <w:t>6)</w:t>
      </w:r>
      <w:r>
        <w:rPr>
          <w:rFonts w:hint="eastAsia" w:ascii="宋体" w:hAnsi="宋体" w:cs="等线"/>
          <w:highlight w:val="none"/>
          <w:u w:val="single"/>
        </w:rPr>
        <w:tab/>
      </w:r>
      <w:r>
        <w:rPr>
          <w:rFonts w:hint="eastAsia" w:ascii="宋体" w:hAnsi="宋体" w:cs="等线"/>
          <w:highlight w:val="none"/>
          <w:u w:val="single"/>
        </w:rPr>
        <w:t>负责清理现场垃圾（各独立承包人将其施工所产生的垃圾堆放至承包人指定的合理堆放点后）。</w:t>
      </w:r>
    </w:p>
    <w:p w14:paraId="1CEB84D7">
      <w:pPr>
        <w:numPr>
          <w:ilvl w:val="0"/>
          <w:numId w:val="24"/>
        </w:numPr>
        <w:spacing w:line="360" w:lineRule="auto"/>
        <w:rPr>
          <w:rFonts w:ascii="宋体" w:hAnsi="宋体" w:cs="等线"/>
          <w:highlight w:val="none"/>
          <w:u w:val="single"/>
        </w:rPr>
      </w:pPr>
      <w:r>
        <w:rPr>
          <w:rFonts w:hint="eastAsia" w:ascii="宋体" w:hAnsi="宋体" w:cs="等线"/>
          <w:highlight w:val="none"/>
          <w:u w:val="single"/>
        </w:rPr>
        <w:t>7)</w:t>
      </w:r>
      <w:r>
        <w:rPr>
          <w:rFonts w:hint="eastAsia" w:ascii="宋体" w:hAnsi="宋体" w:cs="等线"/>
          <w:highlight w:val="none"/>
          <w:u w:val="single"/>
        </w:rPr>
        <w:tab/>
      </w:r>
      <w:r>
        <w:rPr>
          <w:rFonts w:hint="eastAsia" w:ascii="宋体" w:hAnsi="宋体" w:cs="等线"/>
          <w:highlight w:val="none"/>
          <w:u w:val="single"/>
        </w:rPr>
        <w:t>负责对承包工程施工进度计划的安排、协调和管理，确保总体工程进度。</w:t>
      </w:r>
    </w:p>
    <w:p w14:paraId="1FB99DA8">
      <w:pPr>
        <w:numPr>
          <w:ilvl w:val="0"/>
          <w:numId w:val="24"/>
        </w:numPr>
        <w:spacing w:line="360" w:lineRule="auto"/>
        <w:rPr>
          <w:rFonts w:ascii="宋体" w:hAnsi="宋体" w:cs="等线"/>
          <w:highlight w:val="none"/>
          <w:u w:val="single"/>
        </w:rPr>
      </w:pPr>
      <w:r>
        <w:rPr>
          <w:rFonts w:hint="eastAsia" w:ascii="宋体" w:hAnsi="宋体" w:cs="等线"/>
          <w:highlight w:val="none"/>
          <w:u w:val="single"/>
        </w:rPr>
        <w:t>8)</w:t>
      </w:r>
      <w:r>
        <w:rPr>
          <w:rFonts w:hint="eastAsia" w:ascii="宋体" w:hAnsi="宋体" w:cs="等线"/>
          <w:highlight w:val="none"/>
          <w:u w:val="single"/>
        </w:rPr>
        <w:tab/>
      </w:r>
      <w:r>
        <w:rPr>
          <w:rFonts w:hint="eastAsia" w:ascii="宋体" w:hAnsi="宋体" w:cs="等线"/>
          <w:highlight w:val="none"/>
          <w:u w:val="single"/>
        </w:rPr>
        <w:t>负责对承包工程的质量进行监督、管理，确保总体工程质量。</w:t>
      </w:r>
    </w:p>
    <w:p w14:paraId="032B4C1B">
      <w:pPr>
        <w:numPr>
          <w:ilvl w:val="0"/>
          <w:numId w:val="24"/>
        </w:numPr>
        <w:spacing w:line="360" w:lineRule="auto"/>
        <w:rPr>
          <w:rFonts w:ascii="宋体" w:hAnsi="宋体" w:cs="等线"/>
          <w:highlight w:val="none"/>
          <w:u w:val="single"/>
        </w:rPr>
      </w:pPr>
      <w:r>
        <w:rPr>
          <w:rFonts w:hint="eastAsia" w:ascii="宋体" w:hAnsi="宋体" w:cs="等线"/>
          <w:highlight w:val="none"/>
          <w:u w:val="single"/>
        </w:rPr>
        <w:t>9)</w:t>
      </w:r>
      <w:r>
        <w:rPr>
          <w:rFonts w:hint="eastAsia" w:ascii="宋体" w:hAnsi="宋体" w:cs="等线"/>
          <w:highlight w:val="none"/>
          <w:u w:val="single"/>
        </w:rPr>
        <w:tab/>
      </w:r>
      <w:r>
        <w:rPr>
          <w:rFonts w:hint="eastAsia" w:ascii="宋体" w:hAnsi="宋体" w:cs="等线"/>
          <w:highlight w:val="none"/>
          <w:u w:val="single"/>
        </w:rPr>
        <w:t>负责对承包工程的安全防护、文明施工进行监督、管理，确保总体工程安全，杜绝伤亡事故。如发生事故，及时按照相关规定进行全面救护、上报、处理和善后，尽最大可能降低事故损失。</w:t>
      </w:r>
    </w:p>
    <w:p w14:paraId="5E14AC96">
      <w:pPr>
        <w:numPr>
          <w:ilvl w:val="0"/>
          <w:numId w:val="24"/>
        </w:numPr>
        <w:spacing w:line="360" w:lineRule="auto"/>
        <w:rPr>
          <w:rFonts w:ascii="宋体" w:hAnsi="宋体" w:cs="等线"/>
          <w:highlight w:val="none"/>
          <w:u w:val="single"/>
        </w:rPr>
      </w:pPr>
      <w:r>
        <w:rPr>
          <w:rFonts w:hint="eastAsia" w:ascii="宋体" w:hAnsi="宋体" w:cs="等线"/>
          <w:highlight w:val="none"/>
          <w:u w:val="single"/>
        </w:rPr>
        <w:t xml:space="preserve">10) </w:t>
      </w:r>
      <w:r>
        <w:rPr>
          <w:rFonts w:hint="eastAsia" w:ascii="宋体" w:hAnsi="宋体" w:cs="等线"/>
          <w:highlight w:val="none"/>
          <w:u w:val="single"/>
        </w:rPr>
        <w:tab/>
      </w:r>
      <w:r>
        <w:rPr>
          <w:rFonts w:hint="eastAsia" w:ascii="宋体" w:hAnsi="宋体" w:cs="等线"/>
          <w:highlight w:val="none"/>
          <w:u w:val="single"/>
        </w:rPr>
        <w:t>对于政府有关部门发送发包人的有关本工程施工现场的任何意见及通知，其中涉及承包人的，承包人应承担相关责任和工作。</w:t>
      </w:r>
    </w:p>
    <w:p w14:paraId="282B8EF9">
      <w:pPr>
        <w:numPr>
          <w:ilvl w:val="0"/>
          <w:numId w:val="24"/>
        </w:numPr>
        <w:spacing w:line="360" w:lineRule="auto"/>
        <w:rPr>
          <w:rFonts w:ascii="宋体" w:hAnsi="宋体" w:cs="等线"/>
          <w:highlight w:val="none"/>
          <w:u w:val="single"/>
        </w:rPr>
      </w:pPr>
      <w:r>
        <w:rPr>
          <w:rFonts w:hint="eastAsia" w:ascii="宋体" w:hAnsi="宋体" w:cs="等线"/>
          <w:highlight w:val="none"/>
          <w:u w:val="single"/>
        </w:rPr>
        <w:t>11）需承包人办理的有关施工场地交通、环卫和施工噪声管理等手续：按北京市有关规定办理，承包人负责处理并承担费用。</w:t>
      </w:r>
    </w:p>
    <w:p w14:paraId="35544FB2">
      <w:pPr>
        <w:numPr>
          <w:ilvl w:val="0"/>
          <w:numId w:val="24"/>
        </w:numPr>
        <w:spacing w:line="360" w:lineRule="auto"/>
        <w:rPr>
          <w:rFonts w:ascii="宋体" w:hAnsi="宋体" w:cs="等线"/>
          <w:highlight w:val="none"/>
        </w:rPr>
      </w:pPr>
      <w:r>
        <w:rPr>
          <w:rFonts w:hint="eastAsia" w:ascii="宋体" w:hAnsi="宋体" w:cs="等线"/>
          <w:highlight w:val="none"/>
          <w:u w:val="single"/>
        </w:rPr>
        <w:t>12）施工场地清洁卫生的要求：对施工生产和生活垃圾应及时清运，承包人承担由此发生的费用。</w:t>
      </w:r>
    </w:p>
    <w:p w14:paraId="56D00A60">
      <w:pPr>
        <w:spacing w:line="360" w:lineRule="auto"/>
        <w:ind w:firstLine="315" w:firstLineChars="150"/>
        <w:rPr>
          <w:rFonts w:ascii="宋体" w:hAnsi="宋体" w:cs="等线"/>
          <w:highlight w:val="none"/>
        </w:rPr>
      </w:pPr>
      <w:r>
        <w:rPr>
          <w:rFonts w:hint="eastAsia" w:ascii="宋体" w:hAnsi="宋体" w:cs="等线"/>
          <w:highlight w:val="none"/>
        </w:rPr>
        <w:t>（2）承包人还应按监理人指示为独立承包人以外的他人在施工场地或者附近实施与合同工程有关的其他工作提供可能的条件，可能发生费用由监理人按第3.5款商定或者确定。</w:t>
      </w:r>
    </w:p>
    <w:p w14:paraId="41DBAAE9">
      <w:pPr>
        <w:spacing w:line="360" w:lineRule="auto"/>
        <w:ind w:firstLine="420" w:firstLineChars="200"/>
        <w:rPr>
          <w:rFonts w:ascii="宋体" w:hAnsi="宋体" w:cs="等线"/>
          <w:highlight w:val="none"/>
        </w:rPr>
      </w:pPr>
      <w:r>
        <w:rPr>
          <w:rFonts w:hint="eastAsia" w:ascii="宋体" w:hAnsi="宋体" w:cs="等线"/>
          <w:highlight w:val="none"/>
        </w:rPr>
        <w:t xml:space="preserve">4.1.10其他义务  </w:t>
      </w:r>
    </w:p>
    <w:p w14:paraId="139D52CC">
      <w:pPr>
        <w:spacing w:line="360" w:lineRule="auto"/>
        <w:ind w:firstLine="315" w:firstLineChars="150"/>
        <w:rPr>
          <w:rFonts w:ascii="宋体" w:hAnsi="宋体" w:cs="等线"/>
          <w:highlight w:val="none"/>
          <w:u w:val="single"/>
        </w:rPr>
      </w:pPr>
      <w:r>
        <w:rPr>
          <w:rFonts w:hint="eastAsia" w:ascii="宋体" w:hAnsi="宋体" w:cs="等线"/>
          <w:highlight w:val="none"/>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cs="等线"/>
          <w:highlight w:val="none"/>
          <w:u w:val="single"/>
        </w:rPr>
        <w:t xml:space="preserve">  /  </w:t>
      </w:r>
      <w:r>
        <w:rPr>
          <w:rFonts w:hint="eastAsia" w:ascii="宋体" w:hAnsi="宋体" w:cs="等线"/>
          <w:highlight w:val="none"/>
        </w:rPr>
        <w:t>。</w:t>
      </w:r>
    </w:p>
    <w:p w14:paraId="478146C1">
      <w:pPr>
        <w:spacing w:line="360" w:lineRule="auto"/>
        <w:ind w:firstLine="315" w:firstLineChars="150"/>
        <w:rPr>
          <w:rFonts w:ascii="宋体" w:hAnsi="宋体" w:cs="等线"/>
          <w:highlight w:val="none"/>
        </w:rPr>
      </w:pPr>
      <w:r>
        <w:rPr>
          <w:rFonts w:hint="eastAsia" w:ascii="宋体" w:hAnsi="宋体" w:cs="等线"/>
          <w:highlight w:val="none"/>
        </w:rPr>
        <w:t>（2）承包人应履行合同约定的其他义务以及下述义务：</w:t>
      </w:r>
    </w:p>
    <w:p w14:paraId="1DAFDE8D">
      <w:pPr>
        <w:snapToGrid w:val="0"/>
        <w:spacing w:line="360" w:lineRule="auto"/>
        <w:ind w:firstLine="420" w:firstLineChars="200"/>
        <w:rPr>
          <w:rFonts w:ascii="宋体" w:hAnsi="宋体" w:cs="等线"/>
          <w:highlight w:val="none"/>
          <w:u w:val="single"/>
        </w:rPr>
      </w:pPr>
      <w:r>
        <w:rPr>
          <w:rFonts w:hint="eastAsia" w:ascii="宋体" w:hAnsi="宋体" w:cs="等线"/>
          <w:highlight w:val="none"/>
          <w:u w:val="single"/>
        </w:rPr>
        <w:t>1)</w:t>
      </w:r>
      <w:r>
        <w:rPr>
          <w:rFonts w:hint="eastAsia" w:ascii="宋体" w:hAnsi="宋体" w:cs="等线"/>
          <w:highlight w:val="none"/>
          <w:u w:val="single"/>
        </w:rPr>
        <w:tab/>
      </w:r>
      <w:r>
        <w:rPr>
          <w:rFonts w:hint="eastAsia" w:ascii="宋体" w:hAnsi="宋体" w:cs="等线"/>
          <w:highlight w:val="none"/>
          <w:u w:val="single"/>
        </w:rPr>
        <w:t>承包人按投标文件指派的现场施工项目经理应具有相应技术资格和施工管理经验，项目经理应专职于本工程，不得兼职于其他工程或其他职务，每周在现场工作时间应不少于4个工作日。发包人有权提出更换发包人不满意的承包人施工项目经理和施工项目经理部主要管理人员和技术人员，项目经理和施工项目经理部主要管理人员和技术人员在工程施工过程中不得随意变更。未经发包人同意，承包人擅自更换项目经理的违约行为，应支付违约金10万元/人次；承包人擅自更换项目部其他人员的违约行为，应支付违约金2万元/人次，发包人保留与承包人终止合同及继续追加补偿的权利。</w:t>
      </w:r>
    </w:p>
    <w:p w14:paraId="3398E209">
      <w:pPr>
        <w:snapToGrid w:val="0"/>
        <w:spacing w:line="360" w:lineRule="auto"/>
        <w:ind w:firstLine="420" w:firstLineChars="200"/>
        <w:rPr>
          <w:rFonts w:ascii="宋体" w:hAnsi="宋体" w:cs="等线"/>
          <w:highlight w:val="none"/>
          <w:u w:val="single"/>
        </w:rPr>
      </w:pPr>
      <w:r>
        <w:rPr>
          <w:rFonts w:hint="eastAsia" w:ascii="宋体" w:hAnsi="宋体" w:cs="等线"/>
          <w:highlight w:val="none"/>
          <w:u w:val="single"/>
        </w:rPr>
        <w:t>2)</w:t>
      </w:r>
      <w:r>
        <w:rPr>
          <w:rFonts w:hint="eastAsia" w:ascii="宋体" w:hAnsi="宋体" w:cs="等线"/>
          <w:highlight w:val="none"/>
          <w:u w:val="single"/>
        </w:rPr>
        <w:tab/>
      </w:r>
      <w:r>
        <w:rPr>
          <w:rFonts w:hint="eastAsia" w:ascii="宋体" w:hAnsi="宋体" w:cs="等线"/>
          <w:highlight w:val="none"/>
          <w:u w:val="single"/>
        </w:rPr>
        <w:t>承包人进场施工，必须两个月内完成所有的拆除工作。施工中如发现设计错误或严重不合理时，承包人应立即以书面形式通知监理人并经监理人报发包人。</w:t>
      </w:r>
    </w:p>
    <w:p w14:paraId="721F53D0">
      <w:pPr>
        <w:snapToGrid w:val="0"/>
        <w:spacing w:line="360" w:lineRule="auto"/>
        <w:ind w:firstLine="420" w:firstLineChars="200"/>
        <w:rPr>
          <w:rFonts w:ascii="宋体" w:hAnsi="宋体" w:cs="等线"/>
          <w:highlight w:val="none"/>
          <w:u w:val="single"/>
        </w:rPr>
      </w:pPr>
      <w:r>
        <w:rPr>
          <w:rFonts w:hint="eastAsia" w:ascii="宋体" w:hAnsi="宋体" w:cs="等线"/>
          <w:highlight w:val="none"/>
          <w:u w:val="single"/>
        </w:rPr>
        <w:t>3)</w:t>
      </w:r>
      <w:r>
        <w:rPr>
          <w:rFonts w:hint="eastAsia" w:ascii="宋体" w:hAnsi="宋体" w:cs="等线"/>
          <w:highlight w:val="none"/>
          <w:u w:val="single"/>
        </w:rPr>
        <w:tab/>
      </w:r>
      <w:r>
        <w:rPr>
          <w:rFonts w:hint="eastAsia" w:ascii="宋体" w:hAnsi="宋体" w:cs="等线"/>
          <w:highlight w:val="none"/>
          <w:u w:val="single"/>
        </w:rPr>
        <w:t>承包人应自觉遵守执行国家及北京市行业主管部门颁布实施的有关安全生产的法规、规章、制度、标准。</w:t>
      </w:r>
    </w:p>
    <w:p w14:paraId="265D95EF">
      <w:pPr>
        <w:snapToGrid w:val="0"/>
        <w:spacing w:line="360" w:lineRule="auto"/>
        <w:ind w:firstLine="420" w:firstLineChars="200"/>
        <w:rPr>
          <w:rFonts w:ascii="宋体" w:hAnsi="宋体" w:cs="等线"/>
          <w:highlight w:val="none"/>
          <w:u w:val="single"/>
        </w:rPr>
      </w:pPr>
      <w:r>
        <w:rPr>
          <w:rFonts w:hint="eastAsia" w:ascii="宋体" w:hAnsi="宋体" w:cs="等线"/>
          <w:highlight w:val="none"/>
          <w:u w:val="single"/>
        </w:rPr>
        <w:t>4)</w:t>
      </w:r>
      <w:r>
        <w:rPr>
          <w:rFonts w:hint="eastAsia" w:ascii="宋体" w:hAnsi="宋体" w:cs="等线"/>
          <w:highlight w:val="none"/>
          <w:u w:val="single"/>
        </w:rPr>
        <w:tab/>
      </w:r>
      <w:r>
        <w:rPr>
          <w:rFonts w:hint="eastAsia" w:ascii="宋体" w:hAnsi="宋体" w:cs="等线"/>
          <w:highlight w:val="none"/>
          <w:u w:val="single"/>
        </w:rPr>
        <w:t>承包人应当服从发包人现行的施工现场统一管理的规定及有关安全生产法规、规章、制度、标准，严格执行发包人下达的各项安全指令，确保安全施工，并按合同有关条款加强自身管理，履行承包人责任。</w:t>
      </w:r>
    </w:p>
    <w:p w14:paraId="5B39F4D7">
      <w:pPr>
        <w:snapToGrid w:val="0"/>
        <w:spacing w:line="360" w:lineRule="auto"/>
        <w:ind w:firstLine="420" w:firstLineChars="200"/>
        <w:rPr>
          <w:rFonts w:ascii="宋体" w:hAnsi="宋体" w:cs="等线"/>
          <w:highlight w:val="none"/>
          <w:u w:val="single"/>
        </w:rPr>
      </w:pPr>
      <w:r>
        <w:rPr>
          <w:rFonts w:hint="eastAsia" w:ascii="宋体" w:hAnsi="宋体" w:cs="等线"/>
          <w:highlight w:val="none"/>
          <w:u w:val="single"/>
        </w:rPr>
        <w:t>5)</w:t>
      </w:r>
      <w:r>
        <w:rPr>
          <w:rFonts w:hint="eastAsia" w:ascii="宋体" w:hAnsi="宋体" w:cs="等线"/>
          <w:highlight w:val="none"/>
          <w:u w:val="single"/>
        </w:rPr>
        <w:tab/>
      </w:r>
      <w:r>
        <w:rPr>
          <w:rFonts w:hint="eastAsia" w:ascii="宋体" w:hAnsi="宋体" w:cs="等线"/>
          <w:highlight w:val="none"/>
          <w:u w:val="single"/>
        </w:rPr>
        <w:t>已竣工工程未交付发包人之前，承包人负责其保护工作。保护期间发生损坏的，由承包人予以修复并承担相应费用。</w:t>
      </w:r>
    </w:p>
    <w:p w14:paraId="08862934">
      <w:pPr>
        <w:snapToGrid w:val="0"/>
        <w:spacing w:line="360" w:lineRule="auto"/>
        <w:ind w:firstLine="420" w:firstLineChars="200"/>
        <w:rPr>
          <w:rFonts w:ascii="宋体" w:hAnsi="宋体" w:cs="等线"/>
          <w:highlight w:val="none"/>
          <w:u w:val="single"/>
        </w:rPr>
      </w:pPr>
      <w:r>
        <w:rPr>
          <w:rFonts w:hint="eastAsia" w:ascii="宋体" w:hAnsi="宋体" w:cs="等线"/>
          <w:highlight w:val="none"/>
          <w:u w:val="single"/>
        </w:rPr>
        <w:t>6)</w:t>
      </w:r>
      <w:r>
        <w:rPr>
          <w:rFonts w:hint="eastAsia" w:ascii="宋体" w:hAnsi="宋体" w:cs="等线"/>
          <w:highlight w:val="none"/>
          <w:u w:val="single"/>
        </w:rPr>
        <w:tab/>
      </w:r>
      <w:r>
        <w:rPr>
          <w:rFonts w:hint="eastAsia" w:ascii="宋体" w:hAnsi="宋体" w:cs="等线"/>
          <w:highlight w:val="none"/>
          <w:u w:val="single"/>
        </w:rPr>
        <w:t>对竣工验收后保修期内发现的工程质量问题负责免费返修，对造成的间接损失负责全部赔偿。</w:t>
      </w:r>
    </w:p>
    <w:p w14:paraId="0E4E940C">
      <w:pPr>
        <w:snapToGrid w:val="0"/>
        <w:spacing w:line="360" w:lineRule="auto"/>
        <w:ind w:firstLine="420" w:firstLineChars="200"/>
        <w:rPr>
          <w:rFonts w:ascii="宋体" w:hAnsi="宋体" w:cs="等线"/>
          <w:highlight w:val="none"/>
          <w:u w:val="single"/>
        </w:rPr>
      </w:pPr>
      <w:r>
        <w:rPr>
          <w:rFonts w:hint="eastAsia" w:ascii="宋体" w:hAnsi="宋体" w:cs="等线"/>
          <w:highlight w:val="none"/>
          <w:u w:val="single"/>
        </w:rPr>
        <w:t>7)</w:t>
      </w:r>
      <w:r>
        <w:rPr>
          <w:rFonts w:hint="eastAsia" w:ascii="宋体" w:hAnsi="宋体" w:cs="等线"/>
          <w:highlight w:val="none"/>
          <w:u w:val="single"/>
        </w:rPr>
        <w:tab/>
      </w:r>
      <w:r>
        <w:rPr>
          <w:rFonts w:hint="eastAsia" w:ascii="宋体" w:hAnsi="宋体" w:cs="等线"/>
          <w:highlight w:val="none"/>
          <w:u w:val="single"/>
        </w:rPr>
        <w:t>承包人应负责编制竣工资料并将竣工资料移交城建档案馆及学校档案馆。</w:t>
      </w:r>
    </w:p>
    <w:p w14:paraId="7F77AE77">
      <w:pPr>
        <w:snapToGrid w:val="0"/>
        <w:spacing w:line="360" w:lineRule="auto"/>
        <w:ind w:firstLine="420" w:firstLineChars="200"/>
        <w:rPr>
          <w:rFonts w:ascii="宋体" w:hAnsi="宋体" w:cs="等线"/>
          <w:highlight w:val="none"/>
          <w:u w:val="single"/>
        </w:rPr>
      </w:pPr>
      <w:r>
        <w:rPr>
          <w:rFonts w:hint="eastAsia" w:ascii="宋体" w:hAnsi="宋体" w:cs="等线"/>
          <w:highlight w:val="none"/>
          <w:u w:val="single"/>
        </w:rPr>
        <w:t>8)</w:t>
      </w:r>
      <w:r>
        <w:rPr>
          <w:rFonts w:hint="eastAsia" w:ascii="宋体" w:hAnsi="宋体" w:cs="等线"/>
          <w:highlight w:val="none"/>
          <w:u w:val="single"/>
        </w:rPr>
        <w:tab/>
      </w:r>
      <w:r>
        <w:rPr>
          <w:rFonts w:hint="eastAsia" w:ascii="宋体" w:hAnsi="宋体" w:cs="等线"/>
          <w:highlight w:val="none"/>
          <w:u w:val="single"/>
        </w:rPr>
        <w:t>成品保护：承包人应提供必要的人员、材料和设备用于整个工程的成品保护，包括对已完成的工程或工作的保护，防止任何已完工作遭受任何损坏或破坏。</w:t>
      </w:r>
    </w:p>
    <w:p w14:paraId="7A5F96D8">
      <w:pPr>
        <w:snapToGrid w:val="0"/>
        <w:spacing w:line="360" w:lineRule="auto"/>
        <w:ind w:firstLine="420" w:firstLineChars="200"/>
        <w:rPr>
          <w:rFonts w:ascii="宋体" w:hAnsi="宋体" w:cs="等线"/>
          <w:highlight w:val="none"/>
          <w:u w:val="single"/>
        </w:rPr>
      </w:pPr>
      <w:r>
        <w:rPr>
          <w:rFonts w:hint="eastAsia" w:ascii="宋体" w:hAnsi="宋体" w:cs="等线"/>
          <w:highlight w:val="none"/>
          <w:u w:val="single"/>
        </w:rPr>
        <w:t>9)</w:t>
      </w:r>
      <w:r>
        <w:rPr>
          <w:rFonts w:hint="eastAsia" w:ascii="宋体" w:hAnsi="宋体" w:cs="等线"/>
          <w:highlight w:val="none"/>
          <w:u w:val="single"/>
        </w:rPr>
        <w:tab/>
      </w:r>
      <w:r>
        <w:rPr>
          <w:rFonts w:hint="eastAsia" w:ascii="宋体" w:hAnsi="宋体" w:cs="等线"/>
          <w:highlight w:val="none"/>
          <w:u w:val="single"/>
        </w:rPr>
        <w:t>对周边财产的保护：承包人不得非法侵占和妨害毗邻的财产、土地、街道、市政设施和他们下面的土壤和空间、他们的所有者、使用者或其他任何人，也不得在工程或工程任何部分的实施中采用可能会给这类财产、土地、街道、市政设施、树木和人员带来损害或伤害的的施工方法；承包人应保障发包人免于因工程实施对周边毗邻财产或人身等的损害或伤害而可能招致的索赔、罚款和其它法律责任。承包人因临时或永久工程施工需临时中断任何市政设施的总管或其它设施时，应首先从政府有关管理机构取得相关许可，承包人应周密计划和科学组织，保证此类中断的时间应尽可能短。在整个工程施工期间，承包人应负责保护所有的现有道路、步行道、踏步和在它们地下的可能的服务设施；承包人应自费对那些因受他控制的任何原因引起的对上述设施的损害或损坏进行修缮直至达到政府有关管理机构满意，并支付与此相关的任何费用和罚款；</w:t>
      </w:r>
    </w:p>
    <w:p w14:paraId="41F103E5">
      <w:pPr>
        <w:snapToGrid w:val="0"/>
        <w:spacing w:line="360" w:lineRule="auto"/>
        <w:ind w:firstLine="420" w:firstLineChars="200"/>
        <w:rPr>
          <w:rFonts w:ascii="宋体" w:hAnsi="宋体" w:cs="等线"/>
          <w:highlight w:val="none"/>
          <w:u w:val="single"/>
        </w:rPr>
      </w:pPr>
      <w:r>
        <w:rPr>
          <w:rFonts w:hint="eastAsia" w:ascii="宋体" w:hAnsi="宋体" w:cs="等线"/>
          <w:highlight w:val="none"/>
          <w:u w:val="single"/>
        </w:rPr>
        <w:t>10)</w:t>
      </w:r>
      <w:r>
        <w:rPr>
          <w:rFonts w:hint="eastAsia" w:ascii="宋体" w:hAnsi="宋体" w:cs="等线"/>
          <w:highlight w:val="none"/>
          <w:u w:val="single"/>
        </w:rPr>
        <w:tab/>
      </w:r>
      <w:r>
        <w:rPr>
          <w:rFonts w:hint="eastAsia" w:ascii="宋体" w:hAnsi="宋体" w:cs="等线"/>
          <w:highlight w:val="none"/>
          <w:u w:val="single"/>
        </w:rPr>
        <w:t>竣工清理：在工程竣工后10日内，不管发包人是否已办妥政府有关机构所要求的一切必要的批准、备案手续以及是否已发布移交证书，承包人应安排专业队伍全面履行其合同责任和义务，包括：(a)从现场清除所有剩余材料、杂物、垃圾等等；(b)从现场拆除所有的临时建筑物和临时设施并恢复地面原状。</w:t>
      </w:r>
    </w:p>
    <w:p w14:paraId="44C474A8">
      <w:pPr>
        <w:snapToGrid w:val="0"/>
        <w:spacing w:line="360" w:lineRule="auto"/>
        <w:ind w:firstLine="420" w:firstLineChars="200"/>
        <w:rPr>
          <w:rFonts w:ascii="宋体" w:hAnsi="宋体" w:cs="等线"/>
          <w:highlight w:val="none"/>
          <w:u w:val="single"/>
        </w:rPr>
      </w:pPr>
      <w:r>
        <w:rPr>
          <w:rFonts w:hint="eastAsia" w:ascii="宋体" w:hAnsi="宋体" w:cs="等线"/>
          <w:highlight w:val="none"/>
          <w:u w:val="single"/>
        </w:rPr>
        <w:t>11)</w:t>
      </w:r>
      <w:r>
        <w:rPr>
          <w:rFonts w:hint="eastAsia" w:ascii="宋体" w:hAnsi="宋体" w:cs="等线"/>
          <w:highlight w:val="none"/>
          <w:u w:val="single"/>
        </w:rPr>
        <w:tab/>
      </w:r>
      <w:r>
        <w:rPr>
          <w:rFonts w:hint="eastAsia" w:ascii="宋体" w:hAnsi="宋体" w:cs="等线"/>
          <w:highlight w:val="none"/>
          <w:u w:val="single"/>
        </w:rPr>
        <w:t xml:space="preserve">其他责任和义务：如果任何为本工程正常使用功能和设计使用寿命所必须的或为本工程适用的任何规范、规程或标准所要求的工作既未以文字形式明确约定为属于发包人或任何其他承包人的工作，也未在本合同中以文字形式明确提及，则此类工作应由作为承担本工程承包责任和义务的承包人的工作。承包人不得就此类潜在责任和义务向发包人提出任何费用和工期的索赔要求，且在任何情况下，承包人也不得就此提出有关其投标价格考虑不周、有缺或漏、计算错误等的补偿要求。 </w:t>
      </w:r>
    </w:p>
    <w:p w14:paraId="3BCFC4FA">
      <w:pPr>
        <w:snapToGrid w:val="0"/>
        <w:spacing w:line="360" w:lineRule="auto"/>
        <w:ind w:firstLine="420" w:firstLineChars="200"/>
        <w:rPr>
          <w:rFonts w:ascii="宋体" w:hAnsi="宋体" w:cs="等线"/>
          <w:highlight w:val="none"/>
          <w:u w:val="single"/>
        </w:rPr>
      </w:pPr>
      <w:r>
        <w:rPr>
          <w:rFonts w:hint="eastAsia" w:ascii="宋体" w:hAnsi="宋体" w:cs="等线"/>
          <w:highlight w:val="none"/>
          <w:u w:val="single"/>
        </w:rPr>
        <w:t>12)</w:t>
      </w:r>
      <w:r>
        <w:rPr>
          <w:rFonts w:hint="eastAsia" w:ascii="宋体" w:hAnsi="宋体" w:cs="等线"/>
          <w:highlight w:val="none"/>
          <w:u w:val="single"/>
        </w:rPr>
        <w:tab/>
      </w:r>
      <w:r>
        <w:rPr>
          <w:rFonts w:hint="eastAsia" w:ascii="宋体" w:hAnsi="宋体" w:cs="等线"/>
          <w:highlight w:val="none"/>
          <w:u w:val="single"/>
        </w:rPr>
        <w:t>承担施工安全保卫工作及非夜间施工照明的责任和要求：承包人应保证现场施工安全保卫工作和非夜间施工照明，以及场内、场内与场外接口处交通的通畅，符合国家及北京市的有关规定，以免除发包人人员、监理公司人员以及其他第三方人员在施工现场因承包人未完成本条之规定所造成的人员伤害损失和财产损失。</w:t>
      </w:r>
    </w:p>
    <w:p w14:paraId="650BC3BB">
      <w:pPr>
        <w:snapToGrid w:val="0"/>
        <w:spacing w:line="360" w:lineRule="auto"/>
        <w:ind w:firstLine="420" w:firstLineChars="200"/>
        <w:rPr>
          <w:rFonts w:ascii="宋体" w:hAnsi="宋体" w:cs="等线"/>
          <w:highlight w:val="none"/>
          <w:u w:val="single"/>
        </w:rPr>
      </w:pPr>
      <w:r>
        <w:rPr>
          <w:rFonts w:hint="eastAsia" w:ascii="宋体" w:hAnsi="宋体" w:cs="等线"/>
          <w:highlight w:val="none"/>
          <w:u w:val="single"/>
        </w:rPr>
        <w:t>13)</w:t>
      </w:r>
      <w:r>
        <w:rPr>
          <w:rFonts w:hint="eastAsia" w:ascii="宋体" w:hAnsi="宋体" w:cs="等线"/>
          <w:highlight w:val="none"/>
          <w:u w:val="single"/>
        </w:rPr>
        <w:tab/>
      </w:r>
      <w:r>
        <w:rPr>
          <w:rFonts w:hint="eastAsia" w:ascii="宋体" w:hAnsi="宋体" w:cs="等线"/>
          <w:highlight w:val="none"/>
          <w:u w:val="single"/>
        </w:rPr>
        <w:t>需承包人办理的有关施工场地交通、环卫和施工噪音管理等手续：承包人应按照北京市有关施工场地交通、环卫、施工噪音管理等的要求，自己承担费用办理相关手续（如交通特别通行证、排污手续、降噪措施），并保证这些规定在施工中得到贯彻执行，以免除发包人因承包人未能完成上述工作所承担的费用支出（包括于政府部门罚款、工期延误期间的费用支出）和工期延误责任。承包人须主动协调同周围居民及有关单位的关系，以免造成窝工、停工、延误工期的现象发生。</w:t>
      </w:r>
    </w:p>
    <w:p w14:paraId="0D6E09D5">
      <w:pPr>
        <w:snapToGrid w:val="0"/>
        <w:spacing w:line="360" w:lineRule="auto"/>
        <w:ind w:firstLine="420" w:firstLineChars="200"/>
        <w:rPr>
          <w:rFonts w:ascii="宋体" w:hAnsi="宋体" w:cs="等线"/>
          <w:highlight w:val="none"/>
          <w:u w:val="single"/>
        </w:rPr>
      </w:pPr>
      <w:r>
        <w:rPr>
          <w:rFonts w:hint="eastAsia" w:ascii="宋体" w:hAnsi="宋体" w:cs="等线"/>
          <w:highlight w:val="none"/>
          <w:u w:val="single"/>
        </w:rPr>
        <w:t>14)</w:t>
      </w:r>
      <w:r>
        <w:rPr>
          <w:rFonts w:hint="eastAsia" w:ascii="宋体" w:hAnsi="宋体" w:cs="等线"/>
          <w:highlight w:val="none"/>
          <w:u w:val="single"/>
        </w:rPr>
        <w:tab/>
      </w:r>
      <w:r>
        <w:rPr>
          <w:rFonts w:hint="eastAsia" w:ascii="宋体" w:hAnsi="宋体" w:cs="等线"/>
          <w:highlight w:val="none"/>
          <w:u w:val="single"/>
        </w:rPr>
        <w:t>施工场地清洁卫生的要求：保证施工现场清洁符合环境卫生以及消防、街道、防疫、园林、供电、交通、市政文物及安全管理等建设行政主管部门和相关部门的有关规定，应达到北京市文明工地标准。</w:t>
      </w:r>
    </w:p>
    <w:p w14:paraId="5F624780">
      <w:pPr>
        <w:snapToGrid w:val="0"/>
        <w:spacing w:line="360" w:lineRule="auto"/>
        <w:ind w:firstLine="420" w:firstLineChars="200"/>
        <w:rPr>
          <w:rFonts w:ascii="宋体" w:hAnsi="宋体" w:cs="等线"/>
          <w:highlight w:val="none"/>
          <w:u w:val="single"/>
        </w:rPr>
      </w:pPr>
      <w:r>
        <w:rPr>
          <w:rFonts w:hint="eastAsia" w:ascii="宋体" w:hAnsi="宋体" w:cs="等线"/>
          <w:highlight w:val="none"/>
          <w:u w:val="single"/>
        </w:rPr>
        <w:t>15)</w:t>
      </w:r>
      <w:r>
        <w:rPr>
          <w:rFonts w:hint="eastAsia" w:ascii="宋体" w:hAnsi="宋体" w:cs="等线"/>
          <w:highlight w:val="none"/>
          <w:u w:val="single"/>
        </w:rPr>
        <w:tab/>
      </w:r>
      <w:r>
        <w:rPr>
          <w:rFonts w:hint="eastAsia" w:ascii="宋体" w:hAnsi="宋体" w:cs="等线"/>
          <w:highlight w:val="none"/>
          <w:u w:val="single"/>
        </w:rPr>
        <w:t xml:space="preserve">由承包人负责施工现场的所有临时设施、临时道路、水、电、管线的修建安装和维护，室外管线工程施工时现场临时设施要服从施工需要进行滕让，保证施工的正常进行，并承担相应费用。施工区内临时设施、临时道路、水电管线安装和保养，施工现场内地下管线和临近建筑物、构筑物及临街交通要道、人行道的保护，费用由承包人负担。因承包人防护不利而发生事故，相关责任和费用由承包人承担。承包人施工完毕后，对所破坏的市政公共设施及道路应修复原貌，若承包人无力或未在规定的时间内修复，由发包人代为修复，费用由承包人承担。 </w:t>
      </w:r>
    </w:p>
    <w:p w14:paraId="7CCB4BC6">
      <w:pPr>
        <w:snapToGrid w:val="0"/>
        <w:spacing w:line="360" w:lineRule="auto"/>
        <w:ind w:firstLine="420" w:firstLineChars="200"/>
        <w:rPr>
          <w:rFonts w:ascii="宋体" w:hAnsi="宋体" w:cs="等线"/>
          <w:highlight w:val="none"/>
          <w:u w:val="single"/>
        </w:rPr>
      </w:pPr>
      <w:r>
        <w:rPr>
          <w:rFonts w:hint="eastAsia" w:ascii="宋体" w:hAnsi="宋体" w:cs="等线"/>
          <w:highlight w:val="none"/>
          <w:u w:val="single"/>
        </w:rPr>
        <w:t>16)</w:t>
      </w:r>
      <w:r>
        <w:rPr>
          <w:rFonts w:hint="eastAsia" w:ascii="宋体" w:hAnsi="宋体" w:cs="等线"/>
          <w:highlight w:val="none"/>
          <w:u w:val="single"/>
        </w:rPr>
        <w:tab/>
      </w:r>
      <w:r>
        <w:rPr>
          <w:rFonts w:hint="eastAsia" w:ascii="宋体" w:hAnsi="宋体" w:cs="等线"/>
          <w:highlight w:val="none"/>
          <w:u w:val="single"/>
        </w:rPr>
        <w:t>对于承包人在施工过程中有需要发包人配合完成的工作，承包人应于施工总控制进度计划中明确表述或提前足够的时间通知发包人。</w:t>
      </w:r>
    </w:p>
    <w:p w14:paraId="3531AEC6">
      <w:pPr>
        <w:snapToGrid w:val="0"/>
        <w:spacing w:line="360" w:lineRule="auto"/>
        <w:ind w:firstLine="420" w:firstLineChars="200"/>
        <w:rPr>
          <w:rFonts w:ascii="宋体" w:hAnsi="宋体" w:cs="等线"/>
          <w:highlight w:val="none"/>
          <w:u w:val="single"/>
        </w:rPr>
      </w:pPr>
      <w:r>
        <w:rPr>
          <w:rFonts w:hint="eastAsia" w:ascii="宋体" w:hAnsi="宋体" w:cs="等线"/>
          <w:highlight w:val="none"/>
          <w:u w:val="single"/>
        </w:rPr>
        <w:t>17)</w:t>
      </w:r>
      <w:r>
        <w:rPr>
          <w:rFonts w:hint="eastAsia" w:ascii="宋体" w:hAnsi="宋体" w:cs="等线"/>
          <w:highlight w:val="none"/>
          <w:u w:val="single"/>
        </w:rPr>
        <w:tab/>
      </w:r>
      <w:r>
        <w:rPr>
          <w:rFonts w:hint="eastAsia" w:ascii="宋体" w:hAnsi="宋体" w:cs="等线"/>
          <w:highlight w:val="none"/>
          <w:u w:val="single"/>
        </w:rPr>
        <w:t>承包人确认已充分考察了解施工现场的使用条件，承担办理施工临建设施相关的工作，并在投标报价中已考虑相关费用。特别提醒投标人，因施工场地狭小发生的租用临时用地的费用及相关交通费在投标时列入投标总价，结算时不予调整。</w:t>
      </w:r>
    </w:p>
    <w:p w14:paraId="68BF662F">
      <w:pPr>
        <w:snapToGrid w:val="0"/>
        <w:spacing w:line="360" w:lineRule="auto"/>
        <w:ind w:firstLine="420" w:firstLineChars="200"/>
        <w:rPr>
          <w:rFonts w:ascii="宋体" w:hAnsi="宋体" w:cs="等线"/>
          <w:highlight w:val="none"/>
          <w:u w:val="single"/>
        </w:rPr>
      </w:pPr>
      <w:r>
        <w:rPr>
          <w:rFonts w:hint="eastAsia" w:ascii="宋体" w:hAnsi="宋体" w:cs="等线"/>
          <w:highlight w:val="none"/>
          <w:u w:val="single"/>
        </w:rPr>
        <w:t>18)</w:t>
      </w:r>
      <w:r>
        <w:rPr>
          <w:rFonts w:hint="eastAsia" w:ascii="宋体" w:hAnsi="宋体" w:cs="等线"/>
          <w:highlight w:val="none"/>
          <w:u w:val="single"/>
        </w:rPr>
        <w:tab/>
      </w:r>
      <w:r>
        <w:rPr>
          <w:rFonts w:hint="eastAsia" w:ascii="宋体" w:hAnsi="宋体" w:cs="等线"/>
          <w:highlight w:val="none"/>
          <w:u w:val="single"/>
        </w:rPr>
        <w:t>与本工程无关的人员及设备材料均不得进入现场，发包人有权进行检查。</w:t>
      </w:r>
    </w:p>
    <w:p w14:paraId="3074075C">
      <w:pPr>
        <w:snapToGrid w:val="0"/>
        <w:spacing w:line="360" w:lineRule="auto"/>
        <w:ind w:firstLine="420" w:firstLineChars="200"/>
        <w:rPr>
          <w:rFonts w:ascii="宋体" w:hAnsi="宋体" w:cs="等线"/>
          <w:highlight w:val="none"/>
          <w:u w:val="single"/>
        </w:rPr>
      </w:pPr>
      <w:r>
        <w:rPr>
          <w:rFonts w:hint="eastAsia" w:ascii="宋体" w:hAnsi="宋体" w:cs="等线"/>
          <w:highlight w:val="none"/>
          <w:u w:val="single"/>
        </w:rPr>
        <w:t>19）对于监理、发包人认定不合格的材料或设备，承包人必须在24小时内清理出场。</w:t>
      </w:r>
    </w:p>
    <w:p w14:paraId="4F30382C">
      <w:pPr>
        <w:snapToGrid w:val="0"/>
        <w:spacing w:line="360" w:lineRule="auto"/>
        <w:ind w:firstLine="420" w:firstLineChars="200"/>
        <w:rPr>
          <w:rFonts w:ascii="宋体" w:hAnsi="宋体" w:cs="等线"/>
          <w:highlight w:val="none"/>
          <w:u w:val="single"/>
        </w:rPr>
      </w:pPr>
      <w:r>
        <w:rPr>
          <w:rFonts w:hint="eastAsia" w:ascii="宋体" w:hAnsi="宋体" w:cs="等线"/>
          <w:highlight w:val="none"/>
          <w:u w:val="single"/>
        </w:rPr>
        <w:t>20）乙方在施工范围内进行拆除工作时，需对现场所需拆除的材料及设备提前向甲方报备，涉及学校资产、可回收利用的资源，乙方应妥善保管，并应交由甲方进行处置，乙方不得擅自变卖。对于其余经甲方查看后不可回收，且不涉及学校资产的设备、物品等，乙方负责对其进行运输和消纳，并在报价中进行体现。拆除的数量作为结算拆除工程量，实际拆除的可回收材料较原资源不足的，需说明理由，否则应按实际损失金额赔偿。</w:t>
      </w:r>
    </w:p>
    <w:p w14:paraId="567F5711">
      <w:pPr>
        <w:snapToGrid w:val="0"/>
        <w:spacing w:line="360" w:lineRule="auto"/>
        <w:ind w:firstLine="420" w:firstLineChars="200"/>
        <w:rPr>
          <w:rFonts w:ascii="宋体" w:hAnsi="宋体" w:cs="等线"/>
          <w:highlight w:val="none"/>
          <w:u w:val="single"/>
        </w:rPr>
      </w:pPr>
      <w:r>
        <w:rPr>
          <w:rFonts w:hint="eastAsia" w:ascii="宋体" w:hAnsi="宋体" w:cs="等线"/>
          <w:highlight w:val="none"/>
          <w:u w:val="single"/>
        </w:rPr>
        <w:t>21）承包人应严格遵守北京财贸职业学院的有关规定。</w:t>
      </w:r>
    </w:p>
    <w:p w14:paraId="55ACD222">
      <w:pPr>
        <w:spacing w:after="120"/>
        <w:rPr>
          <w:rFonts w:ascii="Cambria" w:hAnsi="Cambria"/>
          <w:b/>
          <w:sz w:val="32"/>
          <w:szCs w:val="20"/>
          <w:highlight w:val="none"/>
        </w:rPr>
      </w:pPr>
    </w:p>
    <w:p w14:paraId="36A7C546">
      <w:pPr>
        <w:keepNext/>
        <w:keepLines/>
        <w:spacing w:line="360" w:lineRule="auto"/>
        <w:outlineLvl w:val="2"/>
        <w:rPr>
          <w:rFonts w:ascii="宋体" w:hAnsi="宋体" w:cs="等线"/>
          <w:sz w:val="24"/>
          <w:highlight w:val="none"/>
        </w:rPr>
      </w:pPr>
      <w:bookmarkStart w:id="1556" w:name="_Toc38732165"/>
      <w:bookmarkStart w:id="1557" w:name="_Toc13254"/>
      <w:bookmarkStart w:id="1558" w:name="_Toc159950784"/>
      <w:r>
        <w:rPr>
          <w:rFonts w:hint="eastAsia" w:ascii="宋体" w:hAnsi="宋体" w:cs="等线"/>
          <w:sz w:val="24"/>
          <w:highlight w:val="none"/>
        </w:rPr>
        <w:t>4.2 履约担保</w:t>
      </w:r>
      <w:bookmarkEnd w:id="1556"/>
      <w:bookmarkEnd w:id="1557"/>
      <w:bookmarkEnd w:id="1558"/>
      <w:r>
        <w:rPr>
          <w:rFonts w:hint="eastAsia" w:ascii="宋体" w:hAnsi="宋体" w:cs="等线"/>
          <w:sz w:val="24"/>
          <w:highlight w:val="none"/>
        </w:rPr>
        <w:t xml:space="preserve"> </w:t>
      </w:r>
    </w:p>
    <w:p w14:paraId="6C553A25">
      <w:pPr>
        <w:spacing w:line="360" w:lineRule="auto"/>
        <w:ind w:firstLine="420" w:firstLineChars="200"/>
        <w:rPr>
          <w:rFonts w:ascii="宋体" w:hAnsi="宋体" w:cs="等线"/>
          <w:highlight w:val="none"/>
        </w:rPr>
      </w:pPr>
      <w:r>
        <w:rPr>
          <w:rFonts w:hint="eastAsia" w:ascii="宋体" w:hAnsi="宋体" w:cs="等线"/>
          <w:highlight w:val="none"/>
        </w:rPr>
        <w:t>4.2.1 履约担保的格式和金额</w:t>
      </w:r>
    </w:p>
    <w:p w14:paraId="46429A52">
      <w:pPr>
        <w:spacing w:line="360" w:lineRule="auto"/>
        <w:ind w:firstLine="420" w:firstLineChars="200"/>
        <w:rPr>
          <w:rFonts w:ascii="宋体" w:hAnsi="宋体" w:cs="等线"/>
          <w:highlight w:val="none"/>
        </w:rPr>
      </w:pPr>
      <w:r>
        <w:rPr>
          <w:rFonts w:hint="eastAsia" w:ascii="宋体" w:hAnsi="宋体" w:cs="等线"/>
          <w:highlight w:val="none"/>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hint="eastAsia" w:ascii="宋体" w:hAnsi="宋体" w:cs="等线"/>
          <w:highlight w:val="none"/>
          <w:u w:val="single"/>
        </w:rPr>
        <w:t xml:space="preserve">          /        </w:t>
      </w:r>
      <w:r>
        <w:rPr>
          <w:rFonts w:hint="eastAsia" w:ascii="宋体" w:hAnsi="宋体" w:cs="等线"/>
          <w:highlight w:val="none"/>
        </w:rPr>
        <w:t>。履约担保是本合同的附件。</w:t>
      </w:r>
    </w:p>
    <w:p w14:paraId="0D5E10CC">
      <w:pPr>
        <w:spacing w:line="360" w:lineRule="auto"/>
        <w:ind w:firstLine="420" w:firstLineChars="200"/>
        <w:rPr>
          <w:rFonts w:ascii="宋体" w:hAnsi="宋体" w:cs="等线"/>
          <w:highlight w:val="none"/>
        </w:rPr>
      </w:pPr>
      <w:r>
        <w:rPr>
          <w:rFonts w:hint="eastAsia" w:ascii="宋体" w:hAnsi="宋体" w:cs="等线"/>
          <w:highlight w:val="none"/>
        </w:rPr>
        <w:t>4.2.2 履约担保的有效期</w:t>
      </w:r>
    </w:p>
    <w:p w14:paraId="02D119B2">
      <w:pPr>
        <w:spacing w:line="360" w:lineRule="auto"/>
        <w:ind w:firstLine="420" w:firstLineChars="200"/>
        <w:rPr>
          <w:rFonts w:ascii="宋体" w:hAnsi="宋体" w:cs="等线"/>
          <w:highlight w:val="none"/>
        </w:rPr>
      </w:pPr>
      <w:r>
        <w:rPr>
          <w:rFonts w:hint="eastAsia" w:ascii="宋体" w:hAnsi="宋体" w:cs="等线"/>
          <w:highlight w:val="none"/>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13DD7D61">
      <w:pPr>
        <w:spacing w:line="360" w:lineRule="auto"/>
        <w:ind w:firstLine="420" w:firstLineChars="200"/>
        <w:rPr>
          <w:rFonts w:ascii="宋体" w:hAnsi="宋体" w:cs="等线"/>
          <w:highlight w:val="none"/>
        </w:rPr>
      </w:pPr>
      <w:r>
        <w:rPr>
          <w:rFonts w:hint="eastAsia" w:ascii="宋体" w:hAnsi="宋体" w:cs="等线"/>
          <w:highlight w:val="none"/>
        </w:rPr>
        <w:t>4.2.3 履约担保的退还</w:t>
      </w:r>
    </w:p>
    <w:p w14:paraId="3A2752DF">
      <w:pPr>
        <w:spacing w:line="360" w:lineRule="auto"/>
        <w:ind w:firstLine="420" w:firstLineChars="200"/>
        <w:rPr>
          <w:rFonts w:ascii="宋体" w:hAnsi="宋体" w:cs="等线"/>
          <w:highlight w:val="none"/>
        </w:rPr>
      </w:pPr>
      <w:r>
        <w:rPr>
          <w:rFonts w:hint="eastAsia" w:ascii="宋体" w:hAnsi="宋体" w:cs="等线"/>
          <w:highlight w:val="none"/>
        </w:rPr>
        <w:t>履约担保应在监理人向承包人颁发（出具）工程接收证书之日后28天内退还给承包人。发包人不承担承包人与履约担保有关的任何利息或其它类似的费用或者收益。</w:t>
      </w:r>
    </w:p>
    <w:p w14:paraId="1A58F13B">
      <w:pPr>
        <w:spacing w:line="360" w:lineRule="auto"/>
        <w:ind w:firstLine="420" w:firstLineChars="200"/>
        <w:rPr>
          <w:rFonts w:ascii="宋体" w:hAnsi="宋体" w:cs="等线"/>
          <w:highlight w:val="none"/>
        </w:rPr>
      </w:pPr>
      <w:r>
        <w:rPr>
          <w:rFonts w:hint="eastAsia" w:ascii="宋体" w:hAnsi="宋体" w:cs="等线"/>
          <w:highlight w:val="none"/>
        </w:rPr>
        <w:t>4.2.4 通知义务</w:t>
      </w:r>
    </w:p>
    <w:p w14:paraId="73B40EB7">
      <w:pPr>
        <w:spacing w:line="360" w:lineRule="auto"/>
        <w:ind w:firstLine="420" w:firstLineChars="200"/>
        <w:rPr>
          <w:rFonts w:ascii="宋体" w:hAnsi="宋体" w:cs="等线"/>
          <w:highlight w:val="none"/>
        </w:rPr>
      </w:pPr>
      <w:r>
        <w:rPr>
          <w:rFonts w:hint="eastAsia" w:ascii="宋体" w:hAnsi="宋体" w:cs="等线"/>
          <w:highlight w:val="none"/>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5745B8AC">
      <w:pPr>
        <w:keepNext/>
        <w:keepLines/>
        <w:spacing w:line="360" w:lineRule="auto"/>
        <w:outlineLvl w:val="2"/>
        <w:rPr>
          <w:rFonts w:ascii="宋体" w:hAnsi="宋体" w:cs="等线"/>
          <w:sz w:val="24"/>
          <w:highlight w:val="none"/>
        </w:rPr>
      </w:pPr>
      <w:bookmarkStart w:id="1559" w:name="_Toc159950785"/>
      <w:bookmarkStart w:id="1560" w:name="_Toc27947"/>
      <w:bookmarkStart w:id="1561" w:name="_Toc38732166"/>
      <w:r>
        <w:rPr>
          <w:rFonts w:hint="eastAsia" w:ascii="宋体" w:hAnsi="宋体" w:cs="等线"/>
          <w:sz w:val="24"/>
          <w:highlight w:val="none"/>
        </w:rPr>
        <w:t>4.3 分包</w:t>
      </w:r>
      <w:bookmarkEnd w:id="1559"/>
      <w:bookmarkEnd w:id="1560"/>
      <w:bookmarkEnd w:id="1561"/>
      <w:r>
        <w:rPr>
          <w:rFonts w:hint="eastAsia" w:ascii="宋体" w:hAnsi="宋体" w:cs="等线"/>
          <w:sz w:val="24"/>
          <w:highlight w:val="none"/>
        </w:rPr>
        <w:t xml:space="preserve"> </w:t>
      </w:r>
    </w:p>
    <w:p w14:paraId="429848CB">
      <w:pPr>
        <w:spacing w:line="360" w:lineRule="auto"/>
        <w:ind w:firstLine="420" w:firstLineChars="200"/>
        <w:rPr>
          <w:rFonts w:ascii="宋体" w:hAnsi="宋体" w:cs="等线"/>
          <w:highlight w:val="none"/>
        </w:rPr>
      </w:pPr>
      <w:r>
        <w:rPr>
          <w:rFonts w:hint="eastAsia" w:ascii="宋体" w:hAnsi="宋体" w:cs="等线"/>
          <w:highlight w:val="none"/>
        </w:rPr>
        <w:t>4.3.2发包人同意承包人分包的非主体、非关键性工作见投标函附录。除通用合同条款第4.3款的约定外，分包还应遵循以下约定：</w:t>
      </w:r>
    </w:p>
    <w:p w14:paraId="4CF69D5F">
      <w:pPr>
        <w:spacing w:line="360" w:lineRule="auto"/>
        <w:ind w:firstLine="315" w:firstLineChars="150"/>
        <w:rPr>
          <w:rFonts w:ascii="宋体" w:hAnsi="宋体" w:cs="等线"/>
          <w:highlight w:val="none"/>
        </w:rPr>
      </w:pPr>
      <w:r>
        <w:rPr>
          <w:rFonts w:hint="eastAsia" w:ascii="宋体" w:hAnsi="宋体" w:cs="等线"/>
          <w:highlight w:val="none"/>
        </w:rPr>
        <w:t>（1）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7BEBABD2">
      <w:pPr>
        <w:spacing w:line="360" w:lineRule="auto"/>
        <w:ind w:firstLine="315" w:firstLineChars="150"/>
        <w:rPr>
          <w:rFonts w:ascii="宋体" w:hAnsi="宋体" w:cs="等线"/>
          <w:highlight w:val="none"/>
        </w:rPr>
      </w:pPr>
      <w:r>
        <w:rPr>
          <w:rFonts w:hint="eastAsia" w:ascii="宋体" w:hAnsi="宋体" w:cs="等线"/>
          <w:highlight w:val="none"/>
        </w:rPr>
        <w:t>（2）发包人在工程量清单中给定暂估价的专业工程，包括从暂列金额开支的专业工程，达到依法应当招标的规模标准的，以及虽未达到规定的规模标准但合同中约定采用分包方式或者招标方式实施的，应当按专用合同条款第15.8.1项的约定，由发包人和承包人以招标方式确定专业分包人。除项目审批部门有特别核准外，暂估价的专业工程的招标应当采用与施工总承包同样的招标方式。</w:t>
      </w:r>
    </w:p>
    <w:p w14:paraId="4A2A4FF9">
      <w:pPr>
        <w:spacing w:line="360" w:lineRule="auto"/>
        <w:ind w:firstLine="315" w:firstLineChars="150"/>
        <w:rPr>
          <w:rFonts w:ascii="宋体" w:hAnsi="宋体" w:cs="等线"/>
          <w:highlight w:val="none"/>
        </w:rPr>
      </w:pPr>
      <w:r>
        <w:rPr>
          <w:rFonts w:hint="eastAsia" w:ascii="宋体" w:hAnsi="宋体" w:cs="等线"/>
          <w:highlight w:val="none"/>
        </w:rPr>
        <w:t>（3）在相关分包合同签订并报送有关建设行政主管部门备案后7天内，承包人应当将一份副本提交给监理人，承包人应保障分包工作不得再次分包。</w:t>
      </w:r>
    </w:p>
    <w:p w14:paraId="0DD6BCA6">
      <w:pPr>
        <w:spacing w:line="360" w:lineRule="auto"/>
        <w:ind w:firstLine="315" w:firstLineChars="150"/>
        <w:rPr>
          <w:rFonts w:ascii="宋体" w:hAnsi="宋体" w:cs="等线"/>
          <w:highlight w:val="none"/>
        </w:rPr>
      </w:pPr>
      <w:r>
        <w:rPr>
          <w:rFonts w:hint="eastAsia" w:ascii="宋体" w:hAnsi="宋体" w:cs="等线"/>
          <w:highlight w:val="none"/>
        </w:rPr>
        <w:t>（4）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7CA4F985">
      <w:pPr>
        <w:spacing w:line="360" w:lineRule="auto"/>
        <w:ind w:firstLine="315" w:firstLineChars="150"/>
        <w:rPr>
          <w:rFonts w:ascii="宋体" w:hAnsi="宋体" w:cs="等线"/>
          <w:highlight w:val="none"/>
        </w:rPr>
      </w:pPr>
      <w:r>
        <w:rPr>
          <w:rFonts w:hint="eastAsia" w:ascii="宋体" w:hAnsi="宋体" w:cs="等线"/>
          <w:highlight w:val="none"/>
        </w:rPr>
        <w:t>（5）未经发包人和监理人审批同意的分包工程和分包人，发包人有权拒绝验收分包工程和支付相应款项，由此引起的承包人费用增加和（或）延误的工期由承包人承担。</w:t>
      </w:r>
    </w:p>
    <w:p w14:paraId="04AD90D9">
      <w:pPr>
        <w:keepNext/>
        <w:keepLines/>
        <w:spacing w:line="360" w:lineRule="auto"/>
        <w:outlineLvl w:val="2"/>
        <w:rPr>
          <w:rFonts w:ascii="宋体" w:hAnsi="宋体" w:cs="等线"/>
          <w:sz w:val="24"/>
          <w:highlight w:val="none"/>
        </w:rPr>
      </w:pPr>
      <w:bookmarkStart w:id="1562" w:name="_Toc159950786"/>
      <w:bookmarkStart w:id="1563" w:name="_Toc29090"/>
      <w:bookmarkStart w:id="1564" w:name="_Toc38732167"/>
      <w:r>
        <w:rPr>
          <w:rFonts w:hint="eastAsia" w:ascii="宋体" w:hAnsi="宋体" w:cs="等线"/>
          <w:sz w:val="24"/>
          <w:highlight w:val="none"/>
        </w:rPr>
        <w:t>4.5 承包人项目经理</w:t>
      </w:r>
      <w:bookmarkEnd w:id="1562"/>
      <w:bookmarkEnd w:id="1563"/>
      <w:bookmarkEnd w:id="1564"/>
    </w:p>
    <w:p w14:paraId="17EB3653">
      <w:pPr>
        <w:spacing w:line="360" w:lineRule="auto"/>
        <w:ind w:firstLine="420" w:firstLineChars="200"/>
        <w:rPr>
          <w:rFonts w:ascii="宋体" w:hAnsi="宋体" w:cs="等线"/>
          <w:highlight w:val="none"/>
        </w:rPr>
      </w:pPr>
      <w:r>
        <w:rPr>
          <w:rFonts w:hint="eastAsia" w:ascii="宋体" w:hAnsi="宋体" w:cs="等线"/>
          <w:highlight w:val="none"/>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375BC9D9">
      <w:pPr>
        <w:keepNext/>
        <w:keepLines/>
        <w:spacing w:line="360" w:lineRule="auto"/>
        <w:outlineLvl w:val="2"/>
        <w:rPr>
          <w:rFonts w:ascii="宋体" w:hAnsi="宋体" w:cs="等线"/>
          <w:sz w:val="24"/>
          <w:highlight w:val="none"/>
        </w:rPr>
      </w:pPr>
      <w:bookmarkStart w:id="1565" w:name="_Toc11834"/>
      <w:bookmarkStart w:id="1566" w:name="_Toc159950787"/>
      <w:bookmarkStart w:id="1567" w:name="_Toc38732168"/>
      <w:r>
        <w:rPr>
          <w:rFonts w:hint="eastAsia" w:ascii="宋体" w:hAnsi="宋体" w:cs="等线"/>
          <w:sz w:val="24"/>
          <w:highlight w:val="none"/>
        </w:rPr>
        <w:t>4.11 不利物质条件</w:t>
      </w:r>
      <w:bookmarkEnd w:id="1565"/>
      <w:bookmarkEnd w:id="1566"/>
      <w:bookmarkEnd w:id="1567"/>
    </w:p>
    <w:p w14:paraId="22686FF5">
      <w:pPr>
        <w:spacing w:line="360" w:lineRule="auto"/>
        <w:ind w:firstLine="420" w:firstLineChars="200"/>
        <w:rPr>
          <w:rFonts w:ascii="宋体" w:hAnsi="宋体" w:cs="等线"/>
          <w:highlight w:val="none"/>
          <w:u w:val="single"/>
        </w:rPr>
      </w:pPr>
      <w:r>
        <w:rPr>
          <w:rFonts w:hint="eastAsia" w:ascii="宋体" w:hAnsi="宋体" w:cs="等线"/>
          <w:highlight w:val="none"/>
        </w:rPr>
        <w:t>4.11.1不利物质条件的范围：</w:t>
      </w:r>
      <w:r>
        <w:rPr>
          <w:rFonts w:hint="eastAsia" w:ascii="宋体" w:hAnsi="宋体" w:cs="等线"/>
          <w:highlight w:val="none"/>
          <w:u w:val="single"/>
        </w:rPr>
        <w:t xml:space="preserve">执行通用合同条款。 </w:t>
      </w:r>
    </w:p>
    <w:p w14:paraId="11ED1A80">
      <w:pPr>
        <w:keepNext/>
        <w:keepLines/>
        <w:spacing w:line="400" w:lineRule="exact"/>
        <w:outlineLvl w:val="1"/>
        <w:rPr>
          <w:rFonts w:ascii="宋体" w:hAnsi="宋体" w:cs="等线"/>
          <w:sz w:val="24"/>
          <w:highlight w:val="none"/>
        </w:rPr>
      </w:pPr>
      <w:bookmarkStart w:id="1568" w:name="_Toc31848"/>
      <w:bookmarkStart w:id="1569" w:name="_Toc159950788"/>
      <w:bookmarkStart w:id="1570" w:name="_Toc38732169"/>
      <w:bookmarkStart w:id="1571" w:name="_Toc18089"/>
      <w:r>
        <w:rPr>
          <w:rFonts w:hint="eastAsia" w:ascii="宋体" w:hAnsi="宋体" w:cs="等线"/>
          <w:sz w:val="24"/>
          <w:highlight w:val="none"/>
        </w:rPr>
        <w:t>5. 材料和工程设备</w:t>
      </w:r>
      <w:bookmarkEnd w:id="1568"/>
      <w:bookmarkEnd w:id="1569"/>
      <w:bookmarkEnd w:id="1570"/>
      <w:bookmarkEnd w:id="1571"/>
    </w:p>
    <w:p w14:paraId="59AEC7AA">
      <w:pPr>
        <w:keepNext/>
        <w:keepLines/>
        <w:spacing w:line="400" w:lineRule="exact"/>
        <w:outlineLvl w:val="2"/>
        <w:rPr>
          <w:rFonts w:ascii="宋体" w:hAnsi="宋体" w:cs="等线"/>
          <w:sz w:val="24"/>
          <w:highlight w:val="none"/>
        </w:rPr>
      </w:pPr>
      <w:bookmarkStart w:id="1572" w:name="_Toc20005"/>
      <w:bookmarkStart w:id="1573" w:name="_Toc38732170"/>
      <w:bookmarkStart w:id="1574" w:name="_Toc159950789"/>
      <w:r>
        <w:rPr>
          <w:rFonts w:hint="eastAsia" w:ascii="宋体" w:hAnsi="宋体" w:cs="等线"/>
          <w:sz w:val="24"/>
          <w:highlight w:val="none"/>
        </w:rPr>
        <w:t>5.1 承包人提供的材料和工程设备</w:t>
      </w:r>
      <w:bookmarkEnd w:id="1572"/>
      <w:bookmarkEnd w:id="1573"/>
      <w:bookmarkEnd w:id="1574"/>
    </w:p>
    <w:p w14:paraId="0429E03F">
      <w:pPr>
        <w:spacing w:line="400" w:lineRule="exact"/>
        <w:ind w:firstLine="420" w:firstLineChars="200"/>
        <w:rPr>
          <w:rFonts w:ascii="宋体" w:hAnsi="宋体" w:cs="等线"/>
          <w:highlight w:val="none"/>
        </w:rPr>
      </w:pPr>
      <w:r>
        <w:rPr>
          <w:rFonts w:hint="eastAsia" w:ascii="宋体" w:hAnsi="宋体" w:cs="等线"/>
          <w:highlight w:val="none"/>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承包人负责提供的主要材料和工程设备清单见合同附件二“承包人提供的材料和工程设备一览表”。</w:t>
      </w:r>
    </w:p>
    <w:p w14:paraId="466A38EC">
      <w:pPr>
        <w:spacing w:line="400" w:lineRule="exact"/>
        <w:ind w:firstLine="420" w:firstLineChars="200"/>
        <w:rPr>
          <w:rFonts w:ascii="宋体" w:hAnsi="宋体" w:cs="等线"/>
          <w:highlight w:val="none"/>
        </w:rPr>
      </w:pPr>
      <w:r>
        <w:rPr>
          <w:rFonts w:hint="eastAsia" w:ascii="宋体" w:hAnsi="宋体" w:cs="等线"/>
          <w:highlight w:val="none"/>
        </w:rPr>
        <w:t>5.1.2 承包人将由其提供的材料和工程设备的供货人及品种、规格、数量和供货时间等报送监理人审批的期限：</w:t>
      </w:r>
      <w:r>
        <w:rPr>
          <w:rFonts w:hint="eastAsia" w:ascii="宋体" w:hAnsi="宋体" w:cs="等线"/>
          <w:highlight w:val="none"/>
          <w:u w:val="single"/>
        </w:rPr>
        <w:t>材料和工程设备采购前15日内。</w:t>
      </w:r>
    </w:p>
    <w:p w14:paraId="698985D0">
      <w:pPr>
        <w:keepNext/>
        <w:keepLines/>
        <w:spacing w:line="400" w:lineRule="exact"/>
        <w:outlineLvl w:val="2"/>
        <w:rPr>
          <w:rFonts w:ascii="宋体" w:hAnsi="宋体" w:cs="等线"/>
          <w:sz w:val="24"/>
          <w:highlight w:val="none"/>
        </w:rPr>
      </w:pPr>
      <w:bookmarkStart w:id="1575" w:name="_Toc2372"/>
      <w:bookmarkStart w:id="1576" w:name="_Toc159950790"/>
      <w:bookmarkStart w:id="1577" w:name="_Toc38732171"/>
      <w:r>
        <w:rPr>
          <w:rFonts w:hint="eastAsia" w:ascii="宋体" w:hAnsi="宋体" w:cs="等线"/>
          <w:sz w:val="24"/>
          <w:highlight w:val="none"/>
        </w:rPr>
        <w:t>5.2 发包人提供的材料和工程设备</w:t>
      </w:r>
      <w:bookmarkEnd w:id="1575"/>
      <w:bookmarkEnd w:id="1576"/>
      <w:bookmarkEnd w:id="1577"/>
    </w:p>
    <w:p w14:paraId="23774746">
      <w:pPr>
        <w:spacing w:line="400" w:lineRule="exact"/>
        <w:ind w:firstLine="420" w:firstLineChars="200"/>
        <w:rPr>
          <w:rFonts w:ascii="宋体" w:hAnsi="宋体" w:cs="等线"/>
          <w:highlight w:val="none"/>
        </w:rPr>
      </w:pPr>
      <w:r>
        <w:rPr>
          <w:rFonts w:hint="eastAsia" w:ascii="宋体" w:hAnsi="宋体" w:cs="等线"/>
          <w:highlight w:val="none"/>
        </w:rPr>
        <w:t>5.2.1发包人负责提供的材料和工程设备的名称、规格、数量、价格、交货方式、交货地点和计划交货日期等见合同附件三“发包人提供的材料和工程设备一览表”。</w:t>
      </w:r>
    </w:p>
    <w:p w14:paraId="592FD408">
      <w:pPr>
        <w:spacing w:line="400" w:lineRule="exact"/>
        <w:ind w:firstLine="420" w:firstLineChars="200"/>
        <w:rPr>
          <w:rFonts w:ascii="宋体" w:hAnsi="宋体" w:cs="等线"/>
          <w:highlight w:val="none"/>
        </w:rPr>
      </w:pPr>
      <w:r>
        <w:rPr>
          <w:rFonts w:hint="eastAsia" w:ascii="宋体" w:hAnsi="宋体" w:cs="等线"/>
          <w:highlight w:val="none"/>
        </w:rPr>
        <w:t xml:space="preserve">5.2.3由发包人提供的材料和工程设备验收后，由承包人负责接收、运输和保管。 </w:t>
      </w:r>
    </w:p>
    <w:p w14:paraId="2B1198E4">
      <w:pPr>
        <w:keepNext/>
        <w:keepLines/>
        <w:spacing w:line="400" w:lineRule="exact"/>
        <w:outlineLvl w:val="1"/>
        <w:rPr>
          <w:rFonts w:ascii="宋体" w:hAnsi="宋体" w:cs="等线"/>
          <w:sz w:val="24"/>
          <w:highlight w:val="none"/>
        </w:rPr>
      </w:pPr>
      <w:bookmarkStart w:id="1578" w:name="_Toc38732172"/>
      <w:bookmarkStart w:id="1579" w:name="_Toc26520"/>
      <w:bookmarkStart w:id="1580" w:name="_Toc159950791"/>
      <w:bookmarkStart w:id="1581" w:name="_Toc16025"/>
      <w:r>
        <w:rPr>
          <w:rFonts w:hint="eastAsia" w:ascii="宋体" w:hAnsi="宋体" w:cs="等线"/>
          <w:sz w:val="24"/>
          <w:highlight w:val="none"/>
        </w:rPr>
        <w:t>6. 施工设备和临时设施</w:t>
      </w:r>
      <w:bookmarkEnd w:id="1578"/>
      <w:bookmarkEnd w:id="1579"/>
      <w:bookmarkEnd w:id="1580"/>
      <w:bookmarkEnd w:id="1581"/>
    </w:p>
    <w:p w14:paraId="322F81D5">
      <w:pPr>
        <w:keepNext/>
        <w:keepLines/>
        <w:spacing w:line="400" w:lineRule="exact"/>
        <w:outlineLvl w:val="2"/>
        <w:rPr>
          <w:rFonts w:ascii="宋体" w:hAnsi="宋体" w:cs="等线"/>
          <w:sz w:val="24"/>
          <w:highlight w:val="none"/>
        </w:rPr>
      </w:pPr>
      <w:bookmarkStart w:id="1582" w:name="_Toc13802"/>
      <w:bookmarkStart w:id="1583" w:name="_Toc38732173"/>
      <w:bookmarkStart w:id="1584" w:name="_Toc159950792"/>
      <w:r>
        <w:rPr>
          <w:rFonts w:hint="eastAsia" w:ascii="宋体" w:hAnsi="宋体" w:cs="等线"/>
          <w:sz w:val="24"/>
          <w:highlight w:val="none"/>
        </w:rPr>
        <w:t>6.1 承包人提供的施工设备和临时设施</w:t>
      </w:r>
      <w:bookmarkEnd w:id="1582"/>
      <w:bookmarkEnd w:id="1583"/>
      <w:bookmarkEnd w:id="1584"/>
    </w:p>
    <w:p w14:paraId="5EC1FB2E">
      <w:pPr>
        <w:spacing w:line="400" w:lineRule="exact"/>
        <w:ind w:firstLine="420" w:firstLineChars="200"/>
        <w:rPr>
          <w:rFonts w:ascii="宋体" w:hAnsi="宋体" w:cs="等线"/>
          <w:highlight w:val="none"/>
          <w:u w:val="single"/>
        </w:rPr>
      </w:pPr>
      <w:r>
        <w:rPr>
          <w:rFonts w:hint="eastAsia" w:ascii="宋体" w:hAnsi="宋体" w:cs="等线"/>
          <w:highlight w:val="none"/>
        </w:rPr>
        <w:t>6.1.2发包人承担修建临时设施的费用的范围：</w:t>
      </w:r>
      <w:r>
        <w:rPr>
          <w:rFonts w:hint="eastAsia" w:ascii="宋体" w:hAnsi="宋体" w:cs="等线"/>
          <w:highlight w:val="none"/>
          <w:u w:val="single"/>
        </w:rPr>
        <w:t>无</w:t>
      </w:r>
    </w:p>
    <w:p w14:paraId="4B775C19">
      <w:pPr>
        <w:spacing w:line="400" w:lineRule="exact"/>
        <w:ind w:firstLine="420" w:firstLineChars="200"/>
        <w:rPr>
          <w:rFonts w:ascii="宋体" w:hAnsi="宋体" w:cs="等线"/>
          <w:highlight w:val="none"/>
          <w:u w:val="single"/>
        </w:rPr>
      </w:pPr>
      <w:r>
        <w:rPr>
          <w:rFonts w:hint="eastAsia" w:ascii="宋体" w:hAnsi="宋体" w:cs="等线"/>
          <w:highlight w:val="none"/>
        </w:rPr>
        <w:t>需要发包人办理申请手续和承担相关费用的临时占地：</w:t>
      </w:r>
      <w:r>
        <w:rPr>
          <w:rFonts w:hint="eastAsia" w:ascii="宋体" w:hAnsi="宋体" w:cs="等线"/>
          <w:highlight w:val="none"/>
          <w:u w:val="single"/>
        </w:rPr>
        <w:t>进场材料设备的检验检测费</w:t>
      </w:r>
      <w:r>
        <w:rPr>
          <w:rFonts w:hint="eastAsia" w:ascii="宋体" w:hAnsi="宋体" w:cs="等线"/>
          <w:highlight w:val="none"/>
        </w:rPr>
        <w:t xml:space="preserve">。 </w:t>
      </w:r>
    </w:p>
    <w:p w14:paraId="39F49FAB">
      <w:pPr>
        <w:keepNext/>
        <w:keepLines/>
        <w:spacing w:line="400" w:lineRule="exact"/>
        <w:outlineLvl w:val="2"/>
        <w:rPr>
          <w:rFonts w:ascii="宋体" w:hAnsi="宋体" w:cs="等线"/>
          <w:sz w:val="24"/>
          <w:highlight w:val="none"/>
        </w:rPr>
      </w:pPr>
      <w:bookmarkStart w:id="1585" w:name="_Toc159950793"/>
      <w:bookmarkStart w:id="1586" w:name="_Toc9263"/>
      <w:bookmarkStart w:id="1587" w:name="_Toc38732174"/>
      <w:r>
        <w:rPr>
          <w:rFonts w:hint="eastAsia" w:ascii="宋体" w:hAnsi="宋体" w:cs="等线"/>
          <w:sz w:val="24"/>
          <w:highlight w:val="none"/>
        </w:rPr>
        <w:t>6.2 发包人提供的施工设备和临时设施</w:t>
      </w:r>
      <w:bookmarkEnd w:id="1585"/>
      <w:bookmarkEnd w:id="1586"/>
      <w:bookmarkEnd w:id="1587"/>
    </w:p>
    <w:p w14:paraId="3F0829C6">
      <w:pPr>
        <w:spacing w:line="400" w:lineRule="exact"/>
        <w:ind w:firstLine="420" w:firstLineChars="200"/>
        <w:rPr>
          <w:rFonts w:ascii="宋体" w:hAnsi="宋体" w:cs="等线"/>
          <w:highlight w:val="none"/>
        </w:rPr>
      </w:pPr>
      <w:r>
        <w:rPr>
          <w:rFonts w:hint="eastAsia" w:ascii="宋体" w:hAnsi="宋体" w:cs="等线"/>
          <w:highlight w:val="none"/>
        </w:rPr>
        <w:t>发包人提供的施工设备和临时设施：</w:t>
      </w:r>
      <w:r>
        <w:rPr>
          <w:rFonts w:hint="eastAsia" w:ascii="宋体" w:hAnsi="宋体" w:cs="等线"/>
          <w:highlight w:val="none"/>
          <w:u w:val="single"/>
        </w:rPr>
        <w:t>不提供</w:t>
      </w:r>
      <w:r>
        <w:rPr>
          <w:rFonts w:hint="eastAsia" w:ascii="宋体" w:hAnsi="宋体" w:cs="等线"/>
          <w:highlight w:val="none"/>
        </w:rPr>
        <w:t>。</w:t>
      </w:r>
    </w:p>
    <w:p w14:paraId="16098DCC">
      <w:pPr>
        <w:spacing w:line="400" w:lineRule="exact"/>
        <w:ind w:firstLine="420" w:firstLineChars="200"/>
        <w:rPr>
          <w:rFonts w:ascii="宋体" w:hAnsi="宋体" w:cs="等线"/>
          <w:highlight w:val="none"/>
        </w:rPr>
      </w:pPr>
      <w:r>
        <w:rPr>
          <w:rFonts w:hint="eastAsia" w:ascii="宋体" w:hAnsi="宋体" w:cs="等线"/>
          <w:highlight w:val="none"/>
        </w:rPr>
        <w:t>发包人提供的施工设备和临时设施的运行、维护、拆除、清运费用的承担人：</w:t>
      </w:r>
      <w:r>
        <w:rPr>
          <w:rFonts w:hint="eastAsia" w:ascii="宋体" w:hAnsi="宋体" w:cs="等线"/>
          <w:highlight w:val="none"/>
          <w:u w:val="single"/>
        </w:rPr>
        <w:t xml:space="preserve"> / </w:t>
      </w:r>
      <w:r>
        <w:rPr>
          <w:rFonts w:hint="eastAsia" w:ascii="宋体" w:hAnsi="宋体" w:cs="等线"/>
          <w:highlight w:val="none"/>
        </w:rPr>
        <w:t>。</w:t>
      </w:r>
    </w:p>
    <w:p w14:paraId="04F5EF2A">
      <w:pPr>
        <w:keepNext/>
        <w:keepLines/>
        <w:spacing w:line="400" w:lineRule="exact"/>
        <w:outlineLvl w:val="2"/>
        <w:rPr>
          <w:rFonts w:ascii="宋体" w:hAnsi="宋体" w:cs="等线"/>
          <w:sz w:val="24"/>
          <w:highlight w:val="none"/>
        </w:rPr>
      </w:pPr>
      <w:bookmarkStart w:id="1588" w:name="_Toc38732175"/>
      <w:bookmarkStart w:id="1589" w:name="_Toc159950794"/>
      <w:bookmarkStart w:id="1590" w:name="_Toc22245"/>
      <w:r>
        <w:rPr>
          <w:rFonts w:hint="eastAsia" w:ascii="宋体" w:hAnsi="宋体" w:cs="等线"/>
          <w:sz w:val="24"/>
          <w:highlight w:val="none"/>
        </w:rPr>
        <w:t>6.4 施工设备和临时设施专用于合同工程</w:t>
      </w:r>
      <w:bookmarkEnd w:id="1588"/>
      <w:bookmarkEnd w:id="1589"/>
      <w:bookmarkEnd w:id="1590"/>
    </w:p>
    <w:p w14:paraId="4A872C90">
      <w:pPr>
        <w:spacing w:line="400" w:lineRule="exact"/>
        <w:ind w:firstLine="420" w:firstLineChars="200"/>
        <w:rPr>
          <w:rFonts w:ascii="宋体" w:hAnsi="宋体" w:cs="等线"/>
          <w:highlight w:val="none"/>
          <w:u w:val="single"/>
          <w:bdr w:val="single" w:color="auto" w:sz="4" w:space="0"/>
        </w:rPr>
      </w:pPr>
      <w:r>
        <w:rPr>
          <w:rFonts w:hint="eastAsia" w:ascii="宋体" w:hAnsi="宋体" w:cs="等线"/>
          <w:highlight w:val="none"/>
        </w:rPr>
        <w:t>6.4.1除为专用合同条款第4.1.8项约定的其他独立承包人和监理人指示的他人提供条件外,承包人运入施工场地的所有施工设备以及在施工场地建设的临时设施仅限于用于合同工程。</w:t>
      </w:r>
    </w:p>
    <w:p w14:paraId="725D0D01">
      <w:pPr>
        <w:keepNext/>
        <w:keepLines/>
        <w:spacing w:line="400" w:lineRule="exact"/>
        <w:outlineLvl w:val="1"/>
        <w:rPr>
          <w:rFonts w:ascii="宋体" w:hAnsi="宋体" w:cs="等线"/>
          <w:sz w:val="24"/>
          <w:highlight w:val="none"/>
        </w:rPr>
      </w:pPr>
      <w:bookmarkStart w:id="1591" w:name="_Toc38732176"/>
      <w:bookmarkStart w:id="1592" w:name="_Toc159950795"/>
      <w:bookmarkStart w:id="1593" w:name="_Toc27186"/>
      <w:bookmarkStart w:id="1594" w:name="_Toc6049"/>
      <w:r>
        <w:rPr>
          <w:rFonts w:hint="eastAsia" w:ascii="宋体" w:hAnsi="宋体" w:cs="等线"/>
          <w:sz w:val="24"/>
          <w:highlight w:val="none"/>
        </w:rPr>
        <w:t>7. 交通运输</w:t>
      </w:r>
      <w:bookmarkEnd w:id="1591"/>
      <w:bookmarkEnd w:id="1592"/>
      <w:bookmarkEnd w:id="1593"/>
      <w:bookmarkEnd w:id="1594"/>
    </w:p>
    <w:p w14:paraId="11CF9301">
      <w:pPr>
        <w:keepNext/>
        <w:keepLines/>
        <w:spacing w:line="400" w:lineRule="exact"/>
        <w:outlineLvl w:val="2"/>
        <w:rPr>
          <w:rFonts w:ascii="宋体" w:hAnsi="宋体" w:cs="等线"/>
          <w:sz w:val="24"/>
          <w:highlight w:val="none"/>
        </w:rPr>
      </w:pPr>
      <w:bookmarkStart w:id="1595" w:name="_Toc38732177"/>
      <w:bookmarkStart w:id="1596" w:name="_Toc5760"/>
      <w:bookmarkStart w:id="1597" w:name="_Toc159950796"/>
      <w:r>
        <w:rPr>
          <w:rFonts w:hint="eastAsia" w:ascii="宋体" w:hAnsi="宋体" w:cs="等线"/>
          <w:sz w:val="24"/>
          <w:highlight w:val="none"/>
        </w:rPr>
        <w:t>7.1 道路通行权和场外设施</w:t>
      </w:r>
      <w:bookmarkEnd w:id="1595"/>
      <w:bookmarkEnd w:id="1596"/>
      <w:bookmarkEnd w:id="1597"/>
    </w:p>
    <w:p w14:paraId="3510DAB1">
      <w:pPr>
        <w:spacing w:line="400" w:lineRule="exact"/>
        <w:ind w:firstLine="420" w:firstLineChars="200"/>
        <w:rPr>
          <w:rFonts w:ascii="宋体" w:hAnsi="宋体" w:cs="等线"/>
          <w:highlight w:val="none"/>
          <w:u w:val="single"/>
        </w:rPr>
      </w:pPr>
      <w:r>
        <w:rPr>
          <w:rFonts w:hint="eastAsia" w:ascii="宋体" w:hAnsi="宋体" w:cs="等线"/>
          <w:highlight w:val="none"/>
        </w:rPr>
        <w:t>取得道路通行权、场外设施修建权的办理人:</w:t>
      </w:r>
      <w:r>
        <w:rPr>
          <w:rFonts w:hint="eastAsia" w:ascii="宋体" w:hAnsi="宋体" w:cs="等线"/>
          <w:highlight w:val="none"/>
          <w:u w:val="single"/>
        </w:rPr>
        <w:t>承包人</w:t>
      </w:r>
      <w:r>
        <w:rPr>
          <w:rFonts w:hint="eastAsia" w:ascii="宋体" w:hAnsi="宋体" w:cs="等线"/>
          <w:highlight w:val="none"/>
        </w:rPr>
        <w:t>，其相关费用由发包人承担。</w:t>
      </w:r>
    </w:p>
    <w:p w14:paraId="23BCE0B4">
      <w:pPr>
        <w:keepNext/>
        <w:keepLines/>
        <w:spacing w:line="400" w:lineRule="exact"/>
        <w:outlineLvl w:val="2"/>
        <w:rPr>
          <w:rFonts w:ascii="宋体" w:hAnsi="宋体" w:cs="等线"/>
          <w:sz w:val="24"/>
          <w:highlight w:val="none"/>
        </w:rPr>
      </w:pPr>
      <w:bookmarkStart w:id="1598" w:name="_Toc38732178"/>
      <w:bookmarkStart w:id="1599" w:name="_Toc13211"/>
      <w:bookmarkStart w:id="1600" w:name="_Toc159950797"/>
      <w:r>
        <w:rPr>
          <w:rFonts w:hint="eastAsia" w:ascii="宋体" w:hAnsi="宋体" w:cs="等线"/>
          <w:sz w:val="24"/>
          <w:highlight w:val="none"/>
        </w:rPr>
        <w:t>7.2 场内施工道路</w:t>
      </w:r>
      <w:bookmarkEnd w:id="1598"/>
      <w:bookmarkEnd w:id="1599"/>
      <w:bookmarkEnd w:id="1600"/>
    </w:p>
    <w:p w14:paraId="14AFE9FE">
      <w:pPr>
        <w:spacing w:line="400" w:lineRule="exact"/>
        <w:ind w:firstLine="420" w:firstLineChars="200"/>
        <w:rPr>
          <w:rFonts w:ascii="宋体" w:hAnsi="宋体" w:cs="等线"/>
          <w:highlight w:val="none"/>
        </w:rPr>
      </w:pPr>
      <w:r>
        <w:rPr>
          <w:rFonts w:hint="eastAsia" w:ascii="宋体" w:hAnsi="宋体" w:cs="等线"/>
          <w:highlight w:val="none"/>
        </w:rPr>
        <w:t>7.2.1施工所需的场内临时道路和交通设施的修建、维护、养护和管理人：</w:t>
      </w:r>
      <w:r>
        <w:rPr>
          <w:rFonts w:hint="eastAsia" w:ascii="宋体" w:hAnsi="宋体" w:cs="等线"/>
          <w:highlight w:val="none"/>
          <w:u w:val="single"/>
        </w:rPr>
        <w:t>承包人</w:t>
      </w:r>
      <w:r>
        <w:rPr>
          <w:rFonts w:hint="eastAsia" w:ascii="宋体" w:hAnsi="宋体" w:cs="等线"/>
          <w:highlight w:val="none"/>
        </w:rPr>
        <w:t>，相关费用由</w:t>
      </w:r>
      <w:r>
        <w:rPr>
          <w:rFonts w:hint="eastAsia" w:ascii="宋体" w:hAnsi="宋体" w:cs="等线"/>
          <w:highlight w:val="none"/>
          <w:u w:val="single"/>
        </w:rPr>
        <w:t>承包人</w:t>
      </w:r>
      <w:r>
        <w:rPr>
          <w:rFonts w:hint="eastAsia" w:ascii="宋体" w:hAnsi="宋体" w:cs="等线"/>
          <w:highlight w:val="none"/>
        </w:rPr>
        <w:t>承担。</w:t>
      </w:r>
    </w:p>
    <w:p w14:paraId="3F003315">
      <w:pPr>
        <w:spacing w:line="400" w:lineRule="exact"/>
        <w:ind w:firstLine="420" w:firstLineChars="200"/>
        <w:rPr>
          <w:rFonts w:ascii="宋体" w:hAnsi="宋体" w:cs="等线"/>
          <w:highlight w:val="none"/>
          <w:u w:val="single"/>
        </w:rPr>
      </w:pPr>
      <w:r>
        <w:rPr>
          <w:rFonts w:hint="eastAsia" w:ascii="宋体" w:hAnsi="宋体" w:cs="等线"/>
          <w:highlight w:val="none"/>
        </w:rPr>
        <w:t>7.2.2发包人和监理人有权无偿使用承包人修建的临时道路和交通设施，不需要交纳任何费用。</w:t>
      </w:r>
    </w:p>
    <w:p w14:paraId="6DDBAA95">
      <w:pPr>
        <w:keepNext/>
        <w:keepLines/>
        <w:spacing w:line="400" w:lineRule="exact"/>
        <w:outlineLvl w:val="2"/>
        <w:rPr>
          <w:rFonts w:ascii="宋体" w:hAnsi="宋体" w:cs="等线"/>
          <w:sz w:val="24"/>
          <w:highlight w:val="none"/>
        </w:rPr>
      </w:pPr>
      <w:bookmarkStart w:id="1601" w:name="_Toc14416"/>
      <w:bookmarkStart w:id="1602" w:name="_Toc159950798"/>
      <w:bookmarkStart w:id="1603" w:name="_Toc38732179"/>
      <w:r>
        <w:rPr>
          <w:rFonts w:hint="eastAsia" w:ascii="宋体" w:hAnsi="宋体" w:cs="等线"/>
          <w:sz w:val="24"/>
          <w:highlight w:val="none"/>
        </w:rPr>
        <w:t>7.4 超大件和超重件的运输</w:t>
      </w:r>
      <w:bookmarkEnd w:id="1601"/>
      <w:bookmarkEnd w:id="1602"/>
      <w:bookmarkEnd w:id="1603"/>
    </w:p>
    <w:p w14:paraId="735625C7">
      <w:pPr>
        <w:spacing w:line="400" w:lineRule="exact"/>
        <w:ind w:firstLine="420" w:firstLineChars="200"/>
        <w:rPr>
          <w:rFonts w:ascii="宋体" w:hAnsi="宋体" w:cs="等线"/>
          <w:highlight w:val="none"/>
        </w:rPr>
      </w:pPr>
      <w:r>
        <w:rPr>
          <w:rFonts w:hint="eastAsia" w:ascii="宋体" w:hAnsi="宋体" w:cs="等线"/>
          <w:highlight w:val="none"/>
        </w:rPr>
        <w:t>运输超大件或超重件所需的道路和桥梁临时加固改造等费用的承担人：</w:t>
      </w:r>
      <w:r>
        <w:rPr>
          <w:rFonts w:hint="eastAsia" w:ascii="宋体" w:hAnsi="宋体" w:cs="等线"/>
          <w:highlight w:val="none"/>
          <w:u w:val="single"/>
        </w:rPr>
        <w:t>承包人承担</w:t>
      </w:r>
      <w:r>
        <w:rPr>
          <w:rFonts w:hint="eastAsia" w:ascii="宋体" w:hAnsi="宋体" w:cs="等线"/>
          <w:highlight w:val="none"/>
        </w:rPr>
        <w:t>。（如保留：“该费用计入投标总价中”建议在招标文件中明确）</w:t>
      </w:r>
    </w:p>
    <w:p w14:paraId="3506586E">
      <w:pPr>
        <w:keepNext/>
        <w:keepLines/>
        <w:spacing w:line="400" w:lineRule="exact"/>
        <w:outlineLvl w:val="1"/>
        <w:rPr>
          <w:rFonts w:ascii="宋体" w:hAnsi="宋体" w:cs="等线"/>
          <w:sz w:val="24"/>
          <w:highlight w:val="none"/>
        </w:rPr>
      </w:pPr>
      <w:bookmarkStart w:id="1604" w:name="_Toc38732180"/>
      <w:bookmarkStart w:id="1605" w:name="_Toc23183"/>
      <w:bookmarkStart w:id="1606" w:name="_Toc159950799"/>
      <w:bookmarkStart w:id="1607" w:name="_Toc7830"/>
      <w:r>
        <w:rPr>
          <w:rFonts w:hint="eastAsia" w:ascii="宋体" w:hAnsi="宋体" w:cs="等线"/>
          <w:sz w:val="24"/>
          <w:highlight w:val="none"/>
        </w:rPr>
        <w:t>8. 测量放线</w:t>
      </w:r>
      <w:bookmarkEnd w:id="1604"/>
      <w:bookmarkEnd w:id="1605"/>
      <w:bookmarkEnd w:id="1606"/>
      <w:bookmarkEnd w:id="1607"/>
    </w:p>
    <w:p w14:paraId="72C4924C">
      <w:pPr>
        <w:keepNext/>
        <w:keepLines/>
        <w:spacing w:line="400" w:lineRule="exact"/>
        <w:outlineLvl w:val="2"/>
        <w:rPr>
          <w:rFonts w:ascii="宋体" w:hAnsi="宋体" w:cs="等线"/>
          <w:sz w:val="24"/>
          <w:highlight w:val="none"/>
        </w:rPr>
      </w:pPr>
      <w:bookmarkStart w:id="1608" w:name="_Toc38732181"/>
      <w:bookmarkStart w:id="1609" w:name="_Toc21868"/>
      <w:bookmarkStart w:id="1610" w:name="_Toc159950800"/>
      <w:r>
        <w:rPr>
          <w:rFonts w:hint="eastAsia" w:ascii="宋体" w:hAnsi="宋体" w:cs="等线"/>
          <w:sz w:val="24"/>
          <w:highlight w:val="none"/>
        </w:rPr>
        <w:t>8.1 施工控制网</w:t>
      </w:r>
      <w:bookmarkEnd w:id="1608"/>
      <w:bookmarkEnd w:id="1609"/>
      <w:bookmarkEnd w:id="1610"/>
    </w:p>
    <w:p w14:paraId="553EDB02">
      <w:pPr>
        <w:spacing w:line="400" w:lineRule="exact"/>
        <w:ind w:firstLine="420" w:firstLineChars="200"/>
        <w:rPr>
          <w:rFonts w:ascii="宋体" w:hAnsi="宋体" w:cs="等线"/>
          <w:highlight w:val="none"/>
          <w:u w:val="single"/>
        </w:rPr>
      </w:pPr>
      <w:r>
        <w:rPr>
          <w:rFonts w:hint="eastAsia" w:ascii="宋体" w:hAnsi="宋体" w:cs="等线"/>
          <w:highlight w:val="none"/>
        </w:rPr>
        <w:t>8.1.1发包人通过监理人提供测量基准点、基准线和水准点及其书面资料的期限：</w:t>
      </w:r>
      <w:r>
        <w:rPr>
          <w:rFonts w:hint="eastAsia" w:ascii="宋体" w:hAnsi="宋体" w:cs="等线"/>
          <w:highlight w:val="none"/>
          <w:u w:val="single"/>
        </w:rPr>
        <w:t xml:space="preserve"> 合同签订后7日内 （如有）</w:t>
      </w:r>
      <w:r>
        <w:rPr>
          <w:rFonts w:hint="eastAsia" w:ascii="宋体" w:hAnsi="宋体" w:cs="等线"/>
          <w:highlight w:val="none"/>
        </w:rPr>
        <w:t xml:space="preserve">。 </w:t>
      </w:r>
    </w:p>
    <w:p w14:paraId="24026420">
      <w:pPr>
        <w:spacing w:line="400" w:lineRule="exact"/>
        <w:ind w:firstLine="420" w:firstLineChars="200"/>
        <w:rPr>
          <w:rFonts w:ascii="宋体" w:hAnsi="宋体" w:cs="等线"/>
          <w:highlight w:val="none"/>
          <w:u w:val="single"/>
        </w:rPr>
      </w:pPr>
      <w:r>
        <w:rPr>
          <w:rFonts w:hint="eastAsia" w:ascii="宋体" w:hAnsi="宋体" w:cs="等线"/>
          <w:highlight w:val="none"/>
        </w:rPr>
        <w:t>承包人测设施工控制网的要求：</w:t>
      </w:r>
      <w:r>
        <w:rPr>
          <w:rFonts w:hint="eastAsia" w:ascii="宋体" w:hAnsi="宋体" w:cs="等线"/>
          <w:highlight w:val="none"/>
          <w:u w:val="single"/>
        </w:rPr>
        <w:t xml:space="preserve">由承包人依据监理人提供的测量基准点、基准线和水准点以及国家的工程测量技术规范和合同要求的工程精度，测设自己的施工控制网  </w:t>
      </w:r>
      <w:r>
        <w:rPr>
          <w:rFonts w:hint="eastAsia" w:ascii="宋体" w:hAnsi="宋体" w:cs="等线"/>
          <w:highlight w:val="none"/>
        </w:rPr>
        <w:t xml:space="preserve">。 </w:t>
      </w:r>
    </w:p>
    <w:p w14:paraId="0D1FEE02">
      <w:pPr>
        <w:spacing w:line="400" w:lineRule="exact"/>
        <w:ind w:firstLine="420" w:firstLineChars="200"/>
        <w:rPr>
          <w:rFonts w:ascii="宋体" w:hAnsi="宋体" w:cs="等线"/>
          <w:highlight w:val="none"/>
          <w:u w:val="single"/>
        </w:rPr>
      </w:pPr>
      <w:r>
        <w:rPr>
          <w:rFonts w:hint="eastAsia" w:ascii="宋体" w:hAnsi="宋体" w:cs="等线"/>
          <w:highlight w:val="none"/>
        </w:rPr>
        <w:t>承包人将施工控制网资料报送监理人审批的期限：</w:t>
      </w:r>
      <w:r>
        <w:rPr>
          <w:rFonts w:hint="eastAsia" w:ascii="宋体" w:hAnsi="宋体" w:cs="等线"/>
          <w:highlight w:val="none"/>
          <w:u w:val="single"/>
        </w:rPr>
        <w:t>在收到监理人按照通用合同条款第11.1.1项发出的开工通知后7日内</w:t>
      </w:r>
      <w:r>
        <w:rPr>
          <w:rFonts w:hint="eastAsia" w:ascii="宋体" w:hAnsi="宋体" w:cs="等线"/>
          <w:highlight w:val="none"/>
        </w:rPr>
        <w:t xml:space="preserve">。 </w:t>
      </w:r>
    </w:p>
    <w:p w14:paraId="741F433E">
      <w:pPr>
        <w:keepNext/>
        <w:keepLines/>
        <w:spacing w:line="400" w:lineRule="exact"/>
        <w:outlineLvl w:val="1"/>
        <w:rPr>
          <w:rFonts w:ascii="宋体" w:hAnsi="宋体" w:cs="等线"/>
          <w:sz w:val="24"/>
          <w:highlight w:val="none"/>
        </w:rPr>
      </w:pPr>
      <w:bookmarkStart w:id="1611" w:name="_Toc10233"/>
      <w:bookmarkStart w:id="1612" w:name="_Toc38732182"/>
      <w:bookmarkStart w:id="1613" w:name="_Toc159950801"/>
      <w:bookmarkStart w:id="1614" w:name="_Toc29383"/>
      <w:r>
        <w:rPr>
          <w:rFonts w:hint="eastAsia" w:ascii="宋体" w:hAnsi="宋体" w:cs="等线"/>
          <w:sz w:val="24"/>
          <w:highlight w:val="none"/>
        </w:rPr>
        <w:t>9. 施工安全、治安保卫和环境保护</w:t>
      </w:r>
      <w:bookmarkEnd w:id="1611"/>
      <w:bookmarkEnd w:id="1612"/>
      <w:bookmarkEnd w:id="1613"/>
      <w:bookmarkEnd w:id="1614"/>
    </w:p>
    <w:p w14:paraId="4442C7C9">
      <w:pPr>
        <w:keepNext/>
        <w:keepLines/>
        <w:spacing w:line="400" w:lineRule="exact"/>
        <w:outlineLvl w:val="2"/>
        <w:rPr>
          <w:rFonts w:ascii="宋体" w:hAnsi="宋体" w:cs="等线"/>
          <w:sz w:val="24"/>
          <w:highlight w:val="none"/>
        </w:rPr>
      </w:pPr>
      <w:bookmarkStart w:id="1615" w:name="_Toc28437"/>
      <w:bookmarkStart w:id="1616" w:name="_Toc159950802"/>
      <w:bookmarkStart w:id="1617" w:name="_Toc38732183"/>
      <w:r>
        <w:rPr>
          <w:rFonts w:hint="eastAsia" w:ascii="宋体" w:hAnsi="宋体" w:cs="等线"/>
          <w:sz w:val="24"/>
          <w:highlight w:val="none"/>
        </w:rPr>
        <w:t>9.2 承包人的施工安全责任</w:t>
      </w:r>
      <w:bookmarkEnd w:id="1615"/>
      <w:bookmarkEnd w:id="1616"/>
      <w:bookmarkEnd w:id="1617"/>
    </w:p>
    <w:p w14:paraId="2F4DC26A">
      <w:pPr>
        <w:spacing w:after="120" w:line="400" w:lineRule="exact"/>
        <w:ind w:left="420" w:leftChars="200"/>
        <w:rPr>
          <w:rFonts w:ascii="宋体" w:hAnsi="宋体" w:cs="等线"/>
          <w:sz w:val="24"/>
          <w:szCs w:val="20"/>
          <w:highlight w:val="none"/>
        </w:rPr>
      </w:pPr>
      <w:r>
        <w:rPr>
          <w:rFonts w:hint="eastAsia" w:ascii="宋体" w:hAnsi="宋体" w:cs="等线"/>
          <w:sz w:val="24"/>
          <w:szCs w:val="20"/>
          <w:highlight w:val="none"/>
        </w:rPr>
        <w:t>9.2.1承包人向监理人报送施工安全措施计划的期限：</w:t>
      </w:r>
      <w:r>
        <w:rPr>
          <w:rFonts w:hint="eastAsia" w:ascii="宋体" w:hAnsi="宋体" w:cs="等线"/>
          <w:sz w:val="24"/>
          <w:szCs w:val="20"/>
          <w:highlight w:val="none"/>
          <w:u w:val="single"/>
        </w:rPr>
        <w:t>在收到监理人按照通用合同条款第11.1.1项发出的开工通知后7日内</w:t>
      </w:r>
      <w:r>
        <w:rPr>
          <w:rFonts w:hint="eastAsia" w:ascii="宋体" w:hAnsi="宋体" w:cs="等线"/>
          <w:sz w:val="24"/>
          <w:szCs w:val="20"/>
          <w:highlight w:val="none"/>
        </w:rPr>
        <w:t>。</w:t>
      </w:r>
    </w:p>
    <w:p w14:paraId="01D34E75">
      <w:pPr>
        <w:spacing w:after="120" w:line="400" w:lineRule="exact"/>
        <w:ind w:left="420" w:leftChars="200"/>
        <w:rPr>
          <w:rFonts w:ascii="宋体" w:hAnsi="宋体" w:cs="等线"/>
          <w:sz w:val="24"/>
          <w:szCs w:val="20"/>
          <w:highlight w:val="none"/>
        </w:rPr>
      </w:pPr>
      <w:r>
        <w:rPr>
          <w:rFonts w:hint="eastAsia" w:ascii="宋体" w:hAnsi="宋体" w:cs="等线"/>
          <w:sz w:val="24"/>
          <w:szCs w:val="20"/>
          <w:highlight w:val="none"/>
        </w:rPr>
        <w:t>监理人收到承包人报送的施工安全措施计划后应当在</w:t>
      </w:r>
      <w:r>
        <w:rPr>
          <w:rFonts w:hint="eastAsia" w:ascii="宋体" w:hAnsi="宋体" w:cs="等线"/>
          <w:sz w:val="24"/>
          <w:szCs w:val="20"/>
          <w:highlight w:val="none"/>
          <w:u w:val="single"/>
        </w:rPr>
        <w:t>7</w:t>
      </w:r>
      <w:r>
        <w:rPr>
          <w:rFonts w:hint="eastAsia" w:ascii="宋体" w:hAnsi="宋体" w:cs="等线"/>
          <w:sz w:val="24"/>
          <w:szCs w:val="20"/>
          <w:highlight w:val="none"/>
        </w:rPr>
        <w:t>天内给予批复。</w:t>
      </w:r>
    </w:p>
    <w:p w14:paraId="708DD289">
      <w:pPr>
        <w:spacing w:line="400" w:lineRule="exact"/>
        <w:ind w:firstLine="420" w:firstLineChars="200"/>
        <w:rPr>
          <w:rFonts w:ascii="宋体" w:hAnsi="宋体" w:cs="等线"/>
          <w:highlight w:val="none"/>
        </w:rPr>
      </w:pPr>
      <w:r>
        <w:rPr>
          <w:rFonts w:hint="eastAsia" w:ascii="宋体" w:hAnsi="宋体" w:cs="等线"/>
          <w:highlight w:val="none"/>
        </w:rPr>
        <w:t>9.2.2 承包人应签署《施工安全协议书》（第七节），并严格按照第七节《施工安全协议书》中内容执行。</w:t>
      </w:r>
    </w:p>
    <w:p w14:paraId="3C0A2000">
      <w:pPr>
        <w:spacing w:after="120" w:line="400" w:lineRule="exact"/>
        <w:ind w:left="420" w:leftChars="200"/>
        <w:rPr>
          <w:rFonts w:ascii="宋体" w:hAnsi="宋体" w:cs="等线"/>
          <w:sz w:val="24"/>
          <w:szCs w:val="20"/>
          <w:highlight w:val="none"/>
        </w:rPr>
      </w:pPr>
      <w:r>
        <w:rPr>
          <w:rFonts w:hint="eastAsia" w:ascii="宋体" w:hAnsi="宋体" w:cs="等线"/>
          <w:sz w:val="24"/>
          <w:szCs w:val="20"/>
          <w:highlight w:val="none"/>
        </w:rPr>
        <w:t>9.2.3施工场安全事件紧急预案的编制责任人：</w:t>
      </w:r>
      <w:r>
        <w:rPr>
          <w:rFonts w:hint="eastAsia" w:ascii="宋体" w:hAnsi="宋体" w:cs="等线"/>
          <w:sz w:val="24"/>
          <w:szCs w:val="20"/>
          <w:highlight w:val="none"/>
          <w:u w:val="single"/>
        </w:rPr>
        <w:t>承包人</w:t>
      </w:r>
      <w:r>
        <w:rPr>
          <w:rFonts w:hint="eastAsia" w:ascii="宋体" w:hAnsi="宋体" w:cs="等线"/>
          <w:sz w:val="24"/>
          <w:szCs w:val="20"/>
          <w:highlight w:val="none"/>
        </w:rPr>
        <w:t>。</w:t>
      </w:r>
    </w:p>
    <w:p w14:paraId="6A9E2D13">
      <w:pPr>
        <w:keepNext/>
        <w:keepLines/>
        <w:spacing w:line="400" w:lineRule="exact"/>
        <w:outlineLvl w:val="2"/>
        <w:rPr>
          <w:rFonts w:ascii="宋体" w:hAnsi="宋体" w:cs="等线"/>
          <w:sz w:val="24"/>
          <w:highlight w:val="none"/>
        </w:rPr>
      </w:pPr>
      <w:bookmarkStart w:id="1618" w:name="_Toc38732184"/>
      <w:bookmarkStart w:id="1619" w:name="_Toc1257"/>
      <w:bookmarkStart w:id="1620" w:name="_Toc159950803"/>
      <w:r>
        <w:rPr>
          <w:rFonts w:hint="eastAsia" w:ascii="宋体" w:hAnsi="宋体" w:cs="等线"/>
          <w:sz w:val="24"/>
          <w:highlight w:val="none"/>
        </w:rPr>
        <w:t>9.3 治安保卫</w:t>
      </w:r>
      <w:bookmarkEnd w:id="1618"/>
      <w:bookmarkEnd w:id="1619"/>
      <w:bookmarkEnd w:id="1620"/>
    </w:p>
    <w:p w14:paraId="42D7A9FB">
      <w:pPr>
        <w:spacing w:after="120" w:line="400" w:lineRule="exact"/>
        <w:ind w:firstLine="480" w:firstLineChars="200"/>
        <w:rPr>
          <w:rFonts w:ascii="宋体" w:hAnsi="宋体" w:cs="等线"/>
          <w:sz w:val="24"/>
          <w:szCs w:val="20"/>
          <w:highlight w:val="none"/>
        </w:rPr>
      </w:pPr>
      <w:r>
        <w:rPr>
          <w:rFonts w:hint="eastAsia" w:ascii="宋体" w:hAnsi="宋体" w:cs="等线"/>
          <w:sz w:val="24"/>
          <w:szCs w:val="20"/>
          <w:highlight w:val="none"/>
        </w:rPr>
        <w:t>9.3.1承包人应当负责统一管理施工场地的治安保卫事项，履行合同工程的治安保卫职责。</w:t>
      </w:r>
    </w:p>
    <w:p w14:paraId="05D015B5">
      <w:pPr>
        <w:spacing w:after="120" w:line="400" w:lineRule="exact"/>
        <w:ind w:left="420" w:leftChars="200"/>
        <w:rPr>
          <w:rFonts w:ascii="宋体" w:hAnsi="宋体" w:cs="等线"/>
          <w:sz w:val="24"/>
          <w:szCs w:val="20"/>
          <w:highlight w:val="none"/>
        </w:rPr>
      </w:pPr>
      <w:r>
        <w:rPr>
          <w:rFonts w:hint="eastAsia" w:ascii="宋体" w:hAnsi="宋体" w:cs="等线"/>
          <w:sz w:val="24"/>
          <w:szCs w:val="20"/>
          <w:highlight w:val="none"/>
        </w:rPr>
        <w:t>9.3.3施工场地治安管理计划和突发治安事件紧急预案的编制责任人：</w:t>
      </w:r>
      <w:r>
        <w:rPr>
          <w:rFonts w:hint="eastAsia" w:ascii="宋体" w:hAnsi="宋体" w:cs="等线"/>
          <w:sz w:val="24"/>
          <w:szCs w:val="20"/>
          <w:highlight w:val="none"/>
          <w:u w:val="single"/>
        </w:rPr>
        <w:t>承包人</w:t>
      </w:r>
      <w:r>
        <w:rPr>
          <w:rFonts w:hint="eastAsia" w:ascii="宋体" w:hAnsi="宋体" w:cs="等线"/>
          <w:sz w:val="24"/>
          <w:szCs w:val="20"/>
          <w:highlight w:val="none"/>
        </w:rPr>
        <w:t>。</w:t>
      </w:r>
    </w:p>
    <w:p w14:paraId="11D5F1DF">
      <w:pPr>
        <w:keepNext/>
        <w:keepLines/>
        <w:spacing w:line="400" w:lineRule="exact"/>
        <w:outlineLvl w:val="2"/>
        <w:rPr>
          <w:rFonts w:ascii="宋体" w:hAnsi="宋体" w:cs="等线"/>
          <w:sz w:val="24"/>
          <w:highlight w:val="none"/>
        </w:rPr>
      </w:pPr>
      <w:bookmarkStart w:id="1621" w:name="_Toc38732185"/>
      <w:bookmarkStart w:id="1622" w:name="_Toc159950804"/>
      <w:bookmarkStart w:id="1623" w:name="_Toc19368"/>
      <w:r>
        <w:rPr>
          <w:rFonts w:hint="eastAsia" w:ascii="宋体" w:hAnsi="宋体" w:cs="等线"/>
          <w:sz w:val="24"/>
          <w:highlight w:val="none"/>
        </w:rPr>
        <w:t>9.4 环境保护</w:t>
      </w:r>
      <w:bookmarkEnd w:id="1621"/>
      <w:bookmarkEnd w:id="1622"/>
      <w:bookmarkEnd w:id="1623"/>
    </w:p>
    <w:p w14:paraId="1F775CCE">
      <w:pPr>
        <w:spacing w:after="120" w:line="400" w:lineRule="exact"/>
        <w:ind w:left="420" w:leftChars="200"/>
        <w:rPr>
          <w:rFonts w:ascii="宋体" w:hAnsi="宋体" w:cs="等线"/>
          <w:sz w:val="24"/>
          <w:szCs w:val="20"/>
          <w:highlight w:val="none"/>
        </w:rPr>
      </w:pPr>
      <w:r>
        <w:rPr>
          <w:rFonts w:hint="eastAsia" w:ascii="宋体" w:hAnsi="宋体" w:cs="等线"/>
          <w:sz w:val="24"/>
          <w:szCs w:val="20"/>
          <w:highlight w:val="none"/>
        </w:rPr>
        <w:t>9.4.2施工环保措施计划报送监理人审批的时间：</w:t>
      </w:r>
      <w:r>
        <w:rPr>
          <w:rFonts w:hint="eastAsia" w:ascii="宋体" w:hAnsi="宋体" w:cs="等线"/>
          <w:sz w:val="24"/>
          <w:szCs w:val="20"/>
          <w:highlight w:val="none"/>
          <w:u w:val="single"/>
        </w:rPr>
        <w:t>在收到监理人按照通用合同条款第11.1.1项发出的开工通知后7日内</w:t>
      </w:r>
      <w:r>
        <w:rPr>
          <w:rFonts w:hint="eastAsia" w:ascii="宋体" w:hAnsi="宋体" w:cs="等线"/>
          <w:sz w:val="24"/>
          <w:szCs w:val="20"/>
          <w:highlight w:val="none"/>
        </w:rPr>
        <w:t>。</w:t>
      </w:r>
    </w:p>
    <w:p w14:paraId="28A3995A">
      <w:pPr>
        <w:spacing w:after="120" w:line="400" w:lineRule="exact"/>
        <w:ind w:left="420" w:leftChars="200"/>
        <w:rPr>
          <w:rFonts w:ascii="宋体" w:hAnsi="宋体" w:cs="等线"/>
          <w:sz w:val="24"/>
          <w:szCs w:val="20"/>
          <w:highlight w:val="none"/>
        </w:rPr>
      </w:pPr>
      <w:r>
        <w:rPr>
          <w:rFonts w:hint="eastAsia" w:ascii="宋体" w:hAnsi="宋体" w:cs="等线"/>
          <w:sz w:val="24"/>
          <w:szCs w:val="20"/>
          <w:highlight w:val="none"/>
        </w:rPr>
        <w:t>监理人收到承包人报送的施工环保措施计划后应当在</w:t>
      </w:r>
      <w:r>
        <w:rPr>
          <w:rFonts w:hint="eastAsia" w:ascii="宋体" w:hAnsi="宋体" w:cs="等线"/>
          <w:sz w:val="24"/>
          <w:szCs w:val="20"/>
          <w:highlight w:val="none"/>
          <w:u w:val="single"/>
        </w:rPr>
        <w:t>7</w:t>
      </w:r>
      <w:r>
        <w:rPr>
          <w:rFonts w:hint="eastAsia" w:ascii="宋体" w:hAnsi="宋体" w:cs="等线"/>
          <w:sz w:val="24"/>
          <w:szCs w:val="20"/>
          <w:highlight w:val="none"/>
        </w:rPr>
        <w:t>天内给予批复。</w:t>
      </w:r>
    </w:p>
    <w:p w14:paraId="58C9A23A">
      <w:pPr>
        <w:keepNext/>
        <w:keepLines/>
        <w:spacing w:line="400" w:lineRule="exact"/>
        <w:outlineLvl w:val="1"/>
        <w:rPr>
          <w:rFonts w:ascii="宋体" w:hAnsi="宋体" w:cs="等线"/>
          <w:sz w:val="24"/>
          <w:highlight w:val="none"/>
        </w:rPr>
      </w:pPr>
      <w:bookmarkStart w:id="1624" w:name="_Toc16808"/>
      <w:bookmarkStart w:id="1625" w:name="_Toc159950805"/>
      <w:bookmarkStart w:id="1626" w:name="_Toc28746"/>
      <w:bookmarkStart w:id="1627" w:name="_Toc38732186"/>
      <w:r>
        <w:rPr>
          <w:rFonts w:hint="eastAsia" w:ascii="宋体" w:hAnsi="宋体" w:cs="等线"/>
          <w:sz w:val="24"/>
          <w:highlight w:val="none"/>
        </w:rPr>
        <w:t>10. 进度计划</w:t>
      </w:r>
      <w:bookmarkEnd w:id="1624"/>
      <w:bookmarkEnd w:id="1625"/>
      <w:bookmarkEnd w:id="1626"/>
      <w:bookmarkEnd w:id="1627"/>
    </w:p>
    <w:p w14:paraId="6D1487CF">
      <w:pPr>
        <w:keepNext/>
        <w:keepLines/>
        <w:spacing w:line="360" w:lineRule="auto"/>
        <w:outlineLvl w:val="2"/>
        <w:rPr>
          <w:rFonts w:ascii="宋体" w:hAnsi="宋体" w:cs="等线"/>
          <w:sz w:val="24"/>
          <w:highlight w:val="none"/>
        </w:rPr>
      </w:pPr>
      <w:bookmarkStart w:id="1628" w:name="_Toc6178"/>
      <w:bookmarkStart w:id="1629" w:name="_Toc38732187"/>
      <w:bookmarkStart w:id="1630" w:name="_Toc159950806"/>
      <w:r>
        <w:rPr>
          <w:rFonts w:hint="eastAsia" w:ascii="宋体" w:hAnsi="宋体" w:cs="等线"/>
          <w:sz w:val="24"/>
          <w:highlight w:val="none"/>
        </w:rPr>
        <w:t>10.1 合同进度计划</w:t>
      </w:r>
      <w:bookmarkEnd w:id="1628"/>
      <w:bookmarkEnd w:id="1629"/>
      <w:bookmarkEnd w:id="1630"/>
    </w:p>
    <w:p w14:paraId="5EDF2826">
      <w:pPr>
        <w:spacing w:after="120" w:line="360" w:lineRule="auto"/>
        <w:ind w:firstLine="480" w:firstLineChars="200"/>
        <w:rPr>
          <w:rFonts w:ascii="宋体" w:hAnsi="宋体" w:cs="等线"/>
          <w:sz w:val="24"/>
          <w:szCs w:val="20"/>
          <w:highlight w:val="none"/>
        </w:rPr>
      </w:pPr>
      <w:r>
        <w:rPr>
          <w:rFonts w:hint="eastAsia" w:ascii="宋体" w:hAnsi="宋体" w:cs="等线"/>
          <w:sz w:val="24"/>
          <w:szCs w:val="20"/>
          <w:highlight w:val="none"/>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宋体" w:hAnsi="宋体" w:cs="等线"/>
          <w:sz w:val="24"/>
          <w:szCs w:val="20"/>
          <w:highlight w:val="none"/>
          <w:u w:val="single"/>
        </w:rPr>
        <w:t>承包人应按投标阶段承诺的总进度计划关键线路目标，以及施工顺序和方法要点，向监理人提交更准确更详细的施工进度计划和施工方案</w:t>
      </w:r>
      <w:r>
        <w:rPr>
          <w:rFonts w:hint="eastAsia" w:ascii="宋体" w:hAnsi="宋体" w:cs="等线"/>
          <w:sz w:val="24"/>
          <w:szCs w:val="20"/>
          <w:highlight w:val="none"/>
        </w:rPr>
        <w:t>， 施工进度计划中还应载明要求发包人组织设计人进行阶段性工程设计交底的时间。</w:t>
      </w:r>
    </w:p>
    <w:p w14:paraId="15E487F3">
      <w:pPr>
        <w:spacing w:after="120" w:line="360" w:lineRule="auto"/>
        <w:ind w:firstLine="480" w:firstLineChars="200"/>
        <w:rPr>
          <w:rFonts w:ascii="宋体" w:hAnsi="宋体" w:cs="等线"/>
          <w:sz w:val="24"/>
          <w:szCs w:val="20"/>
          <w:highlight w:val="none"/>
        </w:rPr>
      </w:pPr>
      <w:r>
        <w:rPr>
          <w:rFonts w:hint="eastAsia" w:ascii="宋体" w:hAnsi="宋体" w:cs="等线"/>
          <w:sz w:val="24"/>
          <w:szCs w:val="20"/>
          <w:highlight w:val="none"/>
        </w:rPr>
        <w:t>（2）监理人批复或对施工进度计划和施工方案说明提出修改意见的期限：自监理人收到承包人报送的相关进度计划和施工方案说明后14天内。</w:t>
      </w:r>
    </w:p>
    <w:p w14:paraId="4FC21971">
      <w:pPr>
        <w:spacing w:after="120" w:line="360" w:lineRule="auto"/>
        <w:ind w:left="420" w:leftChars="200"/>
        <w:rPr>
          <w:rFonts w:ascii="宋体" w:hAnsi="宋体" w:cs="等线"/>
          <w:sz w:val="24"/>
          <w:szCs w:val="20"/>
          <w:highlight w:val="none"/>
        </w:rPr>
      </w:pPr>
      <w:r>
        <w:rPr>
          <w:rFonts w:hint="eastAsia" w:ascii="宋体" w:hAnsi="宋体" w:cs="等线"/>
          <w:sz w:val="24"/>
          <w:szCs w:val="20"/>
          <w:highlight w:val="none"/>
        </w:rPr>
        <w:t>（3）承包人编制分阶段或分项施工进度计划和施工方案说明的内容：</w:t>
      </w:r>
      <w:r>
        <w:rPr>
          <w:rFonts w:hint="eastAsia" w:ascii="宋体" w:hAnsi="宋体" w:cs="等线"/>
          <w:sz w:val="24"/>
          <w:szCs w:val="20"/>
          <w:highlight w:val="none"/>
          <w:u w:val="single"/>
        </w:rPr>
        <w:t xml:space="preserve">       /     </w:t>
      </w:r>
      <w:r>
        <w:rPr>
          <w:rFonts w:hint="eastAsia" w:ascii="宋体" w:hAnsi="宋体" w:cs="等线"/>
          <w:sz w:val="24"/>
          <w:szCs w:val="20"/>
          <w:highlight w:val="none"/>
        </w:rPr>
        <w:t>。</w:t>
      </w:r>
    </w:p>
    <w:p w14:paraId="7B62E321">
      <w:pPr>
        <w:spacing w:after="120" w:line="360" w:lineRule="auto"/>
        <w:ind w:left="420" w:leftChars="200" w:firstLine="240" w:firstLineChars="100"/>
        <w:rPr>
          <w:rFonts w:ascii="宋体" w:hAnsi="宋体" w:cs="等线"/>
          <w:sz w:val="24"/>
          <w:szCs w:val="20"/>
          <w:highlight w:val="none"/>
        </w:rPr>
      </w:pPr>
      <w:r>
        <w:rPr>
          <w:rFonts w:hint="eastAsia" w:ascii="宋体" w:hAnsi="宋体" w:cs="等线"/>
          <w:sz w:val="24"/>
          <w:szCs w:val="20"/>
          <w:highlight w:val="none"/>
        </w:rPr>
        <w:t>承包人报送分阶段或分项施工进度计划和施工方案说明的期限：</w:t>
      </w:r>
      <w:r>
        <w:rPr>
          <w:rFonts w:hint="eastAsia" w:ascii="宋体" w:hAnsi="宋体" w:cs="等线"/>
          <w:sz w:val="24"/>
          <w:szCs w:val="20"/>
          <w:highlight w:val="none"/>
          <w:u w:val="single"/>
        </w:rPr>
        <w:t xml:space="preserve">          /     </w:t>
      </w:r>
      <w:r>
        <w:rPr>
          <w:rFonts w:hint="eastAsia" w:ascii="宋体" w:hAnsi="宋体" w:cs="等线"/>
          <w:sz w:val="24"/>
          <w:szCs w:val="20"/>
          <w:highlight w:val="none"/>
        </w:rPr>
        <w:t>。</w:t>
      </w:r>
    </w:p>
    <w:p w14:paraId="7603C6E5">
      <w:pPr>
        <w:spacing w:after="120" w:line="360" w:lineRule="auto"/>
        <w:ind w:firstLine="480" w:firstLineChars="200"/>
        <w:rPr>
          <w:rFonts w:ascii="宋体" w:hAnsi="宋体" w:cs="等线"/>
          <w:sz w:val="24"/>
          <w:szCs w:val="20"/>
          <w:highlight w:val="none"/>
        </w:rPr>
      </w:pPr>
      <w:r>
        <w:rPr>
          <w:rFonts w:hint="eastAsia" w:ascii="宋体" w:hAnsi="宋体" w:cs="等线"/>
          <w:sz w:val="24"/>
          <w:szCs w:val="20"/>
          <w:highlight w:val="none"/>
        </w:rPr>
        <w:t>（4）群体工程中单位工程分期进行施工的，承包人应按照发包人提供图纸及有关资料的时间，按单位工程编制进度计划和施工方案说明。群体工程中有关进度计划和施工方案说明的要求：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cs="等线"/>
          <w:sz w:val="24"/>
          <w:szCs w:val="20"/>
          <w:highlight w:val="none"/>
          <w:u w:val="single"/>
        </w:rPr>
        <w:t xml:space="preserve">                            /    </w:t>
      </w:r>
      <w:r>
        <w:rPr>
          <w:rFonts w:hint="eastAsia" w:ascii="宋体" w:hAnsi="宋体" w:cs="等线"/>
          <w:sz w:val="24"/>
          <w:szCs w:val="20"/>
          <w:highlight w:val="none"/>
        </w:rPr>
        <w:t>。</w:t>
      </w:r>
    </w:p>
    <w:p w14:paraId="2BE9777F">
      <w:pPr>
        <w:keepNext/>
        <w:keepLines/>
        <w:spacing w:line="360" w:lineRule="auto"/>
        <w:outlineLvl w:val="2"/>
        <w:rPr>
          <w:rFonts w:ascii="宋体" w:hAnsi="宋体" w:cs="等线"/>
          <w:sz w:val="24"/>
          <w:highlight w:val="none"/>
        </w:rPr>
      </w:pPr>
      <w:bookmarkStart w:id="1631" w:name="_Toc38732188"/>
      <w:bookmarkStart w:id="1632" w:name="_Toc26034"/>
      <w:bookmarkStart w:id="1633" w:name="_Toc159950807"/>
      <w:r>
        <w:rPr>
          <w:rFonts w:hint="eastAsia" w:ascii="宋体" w:hAnsi="宋体" w:cs="等线"/>
          <w:sz w:val="24"/>
          <w:highlight w:val="none"/>
        </w:rPr>
        <w:t>10.2 合同进度计划的修订</w:t>
      </w:r>
      <w:bookmarkEnd w:id="1631"/>
      <w:bookmarkEnd w:id="1632"/>
      <w:bookmarkEnd w:id="1633"/>
    </w:p>
    <w:p w14:paraId="1AC2CB88">
      <w:pPr>
        <w:spacing w:after="120" w:line="360" w:lineRule="auto"/>
        <w:ind w:left="420" w:leftChars="200"/>
        <w:rPr>
          <w:rFonts w:ascii="宋体" w:hAnsi="宋体" w:cs="等线"/>
          <w:sz w:val="24"/>
          <w:szCs w:val="20"/>
          <w:highlight w:val="none"/>
        </w:rPr>
      </w:pPr>
      <w:r>
        <w:rPr>
          <w:rFonts w:hint="eastAsia" w:ascii="宋体" w:hAnsi="宋体" w:cs="等线"/>
          <w:sz w:val="24"/>
          <w:szCs w:val="20"/>
          <w:highlight w:val="none"/>
        </w:rPr>
        <w:t>（1）承包人报送修订合同进度计划申请报告和相关资料的期限：</w:t>
      </w:r>
      <w:r>
        <w:rPr>
          <w:rFonts w:hint="eastAsia" w:ascii="宋体" w:hAnsi="宋体" w:cs="等线"/>
          <w:sz w:val="24"/>
          <w:szCs w:val="20"/>
          <w:highlight w:val="none"/>
          <w:u w:val="single"/>
        </w:rPr>
        <w:t xml:space="preserve"> 合同签订后7日内</w:t>
      </w:r>
      <w:r>
        <w:rPr>
          <w:rFonts w:hint="eastAsia" w:ascii="宋体" w:hAnsi="宋体" w:cs="等线"/>
          <w:sz w:val="24"/>
          <w:szCs w:val="20"/>
          <w:highlight w:val="none"/>
        </w:rPr>
        <w:t>。</w:t>
      </w:r>
    </w:p>
    <w:p w14:paraId="2236EECD">
      <w:pPr>
        <w:spacing w:after="120" w:line="360" w:lineRule="auto"/>
        <w:ind w:left="420" w:leftChars="200"/>
        <w:rPr>
          <w:rFonts w:ascii="宋体" w:hAnsi="宋体" w:cs="等线"/>
          <w:sz w:val="24"/>
          <w:szCs w:val="20"/>
          <w:highlight w:val="none"/>
        </w:rPr>
      </w:pPr>
      <w:r>
        <w:rPr>
          <w:rFonts w:hint="eastAsia" w:ascii="宋体" w:hAnsi="宋体" w:cs="等线"/>
          <w:sz w:val="24"/>
          <w:szCs w:val="20"/>
          <w:highlight w:val="none"/>
        </w:rPr>
        <w:t>（2）监理人批复修订合同进度计划申请报告的期限：</w:t>
      </w:r>
      <w:r>
        <w:rPr>
          <w:rFonts w:hint="eastAsia" w:ascii="宋体" w:hAnsi="宋体" w:cs="等线"/>
          <w:sz w:val="24"/>
          <w:szCs w:val="20"/>
          <w:highlight w:val="none"/>
          <w:u w:val="single"/>
        </w:rPr>
        <w:t xml:space="preserve"> 收到承包人报送的修订合同进度计划申请报告和相关资料后7日内</w:t>
      </w:r>
      <w:r>
        <w:rPr>
          <w:rFonts w:hint="eastAsia" w:ascii="宋体" w:hAnsi="宋体" w:cs="等线"/>
          <w:sz w:val="24"/>
          <w:szCs w:val="20"/>
          <w:highlight w:val="none"/>
        </w:rPr>
        <w:t>。</w:t>
      </w:r>
    </w:p>
    <w:p w14:paraId="45878C6B">
      <w:pPr>
        <w:spacing w:after="120" w:line="360" w:lineRule="auto"/>
        <w:ind w:left="420" w:leftChars="200"/>
        <w:rPr>
          <w:rFonts w:ascii="宋体" w:hAnsi="宋体" w:cs="等线"/>
          <w:sz w:val="24"/>
          <w:szCs w:val="20"/>
          <w:highlight w:val="none"/>
          <w:u w:val="single"/>
        </w:rPr>
      </w:pPr>
      <w:r>
        <w:rPr>
          <w:rFonts w:hint="eastAsia" w:ascii="宋体" w:hAnsi="宋体" w:cs="等线"/>
          <w:sz w:val="24"/>
          <w:szCs w:val="20"/>
          <w:highlight w:val="none"/>
        </w:rPr>
        <w:t>（3）监理人批复修订合同进度计划的期限：</w:t>
      </w:r>
      <w:r>
        <w:rPr>
          <w:rFonts w:hint="eastAsia" w:ascii="宋体" w:hAnsi="宋体" w:cs="等线"/>
          <w:sz w:val="24"/>
          <w:szCs w:val="20"/>
          <w:highlight w:val="none"/>
          <w:u w:val="single"/>
        </w:rPr>
        <w:t>收到承包人报送的修订合同进度计划和相关资料后7日内</w:t>
      </w:r>
      <w:r>
        <w:rPr>
          <w:rFonts w:hint="eastAsia" w:ascii="宋体" w:hAnsi="宋体" w:cs="等线"/>
          <w:sz w:val="24"/>
          <w:szCs w:val="20"/>
          <w:highlight w:val="none"/>
        </w:rPr>
        <w:t>。</w:t>
      </w:r>
    </w:p>
    <w:p w14:paraId="41A56AB1">
      <w:pPr>
        <w:keepNext/>
        <w:keepLines/>
        <w:spacing w:line="400" w:lineRule="exact"/>
        <w:outlineLvl w:val="1"/>
        <w:rPr>
          <w:rFonts w:ascii="宋体" w:hAnsi="宋体" w:cs="等线"/>
          <w:sz w:val="24"/>
          <w:highlight w:val="none"/>
        </w:rPr>
      </w:pPr>
      <w:bookmarkStart w:id="1634" w:name="_Toc38732189"/>
      <w:bookmarkStart w:id="1635" w:name="_Toc159950808"/>
      <w:bookmarkStart w:id="1636" w:name="_Toc24300"/>
      <w:bookmarkStart w:id="1637" w:name="_Toc12382"/>
      <w:r>
        <w:rPr>
          <w:rFonts w:hint="eastAsia" w:ascii="宋体" w:hAnsi="宋体" w:cs="等线"/>
          <w:sz w:val="24"/>
          <w:highlight w:val="none"/>
        </w:rPr>
        <w:t>11. 开工和竣工</w:t>
      </w:r>
      <w:bookmarkEnd w:id="1634"/>
      <w:bookmarkEnd w:id="1635"/>
      <w:bookmarkEnd w:id="1636"/>
      <w:bookmarkEnd w:id="1637"/>
    </w:p>
    <w:p w14:paraId="69E577DA">
      <w:pPr>
        <w:keepNext/>
        <w:keepLines/>
        <w:spacing w:line="360" w:lineRule="auto"/>
        <w:outlineLvl w:val="2"/>
        <w:rPr>
          <w:rFonts w:ascii="宋体" w:hAnsi="宋体" w:cs="等线"/>
          <w:sz w:val="24"/>
          <w:highlight w:val="none"/>
        </w:rPr>
      </w:pPr>
      <w:bookmarkStart w:id="1638" w:name="_Toc159950809"/>
      <w:bookmarkStart w:id="1639" w:name="_Toc26471"/>
      <w:bookmarkStart w:id="1640" w:name="_Toc38732190"/>
      <w:r>
        <w:rPr>
          <w:rFonts w:hint="eastAsia" w:ascii="宋体" w:hAnsi="宋体" w:cs="等线"/>
          <w:sz w:val="24"/>
          <w:highlight w:val="none"/>
        </w:rPr>
        <w:t>11.3 发包人的工期延误</w:t>
      </w:r>
      <w:bookmarkEnd w:id="1638"/>
      <w:bookmarkEnd w:id="1639"/>
      <w:bookmarkEnd w:id="1640"/>
    </w:p>
    <w:p w14:paraId="690CC080">
      <w:pPr>
        <w:spacing w:after="120" w:line="360" w:lineRule="auto"/>
        <w:ind w:firstLine="480" w:firstLineChars="200"/>
        <w:rPr>
          <w:rFonts w:ascii="宋体" w:hAnsi="宋体" w:cs="等线"/>
          <w:sz w:val="24"/>
          <w:szCs w:val="20"/>
          <w:highlight w:val="none"/>
        </w:rPr>
      </w:pPr>
      <w:r>
        <w:rPr>
          <w:rFonts w:hint="eastAsia" w:ascii="宋体" w:hAnsi="宋体" w:cs="等线"/>
          <w:sz w:val="24"/>
          <w:szCs w:val="20"/>
          <w:highlight w:val="none"/>
        </w:rPr>
        <w:t>(7) 因发包人原因不能按照监理人发出的开工通知中载明的开工日期开工。除发包人原因延期开工外，发包人造成工期延误的其他原因还包括：</w:t>
      </w:r>
      <w:r>
        <w:rPr>
          <w:rFonts w:hint="eastAsia" w:ascii="宋体" w:hAnsi="宋体" w:cs="等线"/>
          <w:sz w:val="24"/>
          <w:szCs w:val="20"/>
          <w:highlight w:val="none"/>
          <w:u w:val="single"/>
        </w:rPr>
        <w:t>发包人和承包人双方共同认为必须延长工期的(以书面文件为准)</w:t>
      </w:r>
      <w:r>
        <w:rPr>
          <w:rFonts w:hint="eastAsia" w:ascii="宋体" w:hAnsi="宋体" w:cs="等线"/>
          <w:sz w:val="24"/>
          <w:szCs w:val="20"/>
          <w:highlight w:val="none"/>
        </w:rPr>
        <w:t>等延误承包人关键线路工作的情况。</w:t>
      </w:r>
    </w:p>
    <w:p w14:paraId="39E2784F">
      <w:pPr>
        <w:keepNext/>
        <w:keepLines/>
        <w:spacing w:line="360" w:lineRule="auto"/>
        <w:outlineLvl w:val="2"/>
        <w:rPr>
          <w:rFonts w:ascii="宋体" w:hAnsi="宋体" w:cs="等线"/>
          <w:sz w:val="24"/>
          <w:highlight w:val="none"/>
        </w:rPr>
      </w:pPr>
      <w:bookmarkStart w:id="1641" w:name="_Toc159950810"/>
      <w:bookmarkStart w:id="1642" w:name="_Toc38732191"/>
      <w:bookmarkStart w:id="1643" w:name="_Toc22507"/>
      <w:r>
        <w:rPr>
          <w:rFonts w:hint="eastAsia" w:ascii="宋体" w:hAnsi="宋体" w:cs="等线"/>
          <w:sz w:val="24"/>
          <w:highlight w:val="none"/>
        </w:rPr>
        <w:t>11.4 异常恶劣的气候条件</w:t>
      </w:r>
      <w:bookmarkEnd w:id="1641"/>
      <w:bookmarkEnd w:id="1642"/>
      <w:bookmarkEnd w:id="1643"/>
    </w:p>
    <w:p w14:paraId="37EEC38D">
      <w:pPr>
        <w:spacing w:after="120" w:line="360" w:lineRule="auto"/>
        <w:ind w:left="420" w:leftChars="200"/>
        <w:rPr>
          <w:rFonts w:ascii="宋体" w:hAnsi="宋体" w:cs="等线"/>
          <w:sz w:val="24"/>
          <w:szCs w:val="20"/>
          <w:highlight w:val="none"/>
          <w:u w:val="single"/>
        </w:rPr>
      </w:pPr>
      <w:r>
        <w:rPr>
          <w:rFonts w:hint="eastAsia" w:ascii="宋体" w:hAnsi="宋体" w:cs="等线"/>
          <w:sz w:val="24"/>
          <w:szCs w:val="20"/>
          <w:highlight w:val="none"/>
        </w:rPr>
        <w:t>异常恶劣的气候条件的范围和标准：</w:t>
      </w:r>
      <w:r>
        <w:rPr>
          <w:rFonts w:hint="eastAsia" w:ascii="宋体" w:hAnsi="宋体" w:cs="等线"/>
          <w:sz w:val="24"/>
          <w:szCs w:val="20"/>
          <w:highlight w:val="none"/>
          <w:u w:val="single"/>
        </w:rPr>
        <w:t>暴雨橙色预警信号、大风黄色预警信号、沙尘暴橙色预警信号。由于恶劣的气候条件导致工期延误的，承包人有权要求发包人延长工期，但不增加费用 。</w:t>
      </w:r>
    </w:p>
    <w:p w14:paraId="015628FC">
      <w:pPr>
        <w:keepNext/>
        <w:keepLines/>
        <w:spacing w:line="360" w:lineRule="auto"/>
        <w:outlineLvl w:val="2"/>
        <w:rPr>
          <w:rFonts w:ascii="宋体" w:hAnsi="宋体" w:cs="等线"/>
          <w:sz w:val="24"/>
          <w:highlight w:val="none"/>
        </w:rPr>
      </w:pPr>
      <w:bookmarkStart w:id="1644" w:name="_Toc159950811"/>
      <w:bookmarkStart w:id="1645" w:name="_Toc38732192"/>
      <w:bookmarkStart w:id="1646" w:name="_Toc19764"/>
      <w:r>
        <w:rPr>
          <w:rFonts w:hint="eastAsia" w:ascii="宋体" w:hAnsi="宋体" w:cs="等线"/>
          <w:sz w:val="24"/>
          <w:highlight w:val="none"/>
        </w:rPr>
        <w:t>11.5 承包人的工期延误</w:t>
      </w:r>
      <w:bookmarkEnd w:id="1644"/>
      <w:bookmarkEnd w:id="1645"/>
      <w:bookmarkEnd w:id="1646"/>
    </w:p>
    <w:p w14:paraId="372789B0">
      <w:pPr>
        <w:spacing w:after="120" w:line="360" w:lineRule="auto"/>
        <w:ind w:firstLine="480" w:firstLineChars="200"/>
        <w:rPr>
          <w:rFonts w:ascii="宋体" w:hAnsi="宋体" w:cs="等线"/>
          <w:sz w:val="24"/>
          <w:szCs w:val="20"/>
          <w:highlight w:val="none"/>
        </w:rPr>
      </w:pPr>
      <w:r>
        <w:rPr>
          <w:rFonts w:hint="eastAsia" w:ascii="宋体" w:hAnsi="宋体" w:cs="等线"/>
          <w:sz w:val="24"/>
          <w:szCs w:val="20"/>
          <w:highlight w:val="none"/>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5F859FA1">
      <w:pPr>
        <w:spacing w:after="120" w:line="360" w:lineRule="auto"/>
        <w:ind w:left="420" w:leftChars="200"/>
        <w:rPr>
          <w:rFonts w:ascii="宋体" w:hAnsi="宋体" w:cs="等线"/>
          <w:sz w:val="24"/>
          <w:szCs w:val="20"/>
          <w:highlight w:val="none"/>
        </w:rPr>
      </w:pPr>
      <w:r>
        <w:rPr>
          <w:rFonts w:hint="eastAsia" w:ascii="宋体" w:hAnsi="宋体" w:cs="等线"/>
          <w:sz w:val="24"/>
          <w:szCs w:val="20"/>
          <w:highlight w:val="none"/>
        </w:rPr>
        <w:t>逾期竣工违约金的计算标准：</w:t>
      </w:r>
      <w:r>
        <w:rPr>
          <w:rFonts w:hint="eastAsia" w:ascii="宋体" w:hAnsi="宋体" w:cs="等线"/>
          <w:sz w:val="24"/>
          <w:szCs w:val="20"/>
          <w:highlight w:val="none"/>
          <w:u w:val="single"/>
        </w:rPr>
        <w:t>合同额的</w:t>
      </w:r>
      <w:r>
        <w:rPr>
          <w:rFonts w:ascii="宋体" w:hAnsi="宋体" w:cs="等线"/>
          <w:sz w:val="24"/>
          <w:szCs w:val="20"/>
          <w:highlight w:val="none"/>
          <w:u w:val="single"/>
        </w:rPr>
        <w:t>千分</w:t>
      </w:r>
      <w:r>
        <w:rPr>
          <w:rFonts w:hint="eastAsia" w:ascii="宋体" w:hAnsi="宋体" w:cs="等线"/>
          <w:sz w:val="24"/>
          <w:szCs w:val="20"/>
          <w:highlight w:val="none"/>
          <w:u w:val="single"/>
        </w:rPr>
        <w:t>之二/天</w:t>
      </w:r>
      <w:r>
        <w:rPr>
          <w:rFonts w:hint="eastAsia" w:ascii="宋体" w:hAnsi="宋体" w:cs="等线"/>
          <w:sz w:val="24"/>
          <w:szCs w:val="20"/>
          <w:highlight w:val="none"/>
        </w:rPr>
        <w:t>。</w:t>
      </w:r>
    </w:p>
    <w:p w14:paraId="4250DDE9">
      <w:pPr>
        <w:spacing w:after="120" w:line="360" w:lineRule="auto"/>
        <w:ind w:left="420" w:leftChars="200"/>
        <w:rPr>
          <w:rFonts w:ascii="宋体" w:hAnsi="宋体" w:cs="等线"/>
          <w:sz w:val="24"/>
          <w:szCs w:val="20"/>
          <w:highlight w:val="none"/>
        </w:rPr>
      </w:pPr>
      <w:r>
        <w:rPr>
          <w:rFonts w:hint="eastAsia" w:ascii="宋体" w:hAnsi="宋体" w:cs="等线"/>
          <w:sz w:val="24"/>
          <w:szCs w:val="20"/>
          <w:highlight w:val="none"/>
        </w:rPr>
        <w:t>逾期竣工违约金的计算方法：</w:t>
      </w:r>
      <w:r>
        <w:rPr>
          <w:rFonts w:hint="eastAsia" w:ascii="宋体" w:hAnsi="宋体" w:cs="等线"/>
          <w:sz w:val="24"/>
          <w:szCs w:val="20"/>
          <w:highlight w:val="none"/>
          <w:u w:val="single"/>
        </w:rPr>
        <w:t>每延误一天，承包人应当向发包人赔偿合同额的万分之二元/天整，不足一天按一天计</w:t>
      </w:r>
      <w:r>
        <w:rPr>
          <w:rFonts w:hint="eastAsia" w:ascii="宋体" w:hAnsi="宋体" w:cs="等线"/>
          <w:sz w:val="24"/>
          <w:szCs w:val="20"/>
          <w:highlight w:val="none"/>
        </w:rPr>
        <w:t>。</w:t>
      </w:r>
    </w:p>
    <w:p w14:paraId="2C6A75D0">
      <w:pPr>
        <w:spacing w:after="120" w:line="360" w:lineRule="auto"/>
        <w:ind w:left="420" w:leftChars="200"/>
        <w:rPr>
          <w:rFonts w:ascii="宋体" w:hAnsi="宋体" w:cs="等线"/>
          <w:sz w:val="24"/>
          <w:szCs w:val="20"/>
          <w:highlight w:val="none"/>
        </w:rPr>
      </w:pPr>
      <w:r>
        <w:rPr>
          <w:rFonts w:hint="eastAsia" w:ascii="宋体" w:hAnsi="宋体" w:cs="等线"/>
          <w:sz w:val="24"/>
          <w:szCs w:val="20"/>
          <w:highlight w:val="none"/>
        </w:rPr>
        <w:t>逾期竣工违约金最高限额：</w:t>
      </w:r>
      <w:r>
        <w:rPr>
          <w:rFonts w:hint="eastAsia" w:ascii="宋体" w:hAnsi="宋体" w:cs="等线"/>
          <w:sz w:val="24"/>
          <w:szCs w:val="20"/>
          <w:highlight w:val="none"/>
          <w:u w:val="single"/>
        </w:rPr>
        <w:t>总额不超过合同结算价的百分之三</w:t>
      </w:r>
      <w:r>
        <w:rPr>
          <w:rFonts w:hint="eastAsia" w:ascii="宋体" w:hAnsi="宋体" w:cs="等线"/>
          <w:sz w:val="24"/>
          <w:szCs w:val="20"/>
          <w:highlight w:val="none"/>
        </w:rPr>
        <w:t>。</w:t>
      </w:r>
    </w:p>
    <w:p w14:paraId="388EA658">
      <w:pPr>
        <w:keepNext/>
        <w:keepLines/>
        <w:spacing w:line="360" w:lineRule="auto"/>
        <w:outlineLvl w:val="2"/>
        <w:rPr>
          <w:rFonts w:ascii="宋体" w:hAnsi="宋体" w:cs="等线"/>
          <w:sz w:val="24"/>
          <w:highlight w:val="none"/>
        </w:rPr>
      </w:pPr>
      <w:bookmarkStart w:id="1647" w:name="_Toc16842"/>
      <w:bookmarkStart w:id="1648" w:name="_Toc38732193"/>
      <w:bookmarkStart w:id="1649" w:name="_Toc159950812"/>
      <w:r>
        <w:rPr>
          <w:rFonts w:hint="eastAsia" w:ascii="宋体" w:hAnsi="宋体" w:cs="等线"/>
          <w:sz w:val="24"/>
          <w:highlight w:val="none"/>
        </w:rPr>
        <w:t>11.6 工期提前</w:t>
      </w:r>
      <w:bookmarkEnd w:id="1647"/>
      <w:bookmarkEnd w:id="1648"/>
      <w:bookmarkEnd w:id="1649"/>
    </w:p>
    <w:p w14:paraId="0B8EB96D">
      <w:pPr>
        <w:spacing w:after="120" w:line="360" w:lineRule="auto"/>
        <w:ind w:left="420" w:leftChars="200"/>
        <w:rPr>
          <w:rFonts w:ascii="宋体" w:hAnsi="宋体" w:cs="等线"/>
          <w:sz w:val="24"/>
          <w:szCs w:val="20"/>
          <w:highlight w:val="none"/>
        </w:rPr>
      </w:pPr>
      <w:r>
        <w:rPr>
          <w:rFonts w:hint="eastAsia" w:ascii="宋体" w:hAnsi="宋体" w:cs="等线"/>
          <w:sz w:val="24"/>
          <w:szCs w:val="20"/>
          <w:highlight w:val="none"/>
        </w:rPr>
        <w:t>提前竣工的奖励办法：</w:t>
      </w:r>
      <w:r>
        <w:rPr>
          <w:rFonts w:hint="eastAsia" w:ascii="宋体" w:hAnsi="宋体" w:cs="等线"/>
          <w:sz w:val="24"/>
          <w:szCs w:val="20"/>
          <w:highlight w:val="none"/>
          <w:u w:val="single"/>
        </w:rPr>
        <w:t xml:space="preserve">                    /                        </w:t>
      </w:r>
      <w:r>
        <w:rPr>
          <w:rFonts w:hint="eastAsia" w:ascii="宋体" w:hAnsi="宋体" w:cs="等线"/>
          <w:sz w:val="24"/>
          <w:szCs w:val="20"/>
          <w:highlight w:val="none"/>
        </w:rPr>
        <w:t>。</w:t>
      </w:r>
    </w:p>
    <w:p w14:paraId="16508DC3">
      <w:pPr>
        <w:keepNext/>
        <w:keepLines/>
        <w:spacing w:line="400" w:lineRule="exact"/>
        <w:outlineLvl w:val="1"/>
        <w:rPr>
          <w:rFonts w:ascii="宋体" w:hAnsi="宋体" w:cs="等线"/>
          <w:sz w:val="24"/>
          <w:highlight w:val="none"/>
        </w:rPr>
      </w:pPr>
      <w:bookmarkStart w:id="1650" w:name="_Toc11240"/>
      <w:bookmarkStart w:id="1651" w:name="_Toc38732194"/>
      <w:bookmarkStart w:id="1652" w:name="_Toc159950813"/>
      <w:bookmarkStart w:id="1653" w:name="_Toc7475"/>
      <w:r>
        <w:rPr>
          <w:rFonts w:hint="eastAsia" w:ascii="宋体" w:hAnsi="宋体" w:cs="等线"/>
          <w:sz w:val="24"/>
          <w:highlight w:val="none"/>
        </w:rPr>
        <w:t>12. 暂停施工</w:t>
      </w:r>
      <w:bookmarkEnd w:id="1650"/>
      <w:bookmarkEnd w:id="1651"/>
      <w:bookmarkEnd w:id="1652"/>
      <w:bookmarkEnd w:id="1653"/>
    </w:p>
    <w:p w14:paraId="676ACD63">
      <w:pPr>
        <w:keepNext/>
        <w:keepLines/>
        <w:spacing w:line="360" w:lineRule="auto"/>
        <w:outlineLvl w:val="2"/>
        <w:rPr>
          <w:rFonts w:ascii="宋体" w:hAnsi="宋体" w:cs="等线"/>
          <w:sz w:val="24"/>
          <w:highlight w:val="none"/>
        </w:rPr>
      </w:pPr>
      <w:bookmarkStart w:id="1654" w:name="_Toc159950814"/>
      <w:bookmarkStart w:id="1655" w:name="_Toc38732195"/>
      <w:bookmarkStart w:id="1656" w:name="_Toc1626"/>
      <w:r>
        <w:rPr>
          <w:rFonts w:hint="eastAsia" w:ascii="宋体" w:hAnsi="宋体" w:cs="等线"/>
          <w:sz w:val="24"/>
          <w:highlight w:val="none"/>
        </w:rPr>
        <w:t>12.1 承包人暂停施工的责任</w:t>
      </w:r>
      <w:bookmarkEnd w:id="1654"/>
      <w:bookmarkEnd w:id="1655"/>
      <w:bookmarkEnd w:id="1656"/>
    </w:p>
    <w:p w14:paraId="149170C1">
      <w:pPr>
        <w:spacing w:after="120" w:line="360" w:lineRule="auto"/>
        <w:ind w:left="420" w:leftChars="200"/>
        <w:rPr>
          <w:rFonts w:ascii="宋体" w:hAnsi="宋体" w:cs="等线"/>
          <w:sz w:val="24"/>
          <w:szCs w:val="20"/>
          <w:highlight w:val="none"/>
        </w:rPr>
      </w:pPr>
      <w:r>
        <w:rPr>
          <w:rFonts w:hint="eastAsia" w:ascii="宋体" w:hAnsi="宋体" w:cs="等线"/>
          <w:sz w:val="24"/>
          <w:szCs w:val="20"/>
          <w:highlight w:val="none"/>
        </w:rPr>
        <w:t xml:space="preserve">（5）承包人承担暂停施工责任的其他情形： </w:t>
      </w:r>
      <w:r>
        <w:rPr>
          <w:rFonts w:hint="eastAsia" w:ascii="宋体" w:hAnsi="宋体" w:cs="等线"/>
          <w:sz w:val="24"/>
          <w:szCs w:val="20"/>
          <w:highlight w:val="none"/>
          <w:u w:val="single"/>
        </w:rPr>
        <w:t xml:space="preserve">       /                   </w:t>
      </w:r>
      <w:r>
        <w:rPr>
          <w:rFonts w:hint="eastAsia" w:ascii="宋体" w:hAnsi="宋体" w:cs="等线"/>
          <w:sz w:val="24"/>
          <w:szCs w:val="20"/>
          <w:highlight w:val="none"/>
        </w:rPr>
        <w:t>。</w:t>
      </w:r>
    </w:p>
    <w:p w14:paraId="0807BFD4">
      <w:pPr>
        <w:keepNext/>
        <w:keepLines/>
        <w:spacing w:line="360" w:lineRule="auto"/>
        <w:outlineLvl w:val="2"/>
        <w:rPr>
          <w:rFonts w:ascii="宋体" w:hAnsi="宋体" w:cs="等线"/>
          <w:sz w:val="24"/>
          <w:highlight w:val="none"/>
        </w:rPr>
      </w:pPr>
      <w:bookmarkStart w:id="1657" w:name="_Toc159950815"/>
      <w:bookmarkStart w:id="1658" w:name="_Toc6993"/>
      <w:bookmarkStart w:id="1659" w:name="_Toc38732196"/>
      <w:r>
        <w:rPr>
          <w:rFonts w:hint="eastAsia" w:ascii="宋体" w:hAnsi="宋体" w:cs="等线"/>
          <w:sz w:val="24"/>
          <w:highlight w:val="none"/>
        </w:rPr>
        <w:t>12.4 暂停施工后的复工</w:t>
      </w:r>
      <w:bookmarkEnd w:id="1657"/>
      <w:bookmarkEnd w:id="1658"/>
      <w:bookmarkEnd w:id="1659"/>
    </w:p>
    <w:p w14:paraId="0600025E">
      <w:pPr>
        <w:spacing w:line="360" w:lineRule="auto"/>
        <w:ind w:firstLine="420" w:firstLineChars="200"/>
        <w:rPr>
          <w:rFonts w:ascii="宋体" w:hAnsi="宋体" w:cs="等线"/>
          <w:highlight w:val="none"/>
        </w:rPr>
      </w:pPr>
      <w:r>
        <w:rPr>
          <w:rFonts w:hint="eastAsia" w:ascii="宋体" w:hAnsi="宋体" w:cs="等线"/>
          <w:highlight w:val="none"/>
        </w:rPr>
        <w:t>12.4.3 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3CAED123">
      <w:pPr>
        <w:spacing w:line="360" w:lineRule="auto"/>
        <w:ind w:firstLine="420" w:firstLineChars="200"/>
        <w:rPr>
          <w:rFonts w:ascii="宋体" w:hAnsi="宋体" w:cs="等线"/>
          <w:highlight w:val="none"/>
        </w:rPr>
      </w:pPr>
      <w:r>
        <w:rPr>
          <w:rFonts w:hint="eastAsia" w:ascii="宋体" w:hAnsi="宋体" w:cs="等线"/>
          <w:highlight w:val="none"/>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34B04FE2">
      <w:pPr>
        <w:keepNext/>
        <w:keepLines/>
        <w:spacing w:line="400" w:lineRule="exact"/>
        <w:outlineLvl w:val="1"/>
        <w:rPr>
          <w:rFonts w:ascii="宋体" w:hAnsi="宋体" w:cs="等线"/>
          <w:sz w:val="24"/>
          <w:highlight w:val="none"/>
        </w:rPr>
      </w:pPr>
      <w:bookmarkStart w:id="1660" w:name="_Toc38732197"/>
      <w:bookmarkStart w:id="1661" w:name="_Toc17610"/>
      <w:bookmarkStart w:id="1662" w:name="_Toc159950816"/>
      <w:bookmarkStart w:id="1663" w:name="_Toc25464"/>
      <w:r>
        <w:rPr>
          <w:rFonts w:hint="eastAsia" w:ascii="宋体" w:hAnsi="宋体" w:cs="等线"/>
          <w:sz w:val="24"/>
          <w:highlight w:val="none"/>
        </w:rPr>
        <w:t>13. 工程质量</w:t>
      </w:r>
      <w:bookmarkEnd w:id="1660"/>
      <w:bookmarkEnd w:id="1661"/>
      <w:bookmarkEnd w:id="1662"/>
      <w:bookmarkEnd w:id="1663"/>
    </w:p>
    <w:p w14:paraId="3D8F71EA">
      <w:pPr>
        <w:keepNext/>
        <w:keepLines/>
        <w:spacing w:line="360" w:lineRule="auto"/>
        <w:outlineLvl w:val="2"/>
        <w:rPr>
          <w:rFonts w:ascii="宋体" w:hAnsi="宋体" w:cs="等线"/>
          <w:sz w:val="24"/>
          <w:highlight w:val="none"/>
        </w:rPr>
      </w:pPr>
      <w:bookmarkStart w:id="1664" w:name="_Toc38732198"/>
      <w:bookmarkStart w:id="1665" w:name="_Toc23057"/>
      <w:bookmarkStart w:id="1666" w:name="_Toc159950817"/>
      <w:r>
        <w:rPr>
          <w:rFonts w:hint="eastAsia" w:ascii="宋体" w:hAnsi="宋体" w:cs="等线"/>
          <w:sz w:val="24"/>
          <w:highlight w:val="none"/>
        </w:rPr>
        <w:t>13.2 承包人的质量管理</w:t>
      </w:r>
      <w:bookmarkEnd w:id="1664"/>
      <w:bookmarkEnd w:id="1665"/>
      <w:bookmarkEnd w:id="1666"/>
    </w:p>
    <w:p w14:paraId="631164CF">
      <w:pPr>
        <w:spacing w:line="360" w:lineRule="auto"/>
        <w:ind w:firstLine="420" w:firstLineChars="200"/>
        <w:rPr>
          <w:rFonts w:ascii="宋体" w:hAnsi="宋体" w:cs="等线"/>
          <w:highlight w:val="none"/>
        </w:rPr>
      </w:pPr>
      <w:r>
        <w:rPr>
          <w:rFonts w:hint="eastAsia" w:ascii="宋体" w:hAnsi="宋体" w:cs="等线"/>
          <w:highlight w:val="none"/>
        </w:rPr>
        <w:t>13.2.1承包人向监理人提交工程质量保证措施文件的期限：</w:t>
      </w:r>
      <w:r>
        <w:rPr>
          <w:rFonts w:hint="eastAsia" w:ascii="宋体" w:hAnsi="宋体" w:cs="等线"/>
          <w:highlight w:val="none"/>
          <w:u w:val="single"/>
        </w:rPr>
        <w:t xml:space="preserve">合同签订后7日内 </w:t>
      </w:r>
      <w:r>
        <w:rPr>
          <w:rFonts w:hint="eastAsia" w:ascii="宋体" w:hAnsi="宋体" w:cs="等线"/>
          <w:highlight w:val="none"/>
        </w:rPr>
        <w:t>。</w:t>
      </w:r>
    </w:p>
    <w:p w14:paraId="6F703F98">
      <w:pPr>
        <w:spacing w:line="360" w:lineRule="auto"/>
        <w:ind w:firstLine="420" w:firstLineChars="200"/>
        <w:rPr>
          <w:rFonts w:ascii="宋体" w:hAnsi="宋体" w:cs="等线"/>
          <w:highlight w:val="none"/>
        </w:rPr>
      </w:pPr>
      <w:r>
        <w:rPr>
          <w:rFonts w:hint="eastAsia" w:ascii="宋体" w:hAnsi="宋体" w:cs="等线"/>
          <w:highlight w:val="none"/>
        </w:rPr>
        <w:t>监理人审批工程质量保证措施文件的期限：</w:t>
      </w:r>
      <w:r>
        <w:rPr>
          <w:rFonts w:hint="eastAsia" w:ascii="宋体" w:hAnsi="宋体" w:cs="等线"/>
          <w:highlight w:val="none"/>
          <w:u w:val="single"/>
        </w:rPr>
        <w:t>收到承包人提交的工程质量保证措施文件7日内</w:t>
      </w:r>
      <w:r>
        <w:rPr>
          <w:rFonts w:hint="eastAsia" w:ascii="宋体" w:hAnsi="宋体" w:cs="等线"/>
          <w:highlight w:val="none"/>
        </w:rPr>
        <w:t>。</w:t>
      </w:r>
    </w:p>
    <w:p w14:paraId="202BD354">
      <w:pPr>
        <w:keepNext/>
        <w:keepLines/>
        <w:spacing w:line="360" w:lineRule="auto"/>
        <w:outlineLvl w:val="2"/>
        <w:rPr>
          <w:rFonts w:ascii="宋体" w:hAnsi="宋体" w:cs="等线"/>
          <w:sz w:val="24"/>
          <w:highlight w:val="none"/>
        </w:rPr>
      </w:pPr>
      <w:bookmarkStart w:id="1667" w:name="_Toc38732199"/>
      <w:bookmarkStart w:id="1668" w:name="_Toc159950818"/>
      <w:bookmarkStart w:id="1669" w:name="_Toc7306"/>
      <w:r>
        <w:rPr>
          <w:rFonts w:hint="eastAsia" w:ascii="宋体" w:hAnsi="宋体" w:cs="等线"/>
          <w:sz w:val="24"/>
          <w:highlight w:val="none"/>
        </w:rPr>
        <w:t>13.3 承包人的质量检查</w:t>
      </w:r>
      <w:bookmarkEnd w:id="1667"/>
      <w:bookmarkEnd w:id="1668"/>
      <w:bookmarkEnd w:id="1669"/>
    </w:p>
    <w:p w14:paraId="10B15B4C">
      <w:pPr>
        <w:spacing w:line="360" w:lineRule="auto"/>
        <w:ind w:firstLine="420" w:firstLineChars="200"/>
        <w:rPr>
          <w:rFonts w:ascii="宋体" w:hAnsi="宋体" w:cs="等线"/>
          <w:highlight w:val="none"/>
        </w:rPr>
      </w:pPr>
      <w:r>
        <w:rPr>
          <w:rFonts w:hint="eastAsia" w:ascii="宋体" w:hAnsi="宋体" w:cs="等线"/>
          <w:highlight w:val="none"/>
        </w:rPr>
        <w:t>承包人向监理人报送工程质量报表的期限：</w:t>
      </w:r>
      <w:r>
        <w:rPr>
          <w:rFonts w:hint="eastAsia" w:ascii="宋体" w:hAnsi="宋体" w:cs="等线"/>
          <w:highlight w:val="none"/>
          <w:u w:val="single"/>
        </w:rPr>
        <w:t>需监理人查验前48小时</w:t>
      </w:r>
      <w:r>
        <w:rPr>
          <w:rFonts w:hint="eastAsia" w:ascii="宋体" w:hAnsi="宋体" w:cs="等线"/>
          <w:highlight w:val="none"/>
        </w:rPr>
        <w:t>。</w:t>
      </w:r>
    </w:p>
    <w:p w14:paraId="1F9E0F00">
      <w:pPr>
        <w:spacing w:line="360" w:lineRule="auto"/>
        <w:ind w:firstLine="420" w:firstLineChars="200"/>
        <w:rPr>
          <w:rFonts w:ascii="宋体" w:hAnsi="宋体" w:cs="等线"/>
          <w:highlight w:val="none"/>
        </w:rPr>
      </w:pPr>
      <w:r>
        <w:rPr>
          <w:rFonts w:hint="eastAsia" w:ascii="宋体" w:hAnsi="宋体" w:cs="等线"/>
          <w:highlight w:val="none"/>
        </w:rPr>
        <w:t>承包人向监理人报送工程质量报表的要求：</w:t>
      </w:r>
      <w:r>
        <w:rPr>
          <w:rFonts w:hint="eastAsia" w:ascii="宋体" w:hAnsi="宋体" w:cs="等线"/>
          <w:highlight w:val="none"/>
          <w:u w:val="single"/>
        </w:rPr>
        <w:t>表中至少包含：各方责任主体质量行为情况、第三方监测质量行为情况；重要部位、关键工序工程质量存在的主要问题及整改情况；材料进场验收及原材料试验情况</w:t>
      </w:r>
      <w:r>
        <w:rPr>
          <w:rFonts w:hint="eastAsia" w:ascii="宋体" w:hAnsi="宋体" w:cs="等线"/>
          <w:highlight w:val="none"/>
        </w:rPr>
        <w:t>。</w:t>
      </w:r>
    </w:p>
    <w:p w14:paraId="64A6C779">
      <w:pPr>
        <w:spacing w:line="360" w:lineRule="auto"/>
        <w:ind w:firstLine="420" w:firstLineChars="200"/>
        <w:rPr>
          <w:rFonts w:ascii="宋体" w:hAnsi="宋体" w:cs="等线"/>
          <w:highlight w:val="none"/>
        </w:rPr>
      </w:pPr>
      <w:r>
        <w:rPr>
          <w:rFonts w:hint="eastAsia" w:ascii="宋体" w:hAnsi="宋体" w:cs="等线"/>
          <w:highlight w:val="none"/>
        </w:rPr>
        <w:t>监理人审查工程质量报表的期限：</w:t>
      </w:r>
      <w:r>
        <w:rPr>
          <w:rFonts w:hint="eastAsia" w:ascii="宋体" w:hAnsi="宋体" w:cs="等线"/>
          <w:highlight w:val="none"/>
          <w:u w:val="single"/>
        </w:rPr>
        <w:t>收到工程质量报表后5日内</w:t>
      </w:r>
      <w:r>
        <w:rPr>
          <w:rFonts w:hint="eastAsia" w:ascii="宋体" w:hAnsi="宋体" w:cs="等线"/>
          <w:highlight w:val="none"/>
        </w:rPr>
        <w:t>。</w:t>
      </w:r>
    </w:p>
    <w:p w14:paraId="4AE86389">
      <w:pPr>
        <w:keepNext/>
        <w:keepLines/>
        <w:spacing w:line="360" w:lineRule="auto"/>
        <w:outlineLvl w:val="2"/>
        <w:rPr>
          <w:rFonts w:ascii="宋体" w:hAnsi="宋体" w:cs="等线"/>
          <w:sz w:val="24"/>
          <w:highlight w:val="none"/>
        </w:rPr>
      </w:pPr>
      <w:bookmarkStart w:id="1670" w:name="_Toc26623"/>
      <w:bookmarkStart w:id="1671" w:name="_Toc38732200"/>
      <w:bookmarkStart w:id="1672" w:name="_Toc159950819"/>
      <w:r>
        <w:rPr>
          <w:rFonts w:hint="eastAsia" w:ascii="宋体" w:hAnsi="宋体" w:cs="等线"/>
          <w:sz w:val="24"/>
          <w:highlight w:val="none"/>
        </w:rPr>
        <w:t>13.4 监理人的质量检查</w:t>
      </w:r>
      <w:bookmarkEnd w:id="1670"/>
      <w:bookmarkEnd w:id="1671"/>
      <w:bookmarkEnd w:id="1672"/>
    </w:p>
    <w:p w14:paraId="226B6F8A">
      <w:pPr>
        <w:spacing w:line="360" w:lineRule="auto"/>
        <w:ind w:firstLine="420" w:firstLineChars="200"/>
        <w:rPr>
          <w:rFonts w:ascii="宋体" w:hAnsi="宋体" w:cs="等线"/>
          <w:highlight w:val="none"/>
        </w:rPr>
      </w:pPr>
      <w:r>
        <w:rPr>
          <w:rFonts w:hint="eastAsia" w:ascii="宋体" w:hAnsi="宋体" w:cs="等线"/>
          <w:highlight w:val="none"/>
        </w:rPr>
        <w:t>承包人应当为监理人的检查和检验提供方便，监理人可以进行察看和查阅施工原始记录的其他地方包括：</w:t>
      </w:r>
      <w:r>
        <w:rPr>
          <w:rFonts w:hint="eastAsia" w:ascii="宋体" w:hAnsi="宋体" w:cs="等线"/>
          <w:highlight w:val="none"/>
          <w:u w:val="single"/>
        </w:rPr>
        <w:t>施工场地、承包人的现场试验场所、承包人的预制构件制作车间、承包人门窗制作车间等重要材料设备制作场地</w:t>
      </w:r>
      <w:r>
        <w:rPr>
          <w:rFonts w:hint="eastAsia" w:ascii="宋体" w:hAnsi="宋体" w:cs="等线"/>
          <w:highlight w:val="none"/>
        </w:rPr>
        <w:t>。</w:t>
      </w:r>
    </w:p>
    <w:p w14:paraId="350ECC4E">
      <w:pPr>
        <w:keepNext/>
        <w:keepLines/>
        <w:spacing w:line="360" w:lineRule="auto"/>
        <w:outlineLvl w:val="2"/>
        <w:rPr>
          <w:rFonts w:ascii="宋体" w:hAnsi="宋体" w:cs="等线"/>
          <w:sz w:val="24"/>
          <w:highlight w:val="none"/>
        </w:rPr>
      </w:pPr>
      <w:bookmarkStart w:id="1673" w:name="_Toc38732201"/>
      <w:bookmarkStart w:id="1674" w:name="_Toc159950820"/>
      <w:bookmarkStart w:id="1675" w:name="_Toc31732"/>
      <w:r>
        <w:rPr>
          <w:rFonts w:hint="eastAsia" w:ascii="宋体" w:hAnsi="宋体" w:cs="等线"/>
          <w:sz w:val="24"/>
          <w:highlight w:val="none"/>
        </w:rPr>
        <w:t>13.5 工程隐蔽部位覆盖前的检查</w:t>
      </w:r>
      <w:bookmarkEnd w:id="1673"/>
      <w:bookmarkEnd w:id="1674"/>
      <w:bookmarkEnd w:id="1675"/>
    </w:p>
    <w:p w14:paraId="33B766B3">
      <w:pPr>
        <w:spacing w:line="360" w:lineRule="auto"/>
        <w:ind w:firstLine="420" w:firstLineChars="200"/>
        <w:rPr>
          <w:rFonts w:ascii="宋体" w:hAnsi="宋体" w:cs="等线"/>
          <w:highlight w:val="none"/>
        </w:rPr>
      </w:pPr>
      <w:r>
        <w:rPr>
          <w:rFonts w:hint="eastAsia" w:ascii="宋体" w:hAnsi="宋体" w:cs="等线"/>
          <w:highlight w:val="none"/>
        </w:rPr>
        <w:t>13.5.1 监理人对工程隐蔽部位进行检查的期限：</w:t>
      </w:r>
      <w:r>
        <w:rPr>
          <w:rFonts w:hint="eastAsia" w:ascii="宋体" w:hAnsi="宋体" w:cs="等线"/>
          <w:highlight w:val="none"/>
          <w:u w:val="single"/>
        </w:rPr>
        <w:t>收到承包人的检查通知后12小时内</w:t>
      </w:r>
      <w:r>
        <w:rPr>
          <w:rFonts w:hint="eastAsia" w:ascii="宋体" w:hAnsi="宋体" w:cs="等线"/>
          <w:highlight w:val="none"/>
        </w:rPr>
        <w:t>。</w:t>
      </w:r>
    </w:p>
    <w:p w14:paraId="02882EA5">
      <w:pPr>
        <w:keepNext/>
        <w:keepLines/>
        <w:spacing w:line="360" w:lineRule="auto"/>
        <w:outlineLvl w:val="2"/>
        <w:rPr>
          <w:rFonts w:ascii="宋体" w:hAnsi="宋体" w:cs="等线"/>
          <w:sz w:val="24"/>
          <w:highlight w:val="none"/>
        </w:rPr>
      </w:pPr>
      <w:bookmarkStart w:id="1676" w:name="_Toc38732202"/>
      <w:bookmarkStart w:id="1677" w:name="_Toc4170"/>
      <w:bookmarkStart w:id="1678" w:name="_Toc159950821"/>
      <w:r>
        <w:rPr>
          <w:rFonts w:hint="eastAsia" w:ascii="宋体" w:hAnsi="宋体" w:cs="等线"/>
          <w:sz w:val="24"/>
          <w:highlight w:val="none"/>
        </w:rPr>
        <w:t>13.7 质量争议</w:t>
      </w:r>
      <w:bookmarkEnd w:id="1676"/>
      <w:bookmarkEnd w:id="1677"/>
      <w:bookmarkEnd w:id="1678"/>
    </w:p>
    <w:p w14:paraId="7169E2BF">
      <w:pPr>
        <w:spacing w:line="360" w:lineRule="auto"/>
        <w:ind w:firstLine="420" w:firstLineChars="200"/>
        <w:rPr>
          <w:rFonts w:ascii="宋体" w:hAnsi="宋体" w:cs="等线"/>
          <w:highlight w:val="none"/>
        </w:rPr>
      </w:pPr>
      <w:r>
        <w:rPr>
          <w:rFonts w:hint="eastAsia" w:ascii="宋体" w:hAnsi="宋体" w:cs="等线"/>
          <w:highlight w:val="none"/>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6B55A25C">
      <w:pPr>
        <w:keepNext/>
        <w:keepLines/>
        <w:spacing w:line="400" w:lineRule="exact"/>
        <w:outlineLvl w:val="1"/>
        <w:rPr>
          <w:rFonts w:ascii="宋体" w:hAnsi="宋体" w:cs="等线"/>
          <w:sz w:val="24"/>
          <w:highlight w:val="none"/>
        </w:rPr>
      </w:pPr>
      <w:bookmarkStart w:id="1679" w:name="_Toc159950822"/>
      <w:bookmarkStart w:id="1680" w:name="_Toc2323"/>
      <w:bookmarkStart w:id="1681" w:name="_Toc25582"/>
      <w:bookmarkStart w:id="1682" w:name="_Toc38732203"/>
      <w:r>
        <w:rPr>
          <w:rFonts w:hint="eastAsia" w:ascii="宋体" w:hAnsi="宋体" w:cs="等线"/>
          <w:sz w:val="24"/>
          <w:highlight w:val="none"/>
        </w:rPr>
        <w:t>15. 变更</w:t>
      </w:r>
      <w:bookmarkEnd w:id="1679"/>
      <w:bookmarkEnd w:id="1680"/>
      <w:bookmarkEnd w:id="1681"/>
      <w:bookmarkEnd w:id="1682"/>
    </w:p>
    <w:p w14:paraId="2BD8E7E8">
      <w:pPr>
        <w:keepNext/>
        <w:keepLines/>
        <w:spacing w:line="360" w:lineRule="auto"/>
        <w:outlineLvl w:val="2"/>
        <w:rPr>
          <w:rFonts w:ascii="宋体" w:hAnsi="宋体" w:cs="等线"/>
          <w:sz w:val="24"/>
          <w:highlight w:val="none"/>
        </w:rPr>
      </w:pPr>
      <w:bookmarkStart w:id="1683" w:name="_Toc18951"/>
      <w:bookmarkStart w:id="1684" w:name="_Toc159950823"/>
      <w:bookmarkStart w:id="1685" w:name="_Toc38732204"/>
      <w:r>
        <w:rPr>
          <w:rFonts w:hint="eastAsia" w:ascii="宋体" w:hAnsi="宋体" w:cs="等线"/>
          <w:sz w:val="24"/>
          <w:highlight w:val="none"/>
        </w:rPr>
        <w:t>15.1 变更的范围和内容</w:t>
      </w:r>
      <w:bookmarkEnd w:id="1683"/>
      <w:bookmarkEnd w:id="1684"/>
      <w:bookmarkEnd w:id="1685"/>
    </w:p>
    <w:p w14:paraId="1D45A709">
      <w:pPr>
        <w:spacing w:line="360" w:lineRule="auto"/>
        <w:ind w:firstLine="420" w:firstLineChars="200"/>
        <w:rPr>
          <w:rFonts w:ascii="宋体" w:hAnsi="宋体" w:cs="等线"/>
          <w:highlight w:val="none"/>
        </w:rPr>
      </w:pPr>
      <w:r>
        <w:rPr>
          <w:rFonts w:hint="eastAsia" w:ascii="宋体" w:hAnsi="宋体" w:cs="等线"/>
          <w:highlight w:val="none"/>
        </w:rPr>
        <w:t>应当进行变更的其他情形：</w:t>
      </w:r>
      <w:r>
        <w:rPr>
          <w:rFonts w:hint="eastAsia" w:ascii="宋体" w:hAnsi="宋体" w:cs="等线"/>
          <w:highlight w:val="none"/>
          <w:u w:val="single"/>
        </w:rPr>
        <w:t>清单范围之外的工作内容</w:t>
      </w:r>
      <w:r>
        <w:rPr>
          <w:rFonts w:hint="eastAsia" w:ascii="宋体" w:hAnsi="宋体" w:cs="等线"/>
          <w:highlight w:val="none"/>
        </w:rPr>
        <w:t>。</w:t>
      </w:r>
    </w:p>
    <w:p w14:paraId="30459941">
      <w:pPr>
        <w:spacing w:line="360" w:lineRule="auto"/>
        <w:ind w:firstLine="420" w:firstLineChars="200"/>
        <w:rPr>
          <w:rFonts w:ascii="宋体" w:hAnsi="宋体" w:cs="等线"/>
          <w:highlight w:val="none"/>
        </w:rPr>
      </w:pPr>
      <w:r>
        <w:rPr>
          <w:rFonts w:hint="eastAsia" w:ascii="宋体" w:hAnsi="宋体" w:cs="等线"/>
          <w:highlight w:val="none"/>
        </w:rPr>
        <w:t>发包人违背通用合同条款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04169F4D">
      <w:pPr>
        <w:keepNext/>
        <w:keepLines/>
        <w:spacing w:line="360" w:lineRule="auto"/>
        <w:outlineLvl w:val="2"/>
        <w:rPr>
          <w:rFonts w:ascii="宋体" w:hAnsi="宋体" w:cs="等线"/>
          <w:sz w:val="24"/>
          <w:highlight w:val="none"/>
        </w:rPr>
      </w:pPr>
      <w:bookmarkStart w:id="1686" w:name="_Toc159950824"/>
      <w:bookmarkStart w:id="1687" w:name="_Toc24370"/>
      <w:bookmarkStart w:id="1688" w:name="_Toc38732205"/>
      <w:r>
        <w:rPr>
          <w:rFonts w:hint="eastAsia" w:ascii="宋体" w:hAnsi="宋体" w:cs="等线"/>
          <w:sz w:val="24"/>
          <w:highlight w:val="none"/>
        </w:rPr>
        <w:t>15.3 变更程序</w:t>
      </w:r>
      <w:bookmarkEnd w:id="1686"/>
      <w:bookmarkEnd w:id="1687"/>
      <w:bookmarkEnd w:id="1688"/>
    </w:p>
    <w:p w14:paraId="7D28166F">
      <w:pPr>
        <w:spacing w:line="360" w:lineRule="auto"/>
        <w:ind w:firstLine="420" w:firstLineChars="200"/>
        <w:rPr>
          <w:rFonts w:ascii="宋体" w:hAnsi="宋体" w:cs="等线"/>
          <w:highlight w:val="none"/>
        </w:rPr>
      </w:pPr>
      <w:r>
        <w:rPr>
          <w:rFonts w:hint="eastAsia" w:ascii="宋体" w:hAnsi="宋体" w:cs="等线"/>
          <w:highlight w:val="none"/>
        </w:rPr>
        <w:t>15.3.2 变更估价</w:t>
      </w:r>
    </w:p>
    <w:p w14:paraId="4BF2E6A5">
      <w:pPr>
        <w:spacing w:line="360" w:lineRule="auto"/>
        <w:ind w:firstLine="420" w:firstLineChars="200"/>
        <w:rPr>
          <w:rFonts w:ascii="宋体" w:hAnsi="宋体" w:cs="等线"/>
          <w:highlight w:val="none"/>
        </w:rPr>
      </w:pPr>
      <w:r>
        <w:rPr>
          <w:rFonts w:hint="eastAsia" w:ascii="宋体" w:hAnsi="宋体" w:cs="等线"/>
          <w:highlight w:val="none"/>
        </w:rPr>
        <w:t>（1）承包人提交变更报价书的期限：</w:t>
      </w:r>
      <w:r>
        <w:rPr>
          <w:rFonts w:hint="eastAsia" w:ascii="宋体" w:hAnsi="宋体" w:cs="等线"/>
          <w:highlight w:val="none"/>
          <w:u w:val="single"/>
        </w:rPr>
        <w:t>承包人收到变更指示或变更意向书后7日内</w:t>
      </w:r>
      <w:r>
        <w:rPr>
          <w:rFonts w:hint="eastAsia" w:ascii="宋体" w:hAnsi="宋体" w:cs="等线"/>
          <w:highlight w:val="none"/>
        </w:rPr>
        <w:t>。</w:t>
      </w:r>
    </w:p>
    <w:p w14:paraId="49DC2D52">
      <w:pPr>
        <w:spacing w:line="360" w:lineRule="auto"/>
        <w:ind w:firstLine="420" w:firstLineChars="200"/>
        <w:rPr>
          <w:rFonts w:ascii="宋体" w:hAnsi="宋体" w:cs="等线"/>
          <w:highlight w:val="none"/>
        </w:rPr>
      </w:pPr>
      <w:r>
        <w:rPr>
          <w:rFonts w:hint="eastAsia" w:ascii="宋体" w:hAnsi="宋体" w:cs="等线"/>
          <w:highlight w:val="none"/>
        </w:rPr>
        <w:t>（3）监理人商定或确定变更价格的期限：</w:t>
      </w:r>
      <w:r>
        <w:rPr>
          <w:rFonts w:hint="eastAsia" w:ascii="宋体" w:hAnsi="宋体" w:cs="等线"/>
          <w:highlight w:val="none"/>
          <w:u w:val="single"/>
        </w:rPr>
        <w:t>监理人收到承包人变更报价书后7日内</w:t>
      </w:r>
      <w:r>
        <w:rPr>
          <w:rFonts w:hint="eastAsia" w:ascii="宋体" w:hAnsi="宋体" w:cs="等线"/>
          <w:highlight w:val="none"/>
        </w:rPr>
        <w:t>。</w:t>
      </w:r>
    </w:p>
    <w:p w14:paraId="3FC3573C">
      <w:pPr>
        <w:spacing w:line="360" w:lineRule="auto"/>
        <w:ind w:firstLine="420" w:firstLineChars="200"/>
        <w:rPr>
          <w:rFonts w:ascii="宋体" w:hAnsi="宋体" w:cs="等线"/>
          <w:highlight w:val="none"/>
        </w:rPr>
      </w:pPr>
      <w:r>
        <w:rPr>
          <w:rFonts w:hint="eastAsia" w:ascii="宋体" w:hAnsi="宋体" w:cs="等线"/>
          <w:highlight w:val="none"/>
        </w:rPr>
        <w:t>（4）收到变更指示后，如承包人未在规定的期限内提交变更报价书的，监理人可自行决定是否调整合同价款以及如果监理人决定调整合同价款时，相应调整的具体金额。</w:t>
      </w:r>
    </w:p>
    <w:p w14:paraId="0A9C771B">
      <w:pPr>
        <w:keepNext/>
        <w:keepLines/>
        <w:spacing w:line="360" w:lineRule="auto"/>
        <w:outlineLvl w:val="2"/>
        <w:rPr>
          <w:rFonts w:ascii="宋体" w:hAnsi="宋体" w:cs="等线"/>
          <w:sz w:val="24"/>
          <w:highlight w:val="none"/>
        </w:rPr>
      </w:pPr>
      <w:bookmarkStart w:id="1689" w:name="_Toc18892"/>
      <w:bookmarkStart w:id="1690" w:name="_Toc159950825"/>
      <w:bookmarkStart w:id="1691" w:name="_Toc38732206"/>
      <w:r>
        <w:rPr>
          <w:rFonts w:hint="eastAsia" w:ascii="宋体" w:hAnsi="宋体" w:cs="等线"/>
          <w:sz w:val="24"/>
          <w:highlight w:val="none"/>
        </w:rPr>
        <w:t>15.4 变更的估价原则</w:t>
      </w:r>
      <w:bookmarkEnd w:id="1689"/>
      <w:bookmarkEnd w:id="1690"/>
      <w:bookmarkEnd w:id="1691"/>
    </w:p>
    <w:p w14:paraId="5F1AB36F">
      <w:pPr>
        <w:spacing w:line="360" w:lineRule="auto"/>
        <w:ind w:firstLine="420" w:firstLineChars="200"/>
        <w:rPr>
          <w:rFonts w:ascii="宋体" w:hAnsi="宋体" w:cs="等线"/>
          <w:highlight w:val="none"/>
        </w:rPr>
      </w:pPr>
      <w:r>
        <w:rPr>
          <w:rFonts w:hint="eastAsia" w:ascii="宋体" w:hAnsi="宋体" w:cs="等线"/>
          <w:highlight w:val="none"/>
        </w:rPr>
        <w:t>15.4.5 合同协议书约定采用单价合同形式时，因非承包人原因引起已标价工程量清单中列明的工程量发生增减，且单个子目工程量变化幅度在</w:t>
      </w:r>
      <w:r>
        <w:rPr>
          <w:rFonts w:hint="eastAsia" w:ascii="宋体" w:hAnsi="宋体" w:cs="等线"/>
          <w:highlight w:val="none"/>
          <w:u w:val="single"/>
        </w:rPr>
        <w:t xml:space="preserve">   /   </w:t>
      </w:r>
      <w:r>
        <w:rPr>
          <w:rFonts w:hint="eastAsia" w:ascii="宋体" w:hAnsi="宋体" w:cs="等线"/>
          <w:highlight w:val="none"/>
        </w:rPr>
        <w:t>%以内（含）时，应执行已标价工程量清单中列明的该子目的单价；单个子目工程量变化幅度在</w:t>
      </w:r>
      <w:r>
        <w:rPr>
          <w:rFonts w:hint="eastAsia" w:ascii="宋体" w:hAnsi="宋体" w:cs="等线"/>
          <w:highlight w:val="none"/>
          <w:u w:val="single"/>
        </w:rPr>
        <w:t xml:space="preserve">   /   </w:t>
      </w:r>
      <w:r>
        <w:rPr>
          <w:rFonts w:hint="eastAsia" w:ascii="宋体" w:hAnsi="宋体" w:cs="等线"/>
          <w:highlight w:val="none"/>
        </w:rPr>
        <w:t>%以外（不含），且导致分部分项工程费总额变化幅度超过</w:t>
      </w:r>
      <w:r>
        <w:rPr>
          <w:rFonts w:hint="eastAsia" w:ascii="宋体" w:hAnsi="宋体" w:cs="等线"/>
          <w:highlight w:val="none"/>
          <w:u w:val="single"/>
        </w:rPr>
        <w:t xml:space="preserve">    /    </w:t>
      </w:r>
      <w:r>
        <w:rPr>
          <w:rFonts w:hint="eastAsia" w:ascii="宋体" w:hAnsi="宋体" w:cs="等线"/>
          <w:highlight w:val="none"/>
        </w:rPr>
        <w:t>%时，由承包人提出并由监理人按第3.5款商定或确定新的单价，该子目按修正后的新的单价计价。</w:t>
      </w:r>
    </w:p>
    <w:p w14:paraId="404C0555">
      <w:pPr>
        <w:spacing w:line="360" w:lineRule="auto"/>
        <w:ind w:firstLine="525" w:firstLineChars="250"/>
        <w:rPr>
          <w:rFonts w:ascii="宋体" w:hAnsi="宋体" w:cs="等线"/>
          <w:highlight w:val="none"/>
          <w:u w:val="single"/>
        </w:rPr>
      </w:pPr>
      <w:r>
        <w:rPr>
          <w:rFonts w:hint="eastAsia" w:ascii="宋体" w:hAnsi="宋体" w:cs="等线"/>
          <w:highlight w:val="none"/>
        </w:rPr>
        <w:t>5.4.6 因变更引起价格调整的其他处理方式：</w:t>
      </w:r>
      <w:r>
        <w:rPr>
          <w:rFonts w:hint="eastAsia" w:ascii="宋体" w:hAnsi="宋体" w:cs="等线"/>
          <w:highlight w:val="none"/>
          <w:u w:val="single"/>
        </w:rPr>
        <w:t xml:space="preserve">             /           </w:t>
      </w:r>
      <w:r>
        <w:rPr>
          <w:rFonts w:hint="eastAsia" w:ascii="宋体" w:hAnsi="宋体" w:cs="等线"/>
          <w:highlight w:val="none"/>
        </w:rPr>
        <w:t>。</w:t>
      </w:r>
    </w:p>
    <w:p w14:paraId="06DBDDB1">
      <w:pPr>
        <w:keepNext/>
        <w:keepLines/>
        <w:spacing w:line="360" w:lineRule="auto"/>
        <w:outlineLvl w:val="2"/>
        <w:rPr>
          <w:rFonts w:ascii="宋体" w:hAnsi="宋体" w:cs="等线"/>
          <w:sz w:val="24"/>
          <w:highlight w:val="none"/>
        </w:rPr>
      </w:pPr>
      <w:bookmarkStart w:id="1692" w:name="_Toc13595"/>
      <w:bookmarkStart w:id="1693" w:name="_Toc159950826"/>
      <w:bookmarkStart w:id="1694" w:name="_Toc38732207"/>
      <w:r>
        <w:rPr>
          <w:rFonts w:hint="eastAsia" w:ascii="宋体" w:hAnsi="宋体" w:cs="等线"/>
          <w:sz w:val="24"/>
          <w:highlight w:val="none"/>
        </w:rPr>
        <w:t>15.5 承包人的合理化建议</w:t>
      </w:r>
      <w:bookmarkEnd w:id="1692"/>
      <w:bookmarkEnd w:id="1693"/>
      <w:bookmarkEnd w:id="1694"/>
    </w:p>
    <w:p w14:paraId="3D6D82F8">
      <w:pPr>
        <w:spacing w:line="360" w:lineRule="auto"/>
        <w:ind w:firstLine="420" w:firstLineChars="200"/>
        <w:rPr>
          <w:rFonts w:ascii="宋体" w:hAnsi="宋体" w:cs="等线"/>
          <w:highlight w:val="none"/>
        </w:rPr>
      </w:pPr>
      <w:r>
        <w:rPr>
          <w:rFonts w:hint="eastAsia" w:ascii="宋体" w:hAnsi="宋体" w:cs="等线"/>
          <w:highlight w:val="none"/>
        </w:rPr>
        <w:t>15.5.2对承包人提出合理化建议的奖励方法：</w:t>
      </w:r>
      <w:r>
        <w:rPr>
          <w:rFonts w:hint="eastAsia" w:ascii="宋体" w:hAnsi="宋体" w:cs="等线"/>
          <w:highlight w:val="none"/>
          <w:u w:val="single"/>
        </w:rPr>
        <w:t xml:space="preserve">         /                </w:t>
      </w:r>
      <w:r>
        <w:rPr>
          <w:rFonts w:hint="eastAsia" w:ascii="宋体" w:hAnsi="宋体" w:cs="等线"/>
          <w:highlight w:val="none"/>
        </w:rPr>
        <w:t>。</w:t>
      </w:r>
    </w:p>
    <w:p w14:paraId="0D362847">
      <w:pPr>
        <w:keepNext/>
        <w:keepLines/>
        <w:spacing w:line="360" w:lineRule="auto"/>
        <w:outlineLvl w:val="2"/>
        <w:rPr>
          <w:rFonts w:ascii="宋体" w:hAnsi="宋体" w:cs="等线"/>
          <w:sz w:val="24"/>
          <w:highlight w:val="none"/>
        </w:rPr>
      </w:pPr>
      <w:bookmarkStart w:id="1695" w:name="_Toc38732208"/>
      <w:bookmarkStart w:id="1696" w:name="_Toc159950827"/>
      <w:bookmarkStart w:id="1697" w:name="_Toc13702"/>
      <w:r>
        <w:rPr>
          <w:rFonts w:hint="eastAsia" w:ascii="宋体" w:hAnsi="宋体" w:cs="等线"/>
          <w:sz w:val="24"/>
          <w:highlight w:val="none"/>
        </w:rPr>
        <w:t>15.8 暂估价</w:t>
      </w:r>
      <w:bookmarkEnd w:id="1695"/>
      <w:bookmarkEnd w:id="1696"/>
      <w:bookmarkEnd w:id="1697"/>
    </w:p>
    <w:p w14:paraId="242F54D7">
      <w:pPr>
        <w:spacing w:line="360" w:lineRule="auto"/>
        <w:ind w:firstLine="420" w:firstLineChars="200"/>
        <w:rPr>
          <w:rFonts w:ascii="宋体" w:hAnsi="宋体" w:cs="等线"/>
          <w:highlight w:val="none"/>
        </w:rPr>
      </w:pPr>
      <w:r>
        <w:rPr>
          <w:rFonts w:hint="eastAsia" w:ascii="宋体" w:hAnsi="宋体" w:cs="等线"/>
          <w:highlight w:val="none"/>
        </w:rPr>
        <w:t>15.8.1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1736F210">
      <w:pPr>
        <w:spacing w:line="360" w:lineRule="auto"/>
        <w:ind w:firstLine="420" w:firstLineChars="200"/>
        <w:rPr>
          <w:rFonts w:ascii="宋体" w:hAnsi="宋体" w:cs="等线"/>
          <w:highlight w:val="none"/>
        </w:rPr>
      </w:pPr>
      <w:r>
        <w:rPr>
          <w:rFonts w:hint="eastAsia" w:ascii="宋体" w:hAnsi="宋体" w:cs="等线"/>
          <w:highlight w:val="none"/>
        </w:rPr>
        <w:t>（1）在任何招标工作启动前，承包人应当提前至少</w:t>
      </w:r>
      <w:r>
        <w:rPr>
          <w:rFonts w:hint="eastAsia" w:ascii="宋体" w:hAnsi="宋体" w:cs="等线"/>
          <w:highlight w:val="none"/>
          <w:u w:val="single"/>
        </w:rPr>
        <w:t xml:space="preserve"> 7 </w:t>
      </w:r>
      <w:r>
        <w:rPr>
          <w:rFonts w:hint="eastAsia" w:ascii="宋体" w:hAnsi="宋体" w:cs="等线"/>
          <w:highlight w:val="none"/>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宋体" w:hAnsi="宋体" w:cs="等线"/>
          <w:highlight w:val="none"/>
          <w:u w:val="single"/>
        </w:rPr>
        <w:t xml:space="preserve"> 3 </w:t>
      </w:r>
      <w:r>
        <w:rPr>
          <w:rFonts w:hint="eastAsia" w:ascii="宋体" w:hAnsi="宋体" w:cs="等线"/>
          <w:highlight w:val="none"/>
        </w:rPr>
        <w:t>天内给予批准或者提出修改意见。承包人应当严格按照经过发包人批准的招标工作计划开展招标工作。</w:t>
      </w:r>
    </w:p>
    <w:p w14:paraId="62D6B03A">
      <w:pPr>
        <w:spacing w:line="360" w:lineRule="auto"/>
        <w:ind w:firstLine="420" w:firstLineChars="200"/>
        <w:rPr>
          <w:rFonts w:ascii="宋体" w:hAnsi="宋体" w:cs="等线"/>
          <w:highlight w:val="none"/>
        </w:rPr>
      </w:pPr>
      <w:r>
        <w:rPr>
          <w:rFonts w:hint="eastAsia" w:ascii="宋体" w:hAnsi="宋体" w:cs="等线"/>
          <w:highlight w:val="none"/>
        </w:rPr>
        <w:t>（2）承包人应当在发出招标公告（或者资格预审公告或者投标邀请书）、资格预审文件和招标文件前至少</w:t>
      </w:r>
      <w:r>
        <w:rPr>
          <w:rFonts w:hint="eastAsia" w:ascii="宋体" w:hAnsi="宋体" w:cs="等线"/>
          <w:highlight w:val="none"/>
          <w:u w:val="single"/>
        </w:rPr>
        <w:t xml:space="preserve"> 7 </w:t>
      </w:r>
      <w:r>
        <w:rPr>
          <w:rFonts w:hint="eastAsia" w:ascii="宋体" w:hAnsi="宋体" w:cs="等线"/>
          <w:highlight w:val="none"/>
        </w:rPr>
        <w:t>天，分别将相关文件通过监理人报请发包人审批，发包人应当在监理人收到承包人报送的相关文件后</w:t>
      </w:r>
      <w:r>
        <w:rPr>
          <w:rFonts w:hint="eastAsia" w:ascii="宋体" w:hAnsi="宋体" w:cs="等线"/>
          <w:highlight w:val="none"/>
          <w:u w:val="single"/>
        </w:rPr>
        <w:t xml:space="preserve"> 3 </w:t>
      </w:r>
      <w:r>
        <w:rPr>
          <w:rFonts w:hint="eastAsia" w:ascii="宋体" w:hAnsi="宋体" w:cs="等线"/>
          <w:highlight w:val="none"/>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47F32E2D">
      <w:pPr>
        <w:spacing w:line="360" w:lineRule="auto"/>
        <w:ind w:firstLine="420" w:firstLineChars="200"/>
        <w:rPr>
          <w:rFonts w:ascii="宋体" w:hAnsi="宋体" w:cs="等线"/>
          <w:highlight w:val="none"/>
        </w:rPr>
      </w:pPr>
      <w:r>
        <w:rPr>
          <w:rFonts w:hint="eastAsia" w:ascii="宋体" w:hAnsi="宋体" w:cs="等线"/>
          <w:highlight w:val="none"/>
        </w:rPr>
        <w:t>（3）如果发、承包任何一方委派评标代表，评标委员会应当由七人以上单数构成。除发包人或者承包人自愿放弃委派评标代表的权利外，招标人评标代表应当分别由发包人和承包人等额委派。</w:t>
      </w:r>
    </w:p>
    <w:p w14:paraId="459D0744">
      <w:pPr>
        <w:spacing w:line="360" w:lineRule="auto"/>
        <w:ind w:firstLine="420" w:firstLineChars="200"/>
        <w:rPr>
          <w:rFonts w:ascii="宋体" w:hAnsi="宋体" w:cs="等线"/>
          <w:highlight w:val="none"/>
        </w:rPr>
      </w:pPr>
      <w:r>
        <w:rPr>
          <w:rFonts w:hint="eastAsia" w:ascii="宋体" w:hAnsi="宋体" w:cs="等线"/>
          <w:highlight w:val="none"/>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07180321">
      <w:pPr>
        <w:spacing w:line="360" w:lineRule="auto"/>
        <w:ind w:firstLine="420" w:firstLineChars="200"/>
        <w:rPr>
          <w:rFonts w:ascii="宋体" w:hAnsi="宋体" w:cs="等线"/>
          <w:highlight w:val="none"/>
        </w:rPr>
      </w:pPr>
      <w:r>
        <w:rPr>
          <w:rFonts w:hint="eastAsia" w:ascii="宋体" w:hAnsi="宋体" w:cs="等线"/>
          <w:highlight w:val="none"/>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6FC570EF">
      <w:pPr>
        <w:spacing w:line="360" w:lineRule="auto"/>
        <w:ind w:firstLine="420" w:firstLineChars="200"/>
        <w:rPr>
          <w:rFonts w:ascii="宋体" w:hAnsi="宋体" w:cs="等线"/>
          <w:highlight w:val="none"/>
        </w:rPr>
      </w:pPr>
      <w:r>
        <w:rPr>
          <w:rFonts w:hint="eastAsia" w:ascii="宋体" w:hAnsi="宋体" w:cs="等线"/>
          <w:highlight w:val="none"/>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13963F75">
      <w:pPr>
        <w:spacing w:line="360" w:lineRule="auto"/>
        <w:ind w:firstLine="420" w:firstLineChars="200"/>
        <w:rPr>
          <w:rFonts w:ascii="宋体" w:hAnsi="宋体" w:cs="等线"/>
          <w:highlight w:val="none"/>
        </w:rPr>
      </w:pPr>
      <w:r>
        <w:rPr>
          <w:rFonts w:hint="eastAsia" w:ascii="宋体" w:hAnsi="宋体" w:cs="等线"/>
          <w:highlight w:val="none"/>
        </w:rPr>
        <w:t>（7）承包人与专业分包人或者专项供应商订立合同前</w:t>
      </w:r>
      <w:r>
        <w:rPr>
          <w:rFonts w:hint="eastAsia" w:ascii="宋体" w:hAnsi="宋体" w:cs="等线"/>
          <w:highlight w:val="none"/>
          <w:u w:val="single"/>
        </w:rPr>
        <w:t xml:space="preserve"> 10 </w:t>
      </w:r>
      <w:r>
        <w:rPr>
          <w:rFonts w:hint="eastAsia" w:ascii="宋体" w:hAnsi="宋体" w:cs="等线"/>
          <w:highlight w:val="none"/>
        </w:rPr>
        <w:t>天，应当将准备用于正式签订的合同文件通过监理人报发包人审核，发包人应当在监理人收到相关文件后</w:t>
      </w:r>
      <w:r>
        <w:rPr>
          <w:rFonts w:hint="eastAsia" w:ascii="宋体" w:hAnsi="宋体" w:cs="等线"/>
          <w:highlight w:val="none"/>
          <w:u w:val="single"/>
        </w:rPr>
        <w:t xml:space="preserve"> 7 </w:t>
      </w:r>
      <w:r>
        <w:rPr>
          <w:rFonts w:hint="eastAsia" w:ascii="宋体" w:hAnsi="宋体" w:cs="等线"/>
          <w:highlight w:val="none"/>
        </w:rPr>
        <w:t>天内给予批准或者提出修改意见，承包人应当按照发包人批准的合同文件签订相关合同，合同订立后</w:t>
      </w:r>
      <w:r>
        <w:rPr>
          <w:rFonts w:hint="eastAsia" w:ascii="宋体" w:hAnsi="宋体" w:cs="等线"/>
          <w:highlight w:val="none"/>
          <w:u w:val="single"/>
        </w:rPr>
        <w:t xml:space="preserve">  7 </w:t>
      </w:r>
      <w:r>
        <w:rPr>
          <w:rFonts w:hint="eastAsia" w:ascii="宋体" w:hAnsi="宋体" w:cs="等线"/>
          <w:highlight w:val="none"/>
        </w:rPr>
        <w:t>天内，承包人应当将其中的两份副本报送监理人，其中一份由监理人报发包人留存。</w:t>
      </w:r>
    </w:p>
    <w:p w14:paraId="70DBAA6A">
      <w:pPr>
        <w:spacing w:line="360" w:lineRule="auto"/>
        <w:ind w:firstLine="420" w:firstLineChars="200"/>
        <w:rPr>
          <w:rFonts w:ascii="宋体" w:hAnsi="宋体" w:cs="等线"/>
          <w:highlight w:val="none"/>
        </w:rPr>
      </w:pPr>
      <w:r>
        <w:rPr>
          <w:rFonts w:hint="eastAsia" w:ascii="宋体" w:hAnsi="宋体" w:cs="等线"/>
          <w:highlight w:val="none"/>
        </w:rPr>
        <w:t>（8）发包人对承包人报送文件进行审批或提出的修改意见应当合理，并符合现行有关法律法规的规定。</w:t>
      </w:r>
    </w:p>
    <w:p w14:paraId="64B1E204">
      <w:pPr>
        <w:spacing w:line="360" w:lineRule="auto"/>
        <w:ind w:firstLine="420" w:firstLineChars="200"/>
        <w:rPr>
          <w:rFonts w:ascii="宋体" w:hAnsi="宋体" w:cs="等线"/>
          <w:highlight w:val="none"/>
        </w:rPr>
      </w:pPr>
      <w:r>
        <w:rPr>
          <w:rFonts w:hint="eastAsia" w:ascii="宋体" w:hAnsi="宋体" w:cs="等线"/>
          <w:highlight w:val="none"/>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5D8115D3">
      <w:pPr>
        <w:spacing w:line="360" w:lineRule="auto"/>
        <w:ind w:firstLine="420" w:firstLineChars="200"/>
        <w:rPr>
          <w:rFonts w:ascii="宋体" w:hAnsi="宋体" w:cs="等线"/>
          <w:highlight w:val="none"/>
        </w:rPr>
      </w:pPr>
      <w:r>
        <w:rPr>
          <w:rFonts w:hint="eastAsia" w:ascii="宋体" w:hAnsi="宋体" w:cs="等线"/>
          <w:highlight w:val="none"/>
        </w:rPr>
        <w:t>15.8.3发包人在工程量清单中给定暂估价的专业工程不属于依法必须招标的范围或者未达到依法必须招标的规模标准的，其最终价格的估价人为：</w:t>
      </w:r>
      <w:r>
        <w:rPr>
          <w:rFonts w:hint="eastAsia" w:ascii="宋体" w:hAnsi="宋体" w:cs="等线"/>
          <w:highlight w:val="none"/>
          <w:u w:val="single"/>
        </w:rPr>
        <w:t>发包人</w:t>
      </w:r>
      <w:r>
        <w:rPr>
          <w:rFonts w:hint="eastAsia" w:ascii="宋体" w:hAnsi="宋体" w:cs="等线"/>
          <w:highlight w:val="none"/>
        </w:rPr>
        <w:t>或者按照下列约定：</w:t>
      </w:r>
      <w:r>
        <w:rPr>
          <w:rFonts w:hint="eastAsia" w:ascii="宋体" w:hAnsi="宋体" w:cs="等线"/>
          <w:highlight w:val="none"/>
          <w:u w:val="single"/>
        </w:rPr>
        <w:t xml:space="preserve"> / </w:t>
      </w:r>
      <w:r>
        <w:rPr>
          <w:rFonts w:hint="eastAsia" w:ascii="宋体" w:hAnsi="宋体" w:cs="等线"/>
          <w:highlight w:val="none"/>
        </w:rPr>
        <w:t>。</w:t>
      </w:r>
    </w:p>
    <w:p w14:paraId="34C2DDC7">
      <w:pPr>
        <w:keepNext/>
        <w:keepLines/>
        <w:spacing w:line="400" w:lineRule="exact"/>
        <w:outlineLvl w:val="1"/>
        <w:rPr>
          <w:rFonts w:ascii="宋体" w:hAnsi="宋体" w:cs="等线"/>
          <w:sz w:val="24"/>
          <w:highlight w:val="none"/>
        </w:rPr>
      </w:pPr>
      <w:bookmarkStart w:id="1698" w:name="_Toc19770"/>
      <w:bookmarkStart w:id="1699" w:name="_Toc25133"/>
      <w:bookmarkStart w:id="1700" w:name="_Toc159950828"/>
      <w:bookmarkStart w:id="1701" w:name="_Toc38732209"/>
      <w:r>
        <w:rPr>
          <w:rFonts w:hint="eastAsia" w:ascii="宋体" w:hAnsi="宋体" w:cs="等线"/>
          <w:sz w:val="24"/>
          <w:highlight w:val="none"/>
        </w:rPr>
        <w:t>16. 价格调整</w:t>
      </w:r>
      <w:bookmarkEnd w:id="1698"/>
      <w:bookmarkEnd w:id="1699"/>
      <w:bookmarkEnd w:id="1700"/>
      <w:bookmarkEnd w:id="1701"/>
    </w:p>
    <w:p w14:paraId="7BC2B55B">
      <w:pPr>
        <w:keepNext/>
        <w:keepLines/>
        <w:spacing w:line="360" w:lineRule="auto"/>
        <w:outlineLvl w:val="2"/>
        <w:rPr>
          <w:rFonts w:ascii="宋体" w:hAnsi="宋体" w:cs="等线"/>
          <w:sz w:val="24"/>
          <w:highlight w:val="none"/>
        </w:rPr>
      </w:pPr>
      <w:bookmarkStart w:id="1702" w:name="_Toc13235"/>
      <w:bookmarkStart w:id="1703" w:name="_Toc38732210"/>
      <w:bookmarkStart w:id="1704" w:name="_Toc159950829"/>
      <w:r>
        <w:rPr>
          <w:rFonts w:hint="eastAsia" w:ascii="宋体" w:hAnsi="宋体" w:cs="等线"/>
          <w:sz w:val="24"/>
          <w:highlight w:val="none"/>
        </w:rPr>
        <w:t xml:space="preserve">16.1 </w:t>
      </w:r>
      <w:r>
        <w:rPr>
          <w:rFonts w:hint="eastAsia" w:ascii="宋体" w:hAnsi="宋体" w:cs="等线"/>
          <w:sz w:val="24"/>
          <w:highlight w:val="none"/>
        </w:rPr>
        <w:t>物价波动引起的价格调整</w:t>
      </w:r>
      <w:bookmarkEnd w:id="1702"/>
      <w:bookmarkEnd w:id="1703"/>
      <w:bookmarkEnd w:id="1704"/>
    </w:p>
    <w:p w14:paraId="13566292">
      <w:pPr>
        <w:spacing w:line="360" w:lineRule="auto"/>
        <w:ind w:firstLine="420" w:firstLineChars="200"/>
        <w:rPr>
          <w:rFonts w:ascii="宋体" w:hAnsi="宋体" w:cs="等线"/>
          <w:highlight w:val="none"/>
        </w:rPr>
      </w:pPr>
      <w:r>
        <w:rPr>
          <w:rFonts w:hint="eastAsia" w:ascii="宋体" w:hAnsi="宋体" w:cs="等线"/>
          <w:highlight w:val="none"/>
        </w:rPr>
        <w:t>物价波动引起的价格调整方法：</w:t>
      </w:r>
      <w:r>
        <w:rPr>
          <w:rFonts w:hint="eastAsia" w:ascii="宋体" w:hAnsi="宋体" w:cs="等线"/>
          <w:highlight w:val="none"/>
          <w:u w:val="single"/>
        </w:rPr>
        <w:t>采用造价信息调整价格差额，具体约定如下</w:t>
      </w:r>
      <w:r>
        <w:rPr>
          <w:rFonts w:hint="eastAsia" w:ascii="宋体" w:hAnsi="宋体" w:cs="等线"/>
          <w:highlight w:val="none"/>
        </w:rPr>
        <w:t>。</w:t>
      </w:r>
    </w:p>
    <w:p w14:paraId="3BBBD37E">
      <w:pPr>
        <w:spacing w:line="360" w:lineRule="auto"/>
        <w:ind w:firstLine="422" w:firstLineChars="200"/>
        <w:rPr>
          <w:rFonts w:ascii="宋体" w:hAnsi="宋体" w:cs="等线"/>
          <w:b/>
          <w:highlight w:val="none"/>
          <w:u w:val="single"/>
        </w:rPr>
      </w:pPr>
      <w:r>
        <w:rPr>
          <w:rFonts w:hint="eastAsia" w:ascii="宋体" w:hAnsi="宋体" w:cs="等线"/>
          <w:b/>
          <w:highlight w:val="none"/>
          <w:u w:val="single"/>
        </w:rPr>
        <w:t>（1）风险范围：</w:t>
      </w:r>
    </w:p>
    <w:p w14:paraId="292499B6">
      <w:pPr>
        <w:spacing w:line="360" w:lineRule="auto"/>
        <w:ind w:firstLine="420" w:firstLineChars="200"/>
        <w:rPr>
          <w:rFonts w:ascii="宋体" w:hAnsi="宋体" w:cs="等线"/>
          <w:highlight w:val="none"/>
          <w:u w:val="single"/>
        </w:rPr>
      </w:pPr>
      <w:r>
        <w:rPr>
          <w:rFonts w:hint="eastAsia" w:ascii="宋体" w:hAnsi="宋体" w:cs="等线"/>
          <w:highlight w:val="none"/>
          <w:u w:val="single"/>
        </w:rPr>
        <w:t>本工程人工、预拌混凝土、钢筋、木材、电线、电缆市场价格的涨落在±6%（含±6%）以内的风险，以及其他材料和机械使用费价格变化的全部风险。</w:t>
      </w:r>
    </w:p>
    <w:p w14:paraId="0AF6BBE7">
      <w:pPr>
        <w:spacing w:line="360" w:lineRule="auto"/>
        <w:ind w:firstLine="422" w:firstLineChars="200"/>
        <w:rPr>
          <w:rFonts w:ascii="宋体" w:hAnsi="宋体" w:cs="等线"/>
          <w:b/>
          <w:highlight w:val="none"/>
          <w:u w:val="single"/>
        </w:rPr>
      </w:pPr>
      <w:r>
        <w:rPr>
          <w:rFonts w:hint="eastAsia" w:ascii="宋体" w:hAnsi="宋体" w:cs="等线"/>
          <w:b/>
          <w:highlight w:val="none"/>
          <w:u w:val="single"/>
        </w:rPr>
        <w:t>(2）市场价格变化幅度确定的原则：</w:t>
      </w:r>
    </w:p>
    <w:p w14:paraId="68FA1849">
      <w:pPr>
        <w:spacing w:line="360" w:lineRule="auto"/>
        <w:ind w:firstLine="420" w:firstLineChars="200"/>
        <w:rPr>
          <w:rFonts w:ascii="宋体" w:hAnsi="宋体" w:cs="等线"/>
          <w:highlight w:val="none"/>
          <w:u w:val="single"/>
        </w:rPr>
      </w:pPr>
      <w:r>
        <w:rPr>
          <w:rFonts w:hint="eastAsia" w:ascii="宋体" w:hAnsi="宋体" w:cs="等线"/>
          <w:highlight w:val="none"/>
          <w:u w:val="single"/>
        </w:rPr>
        <w:t>a）以本市建设工程造价管理机构施工当期发布的《北京工程造价信息》中的市场信息价格 （以下简称造价信息价格）为依据，造价信息价格中有上、下限的，以下限为准，造价信息价格中没有的，按发包人、承包人共同确认的市场价格为准；</w:t>
      </w:r>
    </w:p>
    <w:p w14:paraId="3BB023F7">
      <w:pPr>
        <w:spacing w:line="360" w:lineRule="auto"/>
        <w:ind w:firstLine="420" w:firstLineChars="200"/>
        <w:rPr>
          <w:rFonts w:ascii="宋体" w:hAnsi="宋体" w:cs="等线"/>
          <w:highlight w:val="none"/>
          <w:u w:val="single"/>
        </w:rPr>
      </w:pPr>
      <w:r>
        <w:rPr>
          <w:rFonts w:hint="eastAsia" w:ascii="宋体" w:hAnsi="宋体" w:cs="等线"/>
          <w:highlight w:val="none"/>
          <w:u w:val="single"/>
        </w:rPr>
        <w:t>b) 当投标报价时的单价低于投标报价期对应的造价信息价格时，按施工期对应的造价信息价格与投标报价期对应的造价信息价格计算其变化幅度；当投标报价时的单价高于投标报价期对应的造价信息价格时，按施工期对应的造价信息价格与投标报价时的价格计算其变化幅度。</w:t>
      </w:r>
    </w:p>
    <w:p w14:paraId="6EF792A1">
      <w:pPr>
        <w:spacing w:line="360" w:lineRule="auto"/>
        <w:ind w:firstLine="420" w:firstLineChars="200"/>
        <w:rPr>
          <w:rFonts w:ascii="宋体" w:hAnsi="宋体" w:cs="等线"/>
          <w:highlight w:val="none"/>
          <w:u w:val="single"/>
        </w:rPr>
      </w:pPr>
      <w:r>
        <w:rPr>
          <w:rFonts w:hint="eastAsia" w:ascii="宋体" w:hAnsi="宋体" w:cs="等线"/>
          <w:highlight w:val="none"/>
          <w:u w:val="single"/>
        </w:rPr>
        <w:t>变化幅度的确定：</w:t>
      </w:r>
    </w:p>
    <w:p w14:paraId="6A5956FA">
      <w:pPr>
        <w:spacing w:line="360" w:lineRule="auto"/>
        <w:ind w:firstLine="420" w:firstLineChars="200"/>
        <w:rPr>
          <w:rFonts w:ascii="宋体" w:hAnsi="宋体" w:cs="等线"/>
          <w:highlight w:val="none"/>
          <w:u w:val="single"/>
        </w:rPr>
      </w:pPr>
      <w:r>
        <w:rPr>
          <w:rFonts w:hint="eastAsia" w:ascii="宋体" w:hAnsi="宋体" w:cs="等线"/>
          <w:highlight w:val="none"/>
          <w:u w:val="single"/>
        </w:rPr>
        <w:t>当报价≤基价时，变化幅度=（施工期价-基价）/基价。</w:t>
      </w:r>
    </w:p>
    <w:p w14:paraId="30C5A85C">
      <w:pPr>
        <w:spacing w:line="360" w:lineRule="auto"/>
        <w:ind w:firstLine="420" w:firstLineChars="200"/>
        <w:rPr>
          <w:rFonts w:ascii="宋体" w:hAnsi="宋体" w:cs="等线"/>
          <w:highlight w:val="none"/>
          <w:u w:val="single"/>
        </w:rPr>
      </w:pPr>
      <w:r>
        <w:rPr>
          <w:rFonts w:hint="eastAsia" w:ascii="宋体" w:hAnsi="宋体" w:cs="等线"/>
          <w:highlight w:val="none"/>
          <w:u w:val="single"/>
        </w:rPr>
        <w:t>当报价＞基价时，变化幅度=（施工期价-报价）/报价。</w:t>
      </w:r>
    </w:p>
    <w:p w14:paraId="316FC0A8">
      <w:pPr>
        <w:spacing w:line="360" w:lineRule="auto"/>
        <w:ind w:firstLine="420" w:firstLineChars="200"/>
        <w:rPr>
          <w:rFonts w:ascii="宋体" w:hAnsi="宋体" w:cs="等线"/>
          <w:highlight w:val="none"/>
          <w:u w:val="single"/>
        </w:rPr>
      </w:pPr>
      <w:r>
        <w:rPr>
          <w:rFonts w:hint="eastAsia" w:ascii="宋体" w:hAnsi="宋体" w:cs="等线"/>
          <w:highlight w:val="none"/>
          <w:u w:val="single"/>
        </w:rPr>
        <w:t>注：以下关于“基价、施工期价、报价”的定义仅适用于本工程</w:t>
      </w:r>
    </w:p>
    <w:p w14:paraId="5E79EB89">
      <w:pPr>
        <w:spacing w:line="360" w:lineRule="auto"/>
        <w:ind w:firstLine="422" w:firstLineChars="200"/>
        <w:rPr>
          <w:rFonts w:ascii="宋体" w:hAnsi="宋体" w:cs="等线"/>
          <w:highlight w:val="none"/>
          <w:u w:val="single"/>
        </w:rPr>
      </w:pPr>
      <w:r>
        <w:rPr>
          <w:rFonts w:hint="eastAsia" w:ascii="宋体" w:hAnsi="宋体" w:cs="等线"/>
          <w:b/>
          <w:highlight w:val="none"/>
          <w:u w:val="single"/>
        </w:rPr>
        <w:t>基价</w:t>
      </w:r>
      <w:r>
        <w:rPr>
          <w:rFonts w:hint="eastAsia" w:ascii="宋体" w:hAnsi="宋体" w:cs="等线"/>
          <w:highlight w:val="none"/>
          <w:u w:val="single"/>
        </w:rPr>
        <w:t>：指开标之日前一月的北京市建设工程造价管理机构发布的《北京工程造价信息》中的市场信息价格。</w:t>
      </w:r>
    </w:p>
    <w:p w14:paraId="202BBD9D">
      <w:pPr>
        <w:spacing w:line="360" w:lineRule="auto"/>
        <w:ind w:firstLine="422" w:firstLineChars="200"/>
        <w:rPr>
          <w:rFonts w:ascii="宋体" w:hAnsi="宋体" w:cs="等线"/>
          <w:highlight w:val="none"/>
        </w:rPr>
      </w:pPr>
      <w:r>
        <w:rPr>
          <w:rFonts w:hint="eastAsia" w:ascii="宋体" w:hAnsi="宋体" w:cs="等线"/>
          <w:b/>
          <w:highlight w:val="none"/>
          <w:u w:val="single"/>
        </w:rPr>
        <w:t>报价</w:t>
      </w:r>
      <w:r>
        <w:rPr>
          <w:rFonts w:hint="eastAsia" w:ascii="宋体" w:hAnsi="宋体" w:cs="等线"/>
          <w:highlight w:val="none"/>
          <w:u w:val="single"/>
        </w:rPr>
        <w:t>：指投标人的投标文件中“工程量清单综合单价分析表”中的报价。</w:t>
      </w:r>
    </w:p>
    <w:p w14:paraId="74AE45C1">
      <w:pPr>
        <w:spacing w:line="360" w:lineRule="auto"/>
        <w:ind w:firstLine="422" w:firstLineChars="200"/>
        <w:rPr>
          <w:rFonts w:ascii="宋体" w:hAnsi="宋体" w:cs="等线"/>
          <w:highlight w:val="none"/>
          <w:u w:val="single"/>
        </w:rPr>
      </w:pPr>
      <w:r>
        <w:rPr>
          <w:rFonts w:hint="eastAsia" w:ascii="宋体" w:hAnsi="宋体" w:cs="等线"/>
          <w:b/>
          <w:highlight w:val="none"/>
          <w:u w:val="single"/>
        </w:rPr>
        <w:t>(3) 各项合同风险范围之外物价波动引起的价格调整方法</w:t>
      </w:r>
    </w:p>
    <w:p w14:paraId="285D66C4">
      <w:pPr>
        <w:spacing w:line="360" w:lineRule="auto"/>
        <w:ind w:firstLine="420" w:firstLineChars="200"/>
        <w:rPr>
          <w:rFonts w:ascii="宋体" w:hAnsi="宋体" w:cs="等线"/>
          <w:highlight w:val="none"/>
          <w:u w:val="single"/>
        </w:rPr>
      </w:pPr>
      <w:r>
        <w:rPr>
          <w:rFonts w:hint="eastAsia" w:ascii="宋体" w:hAnsi="宋体" w:cs="等线"/>
          <w:highlight w:val="none"/>
          <w:u w:val="single"/>
        </w:rPr>
        <w:t>a）</w:t>
      </w:r>
      <w:r>
        <w:rPr>
          <w:rFonts w:hint="eastAsia" w:ascii="宋体" w:hAnsi="宋体" w:cs="等线"/>
          <w:b/>
          <w:highlight w:val="none"/>
          <w:u w:val="single"/>
        </w:rPr>
        <w:t>人工、预拌混凝土、钢筋、木材、电线、电缆</w:t>
      </w:r>
      <w:r>
        <w:rPr>
          <w:rFonts w:hint="eastAsia" w:ascii="宋体" w:hAnsi="宋体" w:cs="等线"/>
          <w:highlight w:val="none"/>
          <w:u w:val="single"/>
        </w:rPr>
        <w:t>价格的变化幅度大于±6%（含±6%）时，应当计算超过部分的价差，其价差由发包人承担或受益，差价仅计取税金。</w:t>
      </w:r>
    </w:p>
    <w:p w14:paraId="3FFBEBED">
      <w:pPr>
        <w:spacing w:line="360" w:lineRule="auto"/>
        <w:ind w:firstLine="420" w:firstLineChars="200"/>
        <w:rPr>
          <w:rFonts w:ascii="宋体" w:hAnsi="宋体" w:cs="等线"/>
          <w:highlight w:val="none"/>
          <w:u w:val="single"/>
        </w:rPr>
      </w:pPr>
      <w:r>
        <w:rPr>
          <w:rFonts w:hint="eastAsia" w:ascii="宋体" w:hAnsi="宋体" w:cs="等线"/>
          <w:highlight w:val="none"/>
          <w:u w:val="single"/>
        </w:rPr>
        <w:t>b) 如合同规定的调整情况发生，承包人应当于每月15日将调整原因、金额以书面形式通知发包人及监理人，经监理人、发包人确认调整金额后将其作为追加合同价款，与工程进度同期同比例支付；发包人收到承包人通知后14天内未予确认也未提出异议的，视为已经同意该项调整。 （建议明确如材料价格变化大于-6%时，由发包人或发包人责成承包人计算调金额）</w:t>
      </w:r>
    </w:p>
    <w:p w14:paraId="3CB51B7A">
      <w:pPr>
        <w:spacing w:line="360" w:lineRule="auto"/>
        <w:ind w:firstLine="420" w:firstLineChars="200"/>
        <w:rPr>
          <w:rFonts w:ascii="宋体" w:hAnsi="宋体" w:cs="等线"/>
          <w:highlight w:val="none"/>
          <w:u w:val="single"/>
        </w:rPr>
      </w:pPr>
      <w:r>
        <w:rPr>
          <w:rFonts w:hint="eastAsia" w:ascii="宋体" w:hAnsi="宋体" w:cs="等线"/>
          <w:highlight w:val="none"/>
          <w:u w:val="single"/>
        </w:rPr>
        <w:t>c）当合同规定的调整合同价款的调整情况发生后，承包人未在规定的时间内通知发包人、监理人，或者未在规定的时间内提出调整报告，发包人可以根据有关资料，决定是否调整和调整的金额，并经监理人书面通知承包人。</w:t>
      </w:r>
    </w:p>
    <w:p w14:paraId="59645854">
      <w:pPr>
        <w:spacing w:line="360" w:lineRule="auto"/>
        <w:ind w:firstLine="420" w:firstLineChars="200"/>
        <w:rPr>
          <w:rFonts w:ascii="宋体" w:hAnsi="宋体" w:cs="等线"/>
          <w:highlight w:val="none"/>
          <w:u w:val="single"/>
        </w:rPr>
      </w:pPr>
      <w:r>
        <w:rPr>
          <w:rFonts w:hint="eastAsia" w:ascii="宋体" w:hAnsi="宋体" w:cs="等线"/>
          <w:highlight w:val="none"/>
          <w:u w:val="single"/>
        </w:rPr>
        <w:t>d）工程量按调整期内完成的相应工程量计算。</w:t>
      </w:r>
    </w:p>
    <w:p w14:paraId="036C7405">
      <w:pPr>
        <w:spacing w:line="360" w:lineRule="auto"/>
        <w:ind w:firstLine="420" w:firstLineChars="200"/>
        <w:rPr>
          <w:rFonts w:ascii="宋体" w:hAnsi="宋体" w:cs="等线"/>
          <w:highlight w:val="none"/>
        </w:rPr>
      </w:pPr>
      <w:r>
        <w:rPr>
          <w:rFonts w:hint="eastAsia" w:ascii="宋体" w:hAnsi="宋体" w:cs="等线"/>
          <w:highlight w:val="none"/>
        </w:rPr>
        <w:t>其他约定：</w:t>
      </w:r>
    </w:p>
    <w:p w14:paraId="118ADBB0">
      <w:pPr>
        <w:spacing w:line="360" w:lineRule="auto"/>
        <w:ind w:firstLine="420" w:firstLineChars="200"/>
        <w:rPr>
          <w:rFonts w:ascii="宋体" w:hAnsi="宋体" w:cs="等线"/>
          <w:highlight w:val="none"/>
          <w:u w:val="single"/>
        </w:rPr>
      </w:pPr>
      <w:r>
        <w:rPr>
          <w:rFonts w:hint="eastAsia" w:ascii="宋体" w:hAnsi="宋体" w:cs="等线"/>
          <w:highlight w:val="none"/>
          <w:u w:val="single"/>
        </w:rPr>
        <w:t>1)在发、承包双方履行合同过程中，当国家的法律、法规、规章及政策发生变化，国家或省级、行业建设主管部门或其授权的工程造价管理机构据此发布工程造价调整文件，工程价款应当进行调整。</w:t>
      </w:r>
    </w:p>
    <w:p w14:paraId="1749741C">
      <w:pPr>
        <w:spacing w:line="360" w:lineRule="auto"/>
        <w:ind w:firstLine="420" w:firstLineChars="200"/>
        <w:rPr>
          <w:rFonts w:ascii="宋体" w:hAnsi="宋体" w:cs="等线"/>
          <w:highlight w:val="none"/>
          <w:u w:val="single"/>
        </w:rPr>
      </w:pPr>
      <w:r>
        <w:rPr>
          <w:rFonts w:hint="eastAsia" w:ascii="宋体" w:hAnsi="宋体" w:cs="等线"/>
          <w:highlight w:val="none"/>
          <w:u w:val="single"/>
        </w:rPr>
        <w:t>2)当施工中施工图纸(含设计变更)与工程量清单项目特征描述不一致时，发、承包双方按实际施工的项目特征重新确定综合单价。</w:t>
      </w:r>
    </w:p>
    <w:p w14:paraId="121262C4">
      <w:pPr>
        <w:spacing w:line="360" w:lineRule="auto"/>
        <w:ind w:firstLine="420" w:firstLineChars="200"/>
        <w:rPr>
          <w:rFonts w:ascii="宋体" w:hAnsi="宋体" w:cs="等线"/>
          <w:highlight w:val="none"/>
          <w:u w:val="single"/>
        </w:rPr>
      </w:pPr>
      <w:r>
        <w:rPr>
          <w:rFonts w:hint="eastAsia" w:ascii="宋体" w:hAnsi="宋体" w:cs="等线"/>
          <w:highlight w:val="none"/>
          <w:u w:val="single"/>
        </w:rPr>
        <w:t>3）因地质条件引起施工工艺的改变，按照新工艺进行调整。</w:t>
      </w:r>
    </w:p>
    <w:p w14:paraId="680A2217">
      <w:pPr>
        <w:spacing w:line="360" w:lineRule="auto"/>
        <w:ind w:firstLine="420" w:firstLineChars="200"/>
        <w:rPr>
          <w:rFonts w:ascii="宋体" w:hAnsi="宋体" w:cs="等线"/>
          <w:highlight w:val="none"/>
          <w:u w:val="single"/>
        </w:rPr>
      </w:pPr>
      <w:r>
        <w:rPr>
          <w:rFonts w:hint="eastAsia" w:ascii="宋体" w:hAnsi="宋体" w:cs="等线"/>
          <w:highlight w:val="none"/>
          <w:u w:val="single"/>
        </w:rPr>
        <w:t>4）发包人不接受承包人基于任何工作子目单价在投标时的组价不当（包括但不限于工作子目对应的工作内容理解的偏差、工料机消耗量水平的确定、生产要素市场价格的判断、取费等）或任何其他差错而主张的任何损失或索赔。</w:t>
      </w:r>
    </w:p>
    <w:p w14:paraId="109B1EEF">
      <w:pPr>
        <w:keepNext/>
        <w:keepLines/>
        <w:spacing w:line="400" w:lineRule="exact"/>
        <w:outlineLvl w:val="1"/>
        <w:rPr>
          <w:rFonts w:ascii="宋体" w:hAnsi="宋体" w:cs="等线"/>
          <w:sz w:val="24"/>
          <w:highlight w:val="none"/>
        </w:rPr>
      </w:pPr>
      <w:bookmarkStart w:id="1705" w:name="_Toc38732211"/>
      <w:bookmarkStart w:id="1706" w:name="_Toc159950830"/>
      <w:bookmarkStart w:id="1707" w:name="_Toc21789"/>
      <w:bookmarkStart w:id="1708" w:name="_Toc25561"/>
      <w:r>
        <w:rPr>
          <w:rFonts w:hint="eastAsia" w:ascii="宋体" w:hAnsi="宋体" w:cs="等线"/>
          <w:sz w:val="24"/>
          <w:highlight w:val="none"/>
        </w:rPr>
        <w:t>17. 计量与支付</w:t>
      </w:r>
      <w:bookmarkEnd w:id="1705"/>
      <w:bookmarkEnd w:id="1706"/>
      <w:bookmarkEnd w:id="1707"/>
      <w:bookmarkEnd w:id="1708"/>
    </w:p>
    <w:p w14:paraId="5EAF0D71">
      <w:pPr>
        <w:keepNext/>
        <w:keepLines/>
        <w:spacing w:line="360" w:lineRule="auto"/>
        <w:outlineLvl w:val="2"/>
        <w:rPr>
          <w:rFonts w:ascii="宋体" w:hAnsi="宋体" w:cs="等线"/>
          <w:sz w:val="24"/>
          <w:highlight w:val="none"/>
        </w:rPr>
      </w:pPr>
      <w:bookmarkStart w:id="1709" w:name="_Toc38732212"/>
      <w:bookmarkStart w:id="1710" w:name="_Toc159950831"/>
      <w:bookmarkStart w:id="1711" w:name="_Toc6558"/>
      <w:r>
        <w:rPr>
          <w:rFonts w:hint="eastAsia" w:ascii="宋体" w:hAnsi="宋体" w:cs="等线"/>
          <w:sz w:val="24"/>
          <w:highlight w:val="none"/>
        </w:rPr>
        <w:t>17.1 计量</w:t>
      </w:r>
      <w:bookmarkEnd w:id="1709"/>
      <w:bookmarkEnd w:id="1710"/>
      <w:bookmarkEnd w:id="1711"/>
    </w:p>
    <w:p w14:paraId="3235E098">
      <w:pPr>
        <w:spacing w:line="360" w:lineRule="auto"/>
        <w:ind w:firstLine="420" w:firstLineChars="200"/>
        <w:rPr>
          <w:rFonts w:ascii="宋体" w:hAnsi="宋体" w:cs="等线"/>
          <w:highlight w:val="none"/>
        </w:rPr>
      </w:pPr>
      <w:r>
        <w:rPr>
          <w:rFonts w:hint="eastAsia" w:ascii="宋体" w:hAnsi="宋体" w:cs="等线"/>
          <w:highlight w:val="none"/>
        </w:rPr>
        <w:t>17.1.2 计量方法</w:t>
      </w:r>
    </w:p>
    <w:p w14:paraId="0F5E8C8A">
      <w:pPr>
        <w:spacing w:line="360" w:lineRule="auto"/>
        <w:ind w:firstLine="420" w:firstLineChars="200"/>
        <w:rPr>
          <w:rFonts w:ascii="宋体" w:hAnsi="宋体" w:cs="等线"/>
          <w:highlight w:val="none"/>
        </w:rPr>
      </w:pPr>
      <w:r>
        <w:rPr>
          <w:rFonts w:hint="eastAsia" w:ascii="宋体" w:hAnsi="宋体" w:cs="等线"/>
          <w:highlight w:val="none"/>
        </w:rPr>
        <w:t>工程量计算规则执行国家标准《建设工程工程量清单计价规范》（GB50500）或其适用的修订版本。除合同另有约定外，承包人实际完成的工程量按约定的工程量计算规则和有合同约束力的图纸进行计量。</w:t>
      </w:r>
    </w:p>
    <w:p w14:paraId="5714EE40">
      <w:pPr>
        <w:spacing w:line="360" w:lineRule="auto"/>
        <w:ind w:firstLine="420" w:firstLineChars="200"/>
        <w:rPr>
          <w:rFonts w:ascii="宋体" w:hAnsi="宋体" w:cs="等线"/>
          <w:highlight w:val="none"/>
        </w:rPr>
      </w:pPr>
      <w:r>
        <w:rPr>
          <w:rFonts w:hint="eastAsia" w:ascii="宋体" w:hAnsi="宋体" w:cs="等线"/>
          <w:highlight w:val="none"/>
        </w:rPr>
        <w:t>17.1.3 计量周期</w:t>
      </w:r>
    </w:p>
    <w:p w14:paraId="0716F46E">
      <w:pPr>
        <w:spacing w:line="360" w:lineRule="auto"/>
        <w:ind w:firstLine="420" w:firstLineChars="200"/>
        <w:rPr>
          <w:rFonts w:ascii="宋体" w:hAnsi="宋体" w:cs="等线"/>
          <w:highlight w:val="none"/>
        </w:rPr>
      </w:pPr>
      <w:r>
        <w:rPr>
          <w:rFonts w:hint="eastAsia" w:ascii="宋体" w:hAnsi="宋体" w:cs="等线"/>
          <w:highlight w:val="none"/>
        </w:rPr>
        <w:t>（1）本合同的计量周期为月，每月</w:t>
      </w:r>
      <w:r>
        <w:rPr>
          <w:rFonts w:hint="eastAsia" w:ascii="宋体" w:hAnsi="宋体" w:cs="等线"/>
          <w:highlight w:val="none"/>
          <w:u w:val="single"/>
        </w:rPr>
        <w:t xml:space="preserve"> 25 </w:t>
      </w:r>
      <w:r>
        <w:rPr>
          <w:rFonts w:hint="eastAsia" w:ascii="宋体" w:hAnsi="宋体" w:cs="等线"/>
          <w:highlight w:val="none"/>
        </w:rPr>
        <w:t>日为当月计量截止日期（不含当日）和下月计量起始日期（含当日）。</w:t>
      </w:r>
    </w:p>
    <w:p w14:paraId="143F417D">
      <w:pPr>
        <w:spacing w:line="360" w:lineRule="auto"/>
        <w:ind w:firstLine="420" w:firstLineChars="200"/>
        <w:rPr>
          <w:rFonts w:ascii="宋体" w:hAnsi="宋体" w:cs="等线"/>
          <w:highlight w:val="none"/>
        </w:rPr>
      </w:pPr>
      <w:r>
        <w:rPr>
          <w:rFonts w:hint="eastAsia" w:ascii="宋体" w:hAnsi="宋体" w:cs="等线"/>
          <w:highlight w:val="none"/>
        </w:rPr>
        <w:t>（2）本合同</w:t>
      </w:r>
      <w:r>
        <w:rPr>
          <w:rFonts w:hint="eastAsia" w:ascii="宋体" w:hAnsi="宋体" w:cs="等线"/>
          <w:highlight w:val="none"/>
          <w:u w:val="single"/>
        </w:rPr>
        <w:t xml:space="preserve"> 执行 </w:t>
      </w:r>
      <w:r>
        <w:rPr>
          <w:rFonts w:hint="eastAsia" w:ascii="宋体" w:hAnsi="宋体" w:cs="等线"/>
          <w:highlight w:val="none"/>
        </w:rPr>
        <w:t>（执行（采用单价合同形式时）/不执行（采用总价合同形式时））通用合同条款本项约定的单价子目计量。总价子目计量方法按专用合同条款第17.1.5项总价子目的计量--</w:t>
      </w:r>
      <w:r>
        <w:rPr>
          <w:rFonts w:hint="eastAsia" w:ascii="宋体" w:hAnsi="宋体" w:cs="等线"/>
          <w:highlight w:val="none"/>
          <w:u w:val="single"/>
        </w:rPr>
        <w:t>按实际完成工程量计量</w:t>
      </w:r>
      <w:r>
        <w:rPr>
          <w:rFonts w:hint="eastAsia" w:ascii="宋体" w:hAnsi="宋体" w:cs="等线"/>
          <w:highlight w:val="none"/>
        </w:rPr>
        <w:t>（支付分解报告/按实际完成工程量计量）。</w:t>
      </w:r>
    </w:p>
    <w:p w14:paraId="0147CAEC">
      <w:pPr>
        <w:spacing w:line="360" w:lineRule="auto"/>
        <w:ind w:firstLine="420" w:firstLineChars="200"/>
        <w:rPr>
          <w:rFonts w:ascii="宋体" w:hAnsi="宋体" w:cs="等线"/>
          <w:highlight w:val="none"/>
        </w:rPr>
      </w:pPr>
      <w:r>
        <w:rPr>
          <w:rFonts w:hint="eastAsia" w:ascii="宋体" w:hAnsi="宋体" w:cs="等线"/>
          <w:highlight w:val="none"/>
        </w:rPr>
        <w:t>17.1.5 总价子目的计量—支付分解报告</w:t>
      </w:r>
    </w:p>
    <w:p w14:paraId="779CC082">
      <w:pPr>
        <w:spacing w:line="360" w:lineRule="auto"/>
        <w:ind w:firstLine="420" w:firstLineChars="200"/>
        <w:rPr>
          <w:rFonts w:ascii="宋体" w:hAnsi="宋体" w:cs="等线"/>
          <w:highlight w:val="none"/>
        </w:rPr>
      </w:pPr>
      <w:r>
        <w:rPr>
          <w:rFonts w:hint="eastAsia" w:ascii="宋体" w:hAnsi="宋体" w:cs="等线"/>
          <w:highlight w:val="none"/>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51EEF268">
      <w:pPr>
        <w:spacing w:line="360" w:lineRule="auto"/>
        <w:ind w:firstLine="420" w:firstLineChars="200"/>
        <w:rPr>
          <w:rFonts w:ascii="宋体" w:hAnsi="宋体" w:cs="等线"/>
          <w:highlight w:val="none"/>
        </w:rPr>
      </w:pPr>
      <w:r>
        <w:rPr>
          <w:rFonts w:hint="eastAsia" w:ascii="宋体" w:hAnsi="宋体" w:cs="等线"/>
          <w:highlight w:val="none"/>
        </w:rPr>
        <w:t>（1）总价子目的价格调整方法：</w:t>
      </w:r>
      <w:r>
        <w:rPr>
          <w:rFonts w:hint="eastAsia" w:ascii="宋体" w:hAnsi="宋体" w:cs="等线"/>
          <w:highlight w:val="none"/>
          <w:u w:val="single"/>
        </w:rPr>
        <w:t xml:space="preserve"> /  </w:t>
      </w:r>
      <w:r>
        <w:rPr>
          <w:rFonts w:hint="eastAsia" w:ascii="宋体" w:hAnsi="宋体" w:cs="等线"/>
          <w:highlight w:val="none"/>
        </w:rPr>
        <w:t>。</w:t>
      </w:r>
    </w:p>
    <w:p w14:paraId="4B1BC29D">
      <w:pPr>
        <w:spacing w:line="360" w:lineRule="auto"/>
        <w:ind w:firstLine="420" w:firstLineChars="200"/>
        <w:rPr>
          <w:rFonts w:ascii="宋体" w:hAnsi="宋体" w:cs="等线"/>
          <w:highlight w:val="none"/>
        </w:rPr>
      </w:pPr>
      <w:r>
        <w:rPr>
          <w:rFonts w:hint="eastAsia" w:ascii="宋体" w:hAnsi="宋体" w:cs="等线"/>
          <w:highlight w:val="none"/>
        </w:rPr>
        <w:t>（2）列入每月进度付款申请单中各总价子目的价值为有合同约束力的支付分解表中对应月份的总价子目总价值。</w:t>
      </w:r>
    </w:p>
    <w:p w14:paraId="103D29F7">
      <w:pPr>
        <w:spacing w:line="360" w:lineRule="auto"/>
        <w:ind w:firstLine="420" w:firstLineChars="200"/>
        <w:rPr>
          <w:rFonts w:ascii="宋体" w:hAnsi="宋体" w:cs="等线"/>
          <w:highlight w:val="none"/>
        </w:rPr>
      </w:pPr>
      <w:r>
        <w:rPr>
          <w:rFonts w:hint="eastAsia" w:ascii="宋体" w:hAnsi="宋体" w:cs="等线"/>
          <w:highlight w:val="none"/>
        </w:rPr>
        <w:t>（3）监理人根据有合同约束力的支付分解表复核列入每月进度付款申请单中的总价子目的总价值。</w:t>
      </w:r>
    </w:p>
    <w:p w14:paraId="2EFA93EA">
      <w:pPr>
        <w:spacing w:line="360" w:lineRule="auto"/>
        <w:ind w:firstLine="420" w:firstLineChars="200"/>
        <w:rPr>
          <w:rFonts w:ascii="宋体" w:hAnsi="宋体" w:cs="等线"/>
          <w:highlight w:val="none"/>
        </w:rPr>
      </w:pPr>
      <w:r>
        <w:rPr>
          <w:rFonts w:hint="eastAsia" w:ascii="宋体" w:hAnsi="宋体" w:cs="等线"/>
          <w:highlight w:val="none"/>
        </w:rPr>
        <w:t>（4）除按照第15条约定的变更外，在竣工结算时总价子目的工程量不应当重新计量，签约合同价所基于的工程量即是用于竣工结算的最终工程量。</w:t>
      </w:r>
    </w:p>
    <w:p w14:paraId="0AD08F05">
      <w:pPr>
        <w:spacing w:line="360" w:lineRule="auto"/>
        <w:ind w:firstLine="420" w:firstLineChars="200"/>
        <w:rPr>
          <w:rFonts w:ascii="宋体" w:hAnsi="宋体" w:cs="等线"/>
          <w:highlight w:val="none"/>
        </w:rPr>
      </w:pPr>
      <w:r>
        <w:rPr>
          <w:rFonts w:hint="eastAsia" w:ascii="宋体" w:hAnsi="宋体" w:cs="等线"/>
          <w:highlight w:val="none"/>
        </w:rPr>
        <w:t>17.1.5 总价子目的计量--按实际完成工程量计量</w:t>
      </w:r>
    </w:p>
    <w:p w14:paraId="771FE5E7">
      <w:pPr>
        <w:spacing w:line="360" w:lineRule="auto"/>
        <w:ind w:firstLine="420" w:firstLineChars="200"/>
        <w:rPr>
          <w:rFonts w:ascii="宋体" w:hAnsi="宋体" w:cs="等线"/>
          <w:highlight w:val="none"/>
        </w:rPr>
      </w:pPr>
      <w:r>
        <w:rPr>
          <w:rFonts w:hint="eastAsia" w:ascii="宋体" w:hAnsi="宋体" w:cs="等线"/>
          <w:highlight w:val="none"/>
        </w:rPr>
        <w:t>（1）总价子目的价格调整方法</w:t>
      </w:r>
      <w:r>
        <w:rPr>
          <w:rFonts w:hint="eastAsia" w:ascii="宋体" w:hAnsi="宋体" w:cs="等线"/>
          <w:highlight w:val="none"/>
        </w:rPr>
        <w:t>：</w:t>
      </w:r>
      <w:r>
        <w:rPr>
          <w:rFonts w:hint="eastAsia" w:ascii="宋体" w:hAnsi="宋体" w:cs="等线"/>
          <w:highlight w:val="none"/>
          <w:u w:val="single"/>
        </w:rPr>
        <w:t>因非承包人原因引起已标价工程量清单中某个子目工程量变化，且承包人或监理人认为该变化引起相关措施项目发生变化的，承包人或监理人要求承包人针对措施项目的变化提交施工调整方案及价格调整报告，监理人批准后确定需调整的措施项目价款</w:t>
      </w:r>
      <w:r>
        <w:rPr>
          <w:rFonts w:hint="eastAsia" w:ascii="宋体" w:hAnsi="宋体" w:cs="等线"/>
          <w:highlight w:val="none"/>
        </w:rPr>
        <w:t>。总价子目的计量和支付应以总价为基础，对承包人实际完成的工程量进行计量，是进行工程目标管理和控制进度款支付的依据。</w:t>
      </w:r>
    </w:p>
    <w:p w14:paraId="4B35778F">
      <w:pPr>
        <w:spacing w:line="360" w:lineRule="auto"/>
        <w:ind w:firstLine="420" w:firstLineChars="200"/>
        <w:rPr>
          <w:rFonts w:ascii="宋体" w:hAnsi="宋体" w:cs="等线"/>
          <w:highlight w:val="none"/>
        </w:rPr>
      </w:pPr>
      <w:r>
        <w:rPr>
          <w:rFonts w:hint="eastAsia" w:ascii="宋体" w:hAnsi="宋体" w:cs="等线"/>
          <w:highlight w:val="none"/>
        </w:rPr>
        <w:t>（2）承包人在专用合同条款第17.1.3（1）目约定的每月计量截止日期后，对已完成的分部分项工程和单价措施项目的子目，按照专用合同条款第17.1.2项约定的计量方法进行计量，对已完成的总价措施项目的相关子目，按其总价构成、费用性质和实际发生比例进行计量，向监理人提交进度付款申请单、已完成工程量报表和有关计量资料。</w:t>
      </w:r>
    </w:p>
    <w:p w14:paraId="0BEC99F8">
      <w:pPr>
        <w:spacing w:line="360" w:lineRule="auto"/>
        <w:ind w:firstLine="420" w:firstLineChars="200"/>
        <w:rPr>
          <w:rFonts w:ascii="宋体" w:hAnsi="宋体" w:cs="等线"/>
          <w:highlight w:val="none"/>
        </w:rPr>
      </w:pPr>
      <w:r>
        <w:rPr>
          <w:rFonts w:hint="eastAsia" w:ascii="宋体" w:hAnsi="宋体" w:cs="等线"/>
          <w:highlight w:val="none"/>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29DF0CE2">
      <w:pPr>
        <w:spacing w:line="360" w:lineRule="auto"/>
        <w:ind w:firstLine="420" w:firstLineChars="200"/>
        <w:rPr>
          <w:rFonts w:ascii="宋体" w:hAnsi="宋体" w:cs="等线"/>
          <w:highlight w:val="none"/>
        </w:rPr>
      </w:pPr>
      <w:r>
        <w:rPr>
          <w:rFonts w:hint="eastAsia" w:ascii="宋体" w:hAnsi="宋体" w:cs="等线"/>
          <w:highlight w:val="none"/>
        </w:rPr>
        <w:t>（4）监理人应在收到承包人提交的工程量报表后的7天内进行复核，监理人未在约定时间内复核的，承包人提交的工程量报表中的工程量视为承包人实际完成的工程量，据此计算工程价款。</w:t>
      </w:r>
    </w:p>
    <w:p w14:paraId="0ED20E73">
      <w:pPr>
        <w:spacing w:line="360" w:lineRule="auto"/>
        <w:ind w:firstLine="420" w:firstLineChars="200"/>
        <w:rPr>
          <w:rFonts w:ascii="宋体" w:hAnsi="宋体" w:cs="等线"/>
          <w:highlight w:val="none"/>
        </w:rPr>
      </w:pPr>
      <w:r>
        <w:rPr>
          <w:rFonts w:hint="eastAsia" w:ascii="宋体" w:hAnsi="宋体" w:cs="等线"/>
          <w:highlight w:val="none"/>
        </w:rPr>
        <w:t>（5）除按照第15条约定的变更外，在竣工结算时总价子目的工程量不应当重新计量，签约合同价所基于的工程量即是用于竣工结算的最终工程量。</w:t>
      </w:r>
    </w:p>
    <w:p w14:paraId="58099D2D">
      <w:pPr>
        <w:keepNext/>
        <w:keepLines/>
        <w:spacing w:line="360" w:lineRule="auto"/>
        <w:outlineLvl w:val="2"/>
        <w:rPr>
          <w:rFonts w:ascii="宋体" w:hAnsi="宋体" w:cs="等线"/>
          <w:sz w:val="24"/>
          <w:highlight w:val="none"/>
        </w:rPr>
      </w:pPr>
      <w:bookmarkStart w:id="1712" w:name="_Toc159950832"/>
      <w:bookmarkStart w:id="1713" w:name="_Toc20943"/>
      <w:bookmarkStart w:id="1714" w:name="_Toc38732213"/>
      <w:r>
        <w:rPr>
          <w:rFonts w:hint="eastAsia" w:ascii="宋体" w:hAnsi="宋体" w:cs="等线"/>
          <w:sz w:val="24"/>
          <w:highlight w:val="none"/>
        </w:rPr>
        <w:t>17.2 预付款</w:t>
      </w:r>
      <w:bookmarkEnd w:id="1712"/>
      <w:bookmarkEnd w:id="1713"/>
      <w:bookmarkEnd w:id="1714"/>
    </w:p>
    <w:p w14:paraId="341C7AB6">
      <w:pPr>
        <w:spacing w:line="360" w:lineRule="auto"/>
        <w:ind w:firstLine="420" w:firstLineChars="200"/>
        <w:rPr>
          <w:rFonts w:ascii="宋体" w:hAnsi="宋体" w:cs="等线"/>
          <w:highlight w:val="none"/>
        </w:rPr>
      </w:pPr>
      <w:r>
        <w:rPr>
          <w:rFonts w:hint="eastAsia" w:ascii="宋体" w:hAnsi="宋体" w:cs="等线"/>
          <w:highlight w:val="none"/>
        </w:rPr>
        <w:t>17.2.1 预付款</w:t>
      </w:r>
    </w:p>
    <w:p w14:paraId="5308DA9C">
      <w:pPr>
        <w:spacing w:line="360" w:lineRule="auto"/>
        <w:ind w:firstLine="420" w:firstLineChars="200"/>
        <w:rPr>
          <w:rFonts w:ascii="宋体" w:hAnsi="宋体" w:cs="等线"/>
          <w:highlight w:val="none"/>
        </w:rPr>
      </w:pPr>
      <w:r>
        <w:rPr>
          <w:rFonts w:hint="eastAsia" w:ascii="宋体" w:hAnsi="宋体" w:cs="等线"/>
          <w:highlight w:val="none"/>
        </w:rPr>
        <w:t>（1）预付款额度</w:t>
      </w:r>
    </w:p>
    <w:p w14:paraId="3775B00B">
      <w:pPr>
        <w:spacing w:line="360" w:lineRule="auto"/>
        <w:ind w:firstLine="420" w:firstLineChars="200"/>
        <w:rPr>
          <w:rFonts w:ascii="宋体" w:hAnsi="宋体" w:cs="等线"/>
          <w:highlight w:val="none"/>
        </w:rPr>
      </w:pPr>
      <w:r>
        <w:rPr>
          <w:rFonts w:hint="eastAsia" w:ascii="宋体" w:hAnsi="宋体" w:cs="等线"/>
          <w:highlight w:val="none"/>
        </w:rPr>
        <w:t>预付款额度：合同额扣除暂列金（含税）后的</w:t>
      </w:r>
      <w:r>
        <w:rPr>
          <w:rFonts w:ascii="宋体" w:hAnsi="宋体" w:cs="等线"/>
          <w:highlight w:val="none"/>
          <w:u w:val="single"/>
        </w:rPr>
        <w:t>30</w:t>
      </w:r>
      <w:r>
        <w:rPr>
          <w:rFonts w:hint="eastAsia" w:ascii="宋体" w:hAnsi="宋体" w:cs="等线"/>
          <w:highlight w:val="none"/>
          <w:u w:val="single"/>
        </w:rPr>
        <w:t>%</w:t>
      </w:r>
    </w:p>
    <w:p w14:paraId="5DD76E6F">
      <w:pPr>
        <w:spacing w:line="360" w:lineRule="auto"/>
        <w:ind w:firstLine="420" w:firstLineChars="200"/>
        <w:rPr>
          <w:rFonts w:ascii="宋体" w:hAnsi="宋体" w:cs="等线"/>
          <w:highlight w:val="none"/>
        </w:rPr>
      </w:pPr>
      <w:r>
        <w:rPr>
          <w:rFonts w:hint="eastAsia" w:ascii="宋体" w:hAnsi="宋体" w:cs="等线"/>
          <w:highlight w:val="none"/>
        </w:rPr>
        <w:t xml:space="preserve">其中包含： </w:t>
      </w:r>
    </w:p>
    <w:p w14:paraId="0D27E769">
      <w:pPr>
        <w:spacing w:line="360" w:lineRule="auto"/>
        <w:ind w:firstLine="420" w:firstLineChars="200"/>
        <w:rPr>
          <w:rFonts w:ascii="宋体" w:hAnsi="宋体" w:cs="等线"/>
          <w:highlight w:val="none"/>
        </w:rPr>
      </w:pPr>
      <w:r>
        <w:rPr>
          <w:rFonts w:hint="eastAsia" w:ascii="宋体" w:hAnsi="宋体" w:cs="等线"/>
          <w:highlight w:val="none"/>
        </w:rPr>
        <w:t>安全文明施工费用预付额度：100%，其余按照施工进度支付。</w:t>
      </w:r>
    </w:p>
    <w:p w14:paraId="5B982B85">
      <w:pPr>
        <w:spacing w:line="360" w:lineRule="auto"/>
        <w:ind w:firstLine="420" w:firstLineChars="200"/>
        <w:rPr>
          <w:rFonts w:ascii="宋体" w:hAnsi="宋体" w:cs="等线"/>
          <w:highlight w:val="none"/>
        </w:rPr>
      </w:pPr>
      <w:r>
        <w:rPr>
          <w:rFonts w:hint="eastAsia" w:ascii="宋体" w:hAnsi="宋体" w:cs="等线"/>
          <w:highlight w:val="none"/>
        </w:rPr>
        <w:t xml:space="preserve">其他预付款额度： 农民工工伤保险费额度100%    </w:t>
      </w:r>
    </w:p>
    <w:p w14:paraId="23A18D37">
      <w:pPr>
        <w:spacing w:line="360" w:lineRule="auto"/>
        <w:ind w:firstLine="420" w:firstLineChars="200"/>
        <w:rPr>
          <w:rFonts w:ascii="宋体" w:hAnsi="宋体" w:cs="等线"/>
          <w:highlight w:val="none"/>
        </w:rPr>
      </w:pPr>
      <w:r>
        <w:rPr>
          <w:rFonts w:hint="eastAsia" w:ascii="宋体" w:hAnsi="宋体" w:cs="等线"/>
          <w:highlight w:val="none"/>
        </w:rPr>
        <w:t>预付款预付办法：</w:t>
      </w:r>
      <w:r>
        <w:rPr>
          <w:rFonts w:hint="eastAsia" w:ascii="宋体" w:hAnsi="宋体" w:cs="等线"/>
          <w:highlight w:val="none"/>
          <w:u w:val="single"/>
        </w:rPr>
        <w:t>发包人一次性向承包人支付预付款</w:t>
      </w:r>
      <w:r>
        <w:rPr>
          <w:rFonts w:hint="eastAsia" w:ascii="宋体" w:hAnsi="宋体" w:cs="等线"/>
          <w:highlight w:val="none"/>
        </w:rPr>
        <w:t xml:space="preserve">。                           </w:t>
      </w:r>
    </w:p>
    <w:p w14:paraId="43900960">
      <w:pPr>
        <w:spacing w:line="360" w:lineRule="auto"/>
        <w:ind w:firstLine="420" w:firstLineChars="200"/>
        <w:rPr>
          <w:rFonts w:ascii="宋体" w:hAnsi="宋体" w:cs="等线"/>
          <w:highlight w:val="none"/>
        </w:rPr>
      </w:pPr>
      <w:r>
        <w:rPr>
          <w:rFonts w:hint="eastAsia" w:ascii="宋体" w:hAnsi="宋体" w:cs="等线"/>
          <w:highlight w:val="none"/>
        </w:rPr>
        <w:t>预付款的支付时间：</w:t>
      </w:r>
      <w:r>
        <w:rPr>
          <w:rFonts w:hint="eastAsia" w:ascii="宋体" w:hAnsi="宋体" w:cs="等线"/>
          <w:highlight w:val="none"/>
          <w:u w:val="single"/>
        </w:rPr>
        <w:t>合同签订后，不迟于约定的开工日期前7日内</w:t>
      </w:r>
      <w:r>
        <w:rPr>
          <w:rFonts w:hint="eastAsia" w:ascii="宋体" w:hAnsi="宋体" w:cs="等线"/>
          <w:highlight w:val="none"/>
        </w:rPr>
        <w:t>。</w:t>
      </w:r>
    </w:p>
    <w:p w14:paraId="67B65193">
      <w:pPr>
        <w:spacing w:line="360" w:lineRule="auto"/>
        <w:ind w:firstLine="420" w:firstLineChars="200"/>
        <w:rPr>
          <w:rFonts w:ascii="宋体" w:hAnsi="宋体" w:cs="等线"/>
          <w:highlight w:val="none"/>
        </w:rPr>
      </w:pPr>
      <w:r>
        <w:rPr>
          <w:rFonts w:hint="eastAsia" w:ascii="宋体" w:hAnsi="宋体" w:cs="等线"/>
          <w:highlight w:val="none"/>
        </w:rPr>
        <w:t>17.2.2 预付款保函</w:t>
      </w:r>
    </w:p>
    <w:p w14:paraId="3872AB4E">
      <w:pPr>
        <w:spacing w:line="360" w:lineRule="auto"/>
        <w:ind w:firstLine="420" w:firstLineChars="200"/>
        <w:rPr>
          <w:rFonts w:ascii="宋体" w:hAnsi="宋体" w:cs="等线"/>
          <w:highlight w:val="none"/>
          <w:u w:val="single"/>
        </w:rPr>
      </w:pPr>
      <w:r>
        <w:rPr>
          <w:rFonts w:hint="eastAsia" w:ascii="宋体" w:hAnsi="宋体" w:cs="等线"/>
          <w:highlight w:val="none"/>
        </w:rPr>
        <w:t>预付款保函的金额与预付款金额相同。预付款保函的提交时间：</w:t>
      </w:r>
      <w:r>
        <w:rPr>
          <w:rFonts w:hint="eastAsia" w:ascii="宋体" w:hAnsi="宋体" w:cs="等线"/>
          <w:highlight w:val="none"/>
          <w:u w:val="single"/>
        </w:rPr>
        <w:t xml:space="preserve">        /       </w:t>
      </w:r>
      <w:r>
        <w:rPr>
          <w:rFonts w:hint="eastAsia" w:ascii="宋体" w:hAnsi="宋体" w:cs="等线"/>
          <w:highlight w:val="none"/>
        </w:rPr>
        <w:t>。</w:t>
      </w:r>
    </w:p>
    <w:p w14:paraId="7045B442">
      <w:pPr>
        <w:keepNext/>
        <w:keepLines/>
        <w:spacing w:line="360" w:lineRule="auto"/>
        <w:outlineLvl w:val="2"/>
        <w:rPr>
          <w:rFonts w:ascii="宋体" w:hAnsi="宋体" w:cs="等线"/>
          <w:sz w:val="24"/>
          <w:highlight w:val="none"/>
        </w:rPr>
      </w:pPr>
      <w:bookmarkStart w:id="1715" w:name="_Toc22612"/>
      <w:bookmarkStart w:id="1716" w:name="_Toc159950833"/>
      <w:bookmarkStart w:id="1717" w:name="_Toc38732214"/>
      <w:r>
        <w:rPr>
          <w:rFonts w:hint="eastAsia" w:ascii="宋体" w:hAnsi="宋体" w:cs="等线"/>
          <w:sz w:val="24"/>
          <w:highlight w:val="none"/>
        </w:rPr>
        <w:t>17.3 工程进度付款</w:t>
      </w:r>
      <w:bookmarkEnd w:id="1715"/>
      <w:bookmarkEnd w:id="1716"/>
      <w:bookmarkEnd w:id="1717"/>
    </w:p>
    <w:p w14:paraId="375C2AEE">
      <w:pPr>
        <w:spacing w:line="360" w:lineRule="auto"/>
        <w:ind w:firstLine="420" w:firstLineChars="200"/>
        <w:rPr>
          <w:rFonts w:ascii="宋体" w:hAnsi="宋体" w:cs="等线"/>
          <w:highlight w:val="none"/>
        </w:rPr>
      </w:pPr>
      <w:r>
        <w:rPr>
          <w:rFonts w:hint="eastAsia" w:ascii="宋体" w:hAnsi="宋体" w:cs="等线"/>
          <w:highlight w:val="none"/>
        </w:rPr>
        <w:t>17.3.2进度付款申请单</w:t>
      </w:r>
    </w:p>
    <w:p w14:paraId="017E19DE">
      <w:pPr>
        <w:spacing w:line="360" w:lineRule="auto"/>
        <w:ind w:firstLine="420" w:firstLineChars="200"/>
        <w:rPr>
          <w:rFonts w:ascii="宋体" w:hAnsi="宋体" w:cs="等线"/>
          <w:highlight w:val="none"/>
        </w:rPr>
      </w:pPr>
      <w:r>
        <w:rPr>
          <w:rFonts w:hint="eastAsia" w:ascii="宋体" w:hAnsi="宋体" w:cs="等线"/>
          <w:highlight w:val="none"/>
        </w:rPr>
        <w:t>进度付款申请单的份数：</w:t>
      </w:r>
      <w:r>
        <w:rPr>
          <w:rFonts w:hint="eastAsia" w:ascii="宋体" w:hAnsi="宋体" w:cs="等线"/>
          <w:highlight w:val="none"/>
          <w:u w:val="single"/>
        </w:rPr>
        <w:t>/</w:t>
      </w:r>
      <w:r>
        <w:rPr>
          <w:rFonts w:hint="eastAsia" w:ascii="宋体" w:hAnsi="宋体" w:cs="等线"/>
          <w:highlight w:val="none"/>
        </w:rPr>
        <w:t>。</w:t>
      </w:r>
    </w:p>
    <w:p w14:paraId="4D053996">
      <w:pPr>
        <w:spacing w:line="360" w:lineRule="auto"/>
        <w:ind w:firstLine="420" w:firstLineChars="200"/>
        <w:rPr>
          <w:rFonts w:ascii="宋体" w:hAnsi="宋体" w:cs="等线"/>
          <w:highlight w:val="none"/>
          <w:u w:val="single"/>
        </w:rPr>
      </w:pPr>
      <w:r>
        <w:rPr>
          <w:rFonts w:hint="eastAsia" w:ascii="宋体" w:hAnsi="宋体" w:cs="等线"/>
          <w:highlight w:val="none"/>
        </w:rPr>
        <w:t>进度付款申请单的内容：</w:t>
      </w:r>
      <w:r>
        <w:rPr>
          <w:rFonts w:hint="eastAsia" w:ascii="宋体" w:hAnsi="宋体" w:cs="等线"/>
          <w:highlight w:val="none"/>
          <w:u w:val="single"/>
        </w:rPr>
        <w:t>/</w:t>
      </w:r>
      <w:r>
        <w:rPr>
          <w:rFonts w:hint="eastAsia" w:ascii="宋体" w:hAnsi="宋体" w:cs="等线"/>
          <w:highlight w:val="none"/>
        </w:rPr>
        <w:t xml:space="preserve">。 </w:t>
      </w:r>
    </w:p>
    <w:p w14:paraId="15CF31E5">
      <w:pPr>
        <w:spacing w:line="360" w:lineRule="auto"/>
        <w:ind w:firstLine="420" w:firstLineChars="200"/>
        <w:rPr>
          <w:rFonts w:ascii="宋体" w:hAnsi="宋体" w:cs="等线"/>
          <w:highlight w:val="none"/>
        </w:rPr>
      </w:pPr>
      <w:r>
        <w:rPr>
          <w:rFonts w:hint="eastAsia" w:ascii="宋体" w:hAnsi="宋体" w:cs="等线"/>
          <w:highlight w:val="none"/>
        </w:rPr>
        <w:t>17.3.3进度付款证书和支付时间：</w:t>
      </w:r>
      <w:r>
        <w:rPr>
          <w:rFonts w:hint="eastAsia" w:ascii="宋体" w:hAnsi="宋体" w:cs="等线"/>
          <w:highlight w:val="none"/>
          <w:u w:val="single"/>
        </w:rPr>
        <w:t>/。</w:t>
      </w:r>
    </w:p>
    <w:p w14:paraId="7C5C6152">
      <w:pPr>
        <w:spacing w:line="360" w:lineRule="auto"/>
        <w:ind w:firstLine="420" w:firstLineChars="200"/>
        <w:rPr>
          <w:rFonts w:ascii="宋体" w:hAnsi="宋体" w:cs="等线"/>
          <w:highlight w:val="none"/>
        </w:rPr>
      </w:pPr>
      <w:r>
        <w:rPr>
          <w:rFonts w:hint="eastAsia" w:ascii="宋体" w:hAnsi="宋体" w:cs="等线"/>
          <w:highlight w:val="none"/>
        </w:rPr>
        <w:t>逾期付款违约金的计算标准为：</w:t>
      </w:r>
      <w:r>
        <w:rPr>
          <w:rFonts w:hint="eastAsia" w:ascii="宋体" w:hAnsi="宋体" w:cs="等线"/>
          <w:highlight w:val="none"/>
          <w:u w:val="single"/>
        </w:rPr>
        <w:t xml:space="preserve"> /                  </w:t>
      </w:r>
      <w:r>
        <w:rPr>
          <w:rFonts w:hint="eastAsia" w:ascii="宋体" w:hAnsi="宋体" w:cs="等线"/>
          <w:highlight w:val="none"/>
        </w:rPr>
        <w:t>。</w:t>
      </w:r>
    </w:p>
    <w:p w14:paraId="04204D71">
      <w:pPr>
        <w:spacing w:line="360" w:lineRule="auto"/>
        <w:ind w:firstLine="420" w:firstLineChars="200"/>
        <w:rPr>
          <w:rFonts w:ascii="宋体" w:hAnsi="宋体" w:cs="等线"/>
          <w:highlight w:val="none"/>
          <w:u w:val="single"/>
        </w:rPr>
      </w:pPr>
      <w:r>
        <w:rPr>
          <w:rFonts w:hint="eastAsia" w:ascii="宋体" w:hAnsi="宋体" w:cs="等线"/>
          <w:highlight w:val="none"/>
        </w:rPr>
        <w:t>逾期付款违约金的计算方法为：</w:t>
      </w:r>
      <w:r>
        <w:rPr>
          <w:rFonts w:hint="eastAsia" w:ascii="宋体" w:hAnsi="宋体" w:cs="等线"/>
          <w:highlight w:val="none"/>
          <w:u w:val="single"/>
        </w:rPr>
        <w:t xml:space="preserve">  /                  </w:t>
      </w:r>
      <w:r>
        <w:rPr>
          <w:rFonts w:hint="eastAsia" w:ascii="宋体" w:hAnsi="宋体" w:cs="等线"/>
          <w:highlight w:val="none"/>
        </w:rPr>
        <w:t>。</w:t>
      </w:r>
    </w:p>
    <w:p w14:paraId="527E31AC">
      <w:pPr>
        <w:spacing w:line="360" w:lineRule="auto"/>
        <w:ind w:firstLine="420" w:firstLineChars="200"/>
        <w:rPr>
          <w:rFonts w:ascii="宋体" w:hAnsi="宋体" w:cs="等线"/>
          <w:szCs w:val="21"/>
          <w:highlight w:val="none"/>
        </w:rPr>
      </w:pPr>
      <w:r>
        <w:rPr>
          <w:rFonts w:hint="eastAsia" w:ascii="宋体" w:hAnsi="宋体" w:cs="等线"/>
          <w:highlight w:val="none"/>
        </w:rPr>
        <w:t>（4）进度付款涉及政府性资金的支付方法</w:t>
      </w:r>
      <w:r>
        <w:rPr>
          <w:rFonts w:hint="eastAsia" w:ascii="宋体" w:hAnsi="宋体" w:cs="等线"/>
          <w:highlight w:val="none"/>
        </w:rPr>
        <w:t>：</w:t>
      </w:r>
      <w:r>
        <w:rPr>
          <w:rFonts w:hint="eastAsia" w:ascii="宋体" w:hAnsi="宋体" w:cs="等线"/>
          <w:highlight w:val="none"/>
          <w:u w:val="single"/>
        </w:rPr>
        <w:t>执行财政部国库集中支付的相关规定：由于项目建设资金属于财政性资金，付款时间必须遵循本项目财政拨款到校时间为准，工程款（包括工程预付款、工程进度款、工程结算款、工程质保金等）支付时间受建设资金到位时限的限制，项目发包人按照上述约定及流程办理工程款支付审核应视为项目发包人按合同约定支付工程款，履行了工程款支付义务。</w:t>
      </w:r>
    </w:p>
    <w:p w14:paraId="1EB8C487">
      <w:pPr>
        <w:spacing w:line="360" w:lineRule="auto"/>
        <w:ind w:firstLine="420" w:firstLineChars="200"/>
        <w:rPr>
          <w:rFonts w:ascii="宋体" w:hAnsi="宋体" w:cs="等线"/>
          <w:szCs w:val="21"/>
          <w:highlight w:val="none"/>
        </w:rPr>
      </w:pPr>
      <w:r>
        <w:rPr>
          <w:rFonts w:ascii="宋体" w:hAnsi="宋体" w:cs="等线"/>
          <w:szCs w:val="21"/>
          <w:highlight w:val="none"/>
        </w:rPr>
        <w:t>工程进度款支付比例：</w:t>
      </w:r>
      <w:r>
        <w:rPr>
          <w:rFonts w:hint="eastAsia" w:ascii="宋体" w:hAnsi="宋体" w:cs="等线"/>
          <w:szCs w:val="21"/>
          <w:highlight w:val="none"/>
          <w:u w:val="single"/>
        </w:rPr>
        <w:t>工程竣工验收合格后14工作日内，支付至竣工验收前合同价款总额的85%后停止支付；审计单位审计经甲、乙双方确认后14工作日内，支付至工程价款结算总额的100%。工程竣工结算后，承包人需向甲方支付工程结算价款总额3%的作为工程质量保证金。</w:t>
      </w:r>
    </w:p>
    <w:p w14:paraId="2F8DB4B2">
      <w:pPr>
        <w:spacing w:line="360" w:lineRule="auto"/>
        <w:ind w:firstLine="420" w:firstLineChars="200"/>
        <w:rPr>
          <w:rFonts w:ascii="宋体" w:hAnsi="宋体" w:cs="等线"/>
          <w:szCs w:val="21"/>
          <w:highlight w:val="none"/>
        </w:rPr>
      </w:pPr>
      <w:r>
        <w:rPr>
          <w:rFonts w:ascii="宋体" w:hAnsi="宋体" w:cs="等线"/>
          <w:szCs w:val="21"/>
          <w:highlight w:val="none"/>
        </w:rPr>
        <w:t>(</w:t>
      </w:r>
      <w:r>
        <w:rPr>
          <w:rFonts w:hint="eastAsia" w:ascii="宋体" w:hAnsi="宋体" w:cs="等线"/>
          <w:szCs w:val="21"/>
          <w:highlight w:val="none"/>
        </w:rPr>
        <w:t>1</w:t>
      </w:r>
      <w:r>
        <w:rPr>
          <w:rFonts w:ascii="宋体" w:hAnsi="宋体" w:cs="等线"/>
          <w:szCs w:val="21"/>
          <w:highlight w:val="none"/>
        </w:rPr>
        <w:t>) 鉴于本工程是财政资金项目，应遵从相关财务管理规定。施工单位编制结算书，经监理单位、建设单位等各方审核后，最终结算依据建设单位委托第三方中介审计咨询单位审计报告结果意见。</w:t>
      </w:r>
    </w:p>
    <w:p w14:paraId="20E3720F">
      <w:pPr>
        <w:spacing w:line="360" w:lineRule="auto"/>
        <w:ind w:firstLine="420" w:firstLineChars="200"/>
        <w:rPr>
          <w:rFonts w:ascii="宋体" w:hAnsi="宋体" w:cs="等线"/>
          <w:szCs w:val="21"/>
          <w:highlight w:val="none"/>
        </w:rPr>
      </w:pPr>
      <w:r>
        <w:rPr>
          <w:rFonts w:hint="eastAsia" w:ascii="宋体" w:hAnsi="宋体" w:cs="等线"/>
          <w:szCs w:val="21"/>
          <w:highlight w:val="none"/>
        </w:rPr>
        <w:t>17.3.5 临时付款证书</w:t>
      </w:r>
    </w:p>
    <w:p w14:paraId="2CF795A9">
      <w:pPr>
        <w:spacing w:line="360" w:lineRule="auto"/>
        <w:ind w:firstLine="420" w:firstLineChars="200"/>
        <w:rPr>
          <w:rFonts w:ascii="宋体" w:hAnsi="宋体" w:cs="等线"/>
          <w:highlight w:val="none"/>
        </w:rPr>
      </w:pPr>
      <w:r>
        <w:rPr>
          <w:rFonts w:hint="eastAsia" w:ascii="宋体" w:hAnsi="宋体" w:cs="等线"/>
          <w:szCs w:val="21"/>
          <w:highlight w:val="none"/>
        </w:rPr>
        <w:t>在合同约定的期限内，承包人和监理人无法对当期已完工程量和按合同约定应当支付的其他款项达成一致的，监理人应当在收到承包人报送的进度付款申请单等文件后14天内，就承包人没有异议的金额准备一</w:t>
      </w:r>
      <w:r>
        <w:rPr>
          <w:rFonts w:hint="eastAsia" w:ascii="宋体" w:hAnsi="宋体" w:cs="等线"/>
          <w:highlight w:val="none"/>
        </w:rPr>
        <w:t>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036E3C75">
      <w:pPr>
        <w:spacing w:line="360" w:lineRule="auto"/>
        <w:ind w:firstLine="420" w:firstLineChars="200"/>
        <w:rPr>
          <w:rFonts w:ascii="宋体" w:hAnsi="宋体" w:cs="等线"/>
          <w:highlight w:val="none"/>
        </w:rPr>
      </w:pPr>
      <w:r>
        <w:rPr>
          <w:rFonts w:hint="eastAsia" w:ascii="宋体" w:hAnsi="宋体" w:cs="等线"/>
          <w:highlight w:val="none"/>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6C727555">
      <w:pPr>
        <w:spacing w:line="360" w:lineRule="auto"/>
        <w:ind w:firstLine="420" w:firstLineChars="200"/>
        <w:rPr>
          <w:rFonts w:ascii="宋体" w:hAnsi="宋体" w:cs="等线"/>
          <w:highlight w:val="none"/>
        </w:rPr>
      </w:pPr>
      <w:r>
        <w:rPr>
          <w:rFonts w:hint="eastAsia" w:ascii="宋体" w:hAnsi="宋体" w:cs="等线"/>
          <w:highlight w:val="none"/>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14:paraId="650C836C">
      <w:pPr>
        <w:keepNext/>
        <w:keepLines/>
        <w:spacing w:line="360" w:lineRule="auto"/>
        <w:outlineLvl w:val="2"/>
        <w:rPr>
          <w:rFonts w:ascii="宋体" w:hAnsi="宋体" w:cs="等线"/>
          <w:sz w:val="24"/>
          <w:highlight w:val="none"/>
        </w:rPr>
      </w:pPr>
      <w:bookmarkStart w:id="1718" w:name="_Toc159950834"/>
      <w:bookmarkStart w:id="1719" w:name="_Toc14058"/>
      <w:bookmarkStart w:id="1720" w:name="_Toc38732215"/>
      <w:r>
        <w:rPr>
          <w:rFonts w:hint="eastAsia" w:ascii="宋体" w:hAnsi="宋体" w:cs="等线"/>
          <w:sz w:val="24"/>
          <w:highlight w:val="none"/>
        </w:rPr>
        <w:t>17.4 质量保证金</w:t>
      </w:r>
      <w:bookmarkEnd w:id="1718"/>
      <w:bookmarkEnd w:id="1719"/>
      <w:bookmarkEnd w:id="1720"/>
    </w:p>
    <w:p w14:paraId="2E539E65">
      <w:pPr>
        <w:spacing w:line="360" w:lineRule="auto"/>
        <w:ind w:firstLine="420" w:firstLineChars="200"/>
        <w:rPr>
          <w:rFonts w:ascii="宋体" w:hAnsi="宋体" w:cs="等线"/>
          <w:highlight w:val="none"/>
        </w:rPr>
      </w:pPr>
      <w:r>
        <w:rPr>
          <w:rFonts w:hint="eastAsia" w:ascii="宋体" w:hAnsi="宋体" w:cs="等线"/>
          <w:highlight w:val="none"/>
        </w:rPr>
        <w:t>17.4.1质量保证金处理</w:t>
      </w:r>
    </w:p>
    <w:p w14:paraId="16999040">
      <w:pPr>
        <w:spacing w:line="360" w:lineRule="auto"/>
        <w:ind w:firstLine="420" w:firstLineChars="200"/>
        <w:rPr>
          <w:rFonts w:ascii="宋体" w:hAnsi="宋体" w:cs="等线"/>
          <w:highlight w:val="none"/>
        </w:rPr>
      </w:pPr>
      <w:bookmarkStart w:id="1721" w:name="_Toc1643"/>
      <w:bookmarkStart w:id="1722" w:name="_Toc38732216"/>
      <w:r>
        <w:rPr>
          <w:rFonts w:hint="eastAsia" w:ascii="宋体" w:hAnsi="宋体" w:cs="等线"/>
          <w:highlight w:val="none"/>
        </w:rPr>
        <w:t>（3）质量保证金形式：</w:t>
      </w:r>
      <w:r>
        <w:rPr>
          <w:rFonts w:hint="eastAsia" w:ascii="宋体" w:hAnsi="宋体" w:cs="等线"/>
          <w:highlight w:val="none"/>
          <w:u w:val="single"/>
        </w:rPr>
        <w:t>现金转账。</w:t>
      </w:r>
      <w:r>
        <w:rPr>
          <w:rFonts w:hint="eastAsia" w:ascii="宋体" w:hAnsi="宋体" w:cs="等线"/>
          <w:highlight w:val="none"/>
        </w:rPr>
        <w:t xml:space="preserve">       </w:t>
      </w:r>
    </w:p>
    <w:p w14:paraId="7123F030">
      <w:pPr>
        <w:spacing w:line="360" w:lineRule="auto"/>
        <w:ind w:firstLine="420" w:firstLineChars="200"/>
        <w:rPr>
          <w:rFonts w:ascii="宋体" w:hAnsi="宋体" w:cs="等线"/>
          <w:highlight w:val="none"/>
        </w:rPr>
      </w:pPr>
      <w:r>
        <w:rPr>
          <w:rFonts w:hint="eastAsia" w:ascii="宋体" w:hAnsi="宋体" w:cs="等线"/>
          <w:highlight w:val="none"/>
        </w:rPr>
        <w:t>经发包人审核，项目验收完成后，承包人向发包人支付审核工程款的3%作为质量保证金，质保期满2年后，工程无质量问题，双方无其他争议，发包人无息返还质量保证金。</w:t>
      </w:r>
    </w:p>
    <w:p w14:paraId="00D5D9F1">
      <w:pPr>
        <w:keepNext/>
        <w:keepLines/>
        <w:spacing w:line="360" w:lineRule="auto"/>
        <w:outlineLvl w:val="2"/>
        <w:rPr>
          <w:rFonts w:ascii="宋体" w:hAnsi="宋体" w:cs="等线"/>
          <w:sz w:val="24"/>
          <w:highlight w:val="none"/>
        </w:rPr>
      </w:pPr>
      <w:bookmarkStart w:id="1723" w:name="_Toc159950835"/>
      <w:r>
        <w:rPr>
          <w:rFonts w:hint="eastAsia" w:ascii="宋体" w:hAnsi="宋体" w:cs="等线"/>
          <w:sz w:val="24"/>
          <w:highlight w:val="none"/>
        </w:rPr>
        <w:t>17.5 竣工结算</w:t>
      </w:r>
      <w:bookmarkEnd w:id="1721"/>
      <w:bookmarkEnd w:id="1722"/>
      <w:bookmarkEnd w:id="1723"/>
    </w:p>
    <w:p w14:paraId="233F57C7">
      <w:pPr>
        <w:spacing w:line="360" w:lineRule="auto"/>
        <w:ind w:firstLine="420" w:firstLineChars="200"/>
        <w:rPr>
          <w:rFonts w:ascii="宋体" w:hAnsi="宋体" w:cs="等线"/>
          <w:highlight w:val="none"/>
        </w:rPr>
      </w:pPr>
      <w:r>
        <w:rPr>
          <w:rFonts w:hint="eastAsia" w:ascii="宋体" w:hAnsi="宋体" w:cs="等线"/>
          <w:highlight w:val="none"/>
        </w:rPr>
        <w:t>17.5.1竣工付款申请单</w:t>
      </w:r>
    </w:p>
    <w:p w14:paraId="016EE8D9">
      <w:pPr>
        <w:spacing w:line="360" w:lineRule="auto"/>
        <w:ind w:firstLine="420" w:firstLineChars="200"/>
        <w:rPr>
          <w:rFonts w:ascii="宋体" w:hAnsi="宋体" w:cs="等线"/>
          <w:highlight w:val="none"/>
          <w:u w:val="single"/>
        </w:rPr>
      </w:pPr>
      <w:r>
        <w:rPr>
          <w:rFonts w:hint="eastAsia" w:ascii="宋体" w:hAnsi="宋体" w:cs="等线"/>
          <w:highlight w:val="none"/>
        </w:rPr>
        <w:t>承包人提交竣工付款申请单的份数：</w:t>
      </w:r>
      <w:r>
        <w:rPr>
          <w:rFonts w:hint="eastAsia" w:ascii="宋体" w:hAnsi="宋体" w:cs="等线"/>
          <w:highlight w:val="none"/>
          <w:u w:val="single"/>
        </w:rPr>
        <w:t>一式五份</w:t>
      </w:r>
      <w:r>
        <w:rPr>
          <w:rFonts w:hint="eastAsia" w:ascii="宋体" w:hAnsi="宋体" w:cs="等线"/>
          <w:highlight w:val="none"/>
        </w:rPr>
        <w:t>。</w:t>
      </w:r>
    </w:p>
    <w:p w14:paraId="7C2A0802">
      <w:pPr>
        <w:spacing w:line="360" w:lineRule="auto"/>
        <w:ind w:firstLine="420" w:firstLineChars="200"/>
        <w:rPr>
          <w:rFonts w:ascii="宋体" w:hAnsi="宋体" w:cs="等线"/>
          <w:highlight w:val="none"/>
          <w:u w:val="single"/>
        </w:rPr>
      </w:pPr>
      <w:r>
        <w:rPr>
          <w:rFonts w:hint="eastAsia" w:ascii="宋体" w:hAnsi="宋体" w:cs="等线"/>
          <w:highlight w:val="none"/>
        </w:rPr>
        <w:t>承包人提交竣工付款申请单的期限：</w:t>
      </w:r>
      <w:r>
        <w:rPr>
          <w:rFonts w:hint="eastAsia" w:ascii="宋体" w:hAnsi="宋体" w:cs="等线"/>
          <w:highlight w:val="none"/>
          <w:u w:val="single"/>
        </w:rPr>
        <w:t>工程竣工后28日内提交结算报告及完整的结算资料。</w:t>
      </w:r>
    </w:p>
    <w:p w14:paraId="05EDA91D">
      <w:pPr>
        <w:spacing w:line="360" w:lineRule="auto"/>
        <w:ind w:firstLine="420" w:firstLineChars="200"/>
        <w:rPr>
          <w:rFonts w:ascii="宋体" w:hAnsi="宋体" w:cs="等线"/>
          <w:highlight w:val="none"/>
        </w:rPr>
      </w:pPr>
      <w:r>
        <w:rPr>
          <w:rFonts w:hint="eastAsia" w:ascii="宋体" w:hAnsi="宋体" w:cs="等线"/>
          <w:highlight w:val="none"/>
        </w:rPr>
        <w:t>竣工付款申请单的内容：</w:t>
      </w:r>
      <w:r>
        <w:rPr>
          <w:rFonts w:hint="eastAsia" w:ascii="宋体" w:hAnsi="宋体" w:cs="等线"/>
          <w:highlight w:val="none"/>
          <w:u w:val="single"/>
        </w:rPr>
        <w:t>按照发包人规定的格式和内容填写，应包括但不限于竣工结算合同总价、已支付的工程价款、应扣回的预付款、应扣留的质量保证金、应支付的竣工付款金额、工程变更、工程洽商、现场签证等</w:t>
      </w:r>
      <w:r>
        <w:rPr>
          <w:rFonts w:hint="eastAsia" w:ascii="宋体" w:hAnsi="宋体" w:cs="等线"/>
          <w:highlight w:val="none"/>
        </w:rPr>
        <w:t>。</w:t>
      </w:r>
    </w:p>
    <w:p w14:paraId="1C27DE73">
      <w:pPr>
        <w:spacing w:line="360" w:lineRule="auto"/>
        <w:ind w:firstLine="420" w:firstLineChars="200"/>
        <w:rPr>
          <w:rFonts w:ascii="宋体" w:hAnsi="宋体" w:cs="等线"/>
          <w:highlight w:val="none"/>
        </w:rPr>
      </w:pPr>
      <w:r>
        <w:rPr>
          <w:rFonts w:hint="eastAsia" w:ascii="宋体" w:hAnsi="宋体" w:cs="等线"/>
          <w:highlight w:val="none"/>
        </w:rPr>
        <w:t xml:space="preserve">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   </w:t>
      </w:r>
    </w:p>
    <w:p w14:paraId="74F016E7">
      <w:pPr>
        <w:spacing w:line="360" w:lineRule="auto"/>
        <w:ind w:firstLine="420" w:firstLineChars="200"/>
        <w:rPr>
          <w:rFonts w:ascii="宋体" w:hAnsi="宋体" w:cs="等线"/>
          <w:highlight w:val="none"/>
        </w:rPr>
      </w:pPr>
      <w:r>
        <w:rPr>
          <w:rFonts w:hint="eastAsia" w:ascii="宋体" w:hAnsi="宋体" w:cs="等线"/>
          <w:highlight w:val="none"/>
        </w:rPr>
        <w:t>不管通用合同条款17.5.2项如何约定，发包人和承包人应当在监理人颁发（出具）工程接收证书后56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14:paraId="31EB38CA">
      <w:pPr>
        <w:keepNext/>
        <w:keepLines/>
        <w:spacing w:line="360" w:lineRule="auto"/>
        <w:outlineLvl w:val="2"/>
        <w:rPr>
          <w:rFonts w:ascii="宋体" w:hAnsi="宋体" w:cs="等线"/>
          <w:sz w:val="24"/>
          <w:highlight w:val="none"/>
        </w:rPr>
      </w:pPr>
      <w:bookmarkStart w:id="1724" w:name="_Toc20753"/>
      <w:bookmarkStart w:id="1725" w:name="_Toc38732217"/>
      <w:bookmarkStart w:id="1726" w:name="_Toc159950836"/>
      <w:r>
        <w:rPr>
          <w:rFonts w:hint="eastAsia" w:ascii="宋体" w:hAnsi="宋体" w:cs="等线"/>
          <w:sz w:val="24"/>
          <w:highlight w:val="none"/>
        </w:rPr>
        <w:t>17.6 最终结清</w:t>
      </w:r>
      <w:bookmarkEnd w:id="1724"/>
      <w:bookmarkEnd w:id="1725"/>
      <w:bookmarkEnd w:id="1726"/>
    </w:p>
    <w:p w14:paraId="5BBF0E57">
      <w:pPr>
        <w:spacing w:line="360" w:lineRule="auto"/>
        <w:ind w:firstLine="420" w:firstLineChars="200"/>
        <w:rPr>
          <w:rFonts w:ascii="宋体" w:hAnsi="宋体" w:cs="等线"/>
          <w:highlight w:val="none"/>
        </w:rPr>
      </w:pPr>
      <w:r>
        <w:rPr>
          <w:rFonts w:hint="eastAsia" w:ascii="宋体" w:hAnsi="宋体" w:cs="等线"/>
          <w:highlight w:val="none"/>
        </w:rPr>
        <w:t>17.6.1最终结清申请单</w:t>
      </w:r>
    </w:p>
    <w:p w14:paraId="70954B6F">
      <w:pPr>
        <w:spacing w:line="360" w:lineRule="auto"/>
        <w:ind w:firstLine="420" w:firstLineChars="200"/>
        <w:rPr>
          <w:rFonts w:ascii="宋体" w:hAnsi="宋体" w:cs="等线"/>
          <w:highlight w:val="none"/>
          <w:u w:val="single"/>
        </w:rPr>
      </w:pPr>
      <w:r>
        <w:rPr>
          <w:rFonts w:hint="eastAsia" w:ascii="宋体" w:hAnsi="宋体" w:cs="等线"/>
          <w:highlight w:val="none"/>
        </w:rPr>
        <w:t>承包人提交最终结清申请单的份数：</w:t>
      </w:r>
      <w:r>
        <w:rPr>
          <w:rFonts w:hint="eastAsia" w:ascii="宋体" w:hAnsi="宋体" w:cs="等线"/>
          <w:highlight w:val="none"/>
          <w:u w:val="single"/>
        </w:rPr>
        <w:t>一式五份</w:t>
      </w:r>
      <w:r>
        <w:rPr>
          <w:rFonts w:hint="eastAsia" w:ascii="宋体" w:hAnsi="宋体" w:cs="等线"/>
          <w:highlight w:val="none"/>
        </w:rPr>
        <w:t>。</w:t>
      </w:r>
    </w:p>
    <w:p w14:paraId="1F746F61">
      <w:pPr>
        <w:spacing w:line="360" w:lineRule="auto"/>
        <w:ind w:firstLine="420" w:firstLineChars="200"/>
        <w:rPr>
          <w:rFonts w:ascii="宋体" w:hAnsi="宋体" w:cs="等线"/>
          <w:highlight w:val="none"/>
        </w:rPr>
      </w:pPr>
      <w:r>
        <w:rPr>
          <w:rFonts w:hint="eastAsia" w:ascii="宋体" w:hAnsi="宋体" w:cs="等线"/>
          <w:highlight w:val="none"/>
        </w:rPr>
        <w:t>承包人提交最终结清申请单的期限：</w:t>
      </w:r>
      <w:r>
        <w:rPr>
          <w:rFonts w:hint="eastAsia" w:ascii="宋体" w:hAnsi="宋体" w:cs="等线"/>
          <w:highlight w:val="none"/>
          <w:u w:val="single"/>
        </w:rPr>
        <w:t>在缺陷责任期终止证书颁发后28日内</w:t>
      </w:r>
      <w:r>
        <w:rPr>
          <w:rFonts w:hint="eastAsia" w:ascii="宋体" w:hAnsi="宋体" w:cs="等线"/>
          <w:highlight w:val="none"/>
        </w:rPr>
        <w:t>。</w:t>
      </w:r>
    </w:p>
    <w:p w14:paraId="1B24DF0B">
      <w:pPr>
        <w:keepNext/>
        <w:keepLines/>
        <w:spacing w:line="400" w:lineRule="exact"/>
        <w:outlineLvl w:val="1"/>
        <w:rPr>
          <w:rFonts w:ascii="宋体" w:hAnsi="宋体" w:cs="等线"/>
          <w:sz w:val="24"/>
          <w:highlight w:val="none"/>
        </w:rPr>
      </w:pPr>
      <w:bookmarkStart w:id="1727" w:name="_Toc5328"/>
      <w:bookmarkStart w:id="1728" w:name="_Toc29798"/>
      <w:bookmarkStart w:id="1729" w:name="_Toc38732218"/>
      <w:bookmarkStart w:id="1730" w:name="_Toc159950837"/>
      <w:r>
        <w:rPr>
          <w:rFonts w:hint="eastAsia" w:ascii="宋体" w:hAnsi="宋体" w:cs="等线"/>
          <w:sz w:val="24"/>
          <w:highlight w:val="none"/>
        </w:rPr>
        <w:t>18. 竣工验收</w:t>
      </w:r>
      <w:bookmarkEnd w:id="1727"/>
      <w:bookmarkEnd w:id="1728"/>
      <w:bookmarkEnd w:id="1729"/>
      <w:bookmarkEnd w:id="1730"/>
    </w:p>
    <w:p w14:paraId="4C2AC1E3">
      <w:pPr>
        <w:keepNext/>
        <w:keepLines/>
        <w:spacing w:line="360" w:lineRule="auto"/>
        <w:outlineLvl w:val="2"/>
        <w:rPr>
          <w:rFonts w:ascii="宋体" w:hAnsi="宋体" w:cs="等线"/>
          <w:sz w:val="24"/>
          <w:highlight w:val="none"/>
        </w:rPr>
      </w:pPr>
      <w:bookmarkStart w:id="1731" w:name="_Toc12525"/>
      <w:bookmarkStart w:id="1732" w:name="_Toc159950838"/>
      <w:bookmarkStart w:id="1733" w:name="_Toc38732219"/>
      <w:r>
        <w:rPr>
          <w:rFonts w:hint="eastAsia" w:ascii="宋体" w:hAnsi="宋体" w:cs="等线"/>
          <w:sz w:val="24"/>
          <w:highlight w:val="none"/>
        </w:rPr>
        <w:t>18.2 竣工验收申请报告</w:t>
      </w:r>
      <w:bookmarkEnd w:id="1731"/>
      <w:bookmarkEnd w:id="1732"/>
      <w:bookmarkEnd w:id="1733"/>
    </w:p>
    <w:p w14:paraId="357F9F81">
      <w:pPr>
        <w:spacing w:line="360" w:lineRule="auto"/>
        <w:ind w:firstLine="420" w:firstLineChars="200"/>
        <w:rPr>
          <w:rFonts w:ascii="宋体" w:hAnsi="宋体" w:cs="等线"/>
          <w:highlight w:val="none"/>
        </w:rPr>
      </w:pPr>
      <w:r>
        <w:rPr>
          <w:rFonts w:hint="eastAsia" w:ascii="宋体" w:hAnsi="宋体" w:cs="等线"/>
          <w:highlight w:val="none"/>
        </w:rPr>
        <w:t>（2）承包人负责整理和提交的竣工验收资料应当符合工程所在地建设行政主管部门和（或）城市建设档案管理机构有关施工资料的要求，具体内容包括：</w:t>
      </w:r>
      <w:r>
        <w:rPr>
          <w:rFonts w:hint="eastAsia" w:ascii="宋体" w:hAnsi="宋体" w:cs="等线"/>
          <w:highlight w:val="none"/>
          <w:u w:val="single"/>
        </w:rPr>
        <w:t>除监理人同意列入缺陷责任期内完成的尾工（甩项）工程和缺陷修补工作外，合同范围内的全部单位工程以及有关工作，包括合同要求的试验，试运行以及检验和验收均已完成，并符合合同要求；已按合同约定的内容和份数备齐了符合要求的竣工资料；已按监理人的要求编制了在缺陷责任期内完成的尾工（甩项）工程和缺陷修补工作清单以及相应施工计划；监理人要求在竣工验收前应完成的其他工作；监理人要求提交的竣工验收资料清单；由监理人确认的工程相关项目管理系统电子版竣工验收资料。归档要求及范围详见发包方要求。</w:t>
      </w:r>
    </w:p>
    <w:p w14:paraId="7D36B819">
      <w:pPr>
        <w:spacing w:line="360" w:lineRule="auto"/>
        <w:ind w:firstLine="420" w:firstLineChars="200"/>
        <w:rPr>
          <w:rFonts w:ascii="宋体" w:hAnsi="宋体" w:cs="等线"/>
          <w:highlight w:val="none"/>
        </w:rPr>
      </w:pPr>
      <w:r>
        <w:rPr>
          <w:rFonts w:hint="eastAsia" w:ascii="宋体" w:hAnsi="宋体" w:cs="等线"/>
          <w:highlight w:val="none"/>
        </w:rPr>
        <w:t>竣工验收资料的份数：</w:t>
      </w:r>
      <w:r>
        <w:rPr>
          <w:rFonts w:hint="eastAsia" w:ascii="宋体" w:hAnsi="宋体" w:cs="等线"/>
          <w:highlight w:val="none"/>
          <w:u w:val="single"/>
        </w:rPr>
        <w:t>6套竣工图及2套工程档案资料。</w:t>
      </w:r>
    </w:p>
    <w:p w14:paraId="51D197A8">
      <w:pPr>
        <w:spacing w:line="360" w:lineRule="auto"/>
        <w:ind w:firstLine="420" w:firstLineChars="200"/>
        <w:rPr>
          <w:rFonts w:ascii="宋体" w:hAnsi="宋体" w:cs="等线"/>
          <w:highlight w:val="none"/>
        </w:rPr>
      </w:pPr>
      <w:r>
        <w:rPr>
          <w:rFonts w:hint="eastAsia" w:ascii="宋体" w:hAnsi="宋体" w:cs="等线"/>
          <w:highlight w:val="none"/>
        </w:rPr>
        <w:t>竣工验收资料的费用支付方式：</w:t>
      </w:r>
      <w:r>
        <w:rPr>
          <w:rFonts w:hint="eastAsia" w:ascii="宋体" w:hAnsi="宋体" w:cs="等线"/>
          <w:highlight w:val="none"/>
          <w:u w:val="single"/>
        </w:rPr>
        <w:t>已包含在合同价款中，由承包人承担。</w:t>
      </w:r>
    </w:p>
    <w:p w14:paraId="0FD771D3">
      <w:pPr>
        <w:keepNext/>
        <w:keepLines/>
        <w:spacing w:line="360" w:lineRule="auto"/>
        <w:outlineLvl w:val="2"/>
        <w:rPr>
          <w:rFonts w:ascii="宋体" w:hAnsi="宋体" w:cs="等线"/>
          <w:sz w:val="24"/>
          <w:highlight w:val="none"/>
        </w:rPr>
      </w:pPr>
      <w:bookmarkStart w:id="1734" w:name="_Toc38732220"/>
      <w:bookmarkStart w:id="1735" w:name="_Toc28472"/>
      <w:bookmarkStart w:id="1736" w:name="_Toc159950839"/>
      <w:r>
        <w:rPr>
          <w:rFonts w:hint="eastAsia" w:ascii="宋体" w:hAnsi="宋体" w:cs="等线"/>
          <w:sz w:val="24"/>
          <w:highlight w:val="none"/>
        </w:rPr>
        <w:t>18.3 验 收</w:t>
      </w:r>
      <w:bookmarkEnd w:id="1734"/>
      <w:bookmarkEnd w:id="1735"/>
      <w:bookmarkEnd w:id="1736"/>
    </w:p>
    <w:p w14:paraId="2D9B8BDC">
      <w:pPr>
        <w:spacing w:line="360" w:lineRule="auto"/>
        <w:ind w:firstLine="420" w:firstLineChars="200"/>
        <w:rPr>
          <w:rFonts w:ascii="宋体" w:hAnsi="宋体" w:cs="等线"/>
          <w:highlight w:val="none"/>
        </w:rPr>
      </w:pPr>
      <w:r>
        <w:rPr>
          <w:rFonts w:hint="eastAsia" w:ascii="宋体" w:hAnsi="宋体" w:cs="等线"/>
          <w:highlight w:val="none"/>
        </w:rPr>
        <w:t>18.3.5经验收合格的工程, 实际竣工日期为承包人按照第18.2款提交竣工验收申请报告或按照本款重新提交竣工验收申请报告的日期（以两者中时间在后者为准）。</w:t>
      </w:r>
    </w:p>
    <w:p w14:paraId="5EF73A8B">
      <w:pPr>
        <w:keepNext/>
        <w:keepLines/>
        <w:spacing w:line="360" w:lineRule="auto"/>
        <w:outlineLvl w:val="2"/>
        <w:rPr>
          <w:rFonts w:ascii="宋体" w:hAnsi="宋体" w:cs="等线"/>
          <w:sz w:val="24"/>
          <w:highlight w:val="none"/>
        </w:rPr>
      </w:pPr>
      <w:bookmarkStart w:id="1737" w:name="_Toc159950840"/>
      <w:bookmarkStart w:id="1738" w:name="_Toc25187"/>
      <w:bookmarkStart w:id="1739" w:name="_Toc38732221"/>
      <w:r>
        <w:rPr>
          <w:rFonts w:hint="eastAsia" w:ascii="宋体" w:hAnsi="宋体" w:cs="等线"/>
          <w:sz w:val="24"/>
          <w:highlight w:val="none"/>
        </w:rPr>
        <w:t>18.5 施工期运行</w:t>
      </w:r>
      <w:bookmarkEnd w:id="1737"/>
      <w:bookmarkEnd w:id="1738"/>
      <w:bookmarkEnd w:id="1739"/>
    </w:p>
    <w:p w14:paraId="7C42973A">
      <w:pPr>
        <w:spacing w:line="360" w:lineRule="auto"/>
        <w:ind w:firstLine="420" w:firstLineChars="200"/>
        <w:rPr>
          <w:rFonts w:ascii="宋体" w:hAnsi="宋体" w:cs="等线"/>
          <w:highlight w:val="none"/>
          <w:u w:val="single"/>
        </w:rPr>
      </w:pPr>
      <w:r>
        <w:rPr>
          <w:rFonts w:hint="eastAsia" w:ascii="宋体" w:hAnsi="宋体" w:cs="等线"/>
          <w:highlight w:val="none"/>
        </w:rPr>
        <w:t>18.5.1需要施工期运行的单位工程或设备安装工程：</w:t>
      </w:r>
      <w:r>
        <w:rPr>
          <w:rFonts w:hint="eastAsia" w:ascii="宋体" w:hAnsi="宋体" w:cs="等线"/>
          <w:highlight w:val="none"/>
          <w:u w:val="single"/>
        </w:rPr>
        <w:t xml:space="preserve">     /      </w:t>
      </w:r>
      <w:r>
        <w:rPr>
          <w:rFonts w:hint="eastAsia" w:ascii="宋体" w:hAnsi="宋体" w:cs="等线"/>
          <w:highlight w:val="none"/>
        </w:rPr>
        <w:t>。</w:t>
      </w:r>
    </w:p>
    <w:p w14:paraId="2080D650">
      <w:pPr>
        <w:keepNext/>
        <w:keepLines/>
        <w:spacing w:line="360" w:lineRule="auto"/>
        <w:outlineLvl w:val="2"/>
        <w:rPr>
          <w:rFonts w:ascii="宋体" w:hAnsi="宋体" w:cs="等线"/>
          <w:sz w:val="24"/>
          <w:highlight w:val="none"/>
        </w:rPr>
      </w:pPr>
      <w:bookmarkStart w:id="1740" w:name="_Toc3306"/>
      <w:bookmarkStart w:id="1741" w:name="_Toc38732222"/>
      <w:bookmarkStart w:id="1742" w:name="_Toc159950841"/>
      <w:r>
        <w:rPr>
          <w:rFonts w:hint="eastAsia" w:ascii="宋体" w:hAnsi="宋体" w:cs="等线"/>
          <w:sz w:val="24"/>
          <w:highlight w:val="none"/>
        </w:rPr>
        <w:t>18.6 试运行</w:t>
      </w:r>
      <w:bookmarkEnd w:id="1740"/>
      <w:bookmarkEnd w:id="1741"/>
      <w:bookmarkEnd w:id="1742"/>
    </w:p>
    <w:p w14:paraId="777D4A37">
      <w:pPr>
        <w:spacing w:line="360" w:lineRule="auto"/>
        <w:ind w:firstLine="420" w:firstLineChars="200"/>
        <w:rPr>
          <w:rFonts w:ascii="宋体" w:hAnsi="宋体" w:cs="等线"/>
          <w:highlight w:val="none"/>
        </w:rPr>
      </w:pPr>
      <w:r>
        <w:rPr>
          <w:rFonts w:hint="eastAsia" w:ascii="宋体" w:hAnsi="宋体" w:cs="等线"/>
          <w:highlight w:val="none"/>
        </w:rPr>
        <w:t>18.6.1工程及工程设备试运行的组织与费用承担</w:t>
      </w:r>
    </w:p>
    <w:p w14:paraId="4069D2E8">
      <w:pPr>
        <w:spacing w:line="360" w:lineRule="auto"/>
        <w:ind w:firstLine="420" w:firstLineChars="200"/>
        <w:rPr>
          <w:rFonts w:ascii="宋体" w:hAnsi="宋体" w:cs="等线"/>
          <w:highlight w:val="none"/>
        </w:rPr>
      </w:pPr>
      <w:r>
        <w:rPr>
          <w:rFonts w:hint="eastAsia" w:ascii="宋体" w:hAnsi="宋体" w:cs="等线"/>
          <w:highlight w:val="none"/>
        </w:rPr>
        <w:t>（1）工程设备安装具备单机无负荷试运行条件，由承包人组织试运行，费用由承包人承担。</w:t>
      </w:r>
    </w:p>
    <w:p w14:paraId="74FECA91">
      <w:pPr>
        <w:spacing w:line="360" w:lineRule="auto"/>
        <w:ind w:firstLine="420" w:firstLineChars="200"/>
        <w:rPr>
          <w:rFonts w:ascii="宋体" w:hAnsi="宋体" w:cs="等线"/>
          <w:highlight w:val="none"/>
        </w:rPr>
      </w:pPr>
      <w:r>
        <w:rPr>
          <w:rFonts w:hint="eastAsia" w:ascii="宋体" w:hAnsi="宋体" w:cs="等线"/>
          <w:highlight w:val="none"/>
        </w:rPr>
        <w:t>（2） 工程设备安装具备无负荷联动试运行条件，由发包人组织试运行，费用由发包人承担。</w:t>
      </w:r>
    </w:p>
    <w:p w14:paraId="65D17E19">
      <w:pPr>
        <w:spacing w:line="360" w:lineRule="auto"/>
        <w:ind w:firstLine="420" w:firstLineChars="200"/>
        <w:rPr>
          <w:rFonts w:ascii="宋体" w:hAnsi="宋体" w:cs="等线"/>
          <w:highlight w:val="none"/>
        </w:rPr>
      </w:pPr>
      <w:r>
        <w:rPr>
          <w:rFonts w:hint="eastAsia" w:ascii="宋体" w:hAnsi="宋体" w:cs="等线"/>
          <w:highlight w:val="none"/>
        </w:rPr>
        <w:t>（3）投料试运行应在工程竣工验收后由发包人负责，如发包人要求在工程竣工验收前进行或需要承包人配合时，应征得承包人同意，另行签订补充协议。</w:t>
      </w:r>
    </w:p>
    <w:p w14:paraId="527537D5">
      <w:pPr>
        <w:keepNext/>
        <w:keepLines/>
        <w:spacing w:line="360" w:lineRule="auto"/>
        <w:outlineLvl w:val="2"/>
        <w:rPr>
          <w:rFonts w:ascii="宋体" w:hAnsi="宋体" w:cs="等线"/>
          <w:sz w:val="24"/>
          <w:highlight w:val="none"/>
        </w:rPr>
      </w:pPr>
      <w:bookmarkStart w:id="1743" w:name="_Toc38732223"/>
      <w:bookmarkStart w:id="1744" w:name="_Toc5810"/>
      <w:bookmarkStart w:id="1745" w:name="_Toc159950842"/>
      <w:r>
        <w:rPr>
          <w:rFonts w:hint="eastAsia" w:ascii="宋体" w:hAnsi="宋体" w:cs="等线"/>
          <w:sz w:val="24"/>
          <w:highlight w:val="none"/>
        </w:rPr>
        <w:t>18.7 竣工清场</w:t>
      </w:r>
      <w:bookmarkEnd w:id="1743"/>
      <w:bookmarkEnd w:id="1744"/>
      <w:bookmarkEnd w:id="1745"/>
    </w:p>
    <w:p w14:paraId="2CA6D51B">
      <w:pPr>
        <w:spacing w:line="360" w:lineRule="auto"/>
        <w:ind w:firstLine="420" w:firstLineChars="200"/>
        <w:rPr>
          <w:rFonts w:ascii="宋体" w:hAnsi="宋体" w:cs="等线"/>
          <w:highlight w:val="none"/>
        </w:rPr>
      </w:pPr>
      <w:r>
        <w:rPr>
          <w:rFonts w:hint="eastAsia" w:ascii="宋体" w:hAnsi="宋体" w:cs="等线"/>
          <w:highlight w:val="none"/>
        </w:rPr>
        <w:t>18.7.1监理人颁发（出具）工程接收证书后，承包人负责按照通用合同条款本项约定的要求对施工场地进行清理并承担相关费用，直至监理人检验合格为止。</w:t>
      </w:r>
    </w:p>
    <w:p w14:paraId="388D5D75">
      <w:pPr>
        <w:keepNext/>
        <w:keepLines/>
        <w:spacing w:line="360" w:lineRule="auto"/>
        <w:outlineLvl w:val="2"/>
        <w:rPr>
          <w:rFonts w:ascii="宋体" w:hAnsi="宋体" w:cs="等线"/>
          <w:sz w:val="24"/>
          <w:highlight w:val="none"/>
        </w:rPr>
      </w:pPr>
      <w:bookmarkStart w:id="1746" w:name="_Toc38732224"/>
      <w:bookmarkStart w:id="1747" w:name="_Toc159950843"/>
      <w:bookmarkStart w:id="1748" w:name="_Toc23795"/>
      <w:r>
        <w:rPr>
          <w:rFonts w:hint="eastAsia" w:ascii="宋体" w:hAnsi="宋体" w:cs="等线"/>
          <w:sz w:val="24"/>
          <w:highlight w:val="none"/>
        </w:rPr>
        <w:t>18.8 施工队伍的撤离</w:t>
      </w:r>
      <w:bookmarkEnd w:id="1746"/>
      <w:bookmarkEnd w:id="1747"/>
      <w:bookmarkEnd w:id="1748"/>
    </w:p>
    <w:p w14:paraId="24AE7021">
      <w:pPr>
        <w:spacing w:line="360" w:lineRule="auto"/>
        <w:ind w:firstLine="420" w:firstLineChars="200"/>
        <w:rPr>
          <w:rFonts w:ascii="宋体" w:hAnsi="宋体" w:cs="等线"/>
          <w:highlight w:val="none"/>
        </w:rPr>
      </w:pPr>
      <w:r>
        <w:rPr>
          <w:rFonts w:hint="eastAsia" w:ascii="宋体" w:hAnsi="宋体" w:cs="等线"/>
          <w:highlight w:val="none"/>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14:paraId="667C743C">
      <w:pPr>
        <w:spacing w:line="360" w:lineRule="auto"/>
        <w:ind w:firstLine="420" w:firstLineChars="200"/>
        <w:rPr>
          <w:rFonts w:ascii="宋体" w:hAnsi="宋体" w:cs="等线"/>
          <w:highlight w:val="none"/>
          <w:u w:val="single"/>
        </w:rPr>
      </w:pPr>
      <w:r>
        <w:rPr>
          <w:rFonts w:hint="eastAsia" w:ascii="宋体" w:hAnsi="宋体" w:cs="等线"/>
          <w:highlight w:val="none"/>
        </w:rPr>
        <w:t>缺陷责任期满时，承包人可以继续在施工场地保留的人员和施工设备以及最终撤离的期限：</w:t>
      </w:r>
      <w:r>
        <w:rPr>
          <w:rFonts w:hint="eastAsia" w:ascii="宋体" w:hAnsi="宋体" w:cs="等线"/>
          <w:highlight w:val="none"/>
          <w:u w:val="singl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r>
        <w:rPr>
          <w:rFonts w:hint="eastAsia" w:ascii="宋体" w:hAnsi="宋体" w:cs="等线"/>
          <w:highlight w:val="none"/>
        </w:rPr>
        <w:t>。</w:t>
      </w:r>
    </w:p>
    <w:p w14:paraId="3EB049B0">
      <w:pPr>
        <w:keepNext/>
        <w:keepLines/>
        <w:spacing w:line="360" w:lineRule="auto"/>
        <w:outlineLvl w:val="2"/>
        <w:rPr>
          <w:rFonts w:ascii="宋体" w:hAnsi="宋体" w:cs="等线"/>
          <w:sz w:val="24"/>
          <w:highlight w:val="none"/>
        </w:rPr>
      </w:pPr>
      <w:bookmarkStart w:id="1749" w:name="_Toc38732225"/>
      <w:bookmarkStart w:id="1750" w:name="_Toc8270"/>
      <w:bookmarkStart w:id="1751" w:name="_Toc159950844"/>
      <w:r>
        <w:rPr>
          <w:rFonts w:hint="eastAsia" w:ascii="宋体" w:hAnsi="宋体" w:cs="等线"/>
          <w:sz w:val="24"/>
          <w:highlight w:val="none"/>
        </w:rPr>
        <w:t>18.9 中间验收</w:t>
      </w:r>
      <w:bookmarkEnd w:id="1749"/>
      <w:bookmarkEnd w:id="1750"/>
      <w:bookmarkEnd w:id="1751"/>
    </w:p>
    <w:p w14:paraId="35100840">
      <w:pPr>
        <w:spacing w:line="360" w:lineRule="auto"/>
        <w:ind w:firstLine="525" w:firstLineChars="250"/>
        <w:rPr>
          <w:rFonts w:ascii="宋体" w:hAnsi="宋体" w:cs="等线"/>
          <w:highlight w:val="none"/>
        </w:rPr>
      </w:pPr>
      <w:r>
        <w:rPr>
          <w:rFonts w:hint="eastAsia" w:ascii="宋体" w:hAnsi="宋体" w:cs="等线"/>
          <w:highlight w:val="none"/>
        </w:rPr>
        <w:t>本工程需要进行中间验收的部位如下：</w:t>
      </w:r>
      <w:r>
        <w:rPr>
          <w:rFonts w:hint="eastAsia" w:ascii="宋体" w:hAnsi="宋体" w:cs="等线"/>
          <w:highlight w:val="none"/>
          <w:u w:val="single"/>
        </w:rPr>
        <w:t xml:space="preserve">   /    </w:t>
      </w:r>
      <w:r>
        <w:rPr>
          <w:rFonts w:hint="eastAsia" w:ascii="宋体" w:hAnsi="宋体" w:cs="等线"/>
          <w:highlight w:val="none"/>
        </w:rPr>
        <w:t>。</w:t>
      </w:r>
    </w:p>
    <w:p w14:paraId="2B3A2142">
      <w:pPr>
        <w:spacing w:line="360" w:lineRule="auto"/>
        <w:ind w:firstLine="420" w:firstLineChars="200"/>
        <w:rPr>
          <w:rFonts w:ascii="宋体" w:hAnsi="宋体" w:cs="等线"/>
          <w:highlight w:val="none"/>
        </w:rPr>
      </w:pPr>
      <w:r>
        <w:rPr>
          <w:rFonts w:hint="eastAsia" w:ascii="宋体" w:hAnsi="宋体" w:cs="等线"/>
          <w:highlight w:val="none"/>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宋体" w:hAnsi="宋体" w:cs="等线"/>
          <w:highlight w:val="none"/>
          <w:u w:val="single"/>
        </w:rPr>
        <w:t xml:space="preserve">      /      </w:t>
      </w:r>
      <w:r>
        <w:rPr>
          <w:rFonts w:hint="eastAsia" w:ascii="宋体" w:hAnsi="宋体" w:cs="等线"/>
          <w:highlight w:val="none"/>
        </w:rPr>
        <w:t>期限内进行修改后重新验收。</w:t>
      </w:r>
    </w:p>
    <w:p w14:paraId="17C7E935">
      <w:pPr>
        <w:spacing w:line="360" w:lineRule="auto"/>
        <w:ind w:firstLine="420" w:firstLineChars="200"/>
        <w:rPr>
          <w:rFonts w:ascii="宋体" w:hAnsi="宋体" w:cs="等线"/>
          <w:highlight w:val="none"/>
        </w:rPr>
      </w:pPr>
      <w:r>
        <w:rPr>
          <w:rFonts w:hint="eastAsia" w:ascii="宋体" w:hAnsi="宋体" w:cs="等线"/>
          <w:highlight w:val="none"/>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0913E69C">
      <w:pPr>
        <w:spacing w:line="360" w:lineRule="auto"/>
        <w:ind w:firstLine="420" w:firstLineChars="200"/>
        <w:rPr>
          <w:rFonts w:ascii="宋体" w:hAnsi="宋体" w:cs="等线"/>
          <w:highlight w:val="none"/>
        </w:rPr>
      </w:pPr>
      <w:r>
        <w:rPr>
          <w:rFonts w:hint="eastAsia" w:ascii="宋体" w:hAnsi="宋体" w:cs="等线"/>
          <w:highlight w:val="none"/>
        </w:rPr>
        <w:t>经监理人验收后工程质量符合约定的验收标准，但验收24小时后监理人仍不在验收记录上签字的，视为监理人已经认可验收记录，承包人可继续施工。</w:t>
      </w:r>
    </w:p>
    <w:p w14:paraId="5D92AEC6">
      <w:pPr>
        <w:keepNext/>
        <w:keepLines/>
        <w:spacing w:line="400" w:lineRule="exact"/>
        <w:outlineLvl w:val="1"/>
        <w:rPr>
          <w:rFonts w:ascii="宋体" w:hAnsi="宋体" w:cs="等线"/>
          <w:sz w:val="24"/>
          <w:highlight w:val="none"/>
        </w:rPr>
      </w:pPr>
      <w:bookmarkStart w:id="1752" w:name="_Toc38732226"/>
      <w:bookmarkStart w:id="1753" w:name="_Toc8626"/>
      <w:bookmarkStart w:id="1754" w:name="_Toc159950845"/>
      <w:bookmarkStart w:id="1755" w:name="_Toc4373"/>
      <w:r>
        <w:rPr>
          <w:rFonts w:hint="eastAsia" w:ascii="宋体" w:hAnsi="宋体" w:cs="等线"/>
          <w:sz w:val="24"/>
          <w:highlight w:val="none"/>
        </w:rPr>
        <w:t>19. 缺陷责任与保修责任</w:t>
      </w:r>
      <w:bookmarkEnd w:id="1752"/>
      <w:bookmarkEnd w:id="1753"/>
      <w:bookmarkEnd w:id="1754"/>
      <w:bookmarkEnd w:id="1755"/>
    </w:p>
    <w:p w14:paraId="2F573FD3">
      <w:pPr>
        <w:keepNext/>
        <w:keepLines/>
        <w:spacing w:line="360" w:lineRule="auto"/>
        <w:outlineLvl w:val="2"/>
        <w:rPr>
          <w:rFonts w:ascii="宋体" w:hAnsi="宋体" w:cs="等线"/>
          <w:sz w:val="24"/>
          <w:highlight w:val="none"/>
        </w:rPr>
      </w:pPr>
      <w:bookmarkStart w:id="1756" w:name="_Toc38732227"/>
      <w:bookmarkStart w:id="1757" w:name="_Toc22186"/>
      <w:bookmarkStart w:id="1758" w:name="_Toc159950846"/>
      <w:r>
        <w:rPr>
          <w:rFonts w:hint="eastAsia" w:ascii="宋体" w:hAnsi="宋体" w:cs="等线"/>
          <w:sz w:val="24"/>
          <w:highlight w:val="none"/>
        </w:rPr>
        <w:t>19.7 保修责任</w:t>
      </w:r>
      <w:bookmarkEnd w:id="1756"/>
      <w:bookmarkEnd w:id="1757"/>
      <w:bookmarkEnd w:id="1758"/>
    </w:p>
    <w:p w14:paraId="5FA59074">
      <w:pPr>
        <w:spacing w:line="360" w:lineRule="auto"/>
        <w:ind w:firstLine="420" w:firstLineChars="200"/>
        <w:rPr>
          <w:rFonts w:ascii="宋体" w:hAnsi="宋体" w:cs="等线"/>
          <w:highlight w:val="none"/>
        </w:rPr>
      </w:pPr>
      <w:r>
        <w:rPr>
          <w:rFonts w:hint="eastAsia" w:ascii="宋体" w:hAnsi="宋体" w:cs="等线"/>
          <w:highlight w:val="none"/>
        </w:rPr>
        <w:t>（1）工程质量保修范围：</w:t>
      </w:r>
      <w:r>
        <w:rPr>
          <w:rFonts w:hint="eastAsia" w:ascii="宋体" w:hAnsi="宋体" w:cs="等线"/>
          <w:highlight w:val="none"/>
          <w:u w:val="single"/>
        </w:rPr>
        <w:t>由施工单位负责实施的所有项目</w:t>
      </w:r>
      <w:r>
        <w:rPr>
          <w:rFonts w:hint="eastAsia" w:ascii="宋体" w:hAnsi="宋体" w:cs="等线"/>
          <w:highlight w:val="none"/>
        </w:rPr>
        <w:t>。</w:t>
      </w:r>
    </w:p>
    <w:p w14:paraId="67F64EB6">
      <w:pPr>
        <w:spacing w:line="360" w:lineRule="auto"/>
        <w:ind w:firstLine="420" w:firstLineChars="200"/>
        <w:rPr>
          <w:rFonts w:ascii="宋体" w:hAnsi="宋体" w:cs="等线"/>
          <w:highlight w:val="none"/>
        </w:rPr>
      </w:pPr>
      <w:r>
        <w:rPr>
          <w:rFonts w:hint="eastAsia" w:ascii="宋体" w:hAnsi="宋体" w:cs="等线"/>
          <w:highlight w:val="none"/>
        </w:rPr>
        <w:t>（2）工程质量保修期限：</w:t>
      </w:r>
      <w:r>
        <w:rPr>
          <w:rFonts w:hint="eastAsia" w:ascii="宋体" w:hAnsi="宋体" w:cs="等线"/>
          <w:highlight w:val="none"/>
          <w:u w:val="single"/>
        </w:rPr>
        <w:t>根据《建设工程质量管理条例》的规定，供热与供冷系统，为两个采暖期、供冷期；电气管线、给排水管道、设备安装和装修工程为两年；其他工程的保修期限为两年。建设工程的保修期，自竣工验收合格之日起计算</w:t>
      </w:r>
      <w:r>
        <w:rPr>
          <w:rFonts w:hint="eastAsia" w:ascii="宋体" w:hAnsi="宋体" w:cs="等线"/>
          <w:highlight w:val="none"/>
        </w:rPr>
        <w:t>。</w:t>
      </w:r>
    </w:p>
    <w:p w14:paraId="466D287F">
      <w:pPr>
        <w:spacing w:line="360" w:lineRule="auto"/>
        <w:ind w:firstLine="420" w:firstLineChars="200"/>
        <w:rPr>
          <w:rFonts w:ascii="宋体" w:hAnsi="宋体" w:cs="等线"/>
          <w:highlight w:val="none"/>
        </w:rPr>
      </w:pPr>
      <w:r>
        <w:rPr>
          <w:rFonts w:hint="eastAsia" w:ascii="宋体" w:hAnsi="宋体" w:cs="等线"/>
          <w:highlight w:val="none"/>
        </w:rPr>
        <w:t>（3）工程质量保修责任：</w:t>
      </w:r>
      <w:r>
        <w:rPr>
          <w:rFonts w:hint="eastAsia" w:ascii="宋体" w:hAnsi="宋体" w:cs="等线"/>
          <w:highlight w:val="none"/>
          <w:u w:val="single"/>
        </w:rPr>
        <w:t>缺陷责任期内，由承包人原因造成的缺陷，承包人应负责维修，并承担鉴定及维修费用。并承担鉴定及维修费用。如承包人不维修也不承担费用，发包人可扣除保证金，并由承包人承担违约责任，保证金不足以支付维修费用的，承包人仍应承担全部差额。承包人维修并承担相应费用后，不免除对工程的一般损失赔偿责任</w:t>
      </w:r>
      <w:r>
        <w:rPr>
          <w:rFonts w:hint="eastAsia" w:ascii="宋体" w:hAnsi="宋体" w:cs="等线"/>
          <w:highlight w:val="none"/>
        </w:rPr>
        <w:t>。</w:t>
      </w:r>
    </w:p>
    <w:p w14:paraId="4207ED91">
      <w:pPr>
        <w:spacing w:line="360" w:lineRule="auto"/>
        <w:ind w:firstLine="420" w:firstLineChars="200"/>
        <w:rPr>
          <w:rFonts w:ascii="宋体" w:hAnsi="宋体" w:cs="等线"/>
          <w:highlight w:val="none"/>
        </w:rPr>
      </w:pPr>
      <w:r>
        <w:rPr>
          <w:rFonts w:hint="eastAsia" w:ascii="宋体" w:hAnsi="宋体" w:cs="等线"/>
          <w:highlight w:val="none"/>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356D8E37">
      <w:pPr>
        <w:keepNext/>
        <w:keepLines/>
        <w:spacing w:line="400" w:lineRule="exact"/>
        <w:outlineLvl w:val="1"/>
        <w:rPr>
          <w:rFonts w:ascii="宋体" w:hAnsi="宋体" w:cs="等线"/>
          <w:sz w:val="24"/>
          <w:highlight w:val="none"/>
        </w:rPr>
      </w:pPr>
      <w:bookmarkStart w:id="1759" w:name="_Toc159950847"/>
      <w:bookmarkStart w:id="1760" w:name="_Toc9439"/>
      <w:bookmarkStart w:id="1761" w:name="_Toc38732228"/>
      <w:bookmarkStart w:id="1762" w:name="_Toc10339"/>
      <w:r>
        <w:rPr>
          <w:rFonts w:hint="eastAsia" w:ascii="宋体" w:hAnsi="宋体" w:cs="等线"/>
          <w:sz w:val="24"/>
          <w:highlight w:val="none"/>
        </w:rPr>
        <w:t>20. 保险 （本项目不适用）</w:t>
      </w:r>
      <w:bookmarkEnd w:id="1759"/>
      <w:bookmarkEnd w:id="1760"/>
      <w:bookmarkEnd w:id="1761"/>
      <w:bookmarkEnd w:id="1762"/>
    </w:p>
    <w:p w14:paraId="62A878B0">
      <w:pPr>
        <w:keepNext/>
        <w:keepLines/>
        <w:spacing w:line="360" w:lineRule="auto"/>
        <w:outlineLvl w:val="2"/>
        <w:rPr>
          <w:rFonts w:ascii="宋体" w:hAnsi="宋体" w:cs="等线"/>
          <w:sz w:val="24"/>
          <w:highlight w:val="none"/>
        </w:rPr>
      </w:pPr>
      <w:bookmarkStart w:id="1763" w:name="_Toc26968"/>
      <w:bookmarkStart w:id="1764" w:name="_Toc38732229"/>
      <w:bookmarkStart w:id="1765" w:name="_Toc159950848"/>
      <w:r>
        <w:rPr>
          <w:rFonts w:hint="eastAsia" w:ascii="宋体" w:hAnsi="宋体" w:cs="等线"/>
          <w:sz w:val="24"/>
          <w:highlight w:val="none"/>
        </w:rPr>
        <w:t>20.1 工程保险</w:t>
      </w:r>
      <w:bookmarkEnd w:id="1763"/>
      <w:bookmarkEnd w:id="1764"/>
      <w:bookmarkEnd w:id="1765"/>
    </w:p>
    <w:p w14:paraId="2720734D">
      <w:pPr>
        <w:spacing w:line="360" w:lineRule="auto"/>
        <w:ind w:firstLine="420" w:firstLineChars="200"/>
        <w:rPr>
          <w:rFonts w:ascii="宋体" w:hAnsi="宋体" w:cs="等线"/>
          <w:highlight w:val="none"/>
        </w:rPr>
      </w:pPr>
      <w:r>
        <w:rPr>
          <w:rFonts w:hint="eastAsia" w:ascii="宋体" w:hAnsi="宋体" w:cs="等线"/>
          <w:highlight w:val="none"/>
        </w:rPr>
        <w:t>本工程</w:t>
      </w:r>
      <w:r>
        <w:rPr>
          <w:rFonts w:hint="eastAsia" w:ascii="宋体" w:hAnsi="宋体" w:cs="等线"/>
          <w:highlight w:val="none"/>
          <w:u w:val="single"/>
        </w:rPr>
        <w:t xml:space="preserve">         </w:t>
      </w:r>
      <w:r>
        <w:rPr>
          <w:rFonts w:hint="eastAsia" w:ascii="宋体" w:hAnsi="宋体" w:cs="等线"/>
          <w:highlight w:val="none"/>
        </w:rPr>
        <w:t>(投保/不投保)工程保险。投保工程保险时，险种为：</w:t>
      </w:r>
      <w:r>
        <w:rPr>
          <w:rFonts w:hint="eastAsia" w:ascii="宋体" w:hAnsi="宋体" w:cs="等线"/>
          <w:highlight w:val="none"/>
          <w:u w:val="single"/>
        </w:rPr>
        <w:t xml:space="preserve">                 </w:t>
      </w:r>
      <w:r>
        <w:rPr>
          <w:rFonts w:hint="eastAsia" w:ascii="宋体" w:hAnsi="宋体" w:cs="等线"/>
          <w:highlight w:val="none"/>
        </w:rPr>
        <w:t>，并符合以下约定。</w:t>
      </w:r>
    </w:p>
    <w:p w14:paraId="07B205BC">
      <w:pPr>
        <w:spacing w:line="360" w:lineRule="auto"/>
        <w:ind w:firstLine="420" w:firstLineChars="200"/>
        <w:rPr>
          <w:rFonts w:ascii="宋体" w:hAnsi="宋体" w:cs="等线"/>
          <w:highlight w:val="none"/>
        </w:rPr>
      </w:pPr>
      <w:r>
        <w:rPr>
          <w:rFonts w:hint="eastAsia" w:ascii="宋体" w:hAnsi="宋体" w:cs="等线"/>
          <w:highlight w:val="none"/>
        </w:rPr>
        <w:t>（1）投保人：</w:t>
      </w:r>
      <w:r>
        <w:rPr>
          <w:rFonts w:hint="eastAsia" w:ascii="宋体" w:hAnsi="宋体" w:cs="等线"/>
          <w:highlight w:val="none"/>
          <w:u w:val="single"/>
        </w:rPr>
        <w:t xml:space="preserve">                      </w:t>
      </w:r>
      <w:r>
        <w:rPr>
          <w:rFonts w:ascii="宋体" w:hAnsi="宋体" w:cs="等线"/>
          <w:highlight w:val="none"/>
          <w:u w:val="single"/>
        </w:rPr>
        <w:t xml:space="preserve">      </w:t>
      </w:r>
      <w:r>
        <w:rPr>
          <w:rFonts w:hint="eastAsia" w:ascii="宋体" w:hAnsi="宋体" w:cs="等线"/>
          <w:highlight w:val="none"/>
          <w:u w:val="single"/>
        </w:rPr>
        <w:t xml:space="preserve">    </w:t>
      </w:r>
      <w:r>
        <w:rPr>
          <w:rFonts w:hint="eastAsia" w:ascii="宋体" w:hAnsi="宋体" w:cs="等线"/>
          <w:highlight w:val="none"/>
        </w:rPr>
        <w:t>。</w:t>
      </w:r>
    </w:p>
    <w:p w14:paraId="34DE7202">
      <w:pPr>
        <w:spacing w:line="360" w:lineRule="auto"/>
        <w:ind w:firstLine="420" w:firstLineChars="200"/>
        <w:rPr>
          <w:rFonts w:ascii="宋体" w:hAnsi="宋体" w:cs="等线"/>
          <w:highlight w:val="none"/>
        </w:rPr>
      </w:pPr>
      <w:r>
        <w:rPr>
          <w:rFonts w:hint="eastAsia" w:ascii="宋体" w:hAnsi="宋体" w:cs="等线"/>
          <w:highlight w:val="none"/>
        </w:rPr>
        <w:t>（2）投保内容：</w:t>
      </w:r>
      <w:r>
        <w:rPr>
          <w:rFonts w:hint="eastAsia" w:ascii="宋体" w:hAnsi="宋体" w:cs="等线"/>
          <w:highlight w:val="none"/>
          <w:u w:val="single"/>
        </w:rPr>
        <w:t xml:space="preserve">                              </w:t>
      </w:r>
      <w:r>
        <w:rPr>
          <w:rFonts w:hint="eastAsia" w:ascii="宋体" w:hAnsi="宋体" w:cs="等线"/>
          <w:highlight w:val="none"/>
        </w:rPr>
        <w:t>。</w:t>
      </w:r>
    </w:p>
    <w:p w14:paraId="2C457024">
      <w:pPr>
        <w:spacing w:line="360" w:lineRule="auto"/>
        <w:ind w:firstLine="420" w:firstLineChars="200"/>
        <w:rPr>
          <w:rFonts w:ascii="宋体" w:hAnsi="宋体" w:cs="等线"/>
          <w:highlight w:val="none"/>
        </w:rPr>
      </w:pPr>
      <w:r>
        <w:rPr>
          <w:rFonts w:hint="eastAsia" w:ascii="宋体" w:hAnsi="宋体" w:cs="等线"/>
          <w:highlight w:val="none"/>
        </w:rPr>
        <w:t>（3）保险费率：由投保人与合同双方同意的保险人商定。</w:t>
      </w:r>
    </w:p>
    <w:p w14:paraId="312715B9">
      <w:pPr>
        <w:spacing w:line="360" w:lineRule="auto"/>
        <w:ind w:firstLine="420" w:firstLineChars="200"/>
        <w:rPr>
          <w:rFonts w:ascii="宋体" w:hAnsi="宋体" w:cs="等线"/>
          <w:highlight w:val="none"/>
        </w:rPr>
      </w:pPr>
      <w:r>
        <w:rPr>
          <w:rFonts w:hint="eastAsia" w:ascii="宋体" w:hAnsi="宋体" w:cs="等线"/>
          <w:highlight w:val="none"/>
        </w:rPr>
        <w:t>（4）保险金额：</w:t>
      </w:r>
      <w:r>
        <w:rPr>
          <w:rFonts w:hint="eastAsia" w:ascii="宋体" w:hAnsi="宋体" w:cs="等线"/>
          <w:highlight w:val="none"/>
          <w:u w:val="single"/>
        </w:rPr>
        <w:t xml:space="preserve">                              </w:t>
      </w:r>
      <w:r>
        <w:rPr>
          <w:rFonts w:hint="eastAsia" w:ascii="宋体" w:hAnsi="宋体" w:cs="等线"/>
          <w:highlight w:val="none"/>
        </w:rPr>
        <w:t>。</w:t>
      </w:r>
    </w:p>
    <w:p w14:paraId="70C80B41">
      <w:pPr>
        <w:spacing w:line="360" w:lineRule="auto"/>
        <w:ind w:firstLine="420" w:firstLineChars="200"/>
        <w:rPr>
          <w:rFonts w:ascii="宋体" w:hAnsi="宋体" w:cs="等线"/>
          <w:highlight w:val="none"/>
          <w:u w:val="single"/>
        </w:rPr>
      </w:pPr>
      <w:r>
        <w:rPr>
          <w:rFonts w:hint="eastAsia" w:ascii="宋体" w:hAnsi="宋体" w:cs="等线"/>
          <w:highlight w:val="none"/>
        </w:rPr>
        <w:t>（5）保险期限：</w:t>
      </w:r>
      <w:r>
        <w:rPr>
          <w:rFonts w:hint="eastAsia" w:ascii="宋体" w:hAnsi="宋体" w:cs="等线"/>
          <w:highlight w:val="none"/>
          <w:u w:val="single"/>
        </w:rPr>
        <w:t xml:space="preserve">                              </w:t>
      </w:r>
      <w:r>
        <w:rPr>
          <w:rFonts w:hint="eastAsia" w:ascii="宋体" w:hAnsi="宋体" w:cs="等线"/>
          <w:highlight w:val="none"/>
        </w:rPr>
        <w:t>。</w:t>
      </w:r>
    </w:p>
    <w:p w14:paraId="76B076D3">
      <w:pPr>
        <w:keepNext/>
        <w:keepLines/>
        <w:spacing w:line="360" w:lineRule="auto"/>
        <w:outlineLvl w:val="2"/>
        <w:rPr>
          <w:rFonts w:ascii="宋体" w:hAnsi="宋体" w:cs="等线"/>
          <w:sz w:val="24"/>
          <w:highlight w:val="none"/>
        </w:rPr>
      </w:pPr>
      <w:bookmarkStart w:id="1766" w:name="_Toc10961"/>
      <w:bookmarkStart w:id="1767" w:name="_Toc159950849"/>
      <w:bookmarkStart w:id="1768" w:name="_Toc38732230"/>
      <w:r>
        <w:rPr>
          <w:rFonts w:hint="eastAsia" w:ascii="宋体" w:hAnsi="宋体" w:cs="等线"/>
          <w:sz w:val="24"/>
          <w:highlight w:val="none"/>
        </w:rPr>
        <w:t>20.4 第三者责任险</w:t>
      </w:r>
      <w:bookmarkEnd w:id="1766"/>
      <w:bookmarkEnd w:id="1767"/>
      <w:bookmarkEnd w:id="1768"/>
    </w:p>
    <w:p w14:paraId="5B266CB6">
      <w:pPr>
        <w:spacing w:line="360" w:lineRule="auto"/>
        <w:ind w:firstLine="420" w:firstLineChars="200"/>
        <w:rPr>
          <w:rFonts w:ascii="宋体" w:hAnsi="宋体" w:cs="等线"/>
          <w:highlight w:val="none"/>
        </w:rPr>
      </w:pPr>
      <w:r>
        <w:rPr>
          <w:rFonts w:hint="eastAsia" w:ascii="宋体" w:hAnsi="宋体" w:cs="等线"/>
          <w:highlight w:val="none"/>
        </w:rPr>
        <w:t>20.4.2保险金额：</w:t>
      </w:r>
      <w:r>
        <w:rPr>
          <w:rFonts w:hint="eastAsia" w:ascii="宋体" w:hAnsi="宋体" w:cs="等线"/>
          <w:highlight w:val="none"/>
          <w:u w:val="single"/>
        </w:rPr>
        <w:t xml:space="preserve">                         </w:t>
      </w:r>
      <w:r>
        <w:rPr>
          <w:rFonts w:hint="eastAsia" w:ascii="宋体" w:hAnsi="宋体" w:cs="等线"/>
          <w:highlight w:val="none"/>
        </w:rPr>
        <w:t>，保险费率由承包人与发包人同意的保险人商定，相关保险费由</w:t>
      </w:r>
      <w:r>
        <w:rPr>
          <w:rFonts w:hint="eastAsia" w:ascii="宋体" w:hAnsi="宋体" w:cs="等线"/>
          <w:highlight w:val="none"/>
          <w:u w:val="single"/>
        </w:rPr>
        <w:t xml:space="preserve">             </w:t>
      </w:r>
      <w:r>
        <w:rPr>
          <w:rFonts w:hint="eastAsia" w:ascii="宋体" w:hAnsi="宋体" w:cs="等线"/>
          <w:highlight w:val="none"/>
        </w:rPr>
        <w:t>承担。</w:t>
      </w:r>
    </w:p>
    <w:p w14:paraId="247BEE8E">
      <w:pPr>
        <w:keepNext/>
        <w:keepLines/>
        <w:spacing w:line="360" w:lineRule="auto"/>
        <w:outlineLvl w:val="2"/>
        <w:rPr>
          <w:rFonts w:ascii="宋体" w:hAnsi="宋体" w:cs="等线"/>
          <w:sz w:val="24"/>
          <w:highlight w:val="none"/>
        </w:rPr>
      </w:pPr>
      <w:bookmarkStart w:id="1769" w:name="_Toc38732231"/>
      <w:bookmarkStart w:id="1770" w:name="_Toc9512"/>
      <w:bookmarkStart w:id="1771" w:name="_Toc159950850"/>
      <w:r>
        <w:rPr>
          <w:rFonts w:hint="eastAsia" w:ascii="宋体" w:hAnsi="宋体" w:cs="等线"/>
          <w:sz w:val="24"/>
          <w:highlight w:val="none"/>
        </w:rPr>
        <w:t>20.5 其他保险</w:t>
      </w:r>
      <w:bookmarkEnd w:id="1769"/>
      <w:bookmarkEnd w:id="1770"/>
      <w:bookmarkEnd w:id="1771"/>
    </w:p>
    <w:p w14:paraId="6242ECBC">
      <w:pPr>
        <w:spacing w:line="360" w:lineRule="auto"/>
        <w:ind w:firstLine="420" w:firstLineChars="200"/>
        <w:rPr>
          <w:rFonts w:ascii="宋体" w:hAnsi="宋体" w:cs="等线"/>
          <w:highlight w:val="none"/>
          <w:u w:val="single"/>
        </w:rPr>
      </w:pPr>
      <w:r>
        <w:rPr>
          <w:rFonts w:hint="eastAsia" w:ascii="宋体" w:hAnsi="宋体" w:cs="等线"/>
          <w:highlight w:val="none"/>
        </w:rPr>
        <w:t>承包人应为其施工设备、进场材料和工程设备等办理的保险：</w:t>
      </w:r>
      <w:r>
        <w:rPr>
          <w:rFonts w:hint="eastAsia" w:ascii="宋体" w:hAnsi="宋体" w:cs="等线"/>
          <w:highlight w:val="none"/>
          <w:u w:val="single"/>
        </w:rPr>
        <w:t xml:space="preserve">                                                 </w:t>
      </w:r>
      <w:r>
        <w:rPr>
          <w:rFonts w:hint="eastAsia" w:ascii="宋体" w:hAnsi="宋体" w:cs="等线"/>
          <w:highlight w:val="none"/>
        </w:rPr>
        <w:t>。</w:t>
      </w:r>
    </w:p>
    <w:p w14:paraId="06145464">
      <w:pPr>
        <w:keepNext/>
        <w:keepLines/>
        <w:spacing w:line="360" w:lineRule="auto"/>
        <w:outlineLvl w:val="2"/>
        <w:rPr>
          <w:rFonts w:ascii="宋体" w:hAnsi="宋体" w:cs="等线"/>
          <w:sz w:val="24"/>
          <w:highlight w:val="none"/>
        </w:rPr>
      </w:pPr>
      <w:bookmarkStart w:id="1772" w:name="_Toc159950851"/>
      <w:bookmarkStart w:id="1773" w:name="_Toc30601"/>
      <w:bookmarkStart w:id="1774" w:name="_Toc38732232"/>
      <w:r>
        <w:rPr>
          <w:rFonts w:hint="eastAsia" w:ascii="宋体" w:hAnsi="宋体" w:cs="等线"/>
          <w:sz w:val="24"/>
          <w:highlight w:val="none"/>
        </w:rPr>
        <w:t>20.6 对各项保险的一般要求</w:t>
      </w:r>
      <w:bookmarkEnd w:id="1772"/>
      <w:bookmarkEnd w:id="1773"/>
      <w:bookmarkEnd w:id="1774"/>
    </w:p>
    <w:p w14:paraId="68BE856C">
      <w:pPr>
        <w:spacing w:line="360" w:lineRule="auto"/>
        <w:rPr>
          <w:rFonts w:ascii="宋体" w:hAnsi="宋体" w:cs="等线"/>
          <w:highlight w:val="none"/>
        </w:rPr>
      </w:pPr>
      <w:r>
        <w:rPr>
          <w:rFonts w:hint="eastAsia" w:ascii="宋体" w:hAnsi="宋体" w:cs="等线"/>
          <w:highlight w:val="none"/>
        </w:rPr>
        <w:t>20.6.1保险凭证</w:t>
      </w:r>
    </w:p>
    <w:p w14:paraId="57124A23">
      <w:pPr>
        <w:spacing w:line="360" w:lineRule="auto"/>
        <w:ind w:firstLine="525"/>
        <w:rPr>
          <w:rFonts w:ascii="宋体" w:hAnsi="宋体" w:cs="等线"/>
          <w:highlight w:val="none"/>
          <w:u w:val="single"/>
        </w:rPr>
      </w:pPr>
      <w:r>
        <w:rPr>
          <w:rFonts w:hint="eastAsia" w:ascii="宋体" w:hAnsi="宋体" w:cs="等线"/>
          <w:highlight w:val="none"/>
        </w:rPr>
        <w:t>承包人向发包人提交各项保险生效的证据和保险单副本的期限：</w:t>
      </w:r>
      <w:r>
        <w:rPr>
          <w:rFonts w:hint="eastAsia" w:ascii="宋体" w:hAnsi="宋体" w:cs="等线"/>
          <w:highlight w:val="none"/>
          <w:u w:val="single"/>
        </w:rPr>
        <w:t xml:space="preserve">                 </w:t>
      </w:r>
      <w:r>
        <w:rPr>
          <w:rFonts w:ascii="宋体" w:hAnsi="宋体" w:cs="等线"/>
          <w:highlight w:val="none"/>
          <w:u w:val="single"/>
        </w:rPr>
        <w:t xml:space="preserve">          </w:t>
      </w:r>
      <w:r>
        <w:rPr>
          <w:rFonts w:hint="eastAsia" w:ascii="宋体" w:hAnsi="宋体" w:cs="等线"/>
          <w:highlight w:val="none"/>
          <w:u w:val="single"/>
        </w:rPr>
        <w:t xml:space="preserve"> </w:t>
      </w:r>
      <w:r>
        <w:rPr>
          <w:rFonts w:hint="eastAsia" w:ascii="宋体" w:hAnsi="宋体" w:cs="等线"/>
          <w:highlight w:val="none"/>
        </w:rPr>
        <w:t>。</w:t>
      </w:r>
    </w:p>
    <w:p w14:paraId="079BC16C">
      <w:pPr>
        <w:spacing w:line="360" w:lineRule="auto"/>
        <w:rPr>
          <w:rFonts w:ascii="宋体" w:hAnsi="宋体" w:cs="等线"/>
          <w:highlight w:val="none"/>
        </w:rPr>
      </w:pPr>
      <w:r>
        <w:rPr>
          <w:rFonts w:hint="eastAsia" w:ascii="宋体" w:hAnsi="宋体" w:cs="等线"/>
          <w:highlight w:val="none"/>
        </w:rPr>
        <w:t>20.6.4保险金不足的补偿</w:t>
      </w:r>
    </w:p>
    <w:p w14:paraId="7D8355E8">
      <w:pPr>
        <w:spacing w:line="360" w:lineRule="auto"/>
        <w:ind w:firstLine="525"/>
        <w:rPr>
          <w:rFonts w:ascii="宋体" w:hAnsi="宋体" w:cs="等线"/>
          <w:highlight w:val="none"/>
          <w:u w:val="single"/>
        </w:rPr>
      </w:pPr>
      <w:r>
        <w:rPr>
          <w:rFonts w:hint="eastAsia" w:ascii="宋体" w:hAnsi="宋体" w:cs="等线"/>
          <w:highlight w:val="none"/>
        </w:rPr>
        <w:t>保险金不足以补偿损失时，承包人和发包人负责补偿的责任分摊：</w:t>
      </w:r>
      <w:r>
        <w:rPr>
          <w:rFonts w:hint="eastAsia" w:ascii="宋体" w:hAnsi="宋体" w:cs="等线"/>
          <w:highlight w:val="none"/>
          <w:u w:val="single"/>
        </w:rPr>
        <w:t xml:space="preserve">                   </w:t>
      </w:r>
      <w:r>
        <w:rPr>
          <w:rFonts w:ascii="宋体" w:hAnsi="宋体" w:cs="等线"/>
          <w:highlight w:val="none"/>
          <w:u w:val="single"/>
        </w:rPr>
        <w:t xml:space="preserve">         </w:t>
      </w:r>
      <w:r>
        <w:rPr>
          <w:rFonts w:hint="eastAsia" w:ascii="宋体" w:hAnsi="宋体" w:cs="等线"/>
          <w:highlight w:val="none"/>
        </w:rPr>
        <w:t>。</w:t>
      </w:r>
    </w:p>
    <w:p w14:paraId="196E0527">
      <w:pPr>
        <w:keepNext/>
        <w:keepLines/>
        <w:spacing w:line="400" w:lineRule="exact"/>
        <w:outlineLvl w:val="1"/>
        <w:rPr>
          <w:rFonts w:ascii="宋体" w:hAnsi="宋体" w:cs="等线"/>
          <w:sz w:val="24"/>
          <w:highlight w:val="none"/>
        </w:rPr>
      </w:pPr>
      <w:bookmarkStart w:id="1775" w:name="_Toc159950852"/>
      <w:bookmarkStart w:id="1776" w:name="_Toc38732233"/>
      <w:bookmarkStart w:id="1777" w:name="_Toc808"/>
      <w:bookmarkStart w:id="1778" w:name="_Toc9795"/>
      <w:r>
        <w:rPr>
          <w:rFonts w:hint="eastAsia" w:ascii="宋体" w:hAnsi="宋体" w:cs="等线"/>
          <w:sz w:val="24"/>
          <w:highlight w:val="none"/>
        </w:rPr>
        <w:t>21. 不可抗力</w:t>
      </w:r>
      <w:bookmarkEnd w:id="1775"/>
      <w:bookmarkEnd w:id="1776"/>
      <w:bookmarkEnd w:id="1777"/>
      <w:bookmarkEnd w:id="1778"/>
    </w:p>
    <w:p w14:paraId="552BFC4A">
      <w:pPr>
        <w:keepNext/>
        <w:keepLines/>
        <w:spacing w:line="360" w:lineRule="auto"/>
        <w:outlineLvl w:val="2"/>
        <w:rPr>
          <w:rFonts w:ascii="宋体" w:hAnsi="宋体" w:cs="等线"/>
          <w:sz w:val="24"/>
          <w:highlight w:val="none"/>
        </w:rPr>
      </w:pPr>
      <w:bookmarkStart w:id="1779" w:name="_Toc159950853"/>
      <w:bookmarkStart w:id="1780" w:name="_Toc17208"/>
      <w:bookmarkStart w:id="1781" w:name="_Toc38732234"/>
      <w:r>
        <w:rPr>
          <w:rFonts w:hint="eastAsia" w:ascii="宋体" w:hAnsi="宋体" w:cs="等线"/>
          <w:sz w:val="24"/>
          <w:highlight w:val="none"/>
        </w:rPr>
        <w:t>21.1 不可抗力的确认</w:t>
      </w:r>
      <w:bookmarkEnd w:id="1779"/>
      <w:bookmarkEnd w:id="1780"/>
      <w:bookmarkEnd w:id="1781"/>
    </w:p>
    <w:p w14:paraId="56E748D9">
      <w:pPr>
        <w:spacing w:line="360" w:lineRule="auto"/>
        <w:ind w:firstLine="525"/>
        <w:rPr>
          <w:rFonts w:ascii="宋体" w:hAnsi="宋体" w:cs="等线"/>
          <w:highlight w:val="none"/>
        </w:rPr>
      </w:pPr>
      <w:r>
        <w:rPr>
          <w:rFonts w:hint="eastAsia" w:ascii="宋体" w:hAnsi="宋体" w:cs="等线"/>
          <w:highlight w:val="none"/>
        </w:rPr>
        <w:t>21.1.1通用合同条款第21.1.1项约定的不可抗力以外的其他情形：</w:t>
      </w:r>
      <w:r>
        <w:rPr>
          <w:rFonts w:hint="eastAsia" w:ascii="宋体" w:hAnsi="宋体" w:cs="等线"/>
          <w:highlight w:val="none"/>
          <w:u w:val="single"/>
        </w:rPr>
        <w:t xml:space="preserve">        /   </w:t>
      </w:r>
      <w:r>
        <w:rPr>
          <w:rFonts w:hint="eastAsia" w:ascii="宋体" w:hAnsi="宋体" w:cs="等线"/>
          <w:highlight w:val="none"/>
        </w:rPr>
        <w:t>。</w:t>
      </w:r>
    </w:p>
    <w:p w14:paraId="2E87003E">
      <w:pPr>
        <w:spacing w:line="360" w:lineRule="auto"/>
        <w:ind w:firstLine="420" w:firstLineChars="200"/>
        <w:rPr>
          <w:rFonts w:ascii="宋体" w:hAnsi="宋体" w:cs="等线"/>
          <w:highlight w:val="none"/>
        </w:rPr>
      </w:pPr>
      <w:r>
        <w:rPr>
          <w:rFonts w:hint="eastAsia" w:ascii="宋体" w:hAnsi="宋体" w:cs="等线"/>
          <w:highlight w:val="none"/>
        </w:rPr>
        <w:t>不可抗力的等级范围约定：</w:t>
      </w:r>
      <w:r>
        <w:rPr>
          <w:rFonts w:hint="eastAsia" w:ascii="宋体" w:hAnsi="宋体" w:cs="等线"/>
          <w:highlight w:val="none"/>
          <w:u w:val="single"/>
        </w:rPr>
        <w:t>烈度7度（不含7度）以上地震，10级以上（不含10级）台风，日雨量60mm以上暴雨（以国家县（市）级以上气象局（台）、地震局（台）等专门机构公布为准），以及县市级以上政府公告不允许在本场地施工的时段</w:t>
      </w:r>
      <w:r>
        <w:rPr>
          <w:rFonts w:hint="eastAsia" w:ascii="宋体" w:hAnsi="宋体" w:cs="等线"/>
          <w:highlight w:val="none"/>
        </w:rPr>
        <w:t>。</w:t>
      </w:r>
    </w:p>
    <w:p w14:paraId="1B9B45F3">
      <w:pPr>
        <w:keepNext/>
        <w:keepLines/>
        <w:spacing w:line="360" w:lineRule="auto"/>
        <w:outlineLvl w:val="2"/>
        <w:rPr>
          <w:rFonts w:ascii="宋体" w:hAnsi="宋体" w:cs="等线"/>
          <w:sz w:val="24"/>
          <w:highlight w:val="none"/>
        </w:rPr>
      </w:pPr>
      <w:bookmarkStart w:id="1782" w:name="_Toc159950854"/>
      <w:bookmarkStart w:id="1783" w:name="_Toc38732235"/>
      <w:bookmarkStart w:id="1784" w:name="_Toc22704"/>
      <w:r>
        <w:rPr>
          <w:rFonts w:hint="eastAsia" w:ascii="宋体" w:hAnsi="宋体" w:cs="等线"/>
          <w:sz w:val="24"/>
          <w:highlight w:val="none"/>
        </w:rPr>
        <w:t>21.3 不可抗力后果及其处理</w:t>
      </w:r>
      <w:bookmarkEnd w:id="1782"/>
      <w:bookmarkEnd w:id="1783"/>
      <w:bookmarkEnd w:id="1784"/>
    </w:p>
    <w:p w14:paraId="746F7F64">
      <w:pPr>
        <w:spacing w:line="360" w:lineRule="auto"/>
        <w:ind w:firstLine="420" w:firstLineChars="200"/>
        <w:rPr>
          <w:rFonts w:ascii="宋体" w:hAnsi="宋体" w:cs="等线"/>
          <w:highlight w:val="none"/>
        </w:rPr>
      </w:pPr>
      <w:r>
        <w:rPr>
          <w:rFonts w:hint="eastAsia" w:ascii="宋体" w:hAnsi="宋体" w:cs="等线"/>
          <w:highlight w:val="none"/>
        </w:rPr>
        <w:t>21.3.1不可抗力造成损害的责任</w:t>
      </w:r>
    </w:p>
    <w:p w14:paraId="17AF2E11">
      <w:pPr>
        <w:spacing w:line="360" w:lineRule="auto"/>
        <w:ind w:firstLine="420" w:firstLineChars="200"/>
        <w:rPr>
          <w:rFonts w:ascii="宋体" w:hAnsi="宋体" w:cs="等线"/>
          <w:highlight w:val="none"/>
        </w:rPr>
      </w:pPr>
      <w:r>
        <w:rPr>
          <w:rFonts w:hint="eastAsia" w:ascii="宋体" w:hAnsi="宋体" w:cs="等线"/>
          <w:highlight w:val="none"/>
        </w:rPr>
        <w:t xml:space="preserve">不可抗力导致的人员伤亡、财产损失、费用增加和（或）工期延误等后果，由合同双方按通用合同条款第21.3.1项约定的原则承担。                                                                      </w:t>
      </w:r>
    </w:p>
    <w:p w14:paraId="30852636">
      <w:pPr>
        <w:keepNext/>
        <w:keepLines/>
        <w:spacing w:line="400" w:lineRule="exact"/>
        <w:outlineLvl w:val="1"/>
        <w:rPr>
          <w:rFonts w:ascii="宋体" w:hAnsi="宋体" w:cs="等线"/>
          <w:sz w:val="24"/>
          <w:highlight w:val="none"/>
        </w:rPr>
      </w:pPr>
      <w:bookmarkStart w:id="1785" w:name="_Toc23549"/>
      <w:bookmarkStart w:id="1786" w:name="_Toc32180"/>
      <w:bookmarkStart w:id="1787" w:name="_Toc159950855"/>
      <w:bookmarkStart w:id="1788" w:name="_Toc38732236"/>
      <w:r>
        <w:rPr>
          <w:rFonts w:hint="eastAsia" w:ascii="宋体" w:hAnsi="宋体" w:cs="等线"/>
          <w:sz w:val="24"/>
          <w:highlight w:val="none"/>
        </w:rPr>
        <w:t>24. 争议的解决</w:t>
      </w:r>
      <w:bookmarkEnd w:id="1785"/>
      <w:bookmarkEnd w:id="1786"/>
      <w:bookmarkEnd w:id="1787"/>
      <w:bookmarkEnd w:id="1788"/>
    </w:p>
    <w:p w14:paraId="16787385">
      <w:pPr>
        <w:keepNext/>
        <w:keepLines/>
        <w:spacing w:line="360" w:lineRule="auto"/>
        <w:outlineLvl w:val="2"/>
        <w:rPr>
          <w:rFonts w:ascii="宋体" w:hAnsi="宋体" w:cs="等线"/>
          <w:sz w:val="24"/>
          <w:highlight w:val="none"/>
        </w:rPr>
      </w:pPr>
      <w:bookmarkStart w:id="1789" w:name="_Toc38732237"/>
      <w:bookmarkStart w:id="1790" w:name="_Toc159950856"/>
      <w:bookmarkStart w:id="1791" w:name="_Toc30954"/>
      <w:r>
        <w:rPr>
          <w:rFonts w:hint="eastAsia" w:ascii="宋体" w:hAnsi="宋体" w:cs="等线"/>
          <w:sz w:val="24"/>
          <w:highlight w:val="none"/>
        </w:rPr>
        <w:t>24.1 争议的解决方式</w:t>
      </w:r>
      <w:bookmarkEnd w:id="1789"/>
      <w:bookmarkEnd w:id="1790"/>
      <w:bookmarkEnd w:id="1791"/>
    </w:p>
    <w:p w14:paraId="7A119D8E">
      <w:pPr>
        <w:spacing w:line="360" w:lineRule="auto"/>
        <w:ind w:firstLine="525"/>
        <w:rPr>
          <w:rFonts w:ascii="宋体" w:hAnsi="宋体" w:cs="等线"/>
          <w:highlight w:val="none"/>
        </w:rPr>
      </w:pPr>
      <w:r>
        <w:rPr>
          <w:rFonts w:hint="eastAsia" w:ascii="宋体" w:hAnsi="宋体" w:cs="等线"/>
          <w:highlight w:val="none"/>
        </w:rPr>
        <w:t>因本合同引起的或与本合同有关的任何争议，合同双方友好协商不成、不愿提请争议组评审或者不愿接受争议评审组意见的，选择下列第</w:t>
      </w:r>
      <w:r>
        <w:rPr>
          <w:rFonts w:hint="eastAsia" w:ascii="宋体" w:hAnsi="宋体" w:cs="等线"/>
          <w:highlight w:val="none"/>
          <w:u w:val="single"/>
        </w:rPr>
        <w:t xml:space="preserve"> 贰 </w:t>
      </w:r>
      <w:r>
        <w:rPr>
          <w:rFonts w:hint="eastAsia" w:ascii="宋体" w:hAnsi="宋体" w:cs="等线"/>
          <w:highlight w:val="none"/>
        </w:rPr>
        <w:t>种方式解决：</w:t>
      </w:r>
    </w:p>
    <w:p w14:paraId="798BF63A">
      <w:pPr>
        <w:spacing w:line="360" w:lineRule="auto"/>
        <w:ind w:firstLine="525"/>
        <w:rPr>
          <w:rFonts w:ascii="宋体" w:hAnsi="宋体" w:cs="等线"/>
          <w:highlight w:val="none"/>
        </w:rPr>
      </w:pPr>
      <w:r>
        <w:rPr>
          <w:rFonts w:hint="eastAsia" w:ascii="宋体" w:hAnsi="宋体" w:cs="等线"/>
          <w:highlight w:val="none"/>
          <w:u w:val="single"/>
        </w:rPr>
        <w:t>（壹）</w:t>
      </w:r>
      <w:r>
        <w:rPr>
          <w:rFonts w:hint="eastAsia" w:ascii="宋体" w:hAnsi="宋体" w:cs="等线"/>
          <w:highlight w:val="none"/>
        </w:rPr>
        <w:t>提请</w:t>
      </w:r>
      <w:r>
        <w:rPr>
          <w:rFonts w:hint="eastAsia" w:ascii="宋体" w:hAnsi="宋体" w:cs="等线"/>
          <w:highlight w:val="none"/>
          <w:u w:val="single"/>
        </w:rPr>
        <w:t xml:space="preserve"> 北京</w:t>
      </w:r>
      <w:r>
        <w:rPr>
          <w:rFonts w:hint="eastAsia" w:ascii="宋体" w:hAnsi="宋体" w:cs="等线"/>
          <w:highlight w:val="none"/>
        </w:rPr>
        <w:t>仲裁委员会按照该会仲裁规则进行仲裁，仲裁裁决是终局的，对合同双方均有约束力。</w:t>
      </w:r>
    </w:p>
    <w:p w14:paraId="4F7D236D">
      <w:pPr>
        <w:spacing w:line="360" w:lineRule="auto"/>
        <w:ind w:firstLine="525"/>
        <w:rPr>
          <w:rFonts w:ascii="宋体" w:hAnsi="宋体" w:cs="等线"/>
          <w:highlight w:val="none"/>
        </w:rPr>
      </w:pPr>
      <w:r>
        <w:rPr>
          <w:rFonts w:hint="eastAsia" w:ascii="宋体" w:hAnsi="宋体" w:cs="等线"/>
          <w:highlight w:val="none"/>
          <w:u w:val="single"/>
        </w:rPr>
        <w:t>（贰）</w:t>
      </w:r>
      <w:r>
        <w:rPr>
          <w:rFonts w:hint="eastAsia" w:ascii="宋体" w:hAnsi="宋体" w:cs="等线"/>
          <w:highlight w:val="none"/>
        </w:rPr>
        <w:t>向通州区人民法院提起诉讼。</w:t>
      </w:r>
    </w:p>
    <w:p w14:paraId="6DBF25EB">
      <w:pPr>
        <w:keepNext/>
        <w:keepLines/>
        <w:spacing w:line="360" w:lineRule="auto"/>
        <w:outlineLvl w:val="2"/>
        <w:rPr>
          <w:rFonts w:ascii="宋体" w:hAnsi="宋体" w:cs="等线"/>
          <w:sz w:val="24"/>
          <w:highlight w:val="none"/>
        </w:rPr>
      </w:pPr>
      <w:bookmarkStart w:id="1792" w:name="_Toc38732238"/>
      <w:bookmarkStart w:id="1793" w:name="_Toc159950857"/>
      <w:bookmarkStart w:id="1794" w:name="_Toc6100"/>
      <w:r>
        <w:rPr>
          <w:rFonts w:hint="eastAsia" w:ascii="宋体" w:hAnsi="宋体" w:cs="等线"/>
          <w:sz w:val="24"/>
          <w:highlight w:val="none"/>
        </w:rPr>
        <w:t>24.3 争议评审</w:t>
      </w:r>
      <w:bookmarkEnd w:id="1792"/>
      <w:bookmarkEnd w:id="1793"/>
      <w:bookmarkEnd w:id="1794"/>
    </w:p>
    <w:p w14:paraId="0D038000">
      <w:pPr>
        <w:spacing w:line="360" w:lineRule="auto"/>
        <w:ind w:firstLine="525"/>
        <w:rPr>
          <w:rFonts w:ascii="宋体" w:hAnsi="宋体" w:cs="等线"/>
          <w:highlight w:val="none"/>
        </w:rPr>
      </w:pPr>
      <w:r>
        <w:rPr>
          <w:rFonts w:hint="eastAsia" w:ascii="宋体" w:hAnsi="宋体" w:cs="等线"/>
          <w:highlight w:val="none"/>
        </w:rPr>
        <w:t>24.3.4争议评审组邀请合同双方代表人和有关人员举行调查会的期限：</w:t>
      </w:r>
      <w:r>
        <w:rPr>
          <w:rFonts w:hint="eastAsia" w:ascii="宋体" w:hAnsi="宋体" w:cs="等线"/>
          <w:highlight w:val="none"/>
          <w:u w:val="single"/>
        </w:rPr>
        <w:t>14日内</w:t>
      </w:r>
      <w:r>
        <w:rPr>
          <w:rFonts w:hint="eastAsia" w:ascii="宋体" w:hAnsi="宋体" w:cs="等线"/>
          <w:highlight w:val="none"/>
        </w:rPr>
        <w:t>。</w:t>
      </w:r>
    </w:p>
    <w:p w14:paraId="30E43E92">
      <w:pPr>
        <w:spacing w:line="360" w:lineRule="auto"/>
        <w:ind w:firstLine="525"/>
        <w:rPr>
          <w:rFonts w:ascii="宋体" w:hAnsi="宋体" w:cs="等线"/>
          <w:highlight w:val="none"/>
        </w:rPr>
      </w:pPr>
      <w:r>
        <w:rPr>
          <w:rFonts w:hint="eastAsia" w:ascii="宋体" w:hAnsi="宋体" w:cs="等线"/>
          <w:highlight w:val="none"/>
        </w:rPr>
        <w:t>24.3.5争议评审组在调查会后作出争议评审意见的期限：</w:t>
      </w:r>
      <w:r>
        <w:rPr>
          <w:rFonts w:hint="eastAsia" w:ascii="宋体" w:hAnsi="宋体" w:cs="等线"/>
          <w:highlight w:val="none"/>
          <w:u w:val="single"/>
        </w:rPr>
        <w:t>14日内</w:t>
      </w:r>
      <w:r>
        <w:rPr>
          <w:rFonts w:hint="eastAsia" w:ascii="宋体" w:hAnsi="宋体" w:cs="等线"/>
          <w:highlight w:val="none"/>
        </w:rPr>
        <w:t>。</w:t>
      </w:r>
    </w:p>
    <w:p w14:paraId="08169241">
      <w:pPr>
        <w:rPr>
          <w:rFonts w:ascii="宋体" w:hAnsi="宋体" w:cs="等线"/>
          <w:highlight w:val="none"/>
        </w:rPr>
      </w:pPr>
    </w:p>
    <w:p w14:paraId="69FBCBE0">
      <w:pPr>
        <w:keepNext/>
        <w:keepLines/>
        <w:spacing w:line="400" w:lineRule="exact"/>
        <w:jc w:val="left"/>
        <w:outlineLvl w:val="1"/>
        <w:rPr>
          <w:rFonts w:ascii="宋体" w:hAnsi="宋体" w:cs="等线"/>
          <w:highlight w:val="none"/>
        </w:rPr>
      </w:pPr>
      <w:bookmarkStart w:id="1795" w:name="_Toc38732239"/>
      <w:bookmarkStart w:id="1796" w:name="_Toc12127"/>
      <w:bookmarkStart w:id="1797" w:name="_Toc23409"/>
      <w:bookmarkStart w:id="1798" w:name="_Toc159950858"/>
      <w:r>
        <w:rPr>
          <w:rFonts w:hint="eastAsia" w:ascii="宋体" w:hAnsi="宋体" w:cs="等线"/>
          <w:highlight w:val="none"/>
        </w:rPr>
        <w:t>25．其他</w:t>
      </w:r>
      <w:bookmarkEnd w:id="1795"/>
      <w:bookmarkEnd w:id="1796"/>
      <w:bookmarkEnd w:id="1797"/>
      <w:bookmarkEnd w:id="1798"/>
    </w:p>
    <w:p w14:paraId="0CEFBDBB">
      <w:pPr>
        <w:keepNext/>
        <w:keepLines/>
        <w:numPr>
          <w:ilvl w:val="1"/>
          <w:numId w:val="25"/>
        </w:numPr>
        <w:spacing w:line="360" w:lineRule="auto"/>
        <w:outlineLvl w:val="2"/>
        <w:rPr>
          <w:rFonts w:ascii="宋体" w:hAnsi="宋体" w:cs="等线"/>
          <w:highlight w:val="none"/>
        </w:rPr>
      </w:pPr>
      <w:bookmarkStart w:id="1799" w:name="_Toc159950859"/>
      <w:bookmarkStart w:id="1800" w:name="_Toc27449"/>
      <w:bookmarkStart w:id="1801" w:name="_Toc38732240"/>
      <w:r>
        <w:rPr>
          <w:rFonts w:hint="eastAsia" w:ascii="宋体" w:hAnsi="宋体" w:cs="等线"/>
          <w:highlight w:val="none"/>
        </w:rPr>
        <w:t>施工单位应注意事项</w:t>
      </w:r>
      <w:bookmarkEnd w:id="1799"/>
      <w:bookmarkEnd w:id="1800"/>
      <w:bookmarkEnd w:id="1801"/>
      <w:r>
        <w:rPr>
          <w:rFonts w:hint="eastAsia" w:ascii="宋体" w:hAnsi="宋体" w:cs="等线"/>
          <w:highlight w:val="none"/>
        </w:rPr>
        <w:t xml:space="preserve">   </w:t>
      </w:r>
    </w:p>
    <w:p w14:paraId="0B4B636F">
      <w:pPr>
        <w:spacing w:line="360" w:lineRule="auto"/>
        <w:ind w:firstLine="525"/>
        <w:rPr>
          <w:rFonts w:ascii="宋体" w:hAnsi="宋体" w:cs="等线"/>
          <w:highlight w:val="none"/>
        </w:rPr>
      </w:pPr>
      <w:r>
        <w:rPr>
          <w:rFonts w:hint="eastAsia" w:ascii="宋体" w:hAnsi="宋体" w:cs="等线"/>
          <w:highlight w:val="none"/>
        </w:rPr>
        <w:t>施工过程中可能会对周边设备及器具进行移位，以现场踏勘为准，此项内容已投标报价中综合考虑，不再单独计取。</w:t>
      </w:r>
    </w:p>
    <w:p w14:paraId="7E9D1296">
      <w:pPr>
        <w:spacing w:line="360" w:lineRule="auto"/>
        <w:ind w:firstLine="525"/>
        <w:rPr>
          <w:rFonts w:ascii="宋体" w:hAnsi="宋体" w:cs="等线"/>
          <w:highlight w:val="none"/>
        </w:rPr>
      </w:pPr>
      <w:r>
        <w:rPr>
          <w:rFonts w:hint="eastAsia" w:ascii="宋体" w:hAnsi="宋体" w:cs="等线"/>
          <w:highlight w:val="none"/>
        </w:rPr>
        <w:t xml:space="preserve"> </w:t>
      </w:r>
    </w:p>
    <w:p w14:paraId="628E7331">
      <w:pPr>
        <w:rPr>
          <w:highlight w:val="none"/>
        </w:rPr>
      </w:pPr>
    </w:p>
    <w:p w14:paraId="0DFD9B86">
      <w:pPr>
        <w:rPr>
          <w:rFonts w:ascii="宋体" w:hAnsi="宋体" w:cs="等线"/>
          <w:highlight w:val="none"/>
        </w:rPr>
      </w:pPr>
      <w:r>
        <w:rPr>
          <w:rFonts w:hint="eastAsia" w:ascii="宋体" w:hAnsi="宋体" w:cs="等线"/>
          <w:highlight w:val="none"/>
        </w:rPr>
        <w:t xml:space="preserve"> </w:t>
      </w:r>
    </w:p>
    <w:p w14:paraId="6403480D">
      <w:pPr>
        <w:rPr>
          <w:highlight w:val="none"/>
        </w:rPr>
      </w:pPr>
    </w:p>
    <w:p w14:paraId="350A8F76">
      <w:pPr>
        <w:spacing w:line="400" w:lineRule="exact"/>
        <w:ind w:firstLine="525"/>
        <w:rPr>
          <w:rFonts w:ascii="宋体" w:hAnsi="宋体"/>
          <w:szCs w:val="21"/>
          <w:highlight w:val="none"/>
        </w:rPr>
      </w:pPr>
      <w:bookmarkStart w:id="1802" w:name="OLE_LINK31"/>
      <w:bookmarkStart w:id="1803" w:name="OLE_LINK32"/>
      <w:bookmarkStart w:id="1804" w:name="_Toc144974826"/>
      <w:bookmarkStart w:id="1805" w:name="_Toc152042546"/>
      <w:bookmarkStart w:id="1806" w:name="_Toc152045767"/>
      <w:bookmarkStart w:id="1807" w:name="_Toc179632785"/>
      <w:r>
        <w:rPr>
          <w:rFonts w:hint="eastAsia" w:ascii="Cambria" w:hAnsi="Cambria"/>
          <w:szCs w:val="21"/>
          <w:highlight w:val="none"/>
        </w:rPr>
        <w:t xml:space="preserve">  </w:t>
      </w:r>
    </w:p>
    <w:bookmarkEnd w:id="1802"/>
    <w:bookmarkEnd w:id="1803"/>
    <w:p w14:paraId="21DD3141">
      <w:pPr>
        <w:spacing w:line="400" w:lineRule="exact"/>
        <w:ind w:firstLine="525"/>
        <w:rPr>
          <w:rFonts w:ascii="宋体" w:hAnsi="宋体"/>
          <w:szCs w:val="21"/>
          <w:highlight w:val="none"/>
        </w:rPr>
      </w:pPr>
    </w:p>
    <w:p w14:paraId="0EF9D817">
      <w:pPr>
        <w:spacing w:line="400" w:lineRule="exact"/>
        <w:ind w:firstLine="525"/>
        <w:rPr>
          <w:highlight w:val="none"/>
        </w:rPr>
        <w:sectPr>
          <w:headerReference r:id="rId15" w:type="default"/>
          <w:footerReference r:id="rId17" w:type="default"/>
          <w:headerReference r:id="rId16" w:type="even"/>
          <w:footerReference r:id="rId18" w:type="even"/>
          <w:pgSz w:w="11906" w:h="16838"/>
          <w:pgMar w:top="1440" w:right="1797" w:bottom="1440" w:left="1797" w:header="851" w:footer="992" w:gutter="0"/>
          <w:cols w:space="720" w:num="1"/>
          <w:docGrid w:linePitch="312" w:charSpace="0"/>
        </w:sectPr>
      </w:pPr>
    </w:p>
    <w:p w14:paraId="6E1CA697">
      <w:pPr>
        <w:jc w:val="center"/>
        <w:rPr>
          <w:b/>
          <w:sz w:val="44"/>
          <w:szCs w:val="44"/>
          <w:highlight w:val="none"/>
        </w:rPr>
      </w:pPr>
    </w:p>
    <w:p w14:paraId="44ABA80C">
      <w:pPr>
        <w:jc w:val="center"/>
        <w:rPr>
          <w:b/>
          <w:sz w:val="44"/>
          <w:szCs w:val="44"/>
          <w:highlight w:val="none"/>
        </w:rPr>
      </w:pPr>
    </w:p>
    <w:p w14:paraId="71181247">
      <w:pPr>
        <w:jc w:val="center"/>
        <w:rPr>
          <w:b/>
          <w:sz w:val="44"/>
          <w:szCs w:val="44"/>
          <w:highlight w:val="none"/>
        </w:rPr>
      </w:pPr>
    </w:p>
    <w:p w14:paraId="73805A01">
      <w:pPr>
        <w:jc w:val="center"/>
        <w:rPr>
          <w:b/>
          <w:sz w:val="44"/>
          <w:szCs w:val="44"/>
          <w:highlight w:val="none"/>
        </w:rPr>
      </w:pPr>
    </w:p>
    <w:p w14:paraId="22319487">
      <w:pPr>
        <w:jc w:val="center"/>
        <w:rPr>
          <w:b/>
          <w:sz w:val="44"/>
          <w:szCs w:val="44"/>
          <w:highlight w:val="none"/>
        </w:rPr>
      </w:pPr>
    </w:p>
    <w:p w14:paraId="1785B614">
      <w:pPr>
        <w:jc w:val="center"/>
        <w:rPr>
          <w:b/>
          <w:sz w:val="44"/>
          <w:szCs w:val="44"/>
          <w:highlight w:val="none"/>
        </w:rPr>
      </w:pPr>
    </w:p>
    <w:p w14:paraId="615C0D98">
      <w:pPr>
        <w:jc w:val="center"/>
        <w:rPr>
          <w:b/>
          <w:sz w:val="44"/>
          <w:szCs w:val="44"/>
          <w:highlight w:val="none"/>
        </w:rPr>
      </w:pPr>
    </w:p>
    <w:p w14:paraId="015169BB">
      <w:pPr>
        <w:jc w:val="center"/>
        <w:rPr>
          <w:highlight w:val="none"/>
        </w:rPr>
      </w:pPr>
      <w:r>
        <w:rPr>
          <w:b/>
          <w:sz w:val="44"/>
          <w:szCs w:val="44"/>
          <w:highlight w:val="none"/>
        </w:rPr>
        <w:t>第</w:t>
      </w:r>
      <w:r>
        <w:rPr>
          <w:rFonts w:hint="eastAsia"/>
          <w:b/>
          <w:sz w:val="44"/>
          <w:szCs w:val="44"/>
          <w:highlight w:val="none"/>
        </w:rPr>
        <w:t>四节 工程质量保修书</w:t>
      </w:r>
    </w:p>
    <w:p w14:paraId="26635630">
      <w:pPr>
        <w:spacing w:line="360" w:lineRule="auto"/>
        <w:rPr>
          <w:highlight w:val="none"/>
        </w:rPr>
      </w:pPr>
    </w:p>
    <w:p w14:paraId="12271DC0">
      <w:pPr>
        <w:widowControl/>
        <w:jc w:val="left"/>
        <w:rPr>
          <w:highlight w:val="none"/>
        </w:rPr>
      </w:pPr>
      <w:r>
        <w:rPr>
          <w:highlight w:val="none"/>
        </w:rPr>
        <w:br w:type="page"/>
      </w:r>
    </w:p>
    <w:p w14:paraId="346081E6">
      <w:pPr>
        <w:snapToGrid w:val="0"/>
        <w:spacing w:line="360" w:lineRule="auto"/>
        <w:jc w:val="center"/>
        <w:rPr>
          <w:rFonts w:ascii="Cambria" w:hAnsi="Cambria"/>
          <w:sz w:val="32"/>
          <w:szCs w:val="32"/>
          <w:highlight w:val="none"/>
        </w:rPr>
      </w:pPr>
      <w:r>
        <w:rPr>
          <w:rFonts w:hint="eastAsia" w:ascii="Cambria" w:hAnsi="Cambria"/>
          <w:b/>
          <w:sz w:val="32"/>
          <w:szCs w:val="32"/>
          <w:highlight w:val="none"/>
        </w:rPr>
        <w:t>工程质量保修书</w:t>
      </w:r>
    </w:p>
    <w:p w14:paraId="783BF7ED">
      <w:pPr>
        <w:adjustRightInd w:val="0"/>
        <w:snapToGrid w:val="0"/>
        <w:spacing w:line="360" w:lineRule="auto"/>
        <w:rPr>
          <w:rFonts w:ascii="Cambria" w:hAnsi="Cambria"/>
          <w:szCs w:val="21"/>
          <w:highlight w:val="none"/>
        </w:rPr>
      </w:pPr>
    </w:p>
    <w:p w14:paraId="4DD36B7A">
      <w:pPr>
        <w:adjustRightInd w:val="0"/>
        <w:snapToGrid w:val="0"/>
        <w:spacing w:line="360" w:lineRule="auto"/>
        <w:ind w:firstLine="316" w:firstLineChars="150"/>
        <w:rPr>
          <w:rFonts w:ascii="Cambria" w:hAnsi="Cambria"/>
          <w:b/>
          <w:szCs w:val="21"/>
          <w:highlight w:val="none"/>
        </w:rPr>
      </w:pPr>
      <w:r>
        <w:rPr>
          <w:rFonts w:hint="eastAsia" w:ascii="Cambria" w:hAnsi="Cambria"/>
          <w:b/>
          <w:szCs w:val="21"/>
          <w:highlight w:val="none"/>
        </w:rPr>
        <w:t>建设单位：</w:t>
      </w:r>
      <w:r>
        <w:rPr>
          <w:rFonts w:hint="eastAsia" w:ascii="Cambria" w:hAnsi="Cambria"/>
          <w:b/>
          <w:szCs w:val="21"/>
          <w:highlight w:val="none"/>
          <w:u w:val="single"/>
        </w:rPr>
        <w:t>北京财贸职业学院</w:t>
      </w:r>
    </w:p>
    <w:p w14:paraId="09640FF8">
      <w:pPr>
        <w:adjustRightInd w:val="0"/>
        <w:snapToGrid w:val="0"/>
        <w:spacing w:line="360" w:lineRule="auto"/>
        <w:ind w:firstLine="316" w:firstLineChars="150"/>
        <w:rPr>
          <w:rFonts w:ascii="Cambria" w:hAnsi="Cambria"/>
          <w:b/>
          <w:szCs w:val="21"/>
          <w:highlight w:val="none"/>
          <w:u w:val="single"/>
        </w:rPr>
      </w:pPr>
      <w:r>
        <w:rPr>
          <w:rFonts w:hint="eastAsia" w:ascii="Cambria" w:hAnsi="Cambria"/>
          <w:b/>
          <w:szCs w:val="21"/>
          <w:highlight w:val="none"/>
        </w:rPr>
        <w:t>承 包 人：</w:t>
      </w:r>
      <w:r>
        <w:rPr>
          <w:rFonts w:hint="eastAsia" w:ascii="Cambria" w:hAnsi="Cambria"/>
          <w:b/>
          <w:szCs w:val="21"/>
          <w:highlight w:val="none"/>
          <w:u w:val="single"/>
        </w:rPr>
        <w:t xml:space="preserve">*** </w:t>
      </w:r>
    </w:p>
    <w:p w14:paraId="09520C1C">
      <w:pPr>
        <w:adjustRightInd w:val="0"/>
        <w:snapToGrid w:val="0"/>
        <w:spacing w:line="360" w:lineRule="auto"/>
        <w:ind w:left="332" w:leftChars="158" w:firstLine="420" w:firstLineChars="200"/>
        <w:rPr>
          <w:rFonts w:ascii="Cambria" w:hAnsi="Cambria"/>
          <w:szCs w:val="21"/>
          <w:highlight w:val="none"/>
        </w:rPr>
      </w:pPr>
      <w:r>
        <w:rPr>
          <w:rFonts w:hint="eastAsia" w:ascii="Cambria" w:hAnsi="Cambria"/>
          <w:szCs w:val="21"/>
          <w:highlight w:val="none"/>
        </w:rPr>
        <w:t>为保证</w:t>
      </w:r>
      <w:r>
        <w:rPr>
          <w:rFonts w:hint="eastAsia" w:ascii="Cambria" w:hAnsi="Cambria"/>
          <w:szCs w:val="21"/>
          <w:highlight w:val="none"/>
          <w:u w:val="single"/>
        </w:rPr>
        <w:t xml:space="preserve">  </w:t>
      </w:r>
      <w:r>
        <w:rPr>
          <w:rFonts w:hint="eastAsia"/>
          <w:szCs w:val="21"/>
          <w:highlight w:val="none"/>
          <w:u w:val="single"/>
        </w:rPr>
        <w:t>***工程</w:t>
      </w:r>
      <w:r>
        <w:rPr>
          <w:rFonts w:hint="eastAsia"/>
          <w:szCs w:val="18"/>
          <w:highlight w:val="none"/>
          <w:u w:val="single"/>
        </w:rPr>
        <w:t xml:space="preserve">  </w:t>
      </w:r>
      <w:r>
        <w:rPr>
          <w:rFonts w:hint="eastAsia" w:ascii="Cambria" w:hAnsi="Cambria"/>
          <w:szCs w:val="21"/>
          <w:highlight w:val="none"/>
        </w:rPr>
        <w:t>在合理使用期限内正常使用，经甲、乙双方协商一致并签定本工程质量保修书。承包人在质量保修期内按照《建设工程质量管理条例》、《房屋建筑工程质量保修办法》和国家、北京市有关管理规定承担工程质量保修责任。</w:t>
      </w:r>
    </w:p>
    <w:p w14:paraId="003C3440">
      <w:pPr>
        <w:tabs>
          <w:tab w:val="left" w:pos="840"/>
        </w:tabs>
        <w:adjustRightInd w:val="0"/>
        <w:snapToGrid w:val="0"/>
        <w:spacing w:line="360" w:lineRule="auto"/>
        <w:jc w:val="left"/>
        <w:outlineLvl w:val="1"/>
        <w:rPr>
          <w:rFonts w:ascii="Cambria" w:hAnsi="Cambria" w:eastAsia="华文细黑"/>
          <w:b/>
          <w:bCs/>
          <w:kern w:val="0"/>
          <w:szCs w:val="21"/>
          <w:highlight w:val="none"/>
        </w:rPr>
      </w:pPr>
      <w:bookmarkStart w:id="1808" w:name="_Toc115802048"/>
      <w:bookmarkStart w:id="1809" w:name="_Toc159950860"/>
      <w:r>
        <w:rPr>
          <w:rFonts w:hint="eastAsia" w:ascii="Cambria" w:hAnsi="Cambria" w:eastAsia="华文细黑"/>
          <w:b/>
          <w:bCs/>
          <w:kern w:val="0"/>
          <w:szCs w:val="21"/>
          <w:highlight w:val="none"/>
        </w:rPr>
        <w:t>一、工程质量保修范围和内容</w:t>
      </w:r>
      <w:bookmarkEnd w:id="1808"/>
      <w:bookmarkEnd w:id="1809"/>
    </w:p>
    <w:p w14:paraId="76422075">
      <w:pPr>
        <w:adjustRightInd w:val="0"/>
        <w:snapToGrid w:val="0"/>
        <w:spacing w:line="360" w:lineRule="auto"/>
        <w:ind w:left="332"/>
        <w:rPr>
          <w:rFonts w:ascii="Cambria" w:hAnsi="Cambria"/>
          <w:szCs w:val="21"/>
          <w:highlight w:val="none"/>
          <w:u w:val="single"/>
        </w:rPr>
      </w:pPr>
      <w:r>
        <w:rPr>
          <w:rFonts w:hint="eastAsia" w:ascii="Cambria" w:hAnsi="Cambria"/>
          <w:szCs w:val="21"/>
          <w:highlight w:val="none"/>
        </w:rPr>
        <w:t>质量保修范围包括：</w:t>
      </w:r>
      <w:r>
        <w:rPr>
          <w:rFonts w:hint="eastAsia" w:ascii="Cambria" w:hAnsi="Cambria"/>
          <w:szCs w:val="21"/>
          <w:highlight w:val="none"/>
          <w:u w:val="single"/>
        </w:rPr>
        <w:t xml:space="preserve"> 根据清单范围内所有相关内容。</w:t>
      </w:r>
    </w:p>
    <w:p w14:paraId="66366B64">
      <w:pPr>
        <w:adjustRightInd w:val="0"/>
        <w:snapToGrid w:val="0"/>
        <w:spacing w:line="360" w:lineRule="auto"/>
        <w:ind w:left="332"/>
        <w:rPr>
          <w:rFonts w:ascii="Cambria" w:hAnsi="Cambria"/>
          <w:szCs w:val="21"/>
          <w:highlight w:val="none"/>
        </w:rPr>
      </w:pPr>
      <w:r>
        <w:rPr>
          <w:rFonts w:hint="eastAsia" w:ascii="Cambria" w:hAnsi="Cambria"/>
          <w:szCs w:val="21"/>
          <w:highlight w:val="none"/>
        </w:rPr>
        <w:t>具体质量保修内容双方约定如下:</w:t>
      </w:r>
    </w:p>
    <w:p w14:paraId="3F364729">
      <w:pPr>
        <w:adjustRightInd w:val="0"/>
        <w:snapToGrid w:val="0"/>
        <w:spacing w:line="360" w:lineRule="auto"/>
        <w:ind w:left="332"/>
        <w:rPr>
          <w:rFonts w:ascii="Cambria" w:hAnsi="Cambria"/>
          <w:szCs w:val="21"/>
          <w:highlight w:val="none"/>
        </w:rPr>
      </w:pPr>
      <w:r>
        <w:rPr>
          <w:rFonts w:hint="eastAsia" w:ascii="Cambria" w:hAnsi="Cambria"/>
          <w:szCs w:val="21"/>
          <w:highlight w:val="none"/>
          <w:u w:val="single"/>
        </w:rPr>
        <w:t xml:space="preserve">施工过程中所有实际发生的施工内容。                                          </w:t>
      </w:r>
    </w:p>
    <w:p w14:paraId="72FF7715">
      <w:pPr>
        <w:tabs>
          <w:tab w:val="left" w:pos="840"/>
        </w:tabs>
        <w:adjustRightInd w:val="0"/>
        <w:snapToGrid w:val="0"/>
        <w:spacing w:line="360" w:lineRule="auto"/>
        <w:jc w:val="left"/>
        <w:outlineLvl w:val="1"/>
        <w:rPr>
          <w:rFonts w:ascii="Cambria" w:hAnsi="Cambria" w:eastAsia="华文细黑"/>
          <w:b/>
          <w:bCs/>
          <w:kern w:val="0"/>
          <w:szCs w:val="21"/>
          <w:highlight w:val="none"/>
        </w:rPr>
      </w:pPr>
      <w:bookmarkStart w:id="1810" w:name="_Toc159950861"/>
      <w:bookmarkStart w:id="1811" w:name="_Toc115802049"/>
      <w:r>
        <w:rPr>
          <w:rFonts w:hint="eastAsia" w:ascii="Cambria" w:hAnsi="Cambria" w:eastAsia="华文细黑"/>
          <w:b/>
          <w:bCs/>
          <w:kern w:val="0"/>
          <w:szCs w:val="21"/>
          <w:highlight w:val="none"/>
        </w:rPr>
        <w:t>二、质量保修期</w:t>
      </w:r>
      <w:bookmarkEnd w:id="1810"/>
      <w:bookmarkEnd w:id="1811"/>
    </w:p>
    <w:p w14:paraId="34E230FB">
      <w:pPr>
        <w:adjustRightInd w:val="0"/>
        <w:snapToGrid w:val="0"/>
        <w:spacing w:line="360" w:lineRule="auto"/>
        <w:ind w:left="332"/>
        <w:rPr>
          <w:rFonts w:ascii="Cambria" w:hAnsi="Cambria"/>
          <w:szCs w:val="21"/>
          <w:highlight w:val="none"/>
        </w:rPr>
      </w:pPr>
      <w:r>
        <w:rPr>
          <w:rFonts w:hint="eastAsia" w:ascii="Cambria" w:hAnsi="Cambria"/>
          <w:szCs w:val="21"/>
          <w:highlight w:val="none"/>
        </w:rPr>
        <w:t>本工程质量保修期限从本工程竣工验收合格之日（颁发竣工验收证书之日）起计算。双方根据国家有关规定，约定质量最低保修期限为</w:t>
      </w:r>
      <w:r>
        <w:rPr>
          <w:rFonts w:hint="eastAsia" w:ascii="Cambria" w:hAnsi="Cambria"/>
          <w:szCs w:val="21"/>
          <w:highlight w:val="none"/>
          <w:u w:val="single"/>
        </w:rPr>
        <w:t>2年</w:t>
      </w:r>
      <w:r>
        <w:rPr>
          <w:rFonts w:hint="eastAsia" w:ascii="Cambria" w:hAnsi="Cambria"/>
          <w:szCs w:val="21"/>
          <w:highlight w:val="none"/>
        </w:rPr>
        <w:t>，其中防水工程为</w:t>
      </w:r>
      <w:r>
        <w:rPr>
          <w:rFonts w:hint="eastAsia" w:ascii="Cambria" w:hAnsi="Cambria"/>
          <w:szCs w:val="21"/>
          <w:highlight w:val="none"/>
          <w:u w:val="single"/>
        </w:rPr>
        <w:t>5年</w:t>
      </w:r>
      <w:r>
        <w:rPr>
          <w:rFonts w:hint="eastAsia" w:ascii="Cambria" w:hAnsi="Cambria"/>
          <w:szCs w:val="21"/>
          <w:highlight w:val="none"/>
        </w:rPr>
        <w:t>。</w:t>
      </w:r>
    </w:p>
    <w:p w14:paraId="4934A9F1">
      <w:pPr>
        <w:tabs>
          <w:tab w:val="left" w:pos="840"/>
        </w:tabs>
        <w:adjustRightInd w:val="0"/>
        <w:snapToGrid w:val="0"/>
        <w:spacing w:line="360" w:lineRule="auto"/>
        <w:jc w:val="left"/>
        <w:outlineLvl w:val="1"/>
        <w:rPr>
          <w:rFonts w:ascii="Cambria" w:hAnsi="Cambria" w:eastAsia="华文细黑"/>
          <w:b/>
          <w:bCs/>
          <w:kern w:val="0"/>
          <w:szCs w:val="21"/>
          <w:highlight w:val="none"/>
        </w:rPr>
      </w:pPr>
      <w:bookmarkStart w:id="1812" w:name="_Toc159950862"/>
      <w:bookmarkStart w:id="1813" w:name="_Toc115802050"/>
      <w:r>
        <w:rPr>
          <w:rFonts w:hint="eastAsia" w:ascii="Cambria" w:hAnsi="Cambria" w:eastAsia="华文细黑"/>
          <w:b/>
          <w:bCs/>
          <w:kern w:val="0"/>
          <w:szCs w:val="21"/>
          <w:highlight w:val="none"/>
        </w:rPr>
        <w:t>三、质量保修责任</w:t>
      </w:r>
      <w:bookmarkEnd w:id="1812"/>
      <w:bookmarkEnd w:id="1813"/>
    </w:p>
    <w:p w14:paraId="7EC37483">
      <w:pPr>
        <w:adjustRightInd w:val="0"/>
        <w:snapToGrid w:val="0"/>
        <w:spacing w:line="360" w:lineRule="auto"/>
        <w:ind w:left="382" w:hanging="382"/>
        <w:rPr>
          <w:rFonts w:ascii="Cambria" w:hAnsi="Cambria"/>
          <w:szCs w:val="21"/>
          <w:highlight w:val="none"/>
        </w:rPr>
      </w:pPr>
      <w:r>
        <w:rPr>
          <w:rFonts w:hint="eastAsia" w:ascii="Cambria" w:hAnsi="Cambria"/>
          <w:szCs w:val="21"/>
          <w:highlight w:val="none"/>
        </w:rPr>
        <w:t>1、本工程在保修期限出现质量缺陷，建设单位应当向承包人发出保修通知。承包人接到保修通知后24小时内，应当到现场核查情况并派人修理。承包人不在约定期限内派人修理，建设单位可委托其他人员修理，修理费用从承包人质量保留金内支付。</w:t>
      </w:r>
    </w:p>
    <w:p w14:paraId="53CC85E0">
      <w:pPr>
        <w:adjustRightInd w:val="0"/>
        <w:snapToGrid w:val="0"/>
        <w:spacing w:line="360" w:lineRule="auto"/>
        <w:ind w:left="382" w:hanging="382"/>
        <w:rPr>
          <w:rFonts w:ascii="Cambria" w:hAnsi="Cambria"/>
          <w:szCs w:val="21"/>
          <w:highlight w:val="none"/>
        </w:rPr>
      </w:pPr>
      <w:r>
        <w:rPr>
          <w:rFonts w:hint="eastAsia" w:ascii="Cambria" w:hAnsi="Cambria"/>
          <w:szCs w:val="21"/>
          <w:highlight w:val="none"/>
        </w:rPr>
        <w:t>2、发生紧急抢修事故，承包人接到事故通知后，应立即到达事故现场抢修。非承包人施工质量引起的事故，抢修费用由责任人承担。</w:t>
      </w:r>
    </w:p>
    <w:p w14:paraId="62918562">
      <w:pPr>
        <w:adjustRightInd w:val="0"/>
        <w:snapToGrid w:val="0"/>
        <w:spacing w:line="360" w:lineRule="auto"/>
        <w:ind w:left="382" w:hanging="382"/>
        <w:rPr>
          <w:rFonts w:ascii="Cambria" w:hAnsi="Cambria"/>
          <w:szCs w:val="21"/>
          <w:highlight w:val="none"/>
        </w:rPr>
      </w:pPr>
      <w:r>
        <w:rPr>
          <w:rFonts w:hint="eastAsia" w:ascii="Cambria" w:hAnsi="Cambria"/>
          <w:szCs w:val="21"/>
          <w:highlight w:val="none"/>
        </w:rPr>
        <w:t>3、在国家规定的工程合理使用期限内，承包人确保工程的质量。因承包人原因致使工程在合理使用期限内造成人身和财产损害的，承包人应承担损害赔偿责任。</w:t>
      </w:r>
    </w:p>
    <w:p w14:paraId="6430C849">
      <w:pPr>
        <w:tabs>
          <w:tab w:val="left" w:pos="840"/>
        </w:tabs>
        <w:adjustRightInd w:val="0"/>
        <w:snapToGrid w:val="0"/>
        <w:spacing w:line="360" w:lineRule="auto"/>
        <w:jc w:val="left"/>
        <w:outlineLvl w:val="1"/>
        <w:rPr>
          <w:rFonts w:ascii="Cambria" w:hAnsi="Cambria" w:eastAsia="华文细黑"/>
          <w:b/>
          <w:bCs/>
          <w:kern w:val="0"/>
          <w:szCs w:val="21"/>
          <w:highlight w:val="none"/>
        </w:rPr>
      </w:pPr>
      <w:bookmarkStart w:id="1814" w:name="_Toc115802051"/>
      <w:bookmarkStart w:id="1815" w:name="_Toc159950863"/>
      <w:r>
        <w:rPr>
          <w:rFonts w:hint="eastAsia" w:ascii="Cambria" w:hAnsi="Cambria" w:eastAsia="华文细黑"/>
          <w:b/>
          <w:bCs/>
          <w:kern w:val="0"/>
          <w:szCs w:val="21"/>
          <w:highlight w:val="none"/>
        </w:rPr>
        <w:t>四、</w:t>
      </w:r>
      <w:bookmarkEnd w:id="1814"/>
      <w:r>
        <w:rPr>
          <w:rFonts w:hint="eastAsia" w:ascii="Cambria" w:hAnsi="Cambria" w:eastAsia="华文细黑"/>
          <w:b/>
          <w:bCs/>
          <w:kern w:val="0"/>
          <w:szCs w:val="21"/>
          <w:highlight w:val="none"/>
        </w:rPr>
        <w:t>质量保证金金额及支付</w:t>
      </w:r>
      <w:bookmarkEnd w:id="1815"/>
    </w:p>
    <w:p w14:paraId="64C6DA34">
      <w:pPr>
        <w:adjustRightInd w:val="0"/>
        <w:snapToGrid w:val="0"/>
        <w:spacing w:line="360" w:lineRule="auto"/>
        <w:ind w:left="382" w:hanging="382"/>
        <w:rPr>
          <w:rFonts w:ascii="Cambria" w:hAnsi="Cambria"/>
          <w:szCs w:val="21"/>
          <w:highlight w:val="none"/>
        </w:rPr>
      </w:pPr>
      <w:r>
        <w:rPr>
          <w:rFonts w:hint="eastAsia" w:ascii="Cambria" w:hAnsi="Cambria"/>
          <w:szCs w:val="21"/>
          <w:highlight w:val="none"/>
        </w:rPr>
        <w:t>1、本工程约定的工程质量保修金为</w:t>
      </w:r>
      <w:r>
        <w:rPr>
          <w:rFonts w:hint="eastAsia" w:ascii="Cambria" w:hAnsi="Cambria"/>
          <w:szCs w:val="21"/>
          <w:highlight w:val="none"/>
          <w:u w:val="single"/>
        </w:rPr>
        <w:t>本工程实际结算价的3%</w:t>
      </w:r>
      <w:r>
        <w:rPr>
          <w:rFonts w:hint="eastAsia" w:ascii="Cambria" w:hAnsi="Cambria"/>
          <w:szCs w:val="21"/>
          <w:highlight w:val="none"/>
        </w:rPr>
        <w:t>。保修完后工程质量保修金无息退换</w:t>
      </w:r>
    </w:p>
    <w:p w14:paraId="16CCFAF9">
      <w:pPr>
        <w:adjustRightInd w:val="0"/>
        <w:snapToGrid w:val="0"/>
        <w:spacing w:line="360" w:lineRule="auto"/>
        <w:ind w:left="210" w:hanging="210" w:hangingChars="100"/>
        <w:rPr>
          <w:rFonts w:ascii="Cambria" w:hAnsi="Cambria"/>
          <w:szCs w:val="21"/>
          <w:highlight w:val="none"/>
        </w:rPr>
      </w:pPr>
      <w:r>
        <w:rPr>
          <w:rFonts w:hint="eastAsia" w:ascii="Cambria" w:hAnsi="Cambria"/>
          <w:szCs w:val="21"/>
          <w:highlight w:val="none"/>
        </w:rPr>
        <w:t>2、在承包人已经完成本合同所规定的保修义务，并已得到建设单位向承包人颁发的保修责任终止证书之日后56天内，建设单位将剩余的质量保证金金额全部支付给承包人。</w:t>
      </w:r>
      <w:bookmarkStart w:id="1816" w:name="_Toc115802053"/>
    </w:p>
    <w:p w14:paraId="4808DB5C">
      <w:pPr>
        <w:tabs>
          <w:tab w:val="left" w:pos="840"/>
        </w:tabs>
        <w:adjustRightInd w:val="0"/>
        <w:snapToGrid w:val="0"/>
        <w:spacing w:line="360" w:lineRule="auto"/>
        <w:jc w:val="left"/>
        <w:outlineLvl w:val="1"/>
        <w:rPr>
          <w:rFonts w:ascii="Cambria" w:hAnsi="Cambria" w:eastAsia="华文细黑"/>
          <w:b/>
          <w:bCs/>
          <w:kern w:val="0"/>
          <w:szCs w:val="21"/>
          <w:highlight w:val="none"/>
        </w:rPr>
      </w:pPr>
      <w:bookmarkStart w:id="1817" w:name="_Toc159950864"/>
      <w:r>
        <w:rPr>
          <w:rFonts w:hint="eastAsia" w:ascii="Cambria" w:hAnsi="Cambria" w:eastAsia="华文细黑"/>
          <w:b/>
          <w:bCs/>
          <w:kern w:val="0"/>
          <w:szCs w:val="21"/>
          <w:highlight w:val="none"/>
        </w:rPr>
        <w:t>五、其他</w:t>
      </w:r>
      <w:bookmarkEnd w:id="1816"/>
      <w:bookmarkEnd w:id="1817"/>
    </w:p>
    <w:p w14:paraId="2658C29B">
      <w:pPr>
        <w:adjustRightInd w:val="0"/>
        <w:snapToGrid w:val="0"/>
        <w:spacing w:line="360" w:lineRule="auto"/>
        <w:ind w:left="332"/>
        <w:rPr>
          <w:rFonts w:ascii="Cambria" w:hAnsi="Cambria"/>
          <w:szCs w:val="21"/>
          <w:highlight w:val="none"/>
        </w:rPr>
      </w:pPr>
      <w:r>
        <w:rPr>
          <w:rFonts w:hint="eastAsia" w:ascii="Cambria" w:hAnsi="Cambria"/>
          <w:szCs w:val="21"/>
          <w:highlight w:val="none"/>
        </w:rPr>
        <w:t>双方约定的其他工程质量保修事项：如果国家和项目发包人对该工程的质量保修有特殊要求时则按特殊要求执行。</w:t>
      </w:r>
    </w:p>
    <w:p w14:paraId="547B1F07">
      <w:pPr>
        <w:adjustRightInd w:val="0"/>
        <w:snapToGrid w:val="0"/>
        <w:spacing w:line="360" w:lineRule="auto"/>
        <w:ind w:left="692"/>
        <w:rPr>
          <w:rFonts w:ascii="Cambria" w:hAnsi="Cambria"/>
          <w:szCs w:val="21"/>
          <w:highlight w:val="none"/>
        </w:rPr>
      </w:pPr>
      <w:r>
        <w:rPr>
          <w:rFonts w:hint="eastAsia" w:ascii="Cambria" w:hAnsi="Cambria"/>
          <w:szCs w:val="21"/>
          <w:highlight w:val="none"/>
        </w:rPr>
        <w:t xml:space="preserve">       </w:t>
      </w:r>
    </w:p>
    <w:p w14:paraId="27A227D3">
      <w:pPr>
        <w:adjustRightInd w:val="0"/>
        <w:snapToGrid w:val="0"/>
        <w:spacing w:line="360" w:lineRule="auto"/>
        <w:ind w:left="332"/>
        <w:rPr>
          <w:rFonts w:ascii="Cambria" w:hAnsi="Cambria"/>
          <w:szCs w:val="21"/>
          <w:highlight w:val="none"/>
        </w:rPr>
      </w:pPr>
    </w:p>
    <w:p w14:paraId="4D57ED19">
      <w:pPr>
        <w:tabs>
          <w:tab w:val="left" w:pos="1695"/>
        </w:tabs>
        <w:adjustRightInd w:val="0"/>
        <w:snapToGrid w:val="0"/>
        <w:spacing w:line="360" w:lineRule="auto"/>
        <w:ind w:firstLine="480"/>
        <w:rPr>
          <w:rFonts w:ascii="Cambria" w:hAnsi="Cambria"/>
          <w:szCs w:val="21"/>
          <w:highlight w:val="none"/>
        </w:rPr>
      </w:pPr>
    </w:p>
    <w:p w14:paraId="5C7E2C21">
      <w:pPr>
        <w:tabs>
          <w:tab w:val="left" w:pos="1695"/>
        </w:tabs>
        <w:adjustRightInd w:val="0"/>
        <w:snapToGrid w:val="0"/>
        <w:spacing w:line="360" w:lineRule="auto"/>
        <w:ind w:firstLine="480"/>
        <w:rPr>
          <w:rFonts w:ascii="Cambria" w:hAnsi="Cambria"/>
          <w:szCs w:val="21"/>
          <w:highlight w:val="none"/>
        </w:rPr>
        <w:sectPr>
          <w:headerReference r:id="rId19" w:type="first"/>
          <w:footerReference r:id="rId21" w:type="first"/>
          <w:footerReference r:id="rId20" w:type="default"/>
          <w:pgSz w:w="11906" w:h="16838"/>
          <w:pgMar w:top="1440" w:right="1797" w:bottom="1440" w:left="1797" w:header="851" w:footer="992" w:gutter="0"/>
          <w:cols w:space="720" w:num="1"/>
          <w:docGrid w:linePitch="312" w:charSpace="0"/>
        </w:sectPr>
      </w:pPr>
    </w:p>
    <w:p w14:paraId="1E97DD37">
      <w:pPr>
        <w:tabs>
          <w:tab w:val="left" w:pos="1695"/>
        </w:tabs>
        <w:adjustRightInd w:val="0"/>
        <w:snapToGrid w:val="0"/>
        <w:spacing w:line="360" w:lineRule="auto"/>
        <w:ind w:firstLine="480"/>
        <w:rPr>
          <w:rFonts w:ascii="Cambria" w:hAnsi="Cambria"/>
          <w:szCs w:val="21"/>
          <w:highlight w:val="none"/>
        </w:rPr>
      </w:pPr>
      <w:r>
        <w:rPr>
          <w:rFonts w:hint="eastAsia" w:ascii="Cambria" w:hAnsi="Cambria"/>
          <w:szCs w:val="21"/>
          <w:highlight w:val="none"/>
        </w:rPr>
        <w:t>（此页无正文）</w:t>
      </w:r>
    </w:p>
    <w:p w14:paraId="34985565">
      <w:pPr>
        <w:tabs>
          <w:tab w:val="left" w:pos="1695"/>
        </w:tabs>
        <w:adjustRightInd w:val="0"/>
        <w:snapToGrid w:val="0"/>
        <w:spacing w:line="360" w:lineRule="auto"/>
        <w:ind w:firstLine="480"/>
        <w:rPr>
          <w:rFonts w:ascii="Cambria" w:hAnsi="Cambria"/>
          <w:szCs w:val="21"/>
          <w:highlight w:val="none"/>
        </w:rPr>
      </w:pPr>
    </w:p>
    <w:p w14:paraId="73641CF8">
      <w:pPr>
        <w:spacing w:before="312" w:beforeLines="100" w:after="312" w:afterLines="100" w:line="400" w:lineRule="exact"/>
        <w:rPr>
          <w:szCs w:val="21"/>
          <w:highlight w:val="none"/>
        </w:rPr>
      </w:pPr>
      <w:r>
        <w:rPr>
          <w:b/>
          <w:bCs/>
          <w:szCs w:val="21"/>
          <w:highlight w:val="none"/>
        </w:rPr>
        <w:t>发包人：</w:t>
      </w:r>
      <w:r>
        <w:rPr>
          <w:szCs w:val="21"/>
          <w:highlight w:val="none"/>
          <w:u w:val="single"/>
        </w:rPr>
        <w:t xml:space="preserve">               </w:t>
      </w:r>
      <w:r>
        <w:rPr>
          <w:szCs w:val="21"/>
          <w:highlight w:val="none"/>
        </w:rPr>
        <w:t>（盖单位章）</w:t>
      </w:r>
      <w:r>
        <w:rPr>
          <w:rFonts w:eastAsia="Cambria"/>
          <w:b/>
          <w:bCs/>
          <w:szCs w:val="21"/>
          <w:highlight w:val="none"/>
        </w:rPr>
        <w:t xml:space="preserve"> </w:t>
      </w:r>
      <w:r>
        <w:rPr>
          <w:b/>
          <w:bCs/>
          <w:szCs w:val="21"/>
          <w:highlight w:val="none"/>
        </w:rPr>
        <w:t>承包人：</w:t>
      </w:r>
      <w:r>
        <w:rPr>
          <w:rFonts w:hint="eastAsia"/>
          <w:szCs w:val="21"/>
          <w:highlight w:val="none"/>
          <w:u w:val="single"/>
        </w:rPr>
        <w:t xml:space="preserve">              </w:t>
      </w:r>
      <w:r>
        <w:rPr>
          <w:szCs w:val="21"/>
          <w:highlight w:val="none"/>
          <w:u w:val="single"/>
        </w:rPr>
        <w:t>（</w:t>
      </w:r>
      <w:r>
        <w:rPr>
          <w:szCs w:val="21"/>
          <w:highlight w:val="none"/>
        </w:rPr>
        <w:t>盖单位章）</w:t>
      </w:r>
    </w:p>
    <w:p w14:paraId="6500156B">
      <w:pPr>
        <w:spacing w:before="312" w:beforeLines="100" w:after="312" w:afterLines="100" w:line="400" w:lineRule="exact"/>
        <w:rPr>
          <w:szCs w:val="21"/>
          <w:highlight w:val="none"/>
        </w:rPr>
      </w:pPr>
    </w:p>
    <w:p w14:paraId="5EDA5A86">
      <w:pPr>
        <w:spacing w:line="240" w:lineRule="exact"/>
        <w:rPr>
          <w:szCs w:val="21"/>
          <w:highlight w:val="none"/>
        </w:rPr>
      </w:pPr>
      <w:r>
        <w:rPr>
          <w:b/>
          <w:bCs/>
          <w:szCs w:val="21"/>
          <w:highlight w:val="none"/>
        </w:rPr>
        <w:t>法定代表人或其</w:t>
      </w:r>
      <w:r>
        <w:rPr>
          <w:szCs w:val="21"/>
          <w:highlight w:val="none"/>
        </w:rPr>
        <w:t xml:space="preserve">                      </w:t>
      </w:r>
      <w:r>
        <w:rPr>
          <w:b/>
          <w:bCs/>
          <w:szCs w:val="21"/>
          <w:highlight w:val="none"/>
        </w:rPr>
        <w:t>法定代表人或其</w:t>
      </w:r>
    </w:p>
    <w:p w14:paraId="6C42C4A7">
      <w:pPr>
        <w:spacing w:line="240" w:lineRule="exact"/>
        <w:rPr>
          <w:szCs w:val="21"/>
          <w:highlight w:val="none"/>
        </w:rPr>
      </w:pPr>
      <w:r>
        <w:rPr>
          <w:b/>
          <w:bCs/>
          <w:szCs w:val="21"/>
          <w:highlight w:val="none"/>
        </w:rPr>
        <w:t>委托代理人：</w:t>
      </w:r>
      <w:r>
        <w:rPr>
          <w:szCs w:val="21"/>
          <w:highlight w:val="none"/>
          <w:u w:val="single"/>
        </w:rPr>
        <w:t xml:space="preserve">              </w:t>
      </w:r>
      <w:r>
        <w:rPr>
          <w:szCs w:val="21"/>
          <w:highlight w:val="none"/>
        </w:rPr>
        <w:t xml:space="preserve">（签字） </w:t>
      </w:r>
      <w:r>
        <w:rPr>
          <w:b/>
          <w:bCs/>
          <w:szCs w:val="21"/>
          <w:highlight w:val="none"/>
        </w:rPr>
        <w:t xml:space="preserve"> 委托代理人：</w:t>
      </w:r>
      <w:r>
        <w:rPr>
          <w:szCs w:val="21"/>
          <w:highlight w:val="none"/>
          <w:u w:val="single"/>
        </w:rPr>
        <w:t xml:space="preserve">                   </w:t>
      </w:r>
      <w:r>
        <w:rPr>
          <w:szCs w:val="21"/>
          <w:highlight w:val="none"/>
        </w:rPr>
        <w:t>（签字）</w:t>
      </w:r>
    </w:p>
    <w:p w14:paraId="1975BB5A">
      <w:pPr>
        <w:spacing w:before="312" w:beforeLines="100" w:after="312" w:afterLines="100" w:line="400" w:lineRule="exact"/>
        <w:rPr>
          <w:szCs w:val="21"/>
          <w:highlight w:val="none"/>
          <w:u w:val="single"/>
        </w:rPr>
      </w:pPr>
    </w:p>
    <w:p w14:paraId="11DDEA13">
      <w:pPr>
        <w:spacing w:before="312" w:beforeLines="100" w:after="312" w:afterLines="100" w:line="400" w:lineRule="exact"/>
        <w:ind w:firstLine="525" w:firstLineChars="250"/>
        <w:rPr>
          <w:szCs w:val="21"/>
          <w:highlight w:val="none"/>
        </w:rPr>
      </w:pPr>
      <w:r>
        <w:rPr>
          <w:szCs w:val="21"/>
          <w:highlight w:val="none"/>
          <w:u w:val="single"/>
        </w:rPr>
        <w:t xml:space="preserve">        </w:t>
      </w:r>
      <w:r>
        <w:rPr>
          <w:szCs w:val="21"/>
          <w:highlight w:val="none"/>
        </w:rPr>
        <w:t>年</w:t>
      </w:r>
      <w:r>
        <w:rPr>
          <w:szCs w:val="21"/>
          <w:highlight w:val="none"/>
          <w:u w:val="single"/>
        </w:rPr>
        <w:t xml:space="preserve">      </w:t>
      </w:r>
      <w:r>
        <w:rPr>
          <w:szCs w:val="21"/>
          <w:highlight w:val="none"/>
        </w:rPr>
        <w:t xml:space="preserve">月 </w:t>
      </w:r>
      <w:r>
        <w:rPr>
          <w:szCs w:val="21"/>
          <w:highlight w:val="none"/>
          <w:u w:val="single"/>
        </w:rPr>
        <w:t xml:space="preserve">  </w:t>
      </w:r>
      <w:r>
        <w:rPr>
          <w:rFonts w:hint="eastAsia"/>
          <w:szCs w:val="21"/>
          <w:highlight w:val="none"/>
          <w:u w:val="single"/>
        </w:rPr>
        <w:t xml:space="preserve">   </w:t>
      </w:r>
      <w:r>
        <w:rPr>
          <w:szCs w:val="21"/>
          <w:highlight w:val="none"/>
        </w:rPr>
        <w:t xml:space="preserve"> 日      </w:t>
      </w:r>
      <w:r>
        <w:rPr>
          <w:rFonts w:hint="eastAsia"/>
          <w:szCs w:val="21"/>
          <w:highlight w:val="none"/>
        </w:rPr>
        <w:t xml:space="preserve"> </w:t>
      </w:r>
      <w:r>
        <w:rPr>
          <w:szCs w:val="21"/>
          <w:highlight w:val="none"/>
        </w:rPr>
        <w:t xml:space="preserve"> </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 xml:space="preserve">月 </w:t>
      </w:r>
      <w:r>
        <w:rPr>
          <w:szCs w:val="21"/>
          <w:highlight w:val="none"/>
          <w:u w:val="single"/>
        </w:rPr>
        <w:t xml:space="preserve">     </w:t>
      </w:r>
      <w:r>
        <w:rPr>
          <w:szCs w:val="21"/>
          <w:highlight w:val="none"/>
        </w:rPr>
        <w:t>日</w:t>
      </w:r>
    </w:p>
    <w:p w14:paraId="74DA5292">
      <w:pPr>
        <w:spacing w:before="312" w:beforeLines="100" w:after="312" w:afterLines="100" w:line="400" w:lineRule="exact"/>
        <w:rPr>
          <w:szCs w:val="21"/>
          <w:highlight w:val="none"/>
        </w:rPr>
      </w:pPr>
    </w:p>
    <w:p w14:paraId="424FE8F3">
      <w:pPr>
        <w:spacing w:before="312" w:beforeLines="100" w:after="312" w:afterLines="100" w:line="400" w:lineRule="exact"/>
        <w:rPr>
          <w:szCs w:val="21"/>
          <w:highlight w:val="none"/>
          <w:u w:val="single"/>
        </w:rPr>
      </w:pPr>
      <w:r>
        <w:rPr>
          <w:b/>
          <w:szCs w:val="21"/>
          <w:highlight w:val="none"/>
        </w:rPr>
        <w:t>签约地点：</w:t>
      </w:r>
      <w:r>
        <w:rPr>
          <w:szCs w:val="21"/>
          <w:highlight w:val="none"/>
          <w:u w:val="single"/>
        </w:rPr>
        <w:t xml:space="preserve"> </w:t>
      </w:r>
      <w:r>
        <w:rPr>
          <w:rFonts w:hint="eastAsia"/>
          <w:szCs w:val="21"/>
          <w:highlight w:val="none"/>
          <w:u w:val="single"/>
        </w:rPr>
        <w:t>北京财贸职业学院</w:t>
      </w:r>
      <w:r>
        <w:rPr>
          <w:szCs w:val="21"/>
          <w:highlight w:val="none"/>
          <w:u w:val="single"/>
        </w:rPr>
        <w:t xml:space="preserve"> </w:t>
      </w:r>
    </w:p>
    <w:p w14:paraId="6C76DBB7">
      <w:pPr>
        <w:jc w:val="center"/>
        <w:rPr>
          <w:b/>
          <w:sz w:val="44"/>
          <w:szCs w:val="44"/>
          <w:highlight w:val="none"/>
        </w:rPr>
      </w:pPr>
      <w:r>
        <w:rPr>
          <w:b/>
          <w:sz w:val="44"/>
          <w:szCs w:val="44"/>
          <w:highlight w:val="none"/>
        </w:rPr>
        <w:br w:type="page"/>
      </w:r>
    </w:p>
    <w:p w14:paraId="77CD7619">
      <w:pPr>
        <w:jc w:val="center"/>
        <w:rPr>
          <w:b/>
          <w:sz w:val="44"/>
          <w:szCs w:val="44"/>
          <w:highlight w:val="none"/>
        </w:rPr>
      </w:pPr>
    </w:p>
    <w:p w14:paraId="6AE43A73">
      <w:pPr>
        <w:jc w:val="center"/>
        <w:rPr>
          <w:b/>
          <w:sz w:val="44"/>
          <w:szCs w:val="44"/>
          <w:highlight w:val="none"/>
        </w:rPr>
      </w:pPr>
    </w:p>
    <w:p w14:paraId="1AE299BB">
      <w:pPr>
        <w:jc w:val="center"/>
        <w:rPr>
          <w:b/>
          <w:sz w:val="44"/>
          <w:szCs w:val="44"/>
          <w:highlight w:val="none"/>
        </w:rPr>
      </w:pPr>
    </w:p>
    <w:p w14:paraId="27400BD6">
      <w:pPr>
        <w:jc w:val="center"/>
        <w:rPr>
          <w:b/>
          <w:sz w:val="44"/>
          <w:szCs w:val="44"/>
          <w:highlight w:val="none"/>
        </w:rPr>
      </w:pPr>
    </w:p>
    <w:p w14:paraId="0679F73A">
      <w:pPr>
        <w:jc w:val="center"/>
        <w:rPr>
          <w:b/>
          <w:sz w:val="44"/>
          <w:szCs w:val="44"/>
          <w:highlight w:val="none"/>
        </w:rPr>
      </w:pPr>
    </w:p>
    <w:p w14:paraId="41CD541F">
      <w:pPr>
        <w:jc w:val="center"/>
        <w:rPr>
          <w:b/>
          <w:sz w:val="44"/>
          <w:szCs w:val="44"/>
          <w:highlight w:val="none"/>
        </w:rPr>
      </w:pPr>
    </w:p>
    <w:p w14:paraId="5CD322D7">
      <w:pPr>
        <w:jc w:val="center"/>
        <w:rPr>
          <w:highlight w:val="none"/>
        </w:rPr>
      </w:pPr>
      <w:r>
        <w:rPr>
          <w:b/>
          <w:sz w:val="44"/>
          <w:szCs w:val="44"/>
          <w:highlight w:val="none"/>
        </w:rPr>
        <w:t>第</w:t>
      </w:r>
      <w:r>
        <w:rPr>
          <w:rFonts w:hint="eastAsia"/>
          <w:b/>
          <w:sz w:val="44"/>
          <w:szCs w:val="44"/>
          <w:highlight w:val="none"/>
        </w:rPr>
        <w:t>五节 工程建设项目廉政责任书</w:t>
      </w:r>
    </w:p>
    <w:p w14:paraId="3FBDC1AD">
      <w:pPr>
        <w:spacing w:line="360" w:lineRule="auto"/>
        <w:rPr>
          <w:highlight w:val="none"/>
        </w:rPr>
      </w:pPr>
    </w:p>
    <w:p w14:paraId="1BC82B59">
      <w:pPr>
        <w:spacing w:line="440" w:lineRule="exact"/>
        <w:jc w:val="center"/>
        <w:rPr>
          <w:rFonts w:ascii="Cambria" w:hAnsi="Cambria"/>
          <w:b/>
          <w:sz w:val="32"/>
          <w:szCs w:val="32"/>
          <w:highlight w:val="none"/>
        </w:rPr>
      </w:pPr>
      <w:r>
        <w:rPr>
          <w:highlight w:val="none"/>
        </w:rPr>
        <w:br w:type="page"/>
      </w:r>
      <w:r>
        <w:rPr>
          <w:rFonts w:hint="eastAsia" w:ascii="Cambria" w:hAnsi="Cambria"/>
          <w:b/>
          <w:sz w:val="32"/>
          <w:szCs w:val="32"/>
          <w:highlight w:val="none"/>
        </w:rPr>
        <w:t>工程建设项目廉政责任书</w:t>
      </w:r>
    </w:p>
    <w:p w14:paraId="5800213F">
      <w:pPr>
        <w:jc w:val="center"/>
        <w:rPr>
          <w:rFonts w:ascii="Cambria" w:hAnsi="Cambria"/>
          <w:spacing w:val="10"/>
          <w:szCs w:val="21"/>
          <w:highlight w:val="none"/>
        </w:rPr>
      </w:pPr>
    </w:p>
    <w:p w14:paraId="0DDB57AF">
      <w:pPr>
        <w:spacing w:line="360" w:lineRule="auto"/>
        <w:ind w:left="1446" w:hanging="1446" w:hangingChars="686"/>
        <w:rPr>
          <w:rFonts w:ascii="Cambria" w:hAnsi="Cambria"/>
          <w:b/>
          <w:highlight w:val="none"/>
          <w:u w:val="single"/>
        </w:rPr>
      </w:pPr>
      <w:r>
        <w:rPr>
          <w:rFonts w:hint="eastAsia" w:ascii="Cambria" w:hAnsi="Cambria"/>
          <w:b/>
          <w:szCs w:val="21"/>
          <w:highlight w:val="none"/>
        </w:rPr>
        <w:t>工程项目名称：</w:t>
      </w:r>
      <w:r>
        <w:rPr>
          <w:rFonts w:hint="eastAsia" w:ascii="Cambria" w:hAnsi="Cambria"/>
          <w:b/>
          <w:highlight w:val="none"/>
          <w:u w:val="single"/>
        </w:rPr>
        <w:t>***工程</w:t>
      </w:r>
    </w:p>
    <w:p w14:paraId="1A63BF60">
      <w:pPr>
        <w:spacing w:line="360" w:lineRule="auto"/>
        <w:rPr>
          <w:rFonts w:ascii="Cambria" w:hAnsi="Cambria"/>
          <w:b/>
          <w:szCs w:val="21"/>
          <w:highlight w:val="none"/>
          <w:u w:val="single"/>
        </w:rPr>
      </w:pPr>
      <w:r>
        <w:rPr>
          <w:rFonts w:hint="eastAsia" w:ascii="Cambria" w:hAnsi="Cambria"/>
          <w:b/>
          <w:szCs w:val="21"/>
          <w:highlight w:val="none"/>
        </w:rPr>
        <w:t>工程项目地址：</w:t>
      </w:r>
      <w:r>
        <w:rPr>
          <w:rFonts w:hint="eastAsia" w:ascii="Cambria" w:hAnsi="Cambria"/>
          <w:b/>
          <w:highlight w:val="none"/>
          <w:u w:val="single"/>
        </w:rPr>
        <w:t xml:space="preserve"> </w:t>
      </w:r>
      <w:r>
        <w:rPr>
          <w:rFonts w:ascii="Cambria" w:hAnsi="Cambria"/>
          <w:b/>
          <w:highlight w:val="none"/>
          <w:u w:val="single"/>
        </w:rPr>
        <w:t xml:space="preserve">                                       </w:t>
      </w:r>
    </w:p>
    <w:p w14:paraId="0DB57250">
      <w:pPr>
        <w:spacing w:line="360" w:lineRule="auto"/>
        <w:rPr>
          <w:rFonts w:ascii="Cambria" w:hAnsi="Cambria"/>
          <w:b/>
          <w:szCs w:val="21"/>
          <w:highlight w:val="none"/>
          <w:u w:val="single"/>
        </w:rPr>
      </w:pPr>
      <w:r>
        <w:rPr>
          <w:rFonts w:hint="eastAsia" w:ascii="Cambria" w:hAnsi="Cambria"/>
          <w:b/>
          <w:szCs w:val="21"/>
          <w:highlight w:val="none"/>
        </w:rPr>
        <w:t>发包人（甲方）：</w:t>
      </w:r>
      <w:r>
        <w:rPr>
          <w:rFonts w:hint="eastAsia" w:ascii="Cambria" w:hAnsi="Cambria"/>
          <w:b/>
          <w:szCs w:val="21"/>
          <w:highlight w:val="none"/>
          <w:u w:val="single"/>
        </w:rPr>
        <w:t xml:space="preserve">北京财贸职业学院                  </w:t>
      </w:r>
      <w:r>
        <w:rPr>
          <w:rFonts w:ascii="Cambria" w:hAnsi="Cambria"/>
          <w:b/>
          <w:szCs w:val="21"/>
          <w:highlight w:val="none"/>
          <w:u w:val="single"/>
        </w:rPr>
        <w:t xml:space="preserve"> </w:t>
      </w:r>
      <w:r>
        <w:rPr>
          <w:rFonts w:hint="eastAsia" w:ascii="Cambria" w:hAnsi="Cambria"/>
          <w:b/>
          <w:szCs w:val="21"/>
          <w:highlight w:val="none"/>
          <w:u w:val="single"/>
        </w:rPr>
        <w:t xml:space="preserve">   </w:t>
      </w:r>
    </w:p>
    <w:p w14:paraId="09D4A729">
      <w:pPr>
        <w:spacing w:line="360" w:lineRule="auto"/>
        <w:rPr>
          <w:rFonts w:ascii="Cambria" w:hAnsi="Cambria"/>
          <w:b/>
          <w:szCs w:val="21"/>
          <w:highlight w:val="none"/>
          <w:u w:val="single"/>
        </w:rPr>
      </w:pPr>
      <w:r>
        <w:rPr>
          <w:rFonts w:hint="eastAsia" w:ascii="Cambria" w:hAnsi="Cambria"/>
          <w:b/>
          <w:szCs w:val="21"/>
          <w:highlight w:val="none"/>
        </w:rPr>
        <w:t>承包人（乙方）：</w:t>
      </w:r>
      <w:r>
        <w:rPr>
          <w:rFonts w:hint="eastAsia" w:ascii="Cambria" w:hAnsi="Cambria"/>
          <w:b/>
          <w:szCs w:val="21"/>
          <w:highlight w:val="none"/>
          <w:u w:val="single"/>
        </w:rPr>
        <w:t xml:space="preserve">***               </w:t>
      </w:r>
    </w:p>
    <w:p w14:paraId="555BF79B">
      <w:pPr>
        <w:spacing w:line="400" w:lineRule="exact"/>
        <w:ind w:firstLine="420" w:firstLineChars="200"/>
        <w:rPr>
          <w:rFonts w:ascii="Cambria" w:hAnsi="Cambria"/>
          <w:szCs w:val="21"/>
          <w:highlight w:val="none"/>
        </w:rPr>
      </w:pPr>
      <w:r>
        <w:rPr>
          <w:rFonts w:hint="eastAsia" w:ascii="Cambria" w:hAnsi="Cambria"/>
          <w:szCs w:val="21"/>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2C91A304">
      <w:pPr>
        <w:spacing w:line="400" w:lineRule="exact"/>
        <w:ind w:firstLine="420" w:firstLineChars="200"/>
        <w:rPr>
          <w:rFonts w:ascii="Cambria" w:hAnsi="Cambria"/>
          <w:szCs w:val="21"/>
          <w:highlight w:val="none"/>
        </w:rPr>
      </w:pPr>
      <w:r>
        <w:rPr>
          <w:rFonts w:hint="eastAsia" w:ascii="Cambria" w:hAnsi="Cambria"/>
          <w:szCs w:val="21"/>
          <w:highlight w:val="none"/>
        </w:rPr>
        <w:t>第一条  甲乙双方的责任</w:t>
      </w:r>
    </w:p>
    <w:p w14:paraId="0963517C">
      <w:pPr>
        <w:spacing w:line="400" w:lineRule="exact"/>
        <w:ind w:firstLine="420" w:firstLineChars="200"/>
        <w:rPr>
          <w:rFonts w:ascii="Cambria" w:hAnsi="Cambria"/>
          <w:szCs w:val="21"/>
          <w:highlight w:val="none"/>
        </w:rPr>
      </w:pPr>
      <w:r>
        <w:rPr>
          <w:rFonts w:hint="eastAsia" w:ascii="Cambria" w:hAnsi="Cambria"/>
          <w:szCs w:val="21"/>
          <w:highlight w:val="none"/>
        </w:rPr>
        <w:t>（一）应严格遵守国家关于市场准入、项目招标投标、工程建设、施工安装和市场活动的有关法律、法规，相关政策，以及廉政建设的各项规定。</w:t>
      </w:r>
    </w:p>
    <w:p w14:paraId="1E722E37">
      <w:pPr>
        <w:spacing w:line="400" w:lineRule="exact"/>
        <w:ind w:firstLine="420" w:firstLineChars="200"/>
        <w:rPr>
          <w:rFonts w:ascii="Cambria" w:hAnsi="Cambria"/>
          <w:szCs w:val="21"/>
          <w:highlight w:val="none"/>
        </w:rPr>
      </w:pPr>
      <w:r>
        <w:rPr>
          <w:rFonts w:hint="eastAsia" w:ascii="Cambria" w:hAnsi="Cambria"/>
          <w:szCs w:val="21"/>
          <w:highlight w:val="none"/>
        </w:rPr>
        <w:t>（二）严格执行建设工程项目承发包合同文件，自觉按合同办事。</w:t>
      </w:r>
    </w:p>
    <w:p w14:paraId="3D7B4275">
      <w:pPr>
        <w:spacing w:line="400" w:lineRule="exact"/>
        <w:ind w:firstLine="420" w:firstLineChars="200"/>
        <w:rPr>
          <w:rFonts w:ascii="Cambria" w:hAnsi="Cambria"/>
          <w:szCs w:val="21"/>
          <w:highlight w:val="none"/>
        </w:rPr>
      </w:pPr>
      <w:r>
        <w:rPr>
          <w:rFonts w:hint="eastAsia" w:ascii="Cambria" w:hAnsi="Cambria"/>
          <w:szCs w:val="21"/>
          <w:highlight w:val="none"/>
        </w:rPr>
        <w:t>（三）业务活动必须坚持公开、公平、公正、诚信、透明的原则（除法律法规另有规定者外），不得为获取不正当的利益，损害国家、集体和对方利益，不得违反工程建设管理、施工安装的规章制度。</w:t>
      </w:r>
    </w:p>
    <w:p w14:paraId="6946B164">
      <w:pPr>
        <w:spacing w:line="400" w:lineRule="exact"/>
        <w:rPr>
          <w:rFonts w:ascii="Cambria" w:hAnsi="Cambria"/>
          <w:szCs w:val="21"/>
          <w:highlight w:val="none"/>
        </w:rPr>
      </w:pPr>
      <w:r>
        <w:rPr>
          <w:rFonts w:hint="eastAsia" w:ascii="Cambria" w:hAnsi="Cambria"/>
          <w:szCs w:val="21"/>
          <w:highlight w:val="none"/>
        </w:rPr>
        <w:t xml:space="preserve">    （四）发现对方在业务活动中有违规、违纪、违法行为的，应及时提醒对方，情节严重的，应向其上级主管部门或纪检监察、司法等有关机关举报。</w:t>
      </w:r>
    </w:p>
    <w:p w14:paraId="5B82F41D">
      <w:pPr>
        <w:spacing w:line="400" w:lineRule="exact"/>
        <w:ind w:firstLine="420" w:firstLineChars="200"/>
        <w:rPr>
          <w:rFonts w:ascii="Cambria" w:hAnsi="Cambria"/>
          <w:szCs w:val="21"/>
          <w:highlight w:val="none"/>
        </w:rPr>
      </w:pPr>
      <w:r>
        <w:rPr>
          <w:rFonts w:hint="eastAsia" w:ascii="Cambria" w:hAnsi="Cambria"/>
          <w:szCs w:val="21"/>
          <w:highlight w:val="none"/>
        </w:rPr>
        <w:t>第二条 甲方的责任</w:t>
      </w:r>
    </w:p>
    <w:p w14:paraId="258E8844">
      <w:pPr>
        <w:spacing w:line="400" w:lineRule="exact"/>
        <w:ind w:firstLine="420" w:firstLineChars="200"/>
        <w:rPr>
          <w:rFonts w:ascii="Cambria" w:hAnsi="Cambria"/>
          <w:szCs w:val="21"/>
          <w:highlight w:val="none"/>
        </w:rPr>
      </w:pPr>
      <w:r>
        <w:rPr>
          <w:rFonts w:hint="eastAsia" w:ascii="Cambria" w:hAnsi="Cambria"/>
          <w:szCs w:val="21"/>
          <w:highlight w:val="none"/>
        </w:rPr>
        <w:t>甲方的领导和从事该建设工程项目的工作人员，在工程建设的事前、事中、事后应遵守以下规定：</w:t>
      </w:r>
    </w:p>
    <w:p w14:paraId="69D32493">
      <w:pPr>
        <w:spacing w:line="400" w:lineRule="exact"/>
        <w:ind w:firstLine="420" w:firstLineChars="200"/>
        <w:rPr>
          <w:rFonts w:ascii="Cambria" w:hAnsi="Cambria"/>
          <w:szCs w:val="21"/>
          <w:highlight w:val="none"/>
        </w:rPr>
      </w:pPr>
      <w:r>
        <w:rPr>
          <w:rFonts w:hint="eastAsia" w:ascii="Cambria" w:hAnsi="Cambria"/>
          <w:szCs w:val="21"/>
          <w:highlight w:val="none"/>
        </w:rPr>
        <w:t>（一）不准向乙方和相关单位索要或接受回扣、礼金、有价证券、贵重物品和好处费、感谢费等。</w:t>
      </w:r>
    </w:p>
    <w:p w14:paraId="5E827D4E">
      <w:pPr>
        <w:spacing w:line="400" w:lineRule="exact"/>
        <w:ind w:firstLine="420" w:firstLineChars="200"/>
        <w:rPr>
          <w:rFonts w:ascii="Cambria" w:hAnsi="Cambria"/>
          <w:szCs w:val="21"/>
          <w:highlight w:val="none"/>
        </w:rPr>
      </w:pPr>
      <w:r>
        <w:rPr>
          <w:rFonts w:hint="eastAsia" w:ascii="Cambria" w:hAnsi="Cambria"/>
          <w:szCs w:val="21"/>
          <w:highlight w:val="none"/>
        </w:rPr>
        <w:t>（二）不准在乙方和相关单位报销任何应由甲方或个人支付的费用。</w:t>
      </w:r>
    </w:p>
    <w:p w14:paraId="73E6A6AB">
      <w:pPr>
        <w:spacing w:line="400" w:lineRule="exact"/>
        <w:ind w:firstLine="420" w:firstLineChars="200"/>
        <w:rPr>
          <w:rFonts w:ascii="Cambria" w:hAnsi="Cambria"/>
          <w:szCs w:val="21"/>
          <w:highlight w:val="none"/>
        </w:rPr>
      </w:pPr>
      <w:r>
        <w:rPr>
          <w:rFonts w:hint="eastAsia" w:ascii="Cambria" w:hAnsi="Cambria"/>
          <w:szCs w:val="21"/>
          <w:highlight w:val="none"/>
        </w:rPr>
        <w:t>（三）不准要求、暗示或接受乙方和相关单位为个人装修住房、婚丧嫁娶、配偶子女的工作安排以及出国（境）、旅游等提供方便。</w:t>
      </w:r>
    </w:p>
    <w:p w14:paraId="199C27F7">
      <w:pPr>
        <w:spacing w:line="400" w:lineRule="exact"/>
        <w:ind w:firstLine="420" w:firstLineChars="200"/>
        <w:rPr>
          <w:rFonts w:ascii="Cambria" w:hAnsi="Cambria"/>
          <w:szCs w:val="21"/>
          <w:highlight w:val="none"/>
        </w:rPr>
      </w:pPr>
      <w:r>
        <w:rPr>
          <w:rFonts w:hint="eastAsia" w:ascii="Cambria" w:hAnsi="Cambria"/>
          <w:szCs w:val="21"/>
          <w:highlight w:val="none"/>
        </w:rPr>
        <w:t>（四）不准参加有可能影响公正执行公务的乙方和相关单位的宴请、健身、娱乐等活动。</w:t>
      </w:r>
    </w:p>
    <w:p w14:paraId="0383D898">
      <w:pPr>
        <w:spacing w:line="400" w:lineRule="exact"/>
        <w:ind w:firstLine="420" w:firstLineChars="200"/>
        <w:rPr>
          <w:rFonts w:ascii="Cambria" w:hAnsi="Cambria"/>
          <w:szCs w:val="21"/>
          <w:highlight w:val="none"/>
        </w:rPr>
      </w:pPr>
      <w:r>
        <w:rPr>
          <w:rFonts w:hint="eastAsia" w:ascii="Cambria" w:hAnsi="Cambria"/>
          <w:szCs w:val="21"/>
          <w:highlight w:val="none"/>
        </w:rPr>
        <w:t>（五）不准向乙方介绍或为配偶、子女、亲属参与同甲方项目工程施工合同有关的设备、材料工程分包、劳务等经济活动。不得以任何理由要求乙方和相关单位推荐分包单位和要求乙方购买项目工程施工合同约定以外的材料、设备等。</w:t>
      </w:r>
    </w:p>
    <w:p w14:paraId="7423E5D4">
      <w:pPr>
        <w:spacing w:line="400" w:lineRule="exact"/>
        <w:ind w:firstLine="420" w:firstLineChars="200"/>
        <w:rPr>
          <w:rFonts w:ascii="Cambria" w:hAnsi="Cambria"/>
          <w:szCs w:val="21"/>
          <w:highlight w:val="none"/>
        </w:rPr>
      </w:pPr>
      <w:r>
        <w:rPr>
          <w:rFonts w:hint="eastAsia" w:ascii="Cambria" w:hAnsi="Cambria"/>
          <w:szCs w:val="21"/>
          <w:highlight w:val="none"/>
        </w:rPr>
        <w:t>第三条 乙方的责任</w:t>
      </w:r>
    </w:p>
    <w:p w14:paraId="16F99850">
      <w:pPr>
        <w:spacing w:line="400" w:lineRule="exact"/>
        <w:ind w:firstLine="420" w:firstLineChars="200"/>
        <w:rPr>
          <w:rFonts w:ascii="Cambria" w:hAnsi="Cambria"/>
          <w:szCs w:val="21"/>
          <w:highlight w:val="none"/>
        </w:rPr>
      </w:pPr>
      <w:r>
        <w:rPr>
          <w:rFonts w:hint="eastAsia" w:ascii="Cambria" w:hAnsi="Cambria"/>
          <w:szCs w:val="21"/>
          <w:highlight w:val="none"/>
        </w:rPr>
        <w:t>应与甲方保持正常的业务交往，按照有关法律法规和程序开展业务工作，严格执行工程建设的有关方针、政策，尤其是有关建筑施工安装的强制性标准和规范，并遵守以下规定：</w:t>
      </w:r>
    </w:p>
    <w:p w14:paraId="766D09F5">
      <w:pPr>
        <w:spacing w:line="400" w:lineRule="exact"/>
        <w:ind w:firstLine="420" w:firstLineChars="200"/>
        <w:rPr>
          <w:rFonts w:ascii="Cambria" w:hAnsi="Cambria"/>
          <w:szCs w:val="21"/>
          <w:highlight w:val="none"/>
        </w:rPr>
      </w:pPr>
      <w:r>
        <w:rPr>
          <w:rFonts w:hint="eastAsia" w:ascii="Cambria" w:hAnsi="Cambria"/>
          <w:szCs w:val="21"/>
          <w:highlight w:val="none"/>
        </w:rPr>
        <w:t>（一）不准以任何理由向甲方、相关单位及其工作人员索要、接受或赠送礼金、有价证券、贵重物品和回扣、好处费、感谢费等。</w:t>
      </w:r>
    </w:p>
    <w:p w14:paraId="3C9AC9CE">
      <w:pPr>
        <w:spacing w:line="400" w:lineRule="exact"/>
        <w:ind w:firstLine="420" w:firstLineChars="200"/>
        <w:rPr>
          <w:rFonts w:ascii="Cambria" w:hAnsi="Cambria"/>
          <w:szCs w:val="21"/>
          <w:highlight w:val="none"/>
        </w:rPr>
      </w:pPr>
      <w:r>
        <w:rPr>
          <w:rFonts w:hint="eastAsia" w:ascii="Cambria" w:hAnsi="Cambria"/>
          <w:szCs w:val="21"/>
          <w:highlight w:val="none"/>
        </w:rPr>
        <w:t>（二）不准以任何理由为甲方和相关单位报销应由对方或个人支付的费用。</w:t>
      </w:r>
    </w:p>
    <w:p w14:paraId="071B43D9">
      <w:pPr>
        <w:spacing w:line="400" w:lineRule="exact"/>
        <w:ind w:firstLine="420" w:firstLineChars="200"/>
        <w:rPr>
          <w:rFonts w:ascii="Cambria" w:hAnsi="Cambria"/>
          <w:szCs w:val="21"/>
          <w:highlight w:val="none"/>
        </w:rPr>
      </w:pPr>
      <w:r>
        <w:rPr>
          <w:rFonts w:hint="eastAsia" w:ascii="Cambria" w:hAnsi="Cambria"/>
          <w:szCs w:val="21"/>
          <w:highlight w:val="none"/>
        </w:rPr>
        <w:t>（三）不准接受或暗示为甲方、相关单位或个人装修住房、婚丧嫁娶、配偶子女的工作安排以及出国（境）、旅游等提供方便。</w:t>
      </w:r>
    </w:p>
    <w:p w14:paraId="3168F83C">
      <w:pPr>
        <w:spacing w:line="400" w:lineRule="exact"/>
        <w:ind w:firstLine="420" w:firstLineChars="200"/>
        <w:rPr>
          <w:rFonts w:ascii="Cambria" w:hAnsi="Cambria"/>
          <w:szCs w:val="21"/>
          <w:highlight w:val="none"/>
        </w:rPr>
      </w:pPr>
      <w:r>
        <w:rPr>
          <w:rFonts w:hint="eastAsia" w:ascii="Cambria" w:hAnsi="Cambria"/>
          <w:szCs w:val="21"/>
          <w:highlight w:val="none"/>
        </w:rPr>
        <w:t>（四）不准以任何理由为甲方、相关单位或个人组织有可能影响公正执行公务的宴请、健身、娱乐等活动。</w:t>
      </w:r>
    </w:p>
    <w:p w14:paraId="525CF23F">
      <w:pPr>
        <w:spacing w:line="400" w:lineRule="exact"/>
        <w:ind w:firstLine="420" w:firstLineChars="200"/>
        <w:rPr>
          <w:rFonts w:ascii="Cambria" w:hAnsi="Cambria"/>
          <w:szCs w:val="21"/>
          <w:highlight w:val="none"/>
        </w:rPr>
      </w:pPr>
      <w:r>
        <w:rPr>
          <w:rFonts w:hint="eastAsia" w:ascii="Cambria" w:hAnsi="Cambria"/>
          <w:szCs w:val="21"/>
          <w:highlight w:val="none"/>
        </w:rPr>
        <w:t xml:space="preserve">第四条  违约责任 </w:t>
      </w:r>
    </w:p>
    <w:p w14:paraId="0B8A9147">
      <w:pPr>
        <w:spacing w:line="400" w:lineRule="exact"/>
        <w:ind w:firstLine="420" w:firstLineChars="200"/>
        <w:rPr>
          <w:rFonts w:ascii="Cambria" w:hAnsi="Cambria"/>
          <w:szCs w:val="21"/>
          <w:highlight w:val="none"/>
        </w:rPr>
      </w:pPr>
      <w:r>
        <w:rPr>
          <w:rFonts w:hint="eastAsia" w:ascii="Cambria" w:hAnsi="Cambria"/>
          <w:szCs w:val="21"/>
          <w:highlight w:val="none"/>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2C3D155B">
      <w:pPr>
        <w:spacing w:line="400" w:lineRule="exact"/>
        <w:ind w:firstLine="420" w:firstLineChars="200"/>
        <w:rPr>
          <w:rFonts w:ascii="Cambria" w:hAnsi="Cambria"/>
          <w:szCs w:val="21"/>
          <w:highlight w:val="none"/>
        </w:rPr>
      </w:pPr>
      <w:r>
        <w:rPr>
          <w:rFonts w:hint="eastAsia" w:ascii="Cambria" w:hAnsi="Cambria"/>
          <w:szCs w:val="21"/>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57CE04B4">
      <w:pPr>
        <w:spacing w:line="400" w:lineRule="exact"/>
        <w:rPr>
          <w:rFonts w:ascii="Cambria" w:hAnsi="Cambria"/>
          <w:szCs w:val="21"/>
          <w:highlight w:val="none"/>
        </w:rPr>
      </w:pPr>
      <w:r>
        <w:rPr>
          <w:rFonts w:hint="eastAsia" w:ascii="Cambria" w:hAnsi="Cambria"/>
          <w:szCs w:val="21"/>
          <w:highlight w:val="none"/>
        </w:rPr>
        <w:t xml:space="preserve">    第五条  本责任书作为工程施工合同的附件，与工程施工合同具有同等法律效力。经双方签署后立即生效。</w:t>
      </w:r>
    </w:p>
    <w:p w14:paraId="70AE6D3F">
      <w:pPr>
        <w:spacing w:line="400" w:lineRule="exact"/>
        <w:ind w:firstLine="420" w:firstLineChars="200"/>
        <w:rPr>
          <w:rFonts w:ascii="Cambria" w:hAnsi="Cambria"/>
          <w:szCs w:val="21"/>
          <w:highlight w:val="none"/>
        </w:rPr>
      </w:pPr>
      <w:r>
        <w:rPr>
          <w:rFonts w:hint="eastAsia" w:ascii="Cambria" w:hAnsi="Cambria"/>
          <w:szCs w:val="21"/>
          <w:highlight w:val="none"/>
        </w:rPr>
        <w:t>第六条  本责任书的有效期为双方签署之日起至该工程项目竣工验收合格时止。</w:t>
      </w:r>
    </w:p>
    <w:p w14:paraId="2CBE3166">
      <w:pPr>
        <w:spacing w:line="400" w:lineRule="exact"/>
        <w:rPr>
          <w:rFonts w:ascii="Cambria" w:hAnsi="Cambria"/>
          <w:szCs w:val="21"/>
          <w:highlight w:val="none"/>
        </w:rPr>
      </w:pPr>
    </w:p>
    <w:p w14:paraId="3C7477C8">
      <w:pPr>
        <w:spacing w:line="400" w:lineRule="exact"/>
        <w:rPr>
          <w:rFonts w:ascii="Cambria" w:hAnsi="Cambria"/>
          <w:szCs w:val="21"/>
          <w:highlight w:val="none"/>
        </w:rPr>
      </w:pPr>
      <w:r>
        <w:rPr>
          <w:rFonts w:hint="eastAsia" w:ascii="Cambria" w:hAnsi="Cambria"/>
          <w:szCs w:val="21"/>
          <w:highlight w:val="none"/>
        </w:rPr>
        <w:t>甲方单位：（盖章）                         乙方单位：（盖章）</w:t>
      </w:r>
    </w:p>
    <w:p w14:paraId="326E079B">
      <w:pPr>
        <w:spacing w:line="400" w:lineRule="exact"/>
        <w:rPr>
          <w:rFonts w:ascii="Cambria" w:hAnsi="Cambria"/>
          <w:szCs w:val="21"/>
          <w:highlight w:val="none"/>
        </w:rPr>
      </w:pPr>
    </w:p>
    <w:p w14:paraId="486AA728">
      <w:pPr>
        <w:spacing w:line="400" w:lineRule="exact"/>
        <w:rPr>
          <w:rFonts w:ascii="Cambria" w:hAnsi="Cambria"/>
          <w:szCs w:val="21"/>
          <w:highlight w:val="none"/>
        </w:rPr>
      </w:pPr>
      <w:r>
        <w:rPr>
          <w:rFonts w:hint="eastAsia" w:ascii="Cambria" w:hAnsi="Cambria"/>
          <w:szCs w:val="21"/>
          <w:highlight w:val="none"/>
        </w:rPr>
        <w:t>法定代表人或委托代理人（签字或盖章）：     法定代表人或委托代理人（签字或盖章）：</w:t>
      </w:r>
    </w:p>
    <w:p w14:paraId="0543B876">
      <w:pPr>
        <w:spacing w:line="400" w:lineRule="exact"/>
        <w:rPr>
          <w:rFonts w:ascii="Cambria" w:hAnsi="Cambria"/>
          <w:szCs w:val="21"/>
          <w:highlight w:val="none"/>
        </w:rPr>
      </w:pPr>
    </w:p>
    <w:p w14:paraId="5EE00C30">
      <w:pPr>
        <w:spacing w:line="400" w:lineRule="exact"/>
        <w:ind w:left="5040" w:hanging="5040" w:hangingChars="2400"/>
        <w:rPr>
          <w:rFonts w:ascii="Cambria" w:hAnsi="Cambria"/>
          <w:sz w:val="18"/>
          <w:szCs w:val="18"/>
          <w:highlight w:val="none"/>
        </w:rPr>
      </w:pPr>
      <w:r>
        <w:rPr>
          <w:rFonts w:hint="eastAsia" w:ascii="Cambria" w:hAnsi="Cambria"/>
          <w:szCs w:val="21"/>
          <w:highlight w:val="none"/>
        </w:rPr>
        <w:t xml:space="preserve">地址： </w:t>
      </w:r>
      <w:r>
        <w:rPr>
          <w:rFonts w:ascii="Cambria" w:hAnsi="Cambria"/>
          <w:szCs w:val="21"/>
          <w:highlight w:val="none"/>
        </w:rPr>
        <w:t xml:space="preserve">                     </w:t>
      </w:r>
      <w:r>
        <w:rPr>
          <w:rFonts w:hint="eastAsia" w:ascii="Cambria" w:hAnsi="Cambria"/>
          <w:szCs w:val="21"/>
          <w:highlight w:val="none"/>
        </w:rPr>
        <w:t xml:space="preserve">              地址：  </w:t>
      </w:r>
    </w:p>
    <w:p w14:paraId="6F9A6596">
      <w:pPr>
        <w:spacing w:line="400" w:lineRule="exact"/>
        <w:rPr>
          <w:rFonts w:ascii="Cambria" w:hAnsi="Cambria"/>
          <w:szCs w:val="21"/>
          <w:highlight w:val="none"/>
        </w:rPr>
      </w:pPr>
    </w:p>
    <w:p w14:paraId="2E539C07">
      <w:pPr>
        <w:spacing w:line="400" w:lineRule="exact"/>
        <w:rPr>
          <w:rFonts w:ascii="Cambria" w:hAnsi="Cambria"/>
          <w:szCs w:val="21"/>
          <w:highlight w:val="none"/>
        </w:rPr>
      </w:pPr>
      <w:r>
        <w:rPr>
          <w:rFonts w:hint="eastAsia" w:ascii="Cambria" w:hAnsi="Cambria"/>
          <w:szCs w:val="21"/>
          <w:highlight w:val="none"/>
        </w:rPr>
        <w:t>电话：</w:t>
      </w:r>
      <w:r>
        <w:rPr>
          <w:rFonts w:ascii="Cambria" w:hAnsi="Cambria"/>
          <w:szCs w:val="21"/>
          <w:highlight w:val="none"/>
        </w:rPr>
        <w:t xml:space="preserve">           </w:t>
      </w:r>
      <w:r>
        <w:rPr>
          <w:rFonts w:hint="eastAsia" w:ascii="Cambria" w:hAnsi="Cambria"/>
          <w:szCs w:val="21"/>
          <w:highlight w:val="none"/>
        </w:rPr>
        <w:t xml:space="preserve">                         电话：   </w:t>
      </w:r>
    </w:p>
    <w:p w14:paraId="1D6D1771">
      <w:pPr>
        <w:spacing w:line="400" w:lineRule="exact"/>
        <w:ind w:firstLine="1470" w:firstLineChars="700"/>
        <w:rPr>
          <w:rFonts w:ascii="Cambria" w:hAnsi="Cambria"/>
          <w:szCs w:val="21"/>
          <w:highlight w:val="none"/>
        </w:rPr>
      </w:pPr>
    </w:p>
    <w:p w14:paraId="3D0BCA0F">
      <w:pPr>
        <w:spacing w:line="400" w:lineRule="exact"/>
        <w:ind w:firstLine="1470" w:firstLineChars="700"/>
        <w:rPr>
          <w:rFonts w:ascii="Cambria" w:hAnsi="Cambria"/>
          <w:szCs w:val="21"/>
          <w:highlight w:val="none"/>
        </w:rPr>
      </w:pPr>
      <w:r>
        <w:rPr>
          <w:rFonts w:hint="eastAsia" w:ascii="Cambria" w:hAnsi="Cambria"/>
          <w:szCs w:val="21"/>
          <w:highlight w:val="none"/>
        </w:rPr>
        <w:t>年    月   日                                 年    月   日</w:t>
      </w:r>
    </w:p>
    <w:p w14:paraId="39AF5D97">
      <w:pPr>
        <w:tabs>
          <w:tab w:val="left" w:pos="1695"/>
        </w:tabs>
        <w:adjustRightInd w:val="0"/>
        <w:snapToGrid w:val="0"/>
        <w:spacing w:line="360" w:lineRule="auto"/>
        <w:ind w:firstLine="480"/>
        <w:rPr>
          <w:rFonts w:ascii="Cambria" w:hAnsi="Cambria"/>
          <w:szCs w:val="21"/>
          <w:highlight w:val="none"/>
        </w:rPr>
      </w:pPr>
    </w:p>
    <w:p w14:paraId="31C49212">
      <w:pPr>
        <w:rPr>
          <w:highlight w:val="none"/>
        </w:rPr>
      </w:pPr>
    </w:p>
    <w:p w14:paraId="23DD26CD">
      <w:pPr>
        <w:rPr>
          <w:sz w:val="28"/>
          <w:szCs w:val="28"/>
          <w:highlight w:val="none"/>
        </w:rPr>
      </w:pPr>
    </w:p>
    <w:p w14:paraId="7A53356A">
      <w:pPr>
        <w:rPr>
          <w:sz w:val="28"/>
          <w:szCs w:val="28"/>
          <w:highlight w:val="none"/>
        </w:rPr>
      </w:pPr>
    </w:p>
    <w:p w14:paraId="001B83AB">
      <w:pPr>
        <w:rPr>
          <w:sz w:val="28"/>
          <w:szCs w:val="28"/>
          <w:highlight w:val="none"/>
        </w:rPr>
      </w:pPr>
    </w:p>
    <w:p w14:paraId="04F894E4">
      <w:pPr>
        <w:rPr>
          <w:sz w:val="28"/>
          <w:szCs w:val="28"/>
          <w:highlight w:val="none"/>
        </w:rPr>
      </w:pPr>
    </w:p>
    <w:p w14:paraId="5F348BA4">
      <w:pPr>
        <w:rPr>
          <w:sz w:val="28"/>
          <w:szCs w:val="28"/>
          <w:highlight w:val="none"/>
        </w:rPr>
        <w:sectPr>
          <w:headerReference r:id="rId22" w:type="default"/>
          <w:footerReference r:id="rId23" w:type="default"/>
          <w:pgSz w:w="11906" w:h="16838"/>
          <w:pgMar w:top="1440" w:right="1486" w:bottom="1440" w:left="1800" w:header="851" w:footer="992" w:gutter="0"/>
          <w:cols w:space="720" w:num="1"/>
          <w:titlePg/>
          <w:docGrid w:type="lines" w:linePitch="312" w:charSpace="0"/>
        </w:sectPr>
      </w:pPr>
    </w:p>
    <w:p w14:paraId="41DD13D6">
      <w:pPr>
        <w:jc w:val="center"/>
        <w:rPr>
          <w:b/>
          <w:sz w:val="44"/>
          <w:szCs w:val="44"/>
          <w:highlight w:val="none"/>
        </w:rPr>
      </w:pPr>
    </w:p>
    <w:p w14:paraId="2FEE71A7">
      <w:pPr>
        <w:jc w:val="center"/>
        <w:rPr>
          <w:b/>
          <w:sz w:val="44"/>
          <w:szCs w:val="44"/>
          <w:highlight w:val="none"/>
        </w:rPr>
      </w:pPr>
    </w:p>
    <w:p w14:paraId="735B053E">
      <w:pPr>
        <w:jc w:val="center"/>
        <w:rPr>
          <w:b/>
          <w:sz w:val="44"/>
          <w:szCs w:val="44"/>
          <w:highlight w:val="none"/>
        </w:rPr>
      </w:pPr>
    </w:p>
    <w:p w14:paraId="3125F32E">
      <w:pPr>
        <w:jc w:val="center"/>
        <w:rPr>
          <w:b/>
          <w:sz w:val="44"/>
          <w:szCs w:val="44"/>
          <w:highlight w:val="none"/>
        </w:rPr>
      </w:pPr>
    </w:p>
    <w:p w14:paraId="4752D6F6">
      <w:pPr>
        <w:jc w:val="center"/>
        <w:rPr>
          <w:b/>
          <w:sz w:val="44"/>
          <w:szCs w:val="44"/>
          <w:highlight w:val="none"/>
        </w:rPr>
      </w:pPr>
    </w:p>
    <w:p w14:paraId="20B2ACCB">
      <w:pPr>
        <w:jc w:val="center"/>
        <w:rPr>
          <w:b/>
          <w:sz w:val="44"/>
          <w:szCs w:val="44"/>
          <w:highlight w:val="none"/>
        </w:rPr>
      </w:pPr>
    </w:p>
    <w:p w14:paraId="5DF0CB75">
      <w:pPr>
        <w:jc w:val="center"/>
        <w:rPr>
          <w:b/>
          <w:sz w:val="44"/>
          <w:szCs w:val="44"/>
          <w:highlight w:val="none"/>
        </w:rPr>
      </w:pPr>
    </w:p>
    <w:p w14:paraId="2A609120">
      <w:pPr>
        <w:jc w:val="center"/>
        <w:rPr>
          <w:b/>
          <w:sz w:val="44"/>
          <w:szCs w:val="44"/>
          <w:highlight w:val="none"/>
        </w:rPr>
      </w:pPr>
      <w:r>
        <w:rPr>
          <w:b/>
          <w:sz w:val="44"/>
          <w:szCs w:val="44"/>
          <w:highlight w:val="none"/>
        </w:rPr>
        <w:t>第</w:t>
      </w:r>
      <w:r>
        <w:rPr>
          <w:rFonts w:hint="eastAsia"/>
          <w:b/>
          <w:sz w:val="44"/>
          <w:szCs w:val="44"/>
          <w:highlight w:val="none"/>
        </w:rPr>
        <w:t>六节 中标通知书</w:t>
      </w:r>
    </w:p>
    <w:p w14:paraId="2D2730B9">
      <w:pPr>
        <w:rPr>
          <w:highlight w:val="none"/>
        </w:rPr>
      </w:pPr>
    </w:p>
    <w:p w14:paraId="1D49DEE9">
      <w:pPr>
        <w:rPr>
          <w:highlight w:val="none"/>
        </w:rPr>
      </w:pPr>
    </w:p>
    <w:p w14:paraId="5BDBD238">
      <w:pPr>
        <w:tabs>
          <w:tab w:val="left" w:pos="1440"/>
        </w:tabs>
        <w:rPr>
          <w:szCs w:val="21"/>
          <w:highlight w:val="none"/>
        </w:rPr>
      </w:pPr>
    </w:p>
    <w:p w14:paraId="031309E7">
      <w:pPr>
        <w:jc w:val="center"/>
        <w:rPr>
          <w:rFonts w:eastAsia="Cambria"/>
          <w:sz w:val="24"/>
          <w:szCs w:val="20"/>
          <w:highlight w:val="none"/>
        </w:rPr>
      </w:pPr>
    </w:p>
    <w:p w14:paraId="2DB7CCA3">
      <w:pPr>
        <w:jc w:val="center"/>
        <w:rPr>
          <w:rFonts w:eastAsia="Cambria"/>
          <w:sz w:val="24"/>
          <w:szCs w:val="20"/>
          <w:highlight w:val="none"/>
        </w:rPr>
      </w:pPr>
    </w:p>
    <w:p w14:paraId="652B986C">
      <w:pPr>
        <w:jc w:val="center"/>
        <w:rPr>
          <w:rFonts w:eastAsia="Cambria"/>
          <w:sz w:val="24"/>
          <w:szCs w:val="20"/>
          <w:highlight w:val="none"/>
        </w:rPr>
      </w:pPr>
    </w:p>
    <w:p w14:paraId="0F741F51">
      <w:pPr>
        <w:jc w:val="center"/>
        <w:rPr>
          <w:rFonts w:eastAsia="Cambria"/>
          <w:sz w:val="24"/>
          <w:szCs w:val="20"/>
          <w:highlight w:val="none"/>
        </w:rPr>
      </w:pPr>
    </w:p>
    <w:p w14:paraId="399ECA50">
      <w:pPr>
        <w:jc w:val="center"/>
        <w:rPr>
          <w:rFonts w:eastAsia="Cambria"/>
          <w:sz w:val="24"/>
          <w:szCs w:val="20"/>
          <w:highlight w:val="none"/>
        </w:rPr>
      </w:pPr>
    </w:p>
    <w:p w14:paraId="26124AC1">
      <w:pPr>
        <w:jc w:val="center"/>
        <w:rPr>
          <w:rFonts w:eastAsia="Cambria"/>
          <w:sz w:val="24"/>
          <w:szCs w:val="20"/>
          <w:highlight w:val="none"/>
        </w:rPr>
      </w:pPr>
    </w:p>
    <w:p w14:paraId="4349083A">
      <w:pPr>
        <w:jc w:val="center"/>
        <w:rPr>
          <w:rFonts w:eastAsia="Cambria"/>
          <w:sz w:val="24"/>
          <w:szCs w:val="20"/>
          <w:highlight w:val="none"/>
        </w:rPr>
      </w:pPr>
    </w:p>
    <w:p w14:paraId="7AE562F0">
      <w:pPr>
        <w:jc w:val="center"/>
        <w:rPr>
          <w:rFonts w:eastAsia="Cambria"/>
          <w:sz w:val="24"/>
          <w:szCs w:val="20"/>
          <w:highlight w:val="none"/>
        </w:rPr>
      </w:pPr>
    </w:p>
    <w:p w14:paraId="21E15291">
      <w:pPr>
        <w:jc w:val="center"/>
        <w:rPr>
          <w:rFonts w:eastAsia="Cambria"/>
          <w:sz w:val="24"/>
          <w:szCs w:val="20"/>
          <w:highlight w:val="none"/>
        </w:rPr>
      </w:pPr>
    </w:p>
    <w:p w14:paraId="3482940E">
      <w:pPr>
        <w:jc w:val="center"/>
        <w:rPr>
          <w:rFonts w:eastAsia="Cambria"/>
          <w:sz w:val="24"/>
          <w:szCs w:val="20"/>
          <w:highlight w:val="none"/>
        </w:rPr>
      </w:pPr>
    </w:p>
    <w:p w14:paraId="728599AA">
      <w:pPr>
        <w:jc w:val="center"/>
        <w:rPr>
          <w:rFonts w:eastAsia="Cambria"/>
          <w:sz w:val="24"/>
          <w:szCs w:val="20"/>
          <w:highlight w:val="none"/>
        </w:rPr>
      </w:pPr>
    </w:p>
    <w:p w14:paraId="6A8A6F3F">
      <w:pPr>
        <w:jc w:val="center"/>
        <w:rPr>
          <w:rFonts w:eastAsia="Cambria"/>
          <w:sz w:val="24"/>
          <w:szCs w:val="20"/>
          <w:highlight w:val="none"/>
        </w:rPr>
      </w:pPr>
    </w:p>
    <w:p w14:paraId="5DBA3EAB">
      <w:pPr>
        <w:jc w:val="center"/>
        <w:rPr>
          <w:rFonts w:eastAsia="Cambria"/>
          <w:sz w:val="24"/>
          <w:szCs w:val="20"/>
          <w:highlight w:val="none"/>
        </w:rPr>
      </w:pPr>
    </w:p>
    <w:p w14:paraId="635B7C02">
      <w:pPr>
        <w:jc w:val="center"/>
        <w:rPr>
          <w:rFonts w:eastAsia="Cambria"/>
          <w:sz w:val="24"/>
          <w:szCs w:val="20"/>
          <w:highlight w:val="none"/>
        </w:rPr>
      </w:pPr>
    </w:p>
    <w:p w14:paraId="506ECB70">
      <w:pPr>
        <w:jc w:val="center"/>
        <w:rPr>
          <w:rFonts w:eastAsia="Cambria"/>
          <w:sz w:val="24"/>
          <w:szCs w:val="20"/>
          <w:highlight w:val="none"/>
        </w:rPr>
      </w:pPr>
    </w:p>
    <w:p w14:paraId="687A021B">
      <w:pPr>
        <w:jc w:val="center"/>
        <w:rPr>
          <w:rFonts w:eastAsia="Cambria"/>
          <w:sz w:val="24"/>
          <w:szCs w:val="20"/>
          <w:highlight w:val="none"/>
        </w:rPr>
      </w:pPr>
    </w:p>
    <w:p w14:paraId="696F35D6">
      <w:pPr>
        <w:jc w:val="center"/>
        <w:rPr>
          <w:rFonts w:eastAsia="Cambria"/>
          <w:sz w:val="24"/>
          <w:szCs w:val="20"/>
          <w:highlight w:val="none"/>
        </w:rPr>
      </w:pPr>
    </w:p>
    <w:p w14:paraId="3516199F">
      <w:pPr>
        <w:jc w:val="center"/>
        <w:rPr>
          <w:rFonts w:eastAsia="Cambria"/>
          <w:sz w:val="24"/>
          <w:szCs w:val="20"/>
          <w:highlight w:val="none"/>
        </w:rPr>
      </w:pPr>
    </w:p>
    <w:p w14:paraId="3B92013A">
      <w:pPr>
        <w:jc w:val="center"/>
        <w:rPr>
          <w:rFonts w:eastAsia="Cambria"/>
          <w:sz w:val="24"/>
          <w:szCs w:val="20"/>
          <w:highlight w:val="none"/>
        </w:rPr>
      </w:pPr>
    </w:p>
    <w:p w14:paraId="0A45AA08">
      <w:pPr>
        <w:jc w:val="center"/>
        <w:rPr>
          <w:rFonts w:eastAsia="Cambria"/>
          <w:sz w:val="24"/>
          <w:szCs w:val="20"/>
          <w:highlight w:val="none"/>
        </w:rPr>
      </w:pPr>
    </w:p>
    <w:p w14:paraId="473E3DA8">
      <w:pPr>
        <w:jc w:val="center"/>
        <w:rPr>
          <w:rFonts w:eastAsia="Cambria"/>
          <w:sz w:val="24"/>
          <w:szCs w:val="20"/>
          <w:highlight w:val="none"/>
        </w:rPr>
      </w:pPr>
    </w:p>
    <w:p w14:paraId="4988FFEF">
      <w:pPr>
        <w:jc w:val="center"/>
        <w:rPr>
          <w:rFonts w:eastAsia="Cambria"/>
          <w:sz w:val="24"/>
          <w:szCs w:val="20"/>
          <w:highlight w:val="none"/>
        </w:rPr>
      </w:pPr>
    </w:p>
    <w:p w14:paraId="6F69A390">
      <w:pPr>
        <w:jc w:val="center"/>
        <w:rPr>
          <w:rFonts w:eastAsia="Cambria"/>
          <w:sz w:val="24"/>
          <w:szCs w:val="20"/>
          <w:highlight w:val="none"/>
        </w:rPr>
      </w:pPr>
    </w:p>
    <w:p w14:paraId="05AF4F7E">
      <w:pPr>
        <w:jc w:val="center"/>
        <w:rPr>
          <w:rFonts w:eastAsia="Cambria"/>
          <w:sz w:val="24"/>
          <w:szCs w:val="20"/>
          <w:highlight w:val="none"/>
        </w:rPr>
      </w:pPr>
    </w:p>
    <w:p w14:paraId="10771619">
      <w:pPr>
        <w:jc w:val="center"/>
        <w:rPr>
          <w:rFonts w:eastAsia="Cambria"/>
          <w:sz w:val="24"/>
          <w:szCs w:val="20"/>
          <w:highlight w:val="none"/>
        </w:rPr>
      </w:pPr>
    </w:p>
    <w:p w14:paraId="43FF6D77">
      <w:pPr>
        <w:jc w:val="center"/>
        <w:rPr>
          <w:rFonts w:eastAsia="Cambria"/>
          <w:sz w:val="24"/>
          <w:szCs w:val="20"/>
          <w:highlight w:val="none"/>
        </w:rPr>
      </w:pPr>
    </w:p>
    <w:p w14:paraId="49EE0F5F">
      <w:pPr>
        <w:jc w:val="center"/>
        <w:rPr>
          <w:b/>
          <w:sz w:val="44"/>
          <w:szCs w:val="44"/>
          <w:highlight w:val="none"/>
        </w:rPr>
      </w:pPr>
      <w:r>
        <w:rPr>
          <w:rFonts w:eastAsia="Cambria"/>
          <w:sz w:val="24"/>
          <w:szCs w:val="20"/>
          <w:highlight w:val="none"/>
        </w:rPr>
        <w:br w:type="page"/>
      </w:r>
    </w:p>
    <w:p w14:paraId="477A201E">
      <w:pPr>
        <w:jc w:val="center"/>
        <w:rPr>
          <w:b/>
          <w:sz w:val="44"/>
          <w:szCs w:val="44"/>
          <w:highlight w:val="none"/>
        </w:rPr>
      </w:pPr>
    </w:p>
    <w:p w14:paraId="163FAFF3">
      <w:pPr>
        <w:jc w:val="center"/>
        <w:rPr>
          <w:b/>
          <w:sz w:val="44"/>
          <w:szCs w:val="44"/>
          <w:highlight w:val="none"/>
        </w:rPr>
      </w:pPr>
    </w:p>
    <w:p w14:paraId="20A5A3BB">
      <w:pPr>
        <w:jc w:val="center"/>
        <w:rPr>
          <w:b/>
          <w:sz w:val="44"/>
          <w:szCs w:val="44"/>
          <w:highlight w:val="none"/>
        </w:rPr>
      </w:pPr>
    </w:p>
    <w:p w14:paraId="0DF91AF0">
      <w:pPr>
        <w:jc w:val="center"/>
        <w:rPr>
          <w:b/>
          <w:sz w:val="44"/>
          <w:szCs w:val="44"/>
          <w:highlight w:val="none"/>
        </w:rPr>
      </w:pPr>
    </w:p>
    <w:p w14:paraId="594C67FD">
      <w:pPr>
        <w:jc w:val="center"/>
        <w:rPr>
          <w:b/>
          <w:sz w:val="44"/>
          <w:szCs w:val="44"/>
          <w:highlight w:val="none"/>
        </w:rPr>
      </w:pPr>
    </w:p>
    <w:p w14:paraId="4B87B581">
      <w:pPr>
        <w:jc w:val="center"/>
        <w:rPr>
          <w:b/>
          <w:sz w:val="44"/>
          <w:szCs w:val="44"/>
          <w:highlight w:val="none"/>
        </w:rPr>
      </w:pPr>
    </w:p>
    <w:p w14:paraId="7524F613">
      <w:pPr>
        <w:jc w:val="center"/>
        <w:rPr>
          <w:b/>
          <w:sz w:val="44"/>
          <w:szCs w:val="44"/>
          <w:highlight w:val="none"/>
        </w:rPr>
      </w:pPr>
      <w:r>
        <w:rPr>
          <w:b/>
          <w:sz w:val="44"/>
          <w:szCs w:val="44"/>
          <w:highlight w:val="none"/>
        </w:rPr>
        <w:t>第</w:t>
      </w:r>
      <w:r>
        <w:rPr>
          <w:rFonts w:hint="eastAsia"/>
          <w:b/>
          <w:sz w:val="44"/>
          <w:szCs w:val="44"/>
          <w:highlight w:val="none"/>
        </w:rPr>
        <w:t>七节 施工安全协议书</w:t>
      </w:r>
    </w:p>
    <w:p w14:paraId="0E642D1D">
      <w:pPr>
        <w:rPr>
          <w:highlight w:val="none"/>
        </w:rPr>
      </w:pPr>
    </w:p>
    <w:p w14:paraId="3B7AE1B5">
      <w:pPr>
        <w:rPr>
          <w:highlight w:val="none"/>
        </w:rPr>
      </w:pPr>
    </w:p>
    <w:p w14:paraId="5B71A4CB">
      <w:pPr>
        <w:tabs>
          <w:tab w:val="left" w:pos="1440"/>
        </w:tabs>
        <w:rPr>
          <w:szCs w:val="21"/>
          <w:highlight w:val="none"/>
        </w:rPr>
      </w:pPr>
    </w:p>
    <w:p w14:paraId="278B1D6D">
      <w:pPr>
        <w:jc w:val="center"/>
        <w:rPr>
          <w:rFonts w:eastAsia="Cambria"/>
          <w:sz w:val="24"/>
          <w:szCs w:val="20"/>
          <w:highlight w:val="none"/>
        </w:rPr>
      </w:pPr>
    </w:p>
    <w:p w14:paraId="7D64AA50">
      <w:pPr>
        <w:jc w:val="center"/>
        <w:rPr>
          <w:rFonts w:eastAsia="Cambria"/>
          <w:sz w:val="24"/>
          <w:szCs w:val="20"/>
          <w:highlight w:val="none"/>
        </w:rPr>
      </w:pPr>
    </w:p>
    <w:p w14:paraId="5277A2CE">
      <w:pPr>
        <w:jc w:val="center"/>
        <w:rPr>
          <w:rFonts w:eastAsia="Cambria"/>
          <w:sz w:val="24"/>
          <w:szCs w:val="20"/>
          <w:highlight w:val="none"/>
        </w:rPr>
      </w:pPr>
    </w:p>
    <w:p w14:paraId="4524E341">
      <w:pPr>
        <w:jc w:val="center"/>
        <w:rPr>
          <w:rFonts w:eastAsia="Cambria"/>
          <w:sz w:val="24"/>
          <w:szCs w:val="20"/>
          <w:highlight w:val="none"/>
        </w:rPr>
      </w:pPr>
    </w:p>
    <w:p w14:paraId="0B181E96">
      <w:pPr>
        <w:jc w:val="center"/>
        <w:rPr>
          <w:rFonts w:eastAsia="Cambria"/>
          <w:sz w:val="24"/>
          <w:szCs w:val="20"/>
          <w:highlight w:val="none"/>
        </w:rPr>
      </w:pPr>
    </w:p>
    <w:p w14:paraId="43A86BEB">
      <w:pPr>
        <w:jc w:val="center"/>
        <w:rPr>
          <w:rFonts w:eastAsia="Cambria"/>
          <w:sz w:val="24"/>
          <w:szCs w:val="20"/>
          <w:highlight w:val="none"/>
        </w:rPr>
      </w:pPr>
    </w:p>
    <w:p w14:paraId="0FC87424">
      <w:pPr>
        <w:jc w:val="center"/>
        <w:rPr>
          <w:rFonts w:eastAsia="Cambria"/>
          <w:sz w:val="24"/>
          <w:szCs w:val="20"/>
          <w:highlight w:val="none"/>
        </w:rPr>
      </w:pPr>
    </w:p>
    <w:p w14:paraId="44C87144">
      <w:pPr>
        <w:jc w:val="center"/>
        <w:rPr>
          <w:rFonts w:eastAsia="Cambria"/>
          <w:sz w:val="24"/>
          <w:szCs w:val="20"/>
          <w:highlight w:val="none"/>
        </w:rPr>
      </w:pPr>
    </w:p>
    <w:p w14:paraId="02ADD0A6">
      <w:pPr>
        <w:jc w:val="center"/>
        <w:rPr>
          <w:rFonts w:eastAsia="Cambria"/>
          <w:sz w:val="24"/>
          <w:szCs w:val="20"/>
          <w:highlight w:val="none"/>
        </w:rPr>
      </w:pPr>
    </w:p>
    <w:p w14:paraId="3E550323">
      <w:pPr>
        <w:jc w:val="center"/>
        <w:rPr>
          <w:rFonts w:eastAsia="Cambria"/>
          <w:sz w:val="24"/>
          <w:szCs w:val="20"/>
          <w:highlight w:val="none"/>
        </w:rPr>
      </w:pPr>
    </w:p>
    <w:p w14:paraId="1553BD55">
      <w:pPr>
        <w:jc w:val="center"/>
        <w:rPr>
          <w:rFonts w:eastAsia="Cambria"/>
          <w:sz w:val="24"/>
          <w:szCs w:val="20"/>
          <w:highlight w:val="none"/>
        </w:rPr>
      </w:pPr>
    </w:p>
    <w:p w14:paraId="4007654E">
      <w:pPr>
        <w:jc w:val="center"/>
        <w:rPr>
          <w:rFonts w:eastAsia="Cambria"/>
          <w:sz w:val="24"/>
          <w:szCs w:val="20"/>
          <w:highlight w:val="none"/>
        </w:rPr>
      </w:pPr>
    </w:p>
    <w:p w14:paraId="09BD0D65">
      <w:pPr>
        <w:jc w:val="center"/>
        <w:rPr>
          <w:rFonts w:eastAsia="Cambria"/>
          <w:sz w:val="24"/>
          <w:szCs w:val="20"/>
          <w:highlight w:val="none"/>
        </w:rPr>
      </w:pPr>
    </w:p>
    <w:p w14:paraId="2BA035D5">
      <w:pPr>
        <w:jc w:val="center"/>
        <w:rPr>
          <w:rFonts w:eastAsia="Cambria"/>
          <w:sz w:val="24"/>
          <w:szCs w:val="20"/>
          <w:highlight w:val="none"/>
        </w:rPr>
      </w:pPr>
    </w:p>
    <w:p w14:paraId="6DD66FE8">
      <w:pPr>
        <w:jc w:val="center"/>
        <w:rPr>
          <w:rFonts w:eastAsia="Cambria"/>
          <w:sz w:val="24"/>
          <w:szCs w:val="20"/>
          <w:highlight w:val="none"/>
        </w:rPr>
      </w:pPr>
    </w:p>
    <w:p w14:paraId="222E83BB">
      <w:pPr>
        <w:jc w:val="center"/>
        <w:rPr>
          <w:rFonts w:eastAsia="Cambria"/>
          <w:sz w:val="24"/>
          <w:szCs w:val="20"/>
          <w:highlight w:val="none"/>
        </w:rPr>
      </w:pPr>
    </w:p>
    <w:p w14:paraId="11F5D9DB">
      <w:pPr>
        <w:jc w:val="center"/>
        <w:rPr>
          <w:rFonts w:eastAsia="Cambria"/>
          <w:sz w:val="24"/>
          <w:szCs w:val="20"/>
          <w:highlight w:val="none"/>
        </w:rPr>
      </w:pPr>
    </w:p>
    <w:p w14:paraId="42B685FE">
      <w:pPr>
        <w:jc w:val="center"/>
        <w:rPr>
          <w:rFonts w:eastAsia="Cambria"/>
          <w:sz w:val="24"/>
          <w:szCs w:val="20"/>
          <w:highlight w:val="none"/>
        </w:rPr>
      </w:pPr>
    </w:p>
    <w:p w14:paraId="1BE0D8AA">
      <w:pPr>
        <w:jc w:val="center"/>
        <w:rPr>
          <w:rFonts w:eastAsia="Cambria"/>
          <w:sz w:val="24"/>
          <w:szCs w:val="20"/>
          <w:highlight w:val="none"/>
        </w:rPr>
      </w:pPr>
    </w:p>
    <w:p w14:paraId="299ECEBA">
      <w:pPr>
        <w:jc w:val="center"/>
        <w:rPr>
          <w:rFonts w:eastAsia="Cambria"/>
          <w:sz w:val="24"/>
          <w:szCs w:val="20"/>
          <w:highlight w:val="none"/>
        </w:rPr>
      </w:pPr>
    </w:p>
    <w:p w14:paraId="68BD0239">
      <w:pPr>
        <w:jc w:val="center"/>
        <w:rPr>
          <w:rFonts w:eastAsia="Cambria"/>
          <w:sz w:val="24"/>
          <w:szCs w:val="20"/>
          <w:highlight w:val="none"/>
        </w:rPr>
      </w:pPr>
    </w:p>
    <w:p w14:paraId="25AB0B0C">
      <w:pPr>
        <w:jc w:val="center"/>
        <w:rPr>
          <w:rFonts w:eastAsia="Cambria"/>
          <w:sz w:val="24"/>
          <w:szCs w:val="20"/>
          <w:highlight w:val="none"/>
        </w:rPr>
      </w:pPr>
    </w:p>
    <w:p w14:paraId="5770EB75">
      <w:pPr>
        <w:jc w:val="center"/>
        <w:rPr>
          <w:rFonts w:eastAsia="Cambria"/>
          <w:sz w:val="24"/>
          <w:szCs w:val="20"/>
          <w:highlight w:val="none"/>
        </w:rPr>
      </w:pPr>
    </w:p>
    <w:p w14:paraId="2DE71BD3">
      <w:pPr>
        <w:jc w:val="center"/>
        <w:rPr>
          <w:rFonts w:eastAsia="Cambria"/>
          <w:sz w:val="24"/>
          <w:szCs w:val="20"/>
          <w:highlight w:val="none"/>
        </w:rPr>
      </w:pPr>
    </w:p>
    <w:p w14:paraId="507DF154">
      <w:pPr>
        <w:jc w:val="center"/>
        <w:rPr>
          <w:rFonts w:eastAsia="Cambria"/>
          <w:sz w:val="24"/>
          <w:szCs w:val="20"/>
          <w:highlight w:val="none"/>
        </w:rPr>
      </w:pPr>
    </w:p>
    <w:p w14:paraId="55EE6D71">
      <w:pPr>
        <w:widowControl/>
        <w:spacing w:before="100" w:beforeAutospacing="1" w:after="240" w:afterLines="100" w:afterAutospacing="1" w:line="480" w:lineRule="auto"/>
        <w:jc w:val="center"/>
        <w:rPr>
          <w:rFonts w:ascii="Helvetica" w:hAnsi="Helvetica" w:cs="Helvetica"/>
          <w:kern w:val="0"/>
          <w:sz w:val="25"/>
          <w:szCs w:val="25"/>
          <w:highlight w:val="none"/>
        </w:rPr>
      </w:pPr>
      <w:r>
        <w:rPr>
          <w:rFonts w:ascii="Helvetica" w:hAnsi="Helvetica" w:cs="Helvetica"/>
          <w:b/>
          <w:bCs/>
          <w:kern w:val="0"/>
          <w:sz w:val="49"/>
          <w:szCs w:val="49"/>
          <w:highlight w:val="none"/>
        </w:rPr>
        <w:br w:type="page"/>
      </w:r>
      <w:r>
        <w:rPr>
          <w:rFonts w:ascii="Helvetica" w:hAnsi="Helvetica" w:cs="Helvetica"/>
          <w:b/>
          <w:bCs/>
          <w:kern w:val="0"/>
          <w:sz w:val="49"/>
          <w:szCs w:val="49"/>
          <w:highlight w:val="none"/>
        </w:rPr>
        <w:t>工程施工安全协议书</w:t>
      </w:r>
    </w:p>
    <w:p w14:paraId="28D77CD5">
      <w:pPr>
        <w:widowControl/>
        <w:adjustRightInd w:val="0"/>
        <w:snapToGrid w:val="0"/>
        <w:spacing w:line="360" w:lineRule="auto"/>
        <w:ind w:firstLine="480" w:firstLineChars="200"/>
        <w:rPr>
          <w:rFonts w:ascii="宋体" w:hAnsi="宋体" w:cs="Helvetica"/>
          <w:kern w:val="0"/>
          <w:sz w:val="24"/>
          <w:highlight w:val="none"/>
        </w:rPr>
      </w:pPr>
      <w:r>
        <w:rPr>
          <w:rFonts w:ascii="宋体" w:hAnsi="宋体" w:cs="Helvetica"/>
          <w:kern w:val="0"/>
          <w:sz w:val="24"/>
          <w:highlight w:val="none"/>
        </w:rPr>
        <w:t>为贯彻</w:t>
      </w:r>
      <w:r>
        <w:rPr>
          <w:rFonts w:hint="eastAsia" w:ascii="宋体" w:hAnsi="宋体" w:cs="Helvetica"/>
          <w:kern w:val="0"/>
          <w:sz w:val="24"/>
          <w:highlight w:val="none"/>
        </w:rPr>
        <w:t>“</w:t>
      </w:r>
      <w:r>
        <w:rPr>
          <w:rFonts w:ascii="宋体" w:hAnsi="宋体" w:cs="Helvetica"/>
          <w:kern w:val="0"/>
          <w:sz w:val="24"/>
          <w:highlight w:val="none"/>
        </w:rPr>
        <w:t>安全第一，预防为主</w:t>
      </w:r>
      <w:r>
        <w:rPr>
          <w:rFonts w:hint="eastAsia" w:ascii="宋体" w:hAnsi="宋体" w:cs="Helvetica"/>
          <w:kern w:val="0"/>
          <w:sz w:val="24"/>
          <w:highlight w:val="none"/>
        </w:rPr>
        <w:t>”</w:t>
      </w:r>
      <w:r>
        <w:rPr>
          <w:rFonts w:ascii="宋体" w:hAnsi="宋体" w:cs="Helvetica"/>
          <w:kern w:val="0"/>
          <w:sz w:val="24"/>
          <w:highlight w:val="none"/>
        </w:rPr>
        <w:t>方针，明确双方的安全责任，确保施工中人身、</w:t>
      </w:r>
      <w:r>
        <w:rPr>
          <w:rFonts w:hint="eastAsia" w:ascii="宋体" w:hAnsi="宋体" w:cs="Helvetica"/>
          <w:kern w:val="0"/>
          <w:sz w:val="24"/>
          <w:highlight w:val="none"/>
        </w:rPr>
        <w:t>机械</w:t>
      </w:r>
      <w:r>
        <w:rPr>
          <w:rFonts w:ascii="宋体" w:hAnsi="宋体" w:cs="Helvetica"/>
          <w:kern w:val="0"/>
          <w:sz w:val="24"/>
          <w:highlight w:val="none"/>
        </w:rPr>
        <w:t>和设备安全，根据国家有关法律法规，经双方协商一致签订本协议。</w:t>
      </w:r>
    </w:p>
    <w:p w14:paraId="33C684E1">
      <w:pPr>
        <w:widowControl/>
        <w:numPr>
          <w:ilvl w:val="0"/>
          <w:numId w:val="26"/>
        </w:numPr>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工程项目：</w:t>
      </w:r>
    </w:p>
    <w:p w14:paraId="6223A24F">
      <w:pPr>
        <w:widowControl/>
        <w:adjustRightInd w:val="0"/>
        <w:snapToGrid w:val="0"/>
        <w:spacing w:line="360" w:lineRule="auto"/>
        <w:ind w:left="565" w:leftChars="269"/>
        <w:rPr>
          <w:rFonts w:ascii="宋体" w:hAnsi="宋体" w:cs="Helvetica"/>
          <w:kern w:val="0"/>
          <w:sz w:val="24"/>
          <w:highlight w:val="none"/>
          <w:u w:val="single"/>
        </w:rPr>
      </w:pPr>
      <w:r>
        <w:rPr>
          <w:rFonts w:hint="eastAsia" w:ascii="宋体" w:hAnsi="宋体" w:cs="Helvetica"/>
          <w:kern w:val="0"/>
          <w:sz w:val="24"/>
          <w:highlight w:val="none"/>
          <w:u w:val="single"/>
        </w:rPr>
        <w:t xml:space="preserve">               </w:t>
      </w:r>
      <w:r>
        <w:rPr>
          <w:rFonts w:ascii="宋体" w:hAnsi="宋体" w:cs="Helvetica"/>
          <w:kern w:val="0"/>
          <w:sz w:val="24"/>
          <w:highlight w:val="none"/>
          <w:u w:val="single"/>
        </w:rPr>
        <w:t xml:space="preserve">                    </w:t>
      </w:r>
      <w:r>
        <w:rPr>
          <w:rFonts w:hint="eastAsia" w:ascii="宋体" w:hAnsi="宋体" w:cs="Helvetica"/>
          <w:kern w:val="0"/>
          <w:sz w:val="24"/>
          <w:highlight w:val="none"/>
          <w:u w:val="single"/>
        </w:rPr>
        <w:t xml:space="preserve">                     </w:t>
      </w:r>
    </w:p>
    <w:p w14:paraId="48119AC6">
      <w:pPr>
        <w:widowControl/>
        <w:adjustRightInd w:val="0"/>
        <w:snapToGrid w:val="0"/>
        <w:spacing w:line="360" w:lineRule="auto"/>
        <w:rPr>
          <w:rFonts w:ascii="宋体" w:hAnsi="宋体" w:cs="Helvetica"/>
          <w:kern w:val="0"/>
          <w:sz w:val="24"/>
          <w:highlight w:val="none"/>
        </w:rPr>
      </w:pPr>
      <w:r>
        <w:rPr>
          <w:rFonts w:hint="eastAsia" w:ascii="宋体" w:hAnsi="宋体" w:cs="Helvetica"/>
          <w:kern w:val="0"/>
          <w:sz w:val="24"/>
          <w:highlight w:val="none"/>
        </w:rPr>
        <w:t>第二</w:t>
      </w:r>
      <w:r>
        <w:rPr>
          <w:rFonts w:ascii="宋体" w:hAnsi="宋体" w:cs="Helvetica"/>
          <w:kern w:val="0"/>
          <w:sz w:val="24"/>
          <w:highlight w:val="none"/>
        </w:rPr>
        <w:t>条 施工地址：</w:t>
      </w:r>
    </w:p>
    <w:p w14:paraId="72D48F98">
      <w:pPr>
        <w:widowControl/>
        <w:adjustRightInd w:val="0"/>
        <w:snapToGrid w:val="0"/>
        <w:spacing w:line="360" w:lineRule="auto"/>
        <w:ind w:firstLine="542" w:firstLineChars="226"/>
        <w:rPr>
          <w:rFonts w:ascii="宋体" w:hAnsi="宋体" w:cs="Helvetica"/>
          <w:kern w:val="0"/>
          <w:sz w:val="24"/>
          <w:highlight w:val="none"/>
          <w:u w:val="single"/>
        </w:rPr>
      </w:pPr>
      <w:r>
        <w:rPr>
          <w:rFonts w:hint="eastAsia" w:ascii="宋体" w:hAnsi="宋体" w:cs="Helvetica"/>
          <w:kern w:val="0"/>
          <w:sz w:val="24"/>
          <w:highlight w:val="none"/>
          <w:u w:val="single"/>
        </w:rPr>
        <w:t xml:space="preserve">                  </w:t>
      </w:r>
      <w:r>
        <w:rPr>
          <w:rFonts w:ascii="宋体" w:hAnsi="宋体" w:cs="Helvetica"/>
          <w:kern w:val="0"/>
          <w:sz w:val="24"/>
          <w:highlight w:val="none"/>
          <w:u w:val="single"/>
        </w:rPr>
        <w:t xml:space="preserve">                      </w:t>
      </w:r>
      <w:r>
        <w:rPr>
          <w:rFonts w:hint="eastAsia" w:ascii="宋体" w:hAnsi="宋体" w:cs="Helvetica"/>
          <w:kern w:val="0"/>
          <w:sz w:val="24"/>
          <w:highlight w:val="none"/>
          <w:u w:val="single"/>
        </w:rPr>
        <w:t xml:space="preserve">                </w:t>
      </w:r>
    </w:p>
    <w:p w14:paraId="31E5973E">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第三条</w:t>
      </w:r>
      <w:r>
        <w:rPr>
          <w:rFonts w:hint="eastAsia" w:ascii="宋体" w:hAnsi="宋体" w:cs="Helvetica"/>
          <w:kern w:val="0"/>
          <w:sz w:val="24"/>
          <w:highlight w:val="none"/>
        </w:rPr>
        <w:t xml:space="preserve"> </w:t>
      </w:r>
      <w:r>
        <w:rPr>
          <w:rFonts w:ascii="宋体" w:hAnsi="宋体" w:cs="Helvetica"/>
          <w:kern w:val="0"/>
          <w:sz w:val="24"/>
          <w:highlight w:val="none"/>
        </w:rPr>
        <w:t>甲方安全责任</w:t>
      </w:r>
    </w:p>
    <w:p w14:paraId="2869B680">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1、开工前甲方对乙方进行施工安全技术交底，并应有书面记录或资料。</w:t>
      </w:r>
    </w:p>
    <w:p w14:paraId="7044A5B4">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2、甲方应要求乙方制定施工安全措施，在开始施工前报甲方备案。</w:t>
      </w:r>
    </w:p>
    <w:p w14:paraId="23CA0E80">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3、甲方有协助乙方搞好安全生产、防火管理以及督促检查的义务。甲方有权检查督促乙方执行有关安全生产方面的工作规定，对乙方不符合安全文明施工的行为进行制止、纠正并发出安全整改通知书，直至清退出场。</w:t>
      </w:r>
    </w:p>
    <w:p w14:paraId="1B0E1B63">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4、甲方指派</w:t>
      </w:r>
      <w:r>
        <w:rPr>
          <w:rFonts w:hint="eastAsia" w:ascii="宋体" w:hAnsi="宋体" w:cs="Helvetica"/>
          <w:kern w:val="0"/>
          <w:sz w:val="24"/>
          <w:highlight w:val="none"/>
        </w:rPr>
        <w:t xml:space="preserve"> </w:t>
      </w:r>
      <w:r>
        <w:rPr>
          <w:rFonts w:hint="eastAsia" w:ascii="宋体" w:hAnsi="宋体" w:cs="Helvetica"/>
          <w:kern w:val="0"/>
          <w:sz w:val="24"/>
          <w:highlight w:val="none"/>
          <w:u w:val="single"/>
        </w:rPr>
        <w:t xml:space="preserve">     </w:t>
      </w:r>
      <w:r>
        <w:rPr>
          <w:rFonts w:ascii="宋体" w:hAnsi="宋体" w:cs="Helvetica"/>
          <w:kern w:val="0"/>
          <w:sz w:val="24"/>
          <w:highlight w:val="none"/>
        </w:rPr>
        <w:t>同志负责与乙方联系安全生产方面的工作。</w:t>
      </w:r>
    </w:p>
    <w:p w14:paraId="08C95F67">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5、甲方负责签发工作票，对工作票所填写的安全措施是否正确完备负责，并履行工作票许可手续。</w:t>
      </w:r>
    </w:p>
    <w:p w14:paraId="033C69DD">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6、甲方有权对乙方参与施工的人员进行安全技术知识和安全工作规程的抽考。</w:t>
      </w:r>
    </w:p>
    <w:p w14:paraId="6BD98A52">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7、乙方在施工中发生的</w:t>
      </w:r>
      <w:r>
        <w:rPr>
          <w:rFonts w:hint="eastAsia" w:ascii="宋体" w:hAnsi="宋体" w:cs="Helvetica"/>
          <w:kern w:val="0"/>
          <w:sz w:val="24"/>
          <w:highlight w:val="none"/>
        </w:rPr>
        <w:t>任何</w:t>
      </w:r>
      <w:r>
        <w:rPr>
          <w:rFonts w:ascii="宋体" w:hAnsi="宋体" w:cs="Helvetica"/>
          <w:kern w:val="0"/>
          <w:sz w:val="24"/>
          <w:highlight w:val="none"/>
        </w:rPr>
        <w:t>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14:paraId="3911CC12">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8、甲方不得要求乙方违反安全管理规定进行施工。因甲方原因导致的事故由甲方承担责任。</w:t>
      </w:r>
    </w:p>
    <w:p w14:paraId="1277ECE3">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9、发生以下情况停工整顿，因停工造成的违约责任由乙方承担：</w:t>
      </w:r>
    </w:p>
    <w:p w14:paraId="45E0FB95">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（1）人身伤亡事故；</w:t>
      </w:r>
    </w:p>
    <w:p w14:paraId="2998F805">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（2）发生施工机械、生产主设备严重损坏事故；</w:t>
      </w:r>
    </w:p>
    <w:p w14:paraId="1C59C08F">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（3）发生</w:t>
      </w:r>
      <w:r>
        <w:rPr>
          <w:rFonts w:hint="eastAsia" w:ascii="宋体" w:hAnsi="宋体" w:cs="Helvetica"/>
          <w:kern w:val="0"/>
          <w:sz w:val="24"/>
          <w:highlight w:val="none"/>
        </w:rPr>
        <w:t>工地</w:t>
      </w:r>
      <w:r>
        <w:rPr>
          <w:rFonts w:ascii="宋体" w:hAnsi="宋体" w:cs="Helvetica"/>
          <w:kern w:val="0"/>
          <w:sz w:val="24"/>
          <w:highlight w:val="none"/>
        </w:rPr>
        <w:t>火灾事故；</w:t>
      </w:r>
    </w:p>
    <w:p w14:paraId="64C70B51">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（4）发生违章作业、冒险作业不听劝告的；</w:t>
      </w:r>
    </w:p>
    <w:p w14:paraId="7D2DF3C9">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（5）施工现场脏、乱、差，不能满足安全和文明施工要求的。</w:t>
      </w:r>
    </w:p>
    <w:p w14:paraId="426CC6FF">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第四条 乙方安全责任</w:t>
      </w:r>
    </w:p>
    <w:p w14:paraId="36BC47A9">
      <w:pPr>
        <w:widowControl/>
        <w:adjustRightInd w:val="0"/>
        <w:snapToGrid w:val="0"/>
        <w:spacing w:line="360" w:lineRule="auto"/>
        <w:ind w:firstLine="480" w:firstLineChars="200"/>
        <w:rPr>
          <w:rFonts w:ascii="宋体" w:hAnsi="宋体" w:cs="Helvetica"/>
          <w:kern w:val="0"/>
          <w:sz w:val="24"/>
          <w:highlight w:val="none"/>
        </w:rPr>
      </w:pPr>
      <w:r>
        <w:rPr>
          <w:rFonts w:ascii="宋体" w:hAnsi="宋体" w:cs="Helvetica"/>
          <w:kern w:val="0"/>
          <w:sz w:val="24"/>
          <w:highlight w:val="none"/>
        </w:rPr>
        <w:t>乙方作为工程项目的承包单位，对工程施工过程中发生的人身伤害、设备损坏事故承担安全责任。</w:t>
      </w:r>
    </w:p>
    <w:p w14:paraId="234D72BC">
      <w:pPr>
        <w:widowControl/>
        <w:adjustRightInd w:val="0"/>
        <w:snapToGrid w:val="0"/>
        <w:spacing w:line="360" w:lineRule="auto"/>
        <w:ind w:firstLine="480" w:firstLineChars="200"/>
        <w:rPr>
          <w:rFonts w:ascii="宋体" w:hAnsi="宋体" w:cs="Helvetica"/>
          <w:kern w:val="0"/>
          <w:sz w:val="24"/>
          <w:highlight w:val="none"/>
        </w:rPr>
      </w:pPr>
      <w:r>
        <w:rPr>
          <w:rFonts w:hint="eastAsia" w:ascii="宋体" w:hAnsi="宋体" w:cs="Helvetica"/>
          <w:kern w:val="0"/>
          <w:sz w:val="24"/>
          <w:highlight w:val="none"/>
        </w:rPr>
        <w:t>乙方作为施工总承包单位是工程施工安全第一责任人。</w:t>
      </w:r>
      <w:r>
        <w:rPr>
          <w:rFonts w:ascii="宋体" w:hAnsi="宋体" w:cs="Helvetica"/>
          <w:kern w:val="0"/>
          <w:sz w:val="24"/>
          <w:highlight w:val="none"/>
        </w:rPr>
        <w:t>乙方应切实履行以下安全责任：</w:t>
      </w:r>
    </w:p>
    <w:p w14:paraId="2FECBB71">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1、乙方所提供的承包工程要求的相关资质证明材料应真实、合法、有效。</w:t>
      </w:r>
    </w:p>
    <w:p w14:paraId="38C137D0">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2、乙方必须贯彻执行国家有关安全生产的法律法规，必须制定相应的安全管理制度</w:t>
      </w:r>
      <w:r>
        <w:rPr>
          <w:rFonts w:hint="eastAsia" w:ascii="宋体" w:hAnsi="宋体" w:cs="Helvetica"/>
          <w:kern w:val="0"/>
          <w:sz w:val="24"/>
          <w:highlight w:val="none"/>
        </w:rPr>
        <w:t>。</w:t>
      </w:r>
    </w:p>
    <w:p w14:paraId="3410B590">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3、现场施工应遵守国家和地方关于劳动安全，劳务用工法律法规及规章制度，保证其用工的合法性。乙方必须按国家有关规定，为施工人员进行人身保险，配备合格的劳动防护用品、安全用具。</w:t>
      </w:r>
    </w:p>
    <w:p w14:paraId="725D1EDD">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4、施工期间，乙方应设有专职安监人员，（少于30人者设兼职）。乙方指派</w:t>
      </w:r>
      <w:r>
        <w:rPr>
          <w:rFonts w:ascii="宋体" w:hAnsi="宋体" w:cs="Helvetica"/>
          <w:kern w:val="0"/>
          <w:sz w:val="24"/>
          <w:highlight w:val="none"/>
          <w:u w:val="single"/>
        </w:rPr>
        <w:t xml:space="preserve">  </w:t>
      </w:r>
      <w:r>
        <w:rPr>
          <w:rFonts w:ascii="宋体" w:hAnsi="宋体" w:cs="Helvetica"/>
          <w:kern w:val="0"/>
          <w:sz w:val="24"/>
          <w:highlight w:val="none"/>
        </w:rPr>
        <w:t>作为</w:t>
      </w:r>
      <w:r>
        <w:rPr>
          <w:rFonts w:hint="eastAsia" w:ascii="宋体" w:hAnsi="宋体" w:cs="Helvetica"/>
          <w:kern w:val="0"/>
          <w:sz w:val="24"/>
          <w:highlight w:val="none"/>
        </w:rPr>
        <w:t>现场专职安全员</w:t>
      </w:r>
      <w:r>
        <w:rPr>
          <w:rFonts w:ascii="宋体" w:hAnsi="宋体" w:cs="Helvetica"/>
          <w:kern w:val="0"/>
          <w:sz w:val="24"/>
          <w:highlight w:val="none"/>
        </w:rPr>
        <w:t>。</w:t>
      </w:r>
    </w:p>
    <w:p w14:paraId="6CCB8FE3">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5、乙方一切施工活动，必须编制安全施工措施，施工前对全体施工人员进行全面的安全技术交底，并在整个施工过程正确、完整地执行，无措施或未交底严禁施工。</w:t>
      </w:r>
    </w:p>
    <w:p w14:paraId="501C5EE8">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6、乙方用于本工程项目的施工机械、工器具及安全防护用具的数量和质量必须满足施工需要，并经有资质检验单位检验符合安全规定，乙方对因使用工器具不当所造成的人员伤害及设备损坏负责。</w:t>
      </w:r>
    </w:p>
    <w:p w14:paraId="53C64DB3">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7、开工前，乙方应组织全体施工人员进行安全教育，并将参加安全教育人员名单（包括临时增补或调换人员）与考试成绩报给甲方备案。特种作业人员必须有有关部门核发的合格有效的上岗资格证书。</w:t>
      </w:r>
    </w:p>
    <w:p w14:paraId="1F1567C1">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开工前，乙方应到甲方办理临时出入证并佩戴出入证进入施工现场，出入证严禁转借他人。</w:t>
      </w:r>
    </w:p>
    <w:p w14:paraId="2C7F1633">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8、开工前，乙方应组织人员对施工区域、作业环境进行检查，确认符合安全要求，一经开工，就表示乙方已确认施工现场、作业环境符合安全要求并处于安全状态。</w:t>
      </w:r>
    </w:p>
    <w:p w14:paraId="62001448">
      <w:pPr>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14:paraId="1A5AD8F3">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10、乙方施工过程中需使用电、水源，应事先与甲方取得联系，不得私拉乱接。中断作业或遇故障应立即切断有关开关。</w:t>
      </w:r>
    </w:p>
    <w:p w14:paraId="2524EF2F">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11、乙方施工过程中应做到工完、料尽、场地清，确保安全文明施工。</w:t>
      </w:r>
    </w:p>
    <w:p w14:paraId="12B3B6A6">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12、乙方必须接受甲方的监督、检查，对甲方提出的安全整改意见必须及时整改。</w:t>
      </w:r>
    </w:p>
    <w:p w14:paraId="39935AD1">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13、乙方施工过程中发生人生伤亡、</w:t>
      </w:r>
      <w:r>
        <w:rPr>
          <w:rFonts w:hint="eastAsia" w:ascii="宋体" w:hAnsi="宋体" w:cs="Helvetica"/>
          <w:kern w:val="0"/>
          <w:sz w:val="24"/>
          <w:highlight w:val="none"/>
        </w:rPr>
        <w:t>任何</w:t>
      </w:r>
      <w:r>
        <w:rPr>
          <w:rFonts w:ascii="宋体" w:hAnsi="宋体" w:cs="Helvetica"/>
          <w:kern w:val="0"/>
          <w:sz w:val="24"/>
          <w:highlight w:val="none"/>
        </w:rPr>
        <w:t>事故，应立即报告甲方，并积极配合调查。</w:t>
      </w:r>
    </w:p>
    <w:p w14:paraId="678DBDA6">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乙方应执行国务院《特别重大事故调查程序暂行规定》、《企业职工伤亡事故报告和处理规定》。对人员在施工中发生的人身伤亡事故，还必须立即用电话、电传或电报等向事故所在地的政府安全管理部门、公安部门报告，按规定组织调查处理，并由乙方统计上报；如发生国务院《特别重大事故调查程序暂时规定》所规定的特大事故，还应立即通知当地政府、公安部门，并要求派人保护现场。</w:t>
      </w:r>
    </w:p>
    <w:p w14:paraId="53BE2086">
      <w:pPr>
        <w:widowControl/>
        <w:adjustRightInd w:val="0"/>
        <w:snapToGrid w:val="0"/>
        <w:spacing w:line="360" w:lineRule="auto"/>
        <w:ind w:firstLine="480" w:firstLineChars="200"/>
        <w:rPr>
          <w:rFonts w:ascii="宋体" w:hAnsi="宋体" w:cs="Helvetica"/>
          <w:kern w:val="0"/>
          <w:sz w:val="24"/>
          <w:highlight w:val="none"/>
        </w:rPr>
      </w:pPr>
      <w:r>
        <w:rPr>
          <w:rFonts w:ascii="宋体" w:hAnsi="宋体" w:cs="Helvetica"/>
          <w:kern w:val="0"/>
          <w:sz w:val="24"/>
          <w:highlight w:val="none"/>
        </w:rPr>
        <w:t>乙方应将事故调查组的事故调查报告及乙方事故处理意见提交甲方备案。</w:t>
      </w:r>
    </w:p>
    <w:p w14:paraId="2D70673B">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第五条 甲乙双方联系方式及响应时间</w:t>
      </w:r>
    </w:p>
    <w:p w14:paraId="4DE56333">
      <w:pPr>
        <w:widowControl/>
        <w:adjustRightInd w:val="0"/>
        <w:snapToGrid w:val="0"/>
        <w:spacing w:line="360" w:lineRule="auto"/>
        <w:ind w:firstLine="480" w:firstLineChars="200"/>
        <w:rPr>
          <w:rFonts w:ascii="宋体" w:hAnsi="宋体" w:cs="Helvetica"/>
          <w:kern w:val="0"/>
          <w:sz w:val="24"/>
          <w:highlight w:val="none"/>
        </w:rPr>
      </w:pPr>
      <w:r>
        <w:rPr>
          <w:rFonts w:ascii="宋体" w:hAnsi="宋体" w:cs="Helvetica"/>
          <w:kern w:val="0"/>
          <w:sz w:val="24"/>
          <w:highlight w:val="none"/>
        </w:rPr>
        <w:t>甲乙双方应以工作联系单、传真、电传等书面形式送达对方。双方在接到对方的书面联系时，应于4小时内予以响应。</w:t>
      </w:r>
    </w:p>
    <w:p w14:paraId="4BA60EA4">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第六条 施工安全保证金</w:t>
      </w:r>
    </w:p>
    <w:p w14:paraId="7A6F4EDB">
      <w:pPr>
        <w:widowControl/>
        <w:adjustRightInd w:val="0"/>
        <w:snapToGrid w:val="0"/>
        <w:spacing w:line="360" w:lineRule="auto"/>
        <w:ind w:firstLine="480" w:firstLineChars="200"/>
        <w:rPr>
          <w:rFonts w:ascii="宋体" w:hAnsi="宋体" w:cs="Helvetica"/>
          <w:kern w:val="0"/>
          <w:sz w:val="24"/>
          <w:highlight w:val="none"/>
        </w:rPr>
      </w:pPr>
      <w:r>
        <w:rPr>
          <w:rFonts w:ascii="宋体" w:hAnsi="宋体" w:cs="Helvetica"/>
          <w:kern w:val="0"/>
          <w:sz w:val="24"/>
          <w:highlight w:val="none"/>
        </w:rPr>
        <w:t>甲方预留工程款的10%作为乙方的安全保证金。乙方在施工过程中未发生人身重伤</w:t>
      </w:r>
      <w:r>
        <w:rPr>
          <w:rFonts w:hint="eastAsia" w:ascii="宋体" w:hAnsi="宋体" w:cs="Helvetica"/>
          <w:kern w:val="0"/>
          <w:sz w:val="24"/>
          <w:highlight w:val="none"/>
        </w:rPr>
        <w:t>及任何</w:t>
      </w:r>
      <w:r>
        <w:rPr>
          <w:rFonts w:ascii="宋体" w:hAnsi="宋体" w:cs="Helvetica"/>
          <w:kern w:val="0"/>
          <w:sz w:val="24"/>
          <w:highlight w:val="none"/>
        </w:rPr>
        <w:t>事故，于工程竣工验收后将该保证金全额退还；若施工过程中发生下列有乙方责任的安全事故，扣除相应数额的安全保证金：</w:t>
      </w:r>
    </w:p>
    <w:p w14:paraId="2CF78500">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（1）发生人身死亡事故，扣除全部安全保证金；</w:t>
      </w:r>
    </w:p>
    <w:p w14:paraId="793DD94C">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（2）发生人身重伤事故，扣除50%安全保证金；</w:t>
      </w:r>
    </w:p>
    <w:p w14:paraId="40120DAF">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（3）乙方人员发生违章行为的经济处罚，按处罚规定从安全保证金内扣除。</w:t>
      </w:r>
    </w:p>
    <w:p w14:paraId="36FEDA9B">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第七条 违约责任</w:t>
      </w:r>
    </w:p>
    <w:p w14:paraId="3359D064">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1、由于甲方或乙方责任造成对方或第三方的人身伤害、设备损坏等财产损失，由责任方承担相应责任，并赔偿对方或第三方因此造成的全部损失。</w:t>
      </w:r>
    </w:p>
    <w:p w14:paraId="44B0A601">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2、合同履行中，发现乙方提供的有关资质材料无效，甲方有权解除合同，并由乙方承担由此造成的一切损失。</w:t>
      </w:r>
    </w:p>
    <w:p w14:paraId="52EAD410">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3、发现乙方现场作业人员有违章行为的，</w:t>
      </w:r>
      <w:r>
        <w:rPr>
          <w:rFonts w:hint="eastAsia" w:ascii="宋体" w:hAnsi="宋体" w:cs="Helvetica"/>
          <w:kern w:val="0"/>
          <w:sz w:val="24"/>
          <w:highlight w:val="none"/>
        </w:rPr>
        <w:t>造成经济损失或人员伤害的</w:t>
      </w:r>
      <w:r>
        <w:rPr>
          <w:rFonts w:ascii="宋体" w:hAnsi="宋体" w:cs="Helvetica"/>
          <w:kern w:val="0"/>
          <w:sz w:val="24"/>
          <w:highlight w:val="none"/>
        </w:rPr>
        <w:t>，承担相应的违约金。</w:t>
      </w:r>
    </w:p>
    <w:p w14:paraId="659C6F9C">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14:paraId="265402A2">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5、乙方人员安全工作规程抽考不合格，乙方应承担50元/人次的违约责任；特种人员无证上岗乙方应承担100元/人次的违约责任。</w:t>
      </w:r>
    </w:p>
    <w:p w14:paraId="3261BAEC">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6、乙方使用甲方提供的设施设备、工器具等造成损坏的，应照价赔偿。</w:t>
      </w:r>
    </w:p>
    <w:p w14:paraId="35CFA810">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7、乙方人员无故到其他生产区域或擅自动用甲方的设施设备等，乙方按100元至500元/人次承担违约责任。</w:t>
      </w:r>
    </w:p>
    <w:p w14:paraId="5C4950E3">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8、乙方对甲方提出的安全整改意见不及时整改的，每逾期一天，乙方按200元至1000元/天承担违约责任。</w:t>
      </w:r>
    </w:p>
    <w:p w14:paraId="171BE5C9">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9、施工过程中发生人身伤亡事故有隐瞒行为的，除接受政府有关部门处理外，过错方应承担3000元至10000元/次的违约责任。</w:t>
      </w:r>
    </w:p>
    <w:p w14:paraId="22A8CAC5">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第八条 甲乙双方约定的其他事项：无</w:t>
      </w:r>
    </w:p>
    <w:p w14:paraId="0315B03B">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第九条 本协议执行过程中，如发生争议，由双方协商、调解解决；若经协商、调解不能解决争议的，任何一方可以向当地人民法院提起诉讼。</w:t>
      </w:r>
    </w:p>
    <w:p w14:paraId="03EEFFEC">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第十条 甲乙双方必须严格执行本协议，本协议的法律效力独立于主合同。</w:t>
      </w:r>
    </w:p>
    <w:p w14:paraId="15F04F63">
      <w:pPr>
        <w:widowControl/>
        <w:adjustRightInd w:val="0"/>
        <w:snapToGrid w:val="0"/>
        <w:spacing w:line="360" w:lineRule="auto"/>
        <w:ind w:left="360" w:hanging="360" w:hangingChars="150"/>
        <w:rPr>
          <w:rFonts w:ascii="宋体" w:hAnsi="宋体" w:cs="Helvetica"/>
          <w:kern w:val="0"/>
          <w:sz w:val="24"/>
          <w:highlight w:val="none"/>
        </w:rPr>
      </w:pPr>
      <w:r>
        <w:rPr>
          <w:rFonts w:ascii="宋体" w:hAnsi="宋体" w:cs="Helvetica"/>
          <w:kern w:val="0"/>
          <w:sz w:val="24"/>
          <w:highlight w:val="none"/>
        </w:rPr>
        <w:t>第十一条 本协议有效期限：自</w:t>
      </w:r>
      <w:r>
        <w:rPr>
          <w:rFonts w:hint="eastAsia" w:ascii="宋体" w:hAnsi="宋体" w:cs="Helvetica"/>
          <w:kern w:val="0"/>
          <w:sz w:val="24"/>
          <w:highlight w:val="none"/>
          <w:u w:val="single"/>
        </w:rPr>
        <w:t xml:space="preserve">  2024</w:t>
      </w:r>
      <w:r>
        <w:rPr>
          <w:rFonts w:ascii="宋体" w:hAnsi="宋体" w:cs="Helvetica"/>
          <w:kern w:val="0"/>
          <w:sz w:val="24"/>
          <w:highlight w:val="none"/>
        </w:rPr>
        <w:t xml:space="preserve"> 年</w:t>
      </w:r>
      <w:r>
        <w:rPr>
          <w:rFonts w:hint="eastAsia" w:ascii="宋体" w:hAnsi="宋体" w:cs="Helvetica"/>
          <w:kern w:val="0"/>
          <w:sz w:val="24"/>
          <w:highlight w:val="none"/>
          <w:u w:val="single"/>
        </w:rPr>
        <w:t xml:space="preserve">   </w:t>
      </w:r>
      <w:r>
        <w:rPr>
          <w:rFonts w:ascii="宋体" w:hAnsi="宋体" w:cs="Helvetica"/>
          <w:kern w:val="0"/>
          <w:sz w:val="24"/>
          <w:highlight w:val="none"/>
        </w:rPr>
        <w:t>月</w:t>
      </w:r>
      <w:r>
        <w:rPr>
          <w:rFonts w:hint="eastAsia" w:ascii="宋体" w:hAnsi="宋体" w:cs="Helvetica"/>
          <w:kern w:val="0"/>
          <w:sz w:val="24"/>
          <w:highlight w:val="none"/>
          <w:u w:val="single"/>
        </w:rPr>
        <w:t xml:space="preserve">   </w:t>
      </w:r>
      <w:r>
        <w:rPr>
          <w:rFonts w:ascii="宋体" w:hAnsi="宋体" w:cs="Helvetica"/>
          <w:kern w:val="0"/>
          <w:sz w:val="24"/>
          <w:highlight w:val="none"/>
        </w:rPr>
        <w:t>日起至</w:t>
      </w:r>
      <w:r>
        <w:rPr>
          <w:rFonts w:hint="eastAsia" w:ascii="宋体" w:hAnsi="宋体" w:cs="Helvetica"/>
          <w:kern w:val="0"/>
          <w:sz w:val="24"/>
          <w:highlight w:val="none"/>
          <w:u w:val="single"/>
        </w:rPr>
        <w:t xml:space="preserve">  2024 </w:t>
      </w:r>
      <w:r>
        <w:rPr>
          <w:rFonts w:ascii="宋体" w:hAnsi="宋体" w:cs="Helvetica"/>
          <w:kern w:val="0"/>
          <w:sz w:val="24"/>
          <w:highlight w:val="none"/>
          <w:u w:val="single"/>
        </w:rPr>
        <w:t xml:space="preserve"> </w:t>
      </w:r>
      <w:r>
        <w:rPr>
          <w:rFonts w:ascii="宋体" w:hAnsi="宋体" w:cs="Helvetica"/>
          <w:kern w:val="0"/>
          <w:sz w:val="24"/>
          <w:highlight w:val="none"/>
        </w:rPr>
        <w:t>年</w:t>
      </w:r>
      <w:r>
        <w:rPr>
          <w:rFonts w:hint="eastAsia" w:ascii="宋体" w:hAnsi="宋体" w:cs="Helvetica"/>
          <w:kern w:val="0"/>
          <w:sz w:val="24"/>
          <w:highlight w:val="none"/>
          <w:u w:val="single"/>
        </w:rPr>
        <w:t xml:space="preserve">  </w:t>
      </w:r>
      <w:r>
        <w:rPr>
          <w:rFonts w:ascii="宋体" w:hAnsi="宋体" w:cs="Helvetica"/>
          <w:kern w:val="0"/>
          <w:sz w:val="24"/>
          <w:highlight w:val="none"/>
        </w:rPr>
        <w:t>月</w:t>
      </w:r>
      <w:r>
        <w:rPr>
          <w:rFonts w:hint="eastAsia" w:ascii="宋体" w:hAnsi="宋体" w:cs="Helvetica"/>
          <w:kern w:val="0"/>
          <w:sz w:val="24"/>
          <w:highlight w:val="none"/>
          <w:u w:val="single"/>
        </w:rPr>
        <w:t xml:space="preserve">  </w:t>
      </w:r>
      <w:r>
        <w:rPr>
          <w:rFonts w:ascii="宋体" w:hAnsi="宋体" w:cs="Helvetica"/>
          <w:kern w:val="0"/>
          <w:sz w:val="24"/>
          <w:highlight w:val="none"/>
        </w:rPr>
        <w:t>日止。</w:t>
      </w:r>
    </w:p>
    <w:p w14:paraId="06072C04">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第十二条 本协议经双方法定代表人或委托代理人签字盖章后生效。</w:t>
      </w:r>
    </w:p>
    <w:p w14:paraId="0BEC3F68">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第十三条 本协议一式</w:t>
      </w:r>
      <w:r>
        <w:rPr>
          <w:rFonts w:hint="eastAsia" w:ascii="宋体" w:hAnsi="宋体" w:cs="Helvetica"/>
          <w:kern w:val="0"/>
          <w:sz w:val="24"/>
          <w:highlight w:val="none"/>
        </w:rPr>
        <w:t>四</w:t>
      </w:r>
      <w:r>
        <w:rPr>
          <w:rFonts w:ascii="宋体" w:hAnsi="宋体" w:cs="Helvetica"/>
          <w:kern w:val="0"/>
          <w:sz w:val="24"/>
          <w:highlight w:val="none"/>
        </w:rPr>
        <w:t>份，甲乙双方各执</w:t>
      </w:r>
      <w:r>
        <w:rPr>
          <w:rFonts w:hint="eastAsia" w:ascii="宋体" w:hAnsi="宋体" w:cs="Helvetica"/>
          <w:kern w:val="0"/>
          <w:sz w:val="24"/>
          <w:highlight w:val="none"/>
        </w:rPr>
        <w:t>两</w:t>
      </w:r>
      <w:r>
        <w:rPr>
          <w:rFonts w:ascii="宋体" w:hAnsi="宋体" w:cs="Helvetica"/>
          <w:kern w:val="0"/>
          <w:sz w:val="24"/>
          <w:highlight w:val="none"/>
        </w:rPr>
        <w:t>份。</w:t>
      </w:r>
    </w:p>
    <w:p w14:paraId="36FD00A2">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第十四条 本协议签订地点在甲方</w:t>
      </w:r>
      <w:r>
        <w:rPr>
          <w:rFonts w:hint="eastAsia" w:ascii="宋体" w:hAnsi="宋体" w:cs="Helvetica"/>
          <w:kern w:val="0"/>
          <w:sz w:val="24"/>
          <w:highlight w:val="none"/>
        </w:rPr>
        <w:t>办公场地</w:t>
      </w:r>
      <w:r>
        <w:rPr>
          <w:rFonts w:ascii="宋体" w:hAnsi="宋体" w:cs="Helvetica"/>
          <w:kern w:val="0"/>
          <w:sz w:val="24"/>
          <w:highlight w:val="none"/>
        </w:rPr>
        <w:t>。</w:t>
      </w:r>
    </w:p>
    <w:p w14:paraId="4CB36716">
      <w:pPr>
        <w:widowControl/>
        <w:adjustRightInd w:val="0"/>
        <w:snapToGrid w:val="0"/>
        <w:spacing w:line="360" w:lineRule="auto"/>
        <w:rPr>
          <w:rFonts w:ascii="宋体" w:hAnsi="宋体" w:cs="Helvetica"/>
          <w:kern w:val="0"/>
          <w:sz w:val="24"/>
          <w:highlight w:val="none"/>
        </w:rPr>
      </w:pPr>
      <w:r>
        <w:rPr>
          <w:rFonts w:ascii="宋体" w:hAnsi="宋体" w:cs="Helvetica"/>
          <w:kern w:val="0"/>
          <w:sz w:val="24"/>
          <w:highlight w:val="none"/>
        </w:rPr>
        <w:t> </w:t>
      </w:r>
    </w:p>
    <w:p w14:paraId="19D4997E">
      <w:pPr>
        <w:widowControl/>
        <w:adjustRightInd w:val="0"/>
        <w:snapToGrid w:val="0"/>
        <w:spacing w:line="360" w:lineRule="auto"/>
        <w:jc w:val="left"/>
        <w:rPr>
          <w:rFonts w:ascii="宋体" w:hAnsi="宋体" w:cs="Helvetica"/>
          <w:kern w:val="0"/>
          <w:sz w:val="24"/>
          <w:highlight w:val="none"/>
        </w:rPr>
      </w:pPr>
      <w:r>
        <w:rPr>
          <w:rFonts w:ascii="宋体" w:hAnsi="宋体" w:cs="Helvetica"/>
          <w:kern w:val="0"/>
          <w:sz w:val="24"/>
          <w:highlight w:val="none"/>
        </w:rPr>
        <w:t>甲</w:t>
      </w:r>
      <w:r>
        <w:rPr>
          <w:rFonts w:hint="eastAsia" w:ascii="宋体" w:hAnsi="宋体" w:cs="Helvetica"/>
          <w:kern w:val="0"/>
          <w:sz w:val="24"/>
          <w:highlight w:val="none"/>
        </w:rPr>
        <w:t>方</w:t>
      </w:r>
      <w:r>
        <w:rPr>
          <w:rFonts w:ascii="宋体" w:hAnsi="宋体" w:cs="Helvetica"/>
          <w:kern w:val="0"/>
          <w:sz w:val="24"/>
          <w:highlight w:val="none"/>
        </w:rPr>
        <w:t>：</w:t>
      </w:r>
    </w:p>
    <w:p w14:paraId="3A58B6C0">
      <w:pPr>
        <w:widowControl/>
        <w:adjustRightInd w:val="0"/>
        <w:snapToGrid w:val="0"/>
        <w:spacing w:line="360" w:lineRule="auto"/>
        <w:jc w:val="left"/>
        <w:rPr>
          <w:rFonts w:ascii="宋体" w:hAnsi="宋体" w:cs="Helvetica"/>
          <w:kern w:val="0"/>
          <w:sz w:val="24"/>
          <w:highlight w:val="none"/>
        </w:rPr>
      </w:pPr>
      <w:r>
        <w:rPr>
          <w:rFonts w:ascii="宋体" w:hAnsi="宋体" w:cs="Helvetica"/>
          <w:kern w:val="0"/>
          <w:sz w:val="24"/>
          <w:highlight w:val="none"/>
        </w:rPr>
        <w:t>乙方：</w:t>
      </w:r>
      <w:r>
        <w:rPr>
          <w:rFonts w:hint="eastAsia" w:ascii="宋体" w:hAnsi="宋体" w:cs="Helvetica"/>
          <w:kern w:val="0"/>
          <w:sz w:val="24"/>
          <w:highlight w:val="none"/>
        </w:rPr>
        <w:t xml:space="preserve">                                </w:t>
      </w:r>
    </w:p>
    <w:p w14:paraId="1B29B9D7">
      <w:pPr>
        <w:widowControl/>
        <w:adjustRightInd w:val="0"/>
        <w:snapToGrid w:val="0"/>
        <w:spacing w:line="360" w:lineRule="auto"/>
        <w:jc w:val="left"/>
        <w:rPr>
          <w:rFonts w:ascii="宋体" w:hAnsi="宋体" w:cs="Helvetica"/>
          <w:kern w:val="0"/>
          <w:sz w:val="24"/>
          <w:highlight w:val="none"/>
        </w:rPr>
      </w:pPr>
      <w:r>
        <w:rPr>
          <w:rFonts w:hint="eastAsia" w:ascii="宋体" w:hAnsi="宋体" w:cs="Helvetica"/>
          <w:kern w:val="0"/>
          <w:sz w:val="24"/>
          <w:highlight w:val="none"/>
        </w:rPr>
        <w:t>乙方分包:</w:t>
      </w:r>
      <w:r>
        <w:rPr>
          <w:rFonts w:ascii="宋体" w:hAnsi="宋体" w:cs="Helvetica"/>
          <w:kern w:val="0"/>
          <w:sz w:val="24"/>
          <w:highlight w:val="none"/>
        </w:rPr>
        <w:t xml:space="preserve">                           </w:t>
      </w:r>
      <w:r>
        <w:rPr>
          <w:rFonts w:hint="eastAsia" w:ascii="宋体" w:hAnsi="宋体" w:cs="Helvetica"/>
          <w:kern w:val="0"/>
          <w:sz w:val="24"/>
          <w:highlight w:val="none"/>
        </w:rPr>
        <w:t xml:space="preserve"> </w:t>
      </w:r>
    </w:p>
    <w:p w14:paraId="6AD248E7">
      <w:pPr>
        <w:widowControl/>
        <w:adjustRightInd w:val="0"/>
        <w:snapToGrid w:val="0"/>
        <w:spacing w:line="360" w:lineRule="auto"/>
        <w:jc w:val="left"/>
        <w:rPr>
          <w:rFonts w:ascii="宋体" w:hAnsi="宋体" w:cs="Helvetica"/>
          <w:kern w:val="0"/>
          <w:sz w:val="24"/>
          <w:highlight w:val="none"/>
        </w:rPr>
      </w:pPr>
      <w:r>
        <w:rPr>
          <w:rFonts w:ascii="宋体" w:hAnsi="宋体" w:cs="Helvetica"/>
          <w:kern w:val="0"/>
          <w:sz w:val="24"/>
          <w:highlight w:val="none"/>
        </w:rPr>
        <w:t>联系电话：</w:t>
      </w:r>
    </w:p>
    <w:p w14:paraId="65040CC5">
      <w:pPr>
        <w:widowControl/>
        <w:adjustRightInd w:val="0"/>
        <w:snapToGrid w:val="0"/>
        <w:spacing w:line="360" w:lineRule="auto"/>
        <w:jc w:val="left"/>
        <w:rPr>
          <w:rFonts w:ascii="宋体" w:hAnsi="宋体" w:cs="Helvetica"/>
          <w:kern w:val="0"/>
          <w:sz w:val="24"/>
          <w:highlight w:val="none"/>
        </w:rPr>
      </w:pPr>
      <w:r>
        <w:rPr>
          <w:rFonts w:ascii="宋体" w:hAnsi="宋体" w:cs="Helvetica"/>
          <w:kern w:val="0"/>
          <w:sz w:val="24"/>
          <w:highlight w:val="none"/>
        </w:rPr>
        <w:t>联系电话：</w:t>
      </w:r>
      <w:r>
        <w:rPr>
          <w:rFonts w:hint="eastAsia" w:ascii="宋体" w:hAnsi="宋体" w:cs="Helvetica"/>
          <w:kern w:val="0"/>
          <w:sz w:val="24"/>
          <w:highlight w:val="none"/>
        </w:rPr>
        <w:t xml:space="preserve">                           </w:t>
      </w:r>
    </w:p>
    <w:p w14:paraId="26D6C66E">
      <w:pPr>
        <w:widowControl/>
        <w:adjustRightInd w:val="0"/>
        <w:snapToGrid w:val="0"/>
        <w:spacing w:line="360" w:lineRule="auto"/>
        <w:ind w:firstLine="3120" w:firstLineChars="1300"/>
        <w:jc w:val="left"/>
        <w:rPr>
          <w:rFonts w:ascii="宋体" w:hAnsi="宋体" w:cs="Helvetica"/>
          <w:kern w:val="0"/>
          <w:sz w:val="24"/>
          <w:highlight w:val="none"/>
        </w:rPr>
      </w:pPr>
      <w:r>
        <w:rPr>
          <w:rFonts w:ascii="宋体" w:hAnsi="宋体" w:cs="Helvetica"/>
          <w:kern w:val="0"/>
          <w:sz w:val="24"/>
          <w:highlight w:val="none"/>
        </w:rPr>
        <w:t> 签订时间：</w:t>
      </w:r>
      <w:r>
        <w:rPr>
          <w:rFonts w:hint="eastAsia" w:ascii="宋体" w:hAnsi="宋体" w:cs="Helvetica"/>
          <w:kern w:val="0"/>
          <w:sz w:val="24"/>
          <w:highlight w:val="none"/>
        </w:rPr>
        <w:t>2024</w:t>
      </w:r>
      <w:r>
        <w:rPr>
          <w:rFonts w:ascii="宋体" w:hAnsi="宋体" w:cs="Helvetica"/>
          <w:kern w:val="0"/>
          <w:sz w:val="24"/>
          <w:highlight w:val="none"/>
        </w:rPr>
        <w:t>年</w:t>
      </w:r>
      <w:r>
        <w:rPr>
          <w:rFonts w:hint="eastAsia" w:ascii="宋体" w:hAnsi="宋体" w:cs="Helvetica"/>
          <w:kern w:val="0"/>
          <w:sz w:val="24"/>
          <w:highlight w:val="none"/>
        </w:rPr>
        <w:t xml:space="preserve">  </w:t>
      </w:r>
      <w:r>
        <w:rPr>
          <w:rFonts w:ascii="宋体" w:hAnsi="宋体" w:cs="Helvetica"/>
          <w:kern w:val="0"/>
          <w:sz w:val="24"/>
          <w:highlight w:val="none"/>
        </w:rPr>
        <w:t>月</w:t>
      </w:r>
      <w:r>
        <w:rPr>
          <w:rFonts w:hint="eastAsia" w:ascii="宋体" w:hAnsi="宋体" w:cs="Helvetica"/>
          <w:kern w:val="0"/>
          <w:sz w:val="24"/>
          <w:highlight w:val="none"/>
        </w:rPr>
        <w:t xml:space="preserve">  </w:t>
      </w:r>
      <w:r>
        <w:rPr>
          <w:rFonts w:ascii="宋体" w:hAnsi="宋体" w:cs="Helvetica"/>
          <w:kern w:val="0"/>
          <w:sz w:val="24"/>
          <w:highlight w:val="none"/>
        </w:rPr>
        <w:t>日</w:t>
      </w:r>
    </w:p>
    <w:p w14:paraId="428E58D8">
      <w:pPr>
        <w:jc w:val="center"/>
        <w:rPr>
          <w:b/>
          <w:sz w:val="44"/>
          <w:szCs w:val="44"/>
          <w:highlight w:val="none"/>
        </w:rPr>
      </w:pPr>
    </w:p>
    <w:p w14:paraId="0ED51D02">
      <w:pPr>
        <w:jc w:val="center"/>
        <w:rPr>
          <w:b/>
          <w:sz w:val="44"/>
          <w:szCs w:val="44"/>
          <w:highlight w:val="none"/>
        </w:rPr>
      </w:pPr>
      <w:r>
        <w:rPr>
          <w:b/>
          <w:sz w:val="44"/>
          <w:szCs w:val="44"/>
          <w:highlight w:val="none"/>
        </w:rPr>
        <w:br w:type="page"/>
      </w:r>
    </w:p>
    <w:p w14:paraId="3B389E79">
      <w:pPr>
        <w:jc w:val="center"/>
        <w:rPr>
          <w:b/>
          <w:sz w:val="44"/>
          <w:szCs w:val="44"/>
          <w:highlight w:val="none"/>
        </w:rPr>
      </w:pPr>
      <w:r>
        <w:rPr>
          <w:b/>
          <w:sz w:val="44"/>
          <w:szCs w:val="44"/>
          <w:highlight w:val="none"/>
        </w:rPr>
        <w:t>第</w:t>
      </w:r>
      <w:r>
        <w:rPr>
          <w:rFonts w:hint="eastAsia"/>
          <w:b/>
          <w:sz w:val="44"/>
          <w:szCs w:val="44"/>
          <w:highlight w:val="none"/>
        </w:rPr>
        <w:t>八节 合同附件</w:t>
      </w:r>
    </w:p>
    <w:p w14:paraId="7AB70B14">
      <w:pPr>
        <w:rPr>
          <w:highlight w:val="none"/>
        </w:rPr>
      </w:pPr>
    </w:p>
    <w:p w14:paraId="54BB95C7">
      <w:pPr>
        <w:rPr>
          <w:highlight w:val="none"/>
        </w:rPr>
      </w:pPr>
    </w:p>
    <w:bookmarkEnd w:id="1804"/>
    <w:bookmarkEnd w:id="1805"/>
    <w:bookmarkEnd w:id="1806"/>
    <w:bookmarkEnd w:id="1807"/>
    <w:p w14:paraId="3DF0A40F">
      <w:pPr>
        <w:tabs>
          <w:tab w:val="left" w:pos="1440"/>
        </w:tabs>
        <w:rPr>
          <w:szCs w:val="21"/>
          <w:highlight w:val="none"/>
        </w:rPr>
      </w:pPr>
    </w:p>
    <w:bookmarkEnd w:id="669"/>
    <w:p w14:paraId="425675AD">
      <w:pPr>
        <w:spacing w:before="32"/>
        <w:ind w:left="249" w:right="240"/>
        <w:jc w:val="center"/>
        <w:rPr>
          <w:b/>
          <w:sz w:val="48"/>
          <w:highlight w:val="none"/>
        </w:rPr>
      </w:pPr>
    </w:p>
    <w:p w14:paraId="402AB6E1">
      <w:pPr>
        <w:spacing w:before="32"/>
        <w:ind w:left="249" w:right="240"/>
        <w:jc w:val="center"/>
        <w:rPr>
          <w:b/>
          <w:sz w:val="48"/>
          <w:highlight w:val="none"/>
        </w:rPr>
      </w:pPr>
    </w:p>
    <w:p w14:paraId="362E8466">
      <w:pPr>
        <w:spacing w:before="32"/>
        <w:ind w:left="249" w:right="240"/>
        <w:jc w:val="center"/>
        <w:rPr>
          <w:b/>
          <w:sz w:val="48"/>
          <w:highlight w:val="none"/>
        </w:rPr>
      </w:pPr>
    </w:p>
    <w:p w14:paraId="44256714">
      <w:pPr>
        <w:widowControl/>
        <w:jc w:val="left"/>
        <w:rPr>
          <w:rFonts w:ascii="宋体" w:hAnsi="宋体" w:cs="宋体"/>
          <w:b/>
          <w:sz w:val="36"/>
          <w:szCs w:val="36"/>
          <w:highlight w:val="none"/>
        </w:rPr>
      </w:pPr>
      <w:r>
        <w:rPr>
          <w:rFonts w:ascii="宋体" w:hAnsi="宋体" w:cs="宋体"/>
          <w:b/>
          <w:sz w:val="36"/>
          <w:szCs w:val="36"/>
          <w:highlight w:val="none"/>
        </w:rPr>
        <w:br w:type="page"/>
      </w:r>
    </w:p>
    <w:p w14:paraId="22E0C0ED">
      <w:pPr>
        <w:shd w:val="clear" w:color="auto" w:fill="FFFFFF"/>
        <w:spacing w:line="360" w:lineRule="auto"/>
        <w:jc w:val="center"/>
        <w:outlineLvl w:val="0"/>
        <w:rPr>
          <w:rFonts w:ascii="宋体" w:hAnsi="宋体" w:cs="宋体"/>
          <w:b/>
          <w:sz w:val="36"/>
          <w:szCs w:val="36"/>
          <w:highlight w:val="none"/>
        </w:rPr>
      </w:pPr>
      <w:bookmarkStart w:id="1818" w:name="_Toc26379"/>
      <w:r>
        <w:rPr>
          <w:rFonts w:hint="eastAsia" w:ascii="宋体" w:hAnsi="宋体" w:cs="宋体"/>
          <w:b/>
          <w:sz w:val="36"/>
          <w:szCs w:val="36"/>
          <w:highlight w:val="none"/>
        </w:rPr>
        <w:t>第六章   响应文件格式</w:t>
      </w:r>
      <w:bookmarkEnd w:id="1818"/>
    </w:p>
    <w:p w14:paraId="24ED1DF3">
      <w:pPr>
        <w:widowControl/>
        <w:shd w:val="clear" w:color="auto" w:fill="FFFFFF"/>
        <w:spacing w:line="360" w:lineRule="auto"/>
        <w:jc w:val="left"/>
        <w:rPr>
          <w:rFonts w:ascii="宋体" w:hAnsi="宋体" w:cs="宋体"/>
          <w:b/>
          <w:sz w:val="24"/>
          <w:highlight w:val="none"/>
        </w:rPr>
      </w:pPr>
    </w:p>
    <w:p w14:paraId="2759CC93">
      <w:pPr>
        <w:shd w:val="clear" w:color="auto" w:fill="FFFFFF"/>
        <w:tabs>
          <w:tab w:val="left" w:pos="900"/>
          <w:tab w:val="left" w:pos="1980"/>
        </w:tabs>
        <w:snapToGrid w:val="0"/>
        <w:spacing w:line="360" w:lineRule="auto"/>
        <w:ind w:left="142"/>
        <w:rPr>
          <w:rFonts w:ascii="宋体" w:hAnsi="宋体" w:cs="宋体"/>
          <w:b/>
          <w:kern w:val="0"/>
          <w:sz w:val="24"/>
          <w:highlight w:val="none"/>
        </w:rPr>
      </w:pPr>
      <w:r>
        <w:rPr>
          <w:rFonts w:hint="eastAsia" w:ascii="宋体" w:hAnsi="宋体" w:cs="宋体"/>
          <w:b/>
          <w:kern w:val="0"/>
          <w:sz w:val="24"/>
          <w:highlight w:val="none"/>
        </w:rPr>
        <w:t>供应商编制文件须知</w:t>
      </w:r>
    </w:p>
    <w:p w14:paraId="3A0E63FC">
      <w:pPr>
        <w:shd w:val="clear" w:color="auto" w:fill="FFFFFF"/>
        <w:tabs>
          <w:tab w:val="left" w:pos="900"/>
          <w:tab w:val="left" w:pos="1980"/>
        </w:tabs>
        <w:snapToGrid w:val="0"/>
        <w:spacing w:line="360" w:lineRule="auto"/>
        <w:ind w:left="142"/>
        <w:rPr>
          <w:rFonts w:ascii="宋体" w:hAnsi="宋体" w:cs="宋体"/>
          <w:sz w:val="24"/>
          <w:highlight w:val="none"/>
        </w:rPr>
      </w:pPr>
      <w:r>
        <w:rPr>
          <w:rFonts w:hint="eastAsia" w:ascii="宋体" w:hAnsi="宋体" w:cs="宋体"/>
          <w:sz w:val="24"/>
          <w:highlight w:val="none"/>
        </w:rPr>
        <w:t>1、供应商按照本部分的顺序编制响应文件，编制中涉及格式资料的，应按照本部分提供的内容和格式（所有表格的格式可扩展）填写提交。</w:t>
      </w:r>
    </w:p>
    <w:p w14:paraId="0F85C601">
      <w:pPr>
        <w:shd w:val="clear" w:color="auto" w:fill="FFFFFF"/>
        <w:tabs>
          <w:tab w:val="left" w:pos="900"/>
          <w:tab w:val="left" w:pos="1980"/>
        </w:tabs>
        <w:snapToGrid w:val="0"/>
        <w:spacing w:line="360" w:lineRule="auto"/>
        <w:ind w:left="142"/>
        <w:rPr>
          <w:rFonts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对于竞争性磋商文件中标记了“实质性格式”文件的，供应商</w:t>
      </w:r>
      <w:r>
        <w:rPr>
          <w:rFonts w:hint="eastAsia" w:ascii="宋体" w:hAnsi="宋体" w:cs="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highlight w:val="none"/>
        </w:rPr>
        <w:t>否则响应无效</w:t>
      </w:r>
      <w:r>
        <w:rPr>
          <w:rFonts w:hint="eastAsia" w:ascii="宋体" w:hAnsi="宋体" w:cs="宋体"/>
          <w:kern w:val="0"/>
          <w:sz w:val="24"/>
          <w:highlight w:val="none"/>
        </w:rPr>
        <w:t>。未标记“实质性格式”的文件和竞争性磋商文件未提供格式的内容，可由供应商自行编写。</w:t>
      </w:r>
    </w:p>
    <w:p w14:paraId="6CB236D4">
      <w:pPr>
        <w:shd w:val="clear" w:color="auto" w:fill="FFFFFF"/>
        <w:tabs>
          <w:tab w:val="left" w:pos="900"/>
          <w:tab w:val="left" w:pos="1980"/>
        </w:tabs>
        <w:snapToGrid w:val="0"/>
        <w:spacing w:line="360" w:lineRule="auto"/>
        <w:ind w:left="142"/>
        <w:rPr>
          <w:rFonts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14F9CB90">
      <w:pPr>
        <w:shd w:val="clear" w:color="auto" w:fill="FFFFFF"/>
        <w:tabs>
          <w:tab w:val="left" w:pos="900"/>
          <w:tab w:val="left" w:pos="1980"/>
        </w:tabs>
        <w:snapToGrid w:val="0"/>
        <w:spacing w:line="360" w:lineRule="auto"/>
        <w:ind w:left="142"/>
        <w:rPr>
          <w:rFonts w:ascii="宋体" w:hAnsi="宋体" w:cs="宋体"/>
          <w:sz w:val="24"/>
          <w:highlight w:val="none"/>
        </w:rPr>
      </w:pPr>
    </w:p>
    <w:p w14:paraId="51413BEE">
      <w:pPr>
        <w:widowControl/>
        <w:shd w:val="clear" w:color="auto" w:fill="FFFFFF"/>
        <w:jc w:val="left"/>
        <w:rPr>
          <w:rFonts w:ascii="宋体" w:hAnsi="宋体" w:cs="宋体"/>
          <w:sz w:val="24"/>
          <w:highlight w:val="none"/>
        </w:rPr>
      </w:pPr>
      <w:r>
        <w:rPr>
          <w:rFonts w:hint="eastAsia" w:ascii="宋体" w:hAnsi="宋体" w:cs="宋体"/>
          <w:sz w:val="24"/>
          <w:highlight w:val="none"/>
        </w:rPr>
        <w:br w:type="page"/>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3036BEF5">
      <w:pPr>
        <w:shd w:val="clear" w:color="auto" w:fill="FFFFFF"/>
        <w:rPr>
          <w:rFonts w:ascii="宋体" w:hAnsi="宋体" w:cs="宋体"/>
          <w:b/>
          <w:spacing w:val="20"/>
          <w:szCs w:val="21"/>
          <w:highlight w:val="none"/>
        </w:rPr>
      </w:pPr>
    </w:p>
    <w:p w14:paraId="27755EEA">
      <w:pPr>
        <w:shd w:val="clear" w:color="auto" w:fill="FFFFFF"/>
        <w:rPr>
          <w:rFonts w:ascii="宋体" w:hAnsi="宋体" w:cs="宋体"/>
          <w:b/>
          <w:sz w:val="24"/>
          <w:highlight w:val="none"/>
        </w:rPr>
      </w:pPr>
      <w:r>
        <w:rPr>
          <w:rFonts w:hint="eastAsia" w:ascii="宋体" w:hAnsi="宋体" w:cs="宋体"/>
          <w:b/>
          <w:spacing w:val="20"/>
          <w:sz w:val="24"/>
          <w:highlight w:val="none"/>
        </w:rPr>
        <w:t>响应文件</w:t>
      </w:r>
      <w:r>
        <w:rPr>
          <w:rFonts w:hint="eastAsia" w:ascii="宋体" w:hAnsi="宋体" w:cs="宋体"/>
          <w:b/>
          <w:sz w:val="24"/>
          <w:highlight w:val="none"/>
        </w:rPr>
        <w:t>封面（非实质性格式）</w:t>
      </w:r>
    </w:p>
    <w:p w14:paraId="29A58FC4">
      <w:pPr>
        <w:shd w:val="clear" w:color="auto" w:fill="FFFFFF"/>
        <w:jc w:val="center"/>
        <w:rPr>
          <w:rFonts w:ascii="宋体" w:hAnsi="宋体" w:cs="宋体"/>
          <w:szCs w:val="21"/>
          <w:highlight w:val="none"/>
        </w:rPr>
      </w:pPr>
    </w:p>
    <w:p w14:paraId="32000E4B">
      <w:pPr>
        <w:shd w:val="clear" w:color="auto" w:fill="FFFFFF"/>
        <w:jc w:val="center"/>
        <w:rPr>
          <w:rFonts w:ascii="宋体" w:hAnsi="宋体" w:cs="宋体"/>
          <w:b/>
          <w:spacing w:val="60"/>
          <w:sz w:val="84"/>
          <w:szCs w:val="84"/>
          <w:highlight w:val="none"/>
        </w:rPr>
      </w:pPr>
      <w:r>
        <w:rPr>
          <w:rFonts w:hint="eastAsia" w:ascii="宋体" w:hAnsi="宋体" w:cs="宋体"/>
          <w:b/>
          <w:spacing w:val="60"/>
          <w:sz w:val="84"/>
          <w:szCs w:val="84"/>
          <w:highlight w:val="none"/>
        </w:rPr>
        <w:t>响 应 文 件</w:t>
      </w:r>
    </w:p>
    <w:p w14:paraId="22E46D87">
      <w:pPr>
        <w:shd w:val="clear" w:color="auto" w:fill="FFFFFF"/>
        <w:jc w:val="center"/>
        <w:rPr>
          <w:rFonts w:ascii="宋体" w:hAnsi="宋体" w:cs="宋体"/>
          <w:b/>
          <w:spacing w:val="60"/>
          <w:sz w:val="52"/>
          <w:szCs w:val="52"/>
          <w:highlight w:val="none"/>
        </w:rPr>
      </w:pPr>
    </w:p>
    <w:p w14:paraId="0ADD245A">
      <w:pPr>
        <w:shd w:val="clear" w:color="auto" w:fill="FFFFFF"/>
        <w:ind w:firstLine="542" w:firstLineChars="150"/>
        <w:rPr>
          <w:rFonts w:ascii="宋体" w:hAnsi="宋体" w:cs="宋体"/>
          <w:b/>
          <w:spacing w:val="20"/>
          <w:sz w:val="32"/>
          <w:szCs w:val="32"/>
          <w:highlight w:val="none"/>
        </w:rPr>
      </w:pPr>
    </w:p>
    <w:p w14:paraId="7CF485B7">
      <w:pPr>
        <w:shd w:val="clear" w:color="auto" w:fill="FFFFFF"/>
        <w:ind w:firstLine="542" w:firstLineChars="150"/>
        <w:rPr>
          <w:rFonts w:ascii="宋体" w:hAnsi="宋体" w:cs="宋体"/>
          <w:b/>
          <w:spacing w:val="20"/>
          <w:sz w:val="32"/>
          <w:szCs w:val="32"/>
          <w:highlight w:val="none"/>
        </w:rPr>
      </w:pPr>
    </w:p>
    <w:p w14:paraId="1ACD0AE4">
      <w:pPr>
        <w:shd w:val="clear" w:color="auto" w:fill="FFFFFF"/>
        <w:ind w:firstLine="542" w:firstLineChars="150"/>
        <w:rPr>
          <w:rFonts w:ascii="宋体" w:hAnsi="宋体" w:cs="宋体"/>
          <w:b/>
          <w:spacing w:val="20"/>
          <w:sz w:val="32"/>
          <w:szCs w:val="32"/>
          <w:highlight w:val="none"/>
        </w:rPr>
      </w:pPr>
      <w:r>
        <w:rPr>
          <w:rFonts w:hint="eastAsia" w:ascii="宋体" w:hAnsi="宋体" w:cs="宋体"/>
          <w:b/>
          <w:spacing w:val="20"/>
          <w:sz w:val="32"/>
          <w:szCs w:val="32"/>
          <w:highlight w:val="none"/>
        </w:rPr>
        <w:t>项目名称:</w:t>
      </w:r>
    </w:p>
    <w:p w14:paraId="36F1BB22">
      <w:pPr>
        <w:shd w:val="clear" w:color="auto" w:fill="FFFFFF"/>
        <w:ind w:firstLine="542" w:firstLineChars="150"/>
        <w:rPr>
          <w:rFonts w:ascii="宋体" w:hAnsi="宋体" w:cs="宋体"/>
          <w:b/>
          <w:spacing w:val="20"/>
          <w:sz w:val="32"/>
          <w:szCs w:val="32"/>
          <w:highlight w:val="none"/>
        </w:rPr>
      </w:pPr>
      <w:r>
        <w:rPr>
          <w:rFonts w:hint="eastAsia" w:ascii="宋体" w:hAnsi="宋体" w:cs="宋体"/>
          <w:b/>
          <w:spacing w:val="20"/>
          <w:sz w:val="32"/>
          <w:szCs w:val="32"/>
          <w:highlight w:val="none"/>
        </w:rPr>
        <w:t>项目编号：</w:t>
      </w:r>
    </w:p>
    <w:p w14:paraId="575AFA31">
      <w:pPr>
        <w:shd w:val="clear" w:color="auto" w:fill="FFFFFF"/>
        <w:ind w:firstLine="542" w:firstLineChars="150"/>
        <w:rPr>
          <w:rFonts w:ascii="宋体" w:hAnsi="宋体" w:cs="宋体"/>
          <w:b/>
          <w:spacing w:val="20"/>
          <w:sz w:val="32"/>
          <w:szCs w:val="32"/>
          <w:highlight w:val="none"/>
        </w:rPr>
      </w:pPr>
      <w:r>
        <w:rPr>
          <w:rFonts w:hint="eastAsia" w:ascii="宋体" w:hAnsi="宋体" w:cs="宋体"/>
          <w:b/>
          <w:spacing w:val="20"/>
          <w:sz w:val="32"/>
          <w:szCs w:val="32"/>
          <w:highlight w:val="none"/>
        </w:rPr>
        <w:t>项目代理编号</w:t>
      </w:r>
    </w:p>
    <w:p w14:paraId="2E4BFB85">
      <w:pPr>
        <w:shd w:val="clear" w:color="auto" w:fill="FFFFFF"/>
        <w:ind w:firstLine="542" w:firstLineChars="150"/>
        <w:rPr>
          <w:rFonts w:ascii="宋体" w:hAnsi="宋体" w:cs="宋体"/>
          <w:b/>
          <w:spacing w:val="20"/>
          <w:sz w:val="32"/>
          <w:szCs w:val="32"/>
          <w:highlight w:val="none"/>
        </w:rPr>
      </w:pPr>
    </w:p>
    <w:p w14:paraId="68D9517B">
      <w:pPr>
        <w:shd w:val="clear" w:color="auto" w:fill="FFFFFF"/>
        <w:jc w:val="center"/>
        <w:rPr>
          <w:rFonts w:ascii="宋体" w:hAnsi="宋体" w:cs="宋体"/>
          <w:b/>
          <w:sz w:val="32"/>
          <w:szCs w:val="32"/>
          <w:highlight w:val="none"/>
        </w:rPr>
      </w:pPr>
    </w:p>
    <w:p w14:paraId="5C6D6A0A">
      <w:pPr>
        <w:shd w:val="clear" w:color="auto" w:fill="FFFFFF"/>
        <w:jc w:val="center"/>
        <w:rPr>
          <w:rFonts w:ascii="宋体" w:hAnsi="宋体" w:cs="宋体"/>
          <w:b/>
          <w:sz w:val="32"/>
          <w:szCs w:val="32"/>
          <w:highlight w:val="none"/>
        </w:rPr>
      </w:pPr>
    </w:p>
    <w:p w14:paraId="3E117CD5">
      <w:pPr>
        <w:shd w:val="clear" w:color="auto" w:fill="FFFFFF"/>
        <w:jc w:val="center"/>
        <w:rPr>
          <w:rFonts w:ascii="宋体" w:hAnsi="宋体" w:cs="宋体"/>
          <w:b/>
          <w:sz w:val="32"/>
          <w:szCs w:val="32"/>
          <w:highlight w:val="none"/>
        </w:rPr>
      </w:pPr>
    </w:p>
    <w:p w14:paraId="67E3F51A">
      <w:pPr>
        <w:shd w:val="clear" w:color="auto" w:fill="FFFFFF"/>
        <w:jc w:val="center"/>
        <w:rPr>
          <w:rFonts w:ascii="宋体" w:hAnsi="宋体" w:cs="宋体"/>
          <w:b/>
          <w:spacing w:val="20"/>
          <w:sz w:val="32"/>
          <w:szCs w:val="32"/>
          <w:highlight w:val="none"/>
        </w:rPr>
      </w:pPr>
    </w:p>
    <w:p w14:paraId="1C9A1394">
      <w:pPr>
        <w:shd w:val="clear" w:color="auto" w:fill="FFFFFF"/>
        <w:jc w:val="center"/>
        <w:rPr>
          <w:rFonts w:ascii="宋体" w:hAnsi="宋体" w:cs="宋体"/>
          <w:b/>
          <w:spacing w:val="20"/>
          <w:sz w:val="32"/>
          <w:szCs w:val="32"/>
          <w:highlight w:val="none"/>
        </w:rPr>
      </w:pPr>
    </w:p>
    <w:p w14:paraId="2B6DD56F">
      <w:pPr>
        <w:shd w:val="clear" w:color="auto" w:fill="FFFFFF"/>
        <w:jc w:val="center"/>
        <w:rPr>
          <w:rFonts w:ascii="宋体" w:hAnsi="宋体" w:cs="宋体"/>
          <w:b/>
          <w:spacing w:val="20"/>
          <w:sz w:val="32"/>
          <w:szCs w:val="32"/>
          <w:highlight w:val="none"/>
        </w:rPr>
      </w:pPr>
    </w:p>
    <w:p w14:paraId="0B1D50F5">
      <w:pPr>
        <w:shd w:val="clear" w:color="auto" w:fill="FFFFFF"/>
        <w:spacing w:line="360" w:lineRule="auto"/>
        <w:ind w:firstLine="1445" w:firstLineChars="400"/>
        <w:jc w:val="left"/>
        <w:rPr>
          <w:rFonts w:ascii="宋体" w:hAnsi="宋体" w:cs="宋体"/>
          <w:b/>
          <w:spacing w:val="20"/>
          <w:sz w:val="32"/>
          <w:szCs w:val="32"/>
          <w:highlight w:val="none"/>
        </w:rPr>
      </w:pPr>
      <w:r>
        <w:rPr>
          <w:rFonts w:hint="eastAsia" w:ascii="宋体" w:hAnsi="宋体" w:cs="宋体"/>
          <w:b/>
          <w:spacing w:val="20"/>
          <w:sz w:val="32"/>
          <w:szCs w:val="32"/>
          <w:highlight w:val="none"/>
        </w:rPr>
        <w:t>供应商名称：</w:t>
      </w:r>
    </w:p>
    <w:p w14:paraId="0D1980B5">
      <w:pPr>
        <w:shd w:val="clear" w:color="auto" w:fill="FFFFFF"/>
        <w:jc w:val="center"/>
        <w:rPr>
          <w:rFonts w:ascii="宋体" w:hAnsi="宋体" w:cs="宋体"/>
          <w:b/>
          <w:sz w:val="32"/>
          <w:szCs w:val="32"/>
          <w:highlight w:val="none"/>
        </w:rPr>
      </w:pPr>
    </w:p>
    <w:p w14:paraId="2F488D2D">
      <w:pPr>
        <w:shd w:val="clear" w:color="auto" w:fill="FFFFFF"/>
        <w:rPr>
          <w:rFonts w:ascii="宋体" w:hAnsi="宋体" w:cs="宋体"/>
          <w:b/>
          <w:highlight w:val="none"/>
        </w:rPr>
      </w:pPr>
      <w:r>
        <w:rPr>
          <w:rFonts w:hint="eastAsia" w:ascii="宋体" w:hAnsi="宋体" w:cs="宋体"/>
          <w:b/>
          <w:spacing w:val="20"/>
          <w:sz w:val="32"/>
          <w:szCs w:val="32"/>
          <w:highlight w:val="none"/>
        </w:rPr>
        <w:br w:type="page"/>
      </w:r>
    </w:p>
    <w:p w14:paraId="7D02EA63">
      <w:pPr>
        <w:shd w:val="clear" w:color="auto" w:fill="FFFFFF"/>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1 满足《中华人民共和国政府采购法》第二十二条规定</w:t>
      </w:r>
    </w:p>
    <w:p w14:paraId="396BFA4E">
      <w:pPr>
        <w:shd w:val="clear" w:color="auto" w:fill="FFFFFF"/>
        <w:spacing w:line="360" w:lineRule="auto"/>
        <w:outlineLvl w:val="2"/>
        <w:rPr>
          <w:rFonts w:ascii="宋体" w:hAnsi="宋体" w:cs="宋体"/>
          <w:color w:val="000000"/>
          <w:sz w:val="24"/>
          <w:highlight w:val="none"/>
        </w:rPr>
      </w:pPr>
      <w:r>
        <w:rPr>
          <w:rFonts w:hint="eastAsia" w:ascii="宋体" w:hAnsi="宋体" w:cs="宋体"/>
          <w:color w:val="000000"/>
          <w:sz w:val="24"/>
          <w:highlight w:val="none"/>
        </w:rPr>
        <w:t>1-1营业执照等证明文件（须加盖单位公章）</w:t>
      </w:r>
    </w:p>
    <w:p w14:paraId="43C31067">
      <w:pPr>
        <w:shd w:val="clear" w:color="auto" w:fill="FFFFFF"/>
        <w:tabs>
          <w:tab w:val="left" w:pos="1080"/>
        </w:tabs>
        <w:snapToGrid w:val="0"/>
        <w:rPr>
          <w:rFonts w:ascii="宋体" w:hAnsi="宋体" w:cs="宋体"/>
          <w:sz w:val="24"/>
          <w:highlight w:val="none"/>
        </w:rPr>
      </w:pPr>
    </w:p>
    <w:p w14:paraId="7008D2E6">
      <w:pPr>
        <w:widowControl/>
        <w:shd w:val="clear" w:color="auto" w:fill="FFFFFF"/>
        <w:jc w:val="left"/>
        <w:rPr>
          <w:rFonts w:ascii="宋体" w:hAnsi="宋体" w:cs="宋体"/>
          <w:b/>
          <w:bCs/>
          <w:color w:val="000000"/>
          <w:highlight w:val="none"/>
        </w:rPr>
      </w:pPr>
      <w:r>
        <w:rPr>
          <w:rFonts w:hint="eastAsia" w:ascii="宋体" w:hAnsi="宋体" w:cs="宋体"/>
          <w:color w:val="000000"/>
          <w:sz w:val="24"/>
          <w:highlight w:val="none"/>
        </w:rPr>
        <w:br w:type="page"/>
      </w:r>
      <w:r>
        <w:rPr>
          <w:rFonts w:hint="eastAsia" w:ascii="宋体" w:hAnsi="宋体" w:cs="宋体"/>
          <w:b/>
          <w:color w:val="000000"/>
          <w:highlight w:val="none"/>
        </w:rPr>
        <w:t>1-2 供应商资格声明书</w:t>
      </w:r>
    </w:p>
    <w:p w14:paraId="1F13AD9A">
      <w:pPr>
        <w:shd w:val="clear" w:color="auto" w:fill="FFFFFF"/>
        <w:jc w:val="center"/>
        <w:rPr>
          <w:rFonts w:ascii="宋体" w:hAnsi="宋体" w:cs="宋体"/>
          <w:b/>
          <w:color w:val="000000"/>
          <w:sz w:val="36"/>
          <w:szCs w:val="36"/>
          <w:highlight w:val="none"/>
        </w:rPr>
      </w:pPr>
      <w:r>
        <w:rPr>
          <w:rFonts w:hint="eastAsia" w:ascii="宋体" w:hAnsi="宋体" w:cs="宋体"/>
          <w:b/>
          <w:color w:val="000000"/>
          <w:sz w:val="36"/>
          <w:szCs w:val="36"/>
          <w:highlight w:val="none"/>
        </w:rPr>
        <w:t>供应商资格声明书</w:t>
      </w:r>
    </w:p>
    <w:p w14:paraId="38594BF0">
      <w:pPr>
        <w:shd w:val="clear" w:color="auto" w:fill="FFFFFF"/>
        <w:tabs>
          <w:tab w:val="left" w:pos="5580"/>
        </w:tabs>
        <w:spacing w:line="360" w:lineRule="auto"/>
        <w:rPr>
          <w:rFonts w:ascii="宋体" w:hAnsi="宋体" w:cs="宋体"/>
          <w:sz w:val="24"/>
          <w:highlight w:val="none"/>
        </w:rPr>
      </w:pPr>
    </w:p>
    <w:p w14:paraId="60B5A69B">
      <w:pPr>
        <w:shd w:val="clear" w:color="auto" w:fill="FFFFFF"/>
        <w:tabs>
          <w:tab w:val="left" w:pos="5580"/>
        </w:tabs>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采购人或采购代理机构</w:t>
      </w:r>
    </w:p>
    <w:p w14:paraId="0A0C8F58">
      <w:pPr>
        <w:shd w:val="clear" w:color="auto" w:fill="FFFFFF"/>
        <w:spacing w:line="360" w:lineRule="auto"/>
        <w:ind w:firstLine="480" w:firstLineChars="200"/>
        <w:rPr>
          <w:rFonts w:ascii="宋体" w:hAnsi="宋体" w:cs="宋体"/>
          <w:sz w:val="24"/>
          <w:highlight w:val="none"/>
        </w:rPr>
      </w:pPr>
      <w:r>
        <w:rPr>
          <w:rFonts w:hint="eastAsia" w:ascii="宋体" w:hAnsi="宋体" w:cs="宋体"/>
          <w:sz w:val="24"/>
          <w:highlight w:val="none"/>
        </w:rPr>
        <w:t>在参与本次项目磋商中，我单位承诺：</w:t>
      </w:r>
    </w:p>
    <w:p w14:paraId="703C58A8">
      <w:pPr>
        <w:numPr>
          <w:ilvl w:val="0"/>
          <w:numId w:val="27"/>
        </w:numPr>
        <w:shd w:val="clear" w:color="auto" w:fill="FFFFFF"/>
        <w:spacing w:line="360" w:lineRule="auto"/>
        <w:ind w:left="1134"/>
        <w:rPr>
          <w:rFonts w:ascii="宋体" w:hAnsi="宋体" w:cs="宋体"/>
          <w:sz w:val="24"/>
          <w:szCs w:val="22"/>
          <w:highlight w:val="none"/>
        </w:rPr>
      </w:pPr>
      <w:r>
        <w:rPr>
          <w:rFonts w:hint="eastAsia" w:ascii="宋体" w:hAnsi="宋体" w:cs="宋体"/>
          <w:sz w:val="24"/>
          <w:szCs w:val="22"/>
          <w:highlight w:val="none"/>
        </w:rPr>
        <w:t>具有良好的商业信誉和健全的财务会计制度；</w:t>
      </w:r>
    </w:p>
    <w:p w14:paraId="7173113C">
      <w:pPr>
        <w:numPr>
          <w:ilvl w:val="0"/>
          <w:numId w:val="27"/>
        </w:numPr>
        <w:shd w:val="clear" w:color="auto" w:fill="FFFFFF"/>
        <w:spacing w:line="360" w:lineRule="auto"/>
        <w:ind w:left="1134"/>
        <w:rPr>
          <w:rFonts w:ascii="宋体" w:hAnsi="宋体" w:cs="宋体"/>
          <w:sz w:val="24"/>
          <w:szCs w:val="22"/>
          <w:highlight w:val="none"/>
        </w:rPr>
      </w:pPr>
      <w:r>
        <w:rPr>
          <w:rFonts w:hint="eastAsia" w:ascii="宋体" w:hAnsi="宋体" w:cs="宋体"/>
          <w:sz w:val="24"/>
          <w:szCs w:val="22"/>
          <w:highlight w:val="none"/>
        </w:rPr>
        <w:t>具有履行合同所必需的设备和专业技术能力；</w:t>
      </w:r>
    </w:p>
    <w:p w14:paraId="1BE526DB">
      <w:pPr>
        <w:numPr>
          <w:ilvl w:val="0"/>
          <w:numId w:val="27"/>
        </w:numPr>
        <w:shd w:val="clear" w:color="auto" w:fill="FFFFFF"/>
        <w:spacing w:line="360" w:lineRule="auto"/>
        <w:ind w:left="1134"/>
        <w:rPr>
          <w:rFonts w:ascii="宋体" w:hAnsi="宋体" w:cs="宋体"/>
          <w:sz w:val="24"/>
          <w:szCs w:val="22"/>
          <w:highlight w:val="none"/>
        </w:rPr>
      </w:pPr>
      <w:r>
        <w:rPr>
          <w:rFonts w:hint="eastAsia" w:ascii="宋体" w:hAnsi="宋体" w:cs="宋体"/>
          <w:sz w:val="24"/>
          <w:szCs w:val="22"/>
          <w:highlight w:val="none"/>
        </w:rPr>
        <w:t>有依法缴纳税收和社会保障资金的良好记录；</w:t>
      </w:r>
    </w:p>
    <w:p w14:paraId="28590652">
      <w:pPr>
        <w:numPr>
          <w:ilvl w:val="0"/>
          <w:numId w:val="27"/>
        </w:numPr>
        <w:shd w:val="clear" w:color="auto" w:fill="FFFFFF"/>
        <w:spacing w:line="360" w:lineRule="auto"/>
        <w:ind w:left="1134"/>
        <w:rPr>
          <w:rFonts w:ascii="宋体" w:hAnsi="宋体" w:cs="宋体"/>
          <w:sz w:val="24"/>
          <w:szCs w:val="22"/>
          <w:highlight w:val="none"/>
        </w:rPr>
      </w:pPr>
      <w:r>
        <w:rPr>
          <w:rFonts w:hint="eastAsia" w:ascii="宋体" w:hAnsi="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D626E59">
      <w:pPr>
        <w:numPr>
          <w:ilvl w:val="0"/>
          <w:numId w:val="27"/>
        </w:numPr>
        <w:shd w:val="clear" w:color="auto" w:fill="FFFFFF"/>
        <w:spacing w:line="360" w:lineRule="auto"/>
        <w:ind w:left="1134"/>
        <w:rPr>
          <w:rFonts w:ascii="宋体" w:hAnsi="宋体" w:cs="宋体"/>
          <w:sz w:val="24"/>
          <w:szCs w:val="22"/>
          <w:highlight w:val="none"/>
        </w:rPr>
      </w:pPr>
      <w:r>
        <w:rPr>
          <w:rFonts w:hint="eastAsia" w:ascii="宋体" w:hAnsi="宋体" w:cs="宋体"/>
          <w:sz w:val="24"/>
          <w:szCs w:val="22"/>
          <w:highlight w:val="none"/>
        </w:rPr>
        <w:t>我单位不属于政府采购法律、行政法规规定的公益一类事业单位、或使用事业编制且由财政拨款保障的群团组织(仅适用于政府购买服务项目)；</w:t>
      </w:r>
    </w:p>
    <w:p w14:paraId="71E81CCB">
      <w:pPr>
        <w:numPr>
          <w:ilvl w:val="0"/>
          <w:numId w:val="27"/>
        </w:numPr>
        <w:shd w:val="clear" w:color="auto" w:fill="FFFFFF"/>
        <w:spacing w:line="360" w:lineRule="auto"/>
        <w:ind w:left="1134"/>
        <w:rPr>
          <w:rFonts w:ascii="宋体" w:hAnsi="宋体" w:cs="宋体"/>
          <w:sz w:val="24"/>
          <w:szCs w:val="22"/>
          <w:highlight w:val="none"/>
        </w:rPr>
      </w:pPr>
      <w:r>
        <w:rPr>
          <w:rFonts w:hint="eastAsia" w:ascii="宋体" w:hAnsi="宋体" w:cs="宋体"/>
          <w:sz w:val="24"/>
          <w:szCs w:val="22"/>
          <w:highlight w:val="none"/>
        </w:rPr>
        <w:t>我单位不存在为采购项目提供整体设计、规范编制或者项目管理、监理、检测等服务后，再参加该采购项目的其他采购活动的情形(单一来源采购项目除外)；</w:t>
      </w:r>
    </w:p>
    <w:p w14:paraId="48BBBFD7">
      <w:pPr>
        <w:numPr>
          <w:ilvl w:val="0"/>
          <w:numId w:val="27"/>
        </w:numPr>
        <w:shd w:val="clear" w:color="auto" w:fill="FFFFFF"/>
        <w:spacing w:line="360" w:lineRule="auto"/>
        <w:ind w:left="1134"/>
        <w:rPr>
          <w:rFonts w:ascii="宋体" w:hAnsi="宋体" w:cs="宋体"/>
          <w:sz w:val="24"/>
          <w:szCs w:val="22"/>
          <w:highlight w:val="none"/>
        </w:rPr>
      </w:pPr>
      <w:r>
        <w:rPr>
          <w:rFonts w:hint="eastAsia" w:ascii="宋体" w:hAnsi="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8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64445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C0315E2">
            <w:pPr>
              <w:shd w:val="clear" w:color="auto" w:fill="FFFFFF"/>
              <w:jc w:val="center"/>
              <w:rPr>
                <w:rFonts w:ascii="宋体" w:hAnsi="宋体" w:cs="宋体"/>
                <w:sz w:val="24"/>
                <w:highlight w:val="none"/>
              </w:rPr>
            </w:pPr>
            <w:r>
              <w:rPr>
                <w:rFonts w:hint="eastAsia" w:ascii="宋体" w:hAnsi="宋体" w:cs="宋体"/>
                <w:sz w:val="24"/>
                <w:highlight w:val="none"/>
              </w:rPr>
              <w:t>序号</w:t>
            </w:r>
          </w:p>
        </w:tc>
        <w:tc>
          <w:tcPr>
            <w:tcW w:w="4574" w:type="dxa"/>
            <w:vAlign w:val="center"/>
          </w:tcPr>
          <w:p w14:paraId="57294910">
            <w:pPr>
              <w:shd w:val="clear" w:color="auto" w:fill="FFFFFF"/>
              <w:jc w:val="center"/>
              <w:rPr>
                <w:rFonts w:ascii="宋体" w:hAnsi="宋体" w:cs="宋体"/>
                <w:sz w:val="24"/>
                <w:highlight w:val="none"/>
              </w:rPr>
            </w:pPr>
            <w:r>
              <w:rPr>
                <w:rFonts w:hint="eastAsia" w:ascii="宋体" w:hAnsi="宋体" w:cs="宋体"/>
                <w:sz w:val="24"/>
                <w:highlight w:val="none"/>
              </w:rPr>
              <w:t>单位名称</w:t>
            </w:r>
          </w:p>
        </w:tc>
        <w:tc>
          <w:tcPr>
            <w:tcW w:w="2976" w:type="dxa"/>
            <w:vAlign w:val="center"/>
          </w:tcPr>
          <w:p w14:paraId="7E7181C2">
            <w:pPr>
              <w:shd w:val="clear" w:color="auto" w:fill="FFFFFF"/>
              <w:jc w:val="center"/>
              <w:rPr>
                <w:rFonts w:ascii="宋体" w:hAnsi="宋体" w:cs="宋体"/>
                <w:sz w:val="24"/>
                <w:highlight w:val="none"/>
              </w:rPr>
            </w:pPr>
            <w:r>
              <w:rPr>
                <w:rFonts w:hint="eastAsia" w:ascii="宋体" w:hAnsi="宋体" w:cs="宋体"/>
                <w:sz w:val="24"/>
                <w:highlight w:val="none"/>
              </w:rPr>
              <w:t>相互关系</w:t>
            </w:r>
          </w:p>
        </w:tc>
      </w:tr>
      <w:tr w14:paraId="548AF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60B1A35">
            <w:pPr>
              <w:shd w:val="clear" w:color="auto" w:fill="FFFFFF"/>
              <w:jc w:val="center"/>
              <w:rPr>
                <w:rFonts w:ascii="宋体" w:hAnsi="宋体" w:cs="宋体"/>
                <w:sz w:val="24"/>
                <w:highlight w:val="none"/>
              </w:rPr>
            </w:pPr>
            <w:r>
              <w:rPr>
                <w:rFonts w:hint="eastAsia" w:ascii="宋体" w:hAnsi="宋体" w:cs="宋体"/>
                <w:sz w:val="24"/>
                <w:highlight w:val="none"/>
              </w:rPr>
              <w:t>1</w:t>
            </w:r>
          </w:p>
        </w:tc>
        <w:tc>
          <w:tcPr>
            <w:tcW w:w="4574" w:type="dxa"/>
            <w:vAlign w:val="center"/>
          </w:tcPr>
          <w:p w14:paraId="1F1308EF">
            <w:pPr>
              <w:shd w:val="clear" w:color="auto" w:fill="FFFFFF"/>
              <w:jc w:val="center"/>
              <w:rPr>
                <w:rFonts w:ascii="宋体" w:hAnsi="宋体" w:cs="宋体"/>
                <w:sz w:val="24"/>
                <w:highlight w:val="none"/>
              </w:rPr>
            </w:pPr>
          </w:p>
        </w:tc>
        <w:tc>
          <w:tcPr>
            <w:tcW w:w="2976" w:type="dxa"/>
            <w:vAlign w:val="center"/>
          </w:tcPr>
          <w:p w14:paraId="5669666C">
            <w:pPr>
              <w:shd w:val="clear" w:color="auto" w:fill="FFFFFF"/>
              <w:jc w:val="center"/>
              <w:rPr>
                <w:rFonts w:ascii="宋体" w:hAnsi="宋体" w:cs="宋体"/>
                <w:sz w:val="24"/>
                <w:highlight w:val="none"/>
              </w:rPr>
            </w:pPr>
          </w:p>
        </w:tc>
      </w:tr>
      <w:tr w14:paraId="2814F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B107596">
            <w:pPr>
              <w:shd w:val="clear" w:color="auto" w:fill="FFFFFF"/>
              <w:jc w:val="center"/>
              <w:rPr>
                <w:rFonts w:ascii="宋体" w:hAnsi="宋体" w:cs="宋体"/>
                <w:sz w:val="24"/>
                <w:highlight w:val="none"/>
              </w:rPr>
            </w:pPr>
            <w:r>
              <w:rPr>
                <w:rFonts w:hint="eastAsia" w:ascii="宋体" w:hAnsi="宋体" w:cs="宋体"/>
                <w:sz w:val="24"/>
                <w:highlight w:val="none"/>
              </w:rPr>
              <w:t>2</w:t>
            </w:r>
          </w:p>
        </w:tc>
        <w:tc>
          <w:tcPr>
            <w:tcW w:w="4574" w:type="dxa"/>
            <w:vAlign w:val="center"/>
          </w:tcPr>
          <w:p w14:paraId="50FF0CD3">
            <w:pPr>
              <w:shd w:val="clear" w:color="auto" w:fill="FFFFFF"/>
              <w:jc w:val="center"/>
              <w:rPr>
                <w:rFonts w:ascii="宋体" w:hAnsi="宋体" w:cs="宋体"/>
                <w:sz w:val="24"/>
                <w:highlight w:val="none"/>
              </w:rPr>
            </w:pPr>
          </w:p>
        </w:tc>
        <w:tc>
          <w:tcPr>
            <w:tcW w:w="2976" w:type="dxa"/>
            <w:vAlign w:val="center"/>
          </w:tcPr>
          <w:p w14:paraId="21261625">
            <w:pPr>
              <w:shd w:val="clear" w:color="auto" w:fill="FFFFFF"/>
              <w:jc w:val="center"/>
              <w:rPr>
                <w:rFonts w:ascii="宋体" w:hAnsi="宋体" w:cs="宋体"/>
                <w:sz w:val="24"/>
                <w:highlight w:val="none"/>
              </w:rPr>
            </w:pPr>
          </w:p>
        </w:tc>
      </w:tr>
      <w:tr w14:paraId="54E0B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02DB281">
            <w:pPr>
              <w:shd w:val="clear" w:color="auto" w:fill="FFFFFF"/>
              <w:jc w:val="center"/>
              <w:rPr>
                <w:rFonts w:ascii="宋体" w:hAnsi="宋体" w:cs="宋体"/>
                <w:sz w:val="24"/>
                <w:highlight w:val="none"/>
              </w:rPr>
            </w:pPr>
            <w:r>
              <w:rPr>
                <w:rFonts w:hint="eastAsia" w:ascii="宋体" w:hAnsi="宋体" w:cs="宋体"/>
                <w:sz w:val="24"/>
                <w:highlight w:val="none"/>
              </w:rPr>
              <w:t>…</w:t>
            </w:r>
          </w:p>
        </w:tc>
        <w:tc>
          <w:tcPr>
            <w:tcW w:w="4574" w:type="dxa"/>
            <w:vAlign w:val="center"/>
          </w:tcPr>
          <w:p w14:paraId="74E7F8BC">
            <w:pPr>
              <w:shd w:val="clear" w:color="auto" w:fill="FFFFFF"/>
              <w:jc w:val="center"/>
              <w:rPr>
                <w:rFonts w:ascii="宋体" w:hAnsi="宋体" w:cs="宋体"/>
                <w:sz w:val="24"/>
                <w:highlight w:val="none"/>
              </w:rPr>
            </w:pPr>
          </w:p>
        </w:tc>
        <w:tc>
          <w:tcPr>
            <w:tcW w:w="2976" w:type="dxa"/>
            <w:vAlign w:val="center"/>
          </w:tcPr>
          <w:p w14:paraId="794A6290">
            <w:pPr>
              <w:shd w:val="clear" w:color="auto" w:fill="FFFFFF"/>
              <w:jc w:val="center"/>
              <w:rPr>
                <w:rFonts w:ascii="宋体" w:hAnsi="宋体" w:cs="宋体"/>
                <w:sz w:val="24"/>
                <w:highlight w:val="none"/>
              </w:rPr>
            </w:pPr>
          </w:p>
        </w:tc>
      </w:tr>
    </w:tbl>
    <w:p w14:paraId="042C89F7">
      <w:pPr>
        <w:shd w:val="clear" w:color="auto" w:fill="FFFFFF"/>
        <w:rPr>
          <w:rFonts w:ascii="宋体" w:hAnsi="宋体" w:cs="宋体"/>
          <w:highlight w:val="none"/>
        </w:rPr>
      </w:pPr>
    </w:p>
    <w:p w14:paraId="2311E01C">
      <w:pPr>
        <w:shd w:val="clear" w:color="auto" w:fill="FFFFFF"/>
        <w:ind w:firstLine="480" w:firstLineChars="200"/>
        <w:rPr>
          <w:rFonts w:ascii="宋体" w:hAnsi="宋体" w:cs="宋体"/>
          <w:sz w:val="24"/>
          <w:szCs w:val="22"/>
          <w:highlight w:val="none"/>
        </w:rPr>
      </w:pPr>
      <w:r>
        <w:rPr>
          <w:rFonts w:hint="eastAsia" w:ascii="宋体" w:hAnsi="宋体" w:cs="宋体"/>
          <w:sz w:val="24"/>
          <w:highlight w:val="none"/>
        </w:rPr>
        <w:t>上述声明真实有效，否则我方负全部责任。</w:t>
      </w:r>
    </w:p>
    <w:p w14:paraId="5D23A464">
      <w:pPr>
        <w:shd w:val="clear" w:color="auto" w:fill="FFFFFF"/>
        <w:spacing w:line="360" w:lineRule="auto"/>
        <w:rPr>
          <w:rFonts w:ascii="宋体" w:hAnsi="宋体" w:cs="宋体"/>
          <w:sz w:val="24"/>
          <w:highlight w:val="none"/>
        </w:rPr>
      </w:pPr>
    </w:p>
    <w:p w14:paraId="45364BD7">
      <w:pPr>
        <w:shd w:val="clear" w:color="auto" w:fill="FFFFFF"/>
        <w:autoSpaceDE w:val="0"/>
        <w:autoSpaceDN w:val="0"/>
        <w:adjustRightInd w:val="0"/>
        <w:snapToGrid w:val="0"/>
        <w:spacing w:before="25" w:after="25" w:line="360" w:lineRule="auto"/>
        <w:ind w:right="360"/>
        <w:jc w:val="right"/>
        <w:rPr>
          <w:rFonts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sz w:val="24"/>
          <w:highlight w:val="none"/>
        </w:rPr>
        <w:t>______</w:t>
      </w:r>
    </w:p>
    <w:p w14:paraId="3C284C06">
      <w:pPr>
        <w:shd w:val="clear" w:color="auto" w:fill="FFFFFF"/>
        <w:spacing w:line="360" w:lineRule="auto"/>
        <w:ind w:right="360" w:firstLine="480"/>
        <w:jc w:val="right"/>
        <w:rPr>
          <w:rFonts w:ascii="宋体" w:hAnsi="宋体" w:cs="宋体"/>
          <w:sz w:val="24"/>
          <w:highlight w:val="none"/>
        </w:rPr>
      </w:pPr>
      <w:r>
        <w:rPr>
          <w:rFonts w:hint="eastAsia" w:ascii="宋体" w:hAnsi="宋体" w:cs="宋体"/>
          <w:color w:val="000000"/>
          <w:sz w:val="24"/>
          <w:szCs w:val="20"/>
          <w:highlight w:val="none"/>
        </w:rPr>
        <w:t xml:space="preserve">日期：____年____月____日   </w:t>
      </w:r>
    </w:p>
    <w:p w14:paraId="421E1903">
      <w:pPr>
        <w:shd w:val="clear" w:color="auto" w:fill="FFFFFF"/>
        <w:spacing w:line="360" w:lineRule="auto"/>
        <w:rPr>
          <w:rFonts w:ascii="宋体" w:hAnsi="宋体" w:cs="宋体"/>
          <w:sz w:val="24"/>
          <w:highlight w:val="none"/>
        </w:rPr>
      </w:pPr>
      <w:r>
        <w:rPr>
          <w:rFonts w:hint="eastAsia" w:ascii="宋体" w:hAnsi="宋体" w:cs="宋体"/>
          <w:sz w:val="24"/>
          <w:highlight w:val="none"/>
        </w:rPr>
        <w:t>说明：供应商承诺不实的，依据《政府采购法》第七十七条“提供虚假材料谋取中标、成交的”有关规定予以处理。</w:t>
      </w:r>
    </w:p>
    <w:p w14:paraId="78346AEF">
      <w:pPr>
        <w:shd w:val="clear" w:color="auto" w:fill="FFFFFF"/>
        <w:tabs>
          <w:tab w:val="left" w:pos="5580"/>
        </w:tabs>
        <w:spacing w:line="360" w:lineRule="auto"/>
        <w:rPr>
          <w:rFonts w:ascii="宋体" w:hAnsi="宋体" w:cs="宋体"/>
          <w:sz w:val="24"/>
          <w:highlight w:val="none"/>
        </w:rPr>
        <w:sectPr>
          <w:headerReference r:id="rId25" w:type="first"/>
          <w:footerReference r:id="rId27" w:type="first"/>
          <w:headerReference r:id="rId24" w:type="even"/>
          <w:footerReference r:id="rId26" w:type="even"/>
          <w:pgSz w:w="11907" w:h="16840"/>
          <w:pgMar w:top="1417" w:right="1417" w:bottom="1417" w:left="1417" w:header="851" w:footer="851" w:gutter="0"/>
          <w:cols w:space="720" w:num="1"/>
          <w:docGrid w:linePitch="462" w:charSpace="0"/>
        </w:sectPr>
      </w:pPr>
    </w:p>
    <w:p w14:paraId="0596D9CF">
      <w:pPr>
        <w:shd w:val="clear" w:color="auto" w:fill="FFFFFF"/>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2 落实政府采购政策需满足的资格要求（如有）</w:t>
      </w:r>
    </w:p>
    <w:p w14:paraId="66CA5638">
      <w:pPr>
        <w:shd w:val="clear" w:color="auto" w:fill="FFFFFF"/>
        <w:spacing w:line="360" w:lineRule="auto"/>
        <w:outlineLvl w:val="2"/>
        <w:rPr>
          <w:rFonts w:ascii="宋体" w:hAnsi="宋体" w:cs="宋体"/>
          <w:color w:val="000000"/>
          <w:sz w:val="24"/>
          <w:szCs w:val="20"/>
          <w:highlight w:val="none"/>
        </w:rPr>
      </w:pPr>
      <w:r>
        <w:rPr>
          <w:rFonts w:hint="eastAsia" w:ascii="宋体" w:hAnsi="宋体" w:cs="宋体"/>
          <w:color w:val="000000"/>
          <w:sz w:val="24"/>
          <w:szCs w:val="20"/>
          <w:highlight w:val="none"/>
        </w:rPr>
        <w:t>2-1中小企业声明函</w:t>
      </w:r>
    </w:p>
    <w:p w14:paraId="0727DF85">
      <w:pPr>
        <w:shd w:val="clear" w:color="auto" w:fill="FFFFFF"/>
        <w:tabs>
          <w:tab w:val="left" w:pos="5580"/>
        </w:tabs>
        <w:spacing w:line="360" w:lineRule="auto"/>
        <w:rPr>
          <w:rFonts w:ascii="宋体" w:hAnsi="宋体" w:cs="宋体"/>
          <w:sz w:val="24"/>
          <w:highlight w:val="none"/>
        </w:rPr>
      </w:pPr>
      <w:r>
        <w:rPr>
          <w:rFonts w:hint="eastAsia" w:ascii="宋体" w:hAnsi="宋体" w:cs="宋体"/>
          <w:sz w:val="24"/>
          <w:highlight w:val="none"/>
        </w:rPr>
        <w:t>说明：</w:t>
      </w:r>
    </w:p>
    <w:p w14:paraId="6D0F66A8">
      <w:pPr>
        <w:shd w:val="clear" w:color="auto" w:fill="FFFFFF"/>
        <w:tabs>
          <w:tab w:val="left" w:pos="5580"/>
        </w:tabs>
        <w:spacing w:line="360" w:lineRule="auto"/>
        <w:rPr>
          <w:rFonts w:ascii="宋体" w:hAnsi="宋体" w:cs="宋体"/>
          <w:sz w:val="24"/>
          <w:highlight w:val="none"/>
        </w:rPr>
      </w:pPr>
      <w:r>
        <w:rPr>
          <w:rFonts w:hint="eastAsia" w:ascii="宋体" w:hAnsi="宋体" w:cs="宋体"/>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0ED825FF">
      <w:pPr>
        <w:shd w:val="clear" w:color="auto" w:fill="FFFFFF"/>
        <w:tabs>
          <w:tab w:val="left" w:pos="5580"/>
        </w:tabs>
        <w:spacing w:line="360" w:lineRule="auto"/>
        <w:rPr>
          <w:rFonts w:ascii="宋体" w:hAnsi="宋体" w:cs="宋体"/>
          <w:sz w:val="24"/>
          <w:highlight w:val="none"/>
        </w:rPr>
      </w:pPr>
      <w:r>
        <w:rPr>
          <w:rFonts w:hint="eastAsia" w:ascii="宋体" w:hAnsi="宋体" w:cs="宋体"/>
          <w:sz w:val="24"/>
          <w:highlight w:val="none"/>
        </w:rPr>
        <w:t>(2)如本项目(包)专门面向中小企业采购，响应文件中须提供《中小企业声明雨》或《残疾人福利性单位声明函》，或提供由省级以上监狱管理局、戒毒管理局(含新疆生产建设兵团)出具的属于监狱企业的证明文件。</w:t>
      </w:r>
    </w:p>
    <w:p w14:paraId="0C8C2C59">
      <w:pPr>
        <w:shd w:val="clear" w:color="auto" w:fill="FFFFFF"/>
        <w:tabs>
          <w:tab w:val="left" w:pos="5580"/>
        </w:tabs>
        <w:spacing w:line="360" w:lineRule="auto"/>
        <w:rPr>
          <w:rFonts w:ascii="宋体" w:hAnsi="宋体" w:cs="宋体"/>
          <w:sz w:val="24"/>
          <w:highlight w:val="none"/>
        </w:rPr>
      </w:pPr>
      <w:r>
        <w:rPr>
          <w:rFonts w:hint="eastAsia" w:ascii="宋体" w:hAnsi="宋体" w:cs="宋体"/>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5A679C4">
      <w:pPr>
        <w:shd w:val="clear" w:color="auto" w:fill="FFFFFF"/>
        <w:tabs>
          <w:tab w:val="left" w:pos="5580"/>
        </w:tabs>
        <w:spacing w:line="360" w:lineRule="auto"/>
        <w:rPr>
          <w:rFonts w:ascii="宋体" w:hAnsi="宋体" w:cs="宋体"/>
          <w:sz w:val="24"/>
          <w:highlight w:val="none"/>
        </w:rPr>
      </w:pPr>
      <w:r>
        <w:rPr>
          <w:rFonts w:hint="eastAsia" w:ascii="宋体" w:hAnsi="宋体" w:cs="宋体"/>
          <w:sz w:val="24"/>
          <w:highlight w:val="none"/>
        </w:rPr>
        <w:t>(4)中小企业声明函填写注意事项</w:t>
      </w:r>
    </w:p>
    <w:p w14:paraId="48C0795C">
      <w:pPr>
        <w:shd w:val="clear" w:color="auto" w:fill="FFFFFF"/>
        <w:tabs>
          <w:tab w:val="left" w:pos="5580"/>
        </w:tabs>
        <w:spacing w:line="360" w:lineRule="auto"/>
        <w:rPr>
          <w:rFonts w:ascii="宋体" w:hAnsi="宋体" w:cs="宋体"/>
          <w:sz w:val="24"/>
          <w:highlight w:val="none"/>
        </w:rPr>
      </w:pPr>
      <w:r>
        <w:rPr>
          <w:rFonts w:hint="eastAsia" w:ascii="宋体" w:hAnsi="宋体" w:cs="宋体"/>
          <w:sz w:val="24"/>
          <w:highlight w:val="none"/>
        </w:rPr>
        <w:t>1)《中小企业声明函》由参加政府采购活动的供应商出具。联合体参与的,《中小企业声明函》可由牵头人出具。</w:t>
      </w:r>
    </w:p>
    <w:p w14:paraId="37C82B37">
      <w:pPr>
        <w:shd w:val="clear" w:color="auto" w:fill="FFFFFF"/>
        <w:tabs>
          <w:tab w:val="left" w:pos="5580"/>
        </w:tabs>
        <w:spacing w:line="360" w:lineRule="auto"/>
        <w:rPr>
          <w:rFonts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87F88E8">
      <w:pPr>
        <w:shd w:val="clear" w:color="auto" w:fill="FFFFFF"/>
        <w:tabs>
          <w:tab w:val="left" w:pos="5580"/>
        </w:tabs>
        <w:spacing w:line="360" w:lineRule="auto"/>
        <w:rPr>
          <w:rFonts w:ascii="宋体" w:hAnsi="宋体" w:cs="宋体"/>
          <w:sz w:val="24"/>
          <w:highlight w:val="none"/>
        </w:rPr>
      </w:pPr>
      <w:r>
        <w:rPr>
          <w:rFonts w:hint="eastAsia" w:ascii="宋体" w:hAnsi="宋体" w:cs="宋体"/>
          <w:sz w:val="24"/>
          <w:highlight w:val="none"/>
        </w:rPr>
        <w:t>3)对于多标的采购项目，供应商应充分、准确地了解所提供货物的制造企业、提供服务的承接企业信息。对相关情况了解不清楚的，不建议填报本声明函。</w:t>
      </w:r>
    </w:p>
    <w:p w14:paraId="4FF71B12">
      <w:pPr>
        <w:shd w:val="clear" w:color="auto" w:fill="FFFFFF"/>
        <w:tabs>
          <w:tab w:val="left" w:pos="5580"/>
        </w:tabs>
        <w:spacing w:line="360" w:lineRule="auto"/>
        <w:rPr>
          <w:rFonts w:ascii="宋体" w:hAnsi="宋体" w:cs="宋体"/>
          <w:sz w:val="24"/>
          <w:highlight w:val="none"/>
        </w:rPr>
      </w:pPr>
      <w:r>
        <w:rPr>
          <w:rFonts w:hint="eastAsia" w:ascii="宋体" w:hAnsi="宋体" w:cs="宋体"/>
          <w:sz w:val="24"/>
          <w:highlight w:val="none"/>
        </w:rPr>
        <w:t>(5)温馨提示:为方便广大中小企业识别企业规模类型，工业和信息化部组织开发了中小企业规模类型自测小程序，在国务院客户端和工业和信息化部网站上均冇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w:t>
      </w:r>
    </w:p>
    <w:p w14:paraId="6D9CAD1A">
      <w:pPr>
        <w:shd w:val="clear" w:color="auto" w:fill="FFFFFF"/>
        <w:tabs>
          <w:tab w:val="left" w:pos="5580"/>
        </w:tabs>
        <w:spacing w:line="360" w:lineRule="auto"/>
        <w:rPr>
          <w:rFonts w:ascii="宋体" w:hAnsi="宋体" w:cs="宋体"/>
          <w:sz w:val="24"/>
          <w:highlight w:val="none"/>
        </w:rPr>
      </w:pPr>
      <w:r>
        <w:rPr>
          <w:rFonts w:hint="eastAsia" w:ascii="宋体" w:hAnsi="宋体" w:cs="宋体"/>
          <w:sz w:val="24"/>
          <w:highlight w:val="none"/>
        </w:rPr>
        <w:t>信部联企业﹝2011﹞300 号）》及《金融业企业划型标准规定》（〔2015〕309 号）等</w:t>
      </w:r>
    </w:p>
    <w:p w14:paraId="7A98A6D4">
      <w:pPr>
        <w:shd w:val="clear" w:color="auto" w:fill="FFFFFF"/>
        <w:tabs>
          <w:tab w:val="left" w:pos="5580"/>
        </w:tabs>
        <w:spacing w:line="360" w:lineRule="auto"/>
        <w:rPr>
          <w:rFonts w:ascii="宋体" w:hAnsi="宋体" w:cs="宋体"/>
          <w:sz w:val="24"/>
          <w:highlight w:val="none"/>
        </w:rPr>
      </w:pPr>
      <w:r>
        <w:rPr>
          <w:rFonts w:hint="eastAsia" w:ascii="宋体" w:hAnsi="宋体" w:cs="宋体"/>
          <w:sz w:val="24"/>
          <w:highlight w:val="none"/>
        </w:rPr>
        <w:t>国务院批准的中小企业划分标准执行。</w:t>
      </w:r>
      <w:r>
        <w:rPr>
          <w:rFonts w:hint="eastAsia" w:ascii="宋体" w:hAnsi="宋体" w:cs="宋体"/>
          <w:sz w:val="24"/>
          <w:highlight w:val="none"/>
        </w:rPr>
        <w:br w:type="page"/>
      </w:r>
    </w:p>
    <w:p w14:paraId="23FBB706">
      <w:pPr>
        <w:shd w:val="clear" w:color="auto" w:fill="FFFFFF"/>
        <w:spacing w:line="360" w:lineRule="auto"/>
        <w:outlineLvl w:val="3"/>
        <w:rPr>
          <w:rFonts w:ascii="宋体" w:hAnsi="宋体" w:cs="宋体"/>
          <w:color w:val="000000"/>
          <w:sz w:val="24"/>
          <w:szCs w:val="20"/>
          <w:highlight w:val="none"/>
        </w:rPr>
      </w:pPr>
      <w:r>
        <w:rPr>
          <w:rFonts w:hint="eastAsia" w:ascii="宋体" w:hAnsi="宋体" w:cs="宋体"/>
          <w:color w:val="000000"/>
          <w:sz w:val="24"/>
          <w:szCs w:val="20"/>
          <w:highlight w:val="none"/>
        </w:rPr>
        <w:t>2-1-1中小企业声明函</w:t>
      </w:r>
    </w:p>
    <w:p w14:paraId="69A31462">
      <w:pPr>
        <w:shd w:val="clear" w:color="auto" w:fill="FFFFFF"/>
        <w:spacing w:before="240" w:beforeLines="100" w:after="240" w:afterLines="100" w:line="360" w:lineRule="auto"/>
        <w:jc w:val="center"/>
        <w:rPr>
          <w:b/>
          <w:bCs/>
          <w:color w:val="000000"/>
          <w:sz w:val="36"/>
          <w:szCs w:val="36"/>
          <w:highlight w:val="none"/>
        </w:rPr>
      </w:pPr>
      <w:r>
        <w:rPr>
          <w:rFonts w:hint="eastAsia"/>
          <w:b/>
          <w:bCs/>
          <w:color w:val="000000"/>
          <w:sz w:val="36"/>
          <w:szCs w:val="36"/>
          <w:highlight w:val="none"/>
        </w:rPr>
        <w:t>中小企业声明函（工程）格式</w:t>
      </w:r>
    </w:p>
    <w:p w14:paraId="683CA496">
      <w:pPr>
        <w:shd w:val="clear" w:color="auto" w:fill="FFFFFF"/>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w:t>
      </w:r>
      <w:r>
        <w:rPr>
          <w:spacing w:val="6"/>
          <w:sz w:val="24"/>
          <w:highlight w:val="none"/>
          <w:u w:val="single"/>
        </w:rPr>
        <w:t>（单位名称）</w:t>
      </w:r>
      <w:r>
        <w:rPr>
          <w:spacing w:val="6"/>
          <w:sz w:val="24"/>
          <w:highlight w:val="none"/>
        </w:rPr>
        <w:t>的</w:t>
      </w:r>
      <w:r>
        <w:rPr>
          <w:spacing w:val="6"/>
          <w:sz w:val="24"/>
          <w:highlight w:val="none"/>
          <w:u w:val="single"/>
        </w:rPr>
        <w:t>（项目名称）</w:t>
      </w:r>
      <w:r>
        <w:rPr>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38A7FBF">
      <w:pPr>
        <w:shd w:val="clear" w:color="auto" w:fill="FFFFFF"/>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，属于（中型企业、小型企业、微型企业）；</w:t>
      </w:r>
    </w:p>
    <w:p w14:paraId="73028469">
      <w:pPr>
        <w:shd w:val="clear" w:color="auto" w:fill="FFFFFF"/>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415446FF">
      <w:pPr>
        <w:shd w:val="clear" w:color="auto" w:fill="FFFFFF"/>
        <w:spacing w:line="360" w:lineRule="auto"/>
        <w:ind w:firstLine="504"/>
        <w:rPr>
          <w:spacing w:val="6"/>
          <w:sz w:val="24"/>
          <w:highlight w:val="none"/>
        </w:rPr>
      </w:pPr>
    </w:p>
    <w:p w14:paraId="1D06CE9E">
      <w:pPr>
        <w:shd w:val="clear" w:color="auto" w:fill="FFFFFF"/>
        <w:spacing w:line="360" w:lineRule="auto"/>
        <w:ind w:firstLine="504"/>
        <w:rPr>
          <w:spacing w:val="6"/>
          <w:sz w:val="24"/>
          <w:highlight w:val="none"/>
        </w:rPr>
      </w:pPr>
      <w:r>
        <w:rPr>
          <w:spacing w:val="6"/>
          <w:sz w:val="24"/>
          <w:highlight w:val="none"/>
        </w:rPr>
        <w:t>……</w:t>
      </w:r>
    </w:p>
    <w:p w14:paraId="306B8A9D">
      <w:pPr>
        <w:shd w:val="clear" w:color="auto" w:fill="FFFFFF"/>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2F76F7C7">
      <w:pPr>
        <w:shd w:val="clear" w:color="auto" w:fill="FFFFFF"/>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5002705E">
      <w:pPr>
        <w:shd w:val="clear" w:color="auto" w:fill="FFFFFF"/>
        <w:spacing w:line="360" w:lineRule="auto"/>
        <w:ind w:right="360" w:firstLine="480"/>
        <w:jc w:val="right"/>
        <w:rPr>
          <w:color w:val="000000"/>
          <w:sz w:val="24"/>
          <w:highlight w:val="none"/>
        </w:rPr>
      </w:pPr>
    </w:p>
    <w:p w14:paraId="4427A96F">
      <w:pPr>
        <w:shd w:val="clear" w:color="auto" w:fill="FFFFFF"/>
        <w:spacing w:line="360" w:lineRule="auto"/>
        <w:ind w:right="360" w:firstLine="480"/>
        <w:jc w:val="right"/>
        <w:rPr>
          <w:color w:val="000000"/>
          <w:sz w:val="24"/>
          <w:highlight w:val="none"/>
        </w:rPr>
      </w:pPr>
      <w:r>
        <w:rPr>
          <w:color w:val="000000"/>
          <w:sz w:val="24"/>
          <w:highlight w:val="none"/>
        </w:rPr>
        <w:t>企业名称（盖章）：________</w:t>
      </w:r>
    </w:p>
    <w:p w14:paraId="59347820">
      <w:pPr>
        <w:shd w:val="clear" w:color="auto" w:fill="FFFFFF"/>
        <w:spacing w:line="360" w:lineRule="auto"/>
        <w:ind w:right="360" w:firstLine="480"/>
        <w:jc w:val="right"/>
        <w:rPr>
          <w:color w:val="000000"/>
          <w:sz w:val="24"/>
          <w:highlight w:val="none"/>
        </w:rPr>
      </w:pPr>
      <w:r>
        <w:rPr>
          <w:color w:val="000000"/>
          <w:sz w:val="24"/>
          <w:highlight w:val="none"/>
        </w:rPr>
        <w:t>日 期：________</w:t>
      </w:r>
    </w:p>
    <w:p w14:paraId="45E35BF7">
      <w:pPr>
        <w:shd w:val="clear" w:color="auto" w:fill="FFFFFF"/>
        <w:adjustRightInd w:val="0"/>
        <w:snapToGrid w:val="0"/>
        <w:jc w:val="left"/>
        <w:rPr>
          <w:color w:val="000000"/>
          <w:sz w:val="24"/>
          <w:szCs w:val="21"/>
          <w:highlight w:val="none"/>
        </w:rPr>
      </w:pPr>
    </w:p>
    <w:p w14:paraId="5B490726">
      <w:pPr>
        <w:shd w:val="clear" w:color="auto" w:fill="FFFFFF"/>
        <w:adjustRightInd w:val="0"/>
        <w:snapToGrid w:val="0"/>
        <w:jc w:val="left"/>
        <w:rPr>
          <w:color w:val="000000"/>
          <w:sz w:val="24"/>
          <w:szCs w:val="21"/>
          <w:highlight w:val="none"/>
        </w:rPr>
      </w:pPr>
    </w:p>
    <w:tbl>
      <w:tblPr>
        <w:tblStyle w:val="8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8ADF25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4B935BD">
            <w:pPr>
              <w:shd w:val="clear" w:color="auto" w:fill="FFFFFF"/>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566DC032">
      <w:pPr>
        <w:shd w:val="clear" w:color="auto" w:fill="FFFFFF"/>
        <w:autoSpaceDE w:val="0"/>
        <w:autoSpaceDN w:val="0"/>
        <w:adjustRightInd w:val="0"/>
        <w:ind w:firstLine="420"/>
        <w:jc w:val="left"/>
        <w:rPr>
          <w:rFonts w:ascii="宋体" w:hAnsi="宋体" w:cs="宋体"/>
          <w:sz w:val="24"/>
          <w:highlight w:val="none"/>
        </w:rPr>
      </w:pPr>
    </w:p>
    <w:p w14:paraId="78BE5E75">
      <w:pPr>
        <w:shd w:val="clear" w:color="auto" w:fill="FFFFFF"/>
        <w:spacing w:line="360" w:lineRule="auto"/>
        <w:ind w:firstLine="504"/>
        <w:rPr>
          <w:rFonts w:ascii="宋体" w:hAnsi="宋体" w:cs="宋体"/>
          <w:spacing w:val="6"/>
          <w:sz w:val="24"/>
          <w:highlight w:val="none"/>
        </w:rPr>
      </w:pPr>
    </w:p>
    <w:p w14:paraId="2C1CE549">
      <w:pPr>
        <w:shd w:val="clear" w:color="auto" w:fill="FFFFFF"/>
        <w:spacing w:line="360" w:lineRule="auto"/>
        <w:ind w:firstLine="504"/>
        <w:rPr>
          <w:rFonts w:ascii="宋体" w:hAnsi="宋体" w:cs="宋体"/>
          <w:spacing w:val="6"/>
          <w:sz w:val="24"/>
          <w:highlight w:val="none"/>
        </w:rPr>
      </w:pPr>
      <w:r>
        <w:rPr>
          <w:rFonts w:hint="eastAsia" w:ascii="宋体" w:hAnsi="宋体" w:cs="宋体"/>
          <w:spacing w:val="6"/>
          <w:sz w:val="24"/>
          <w:highlight w:val="none"/>
        </w:rPr>
        <w:t xml:space="preserve"> </w:t>
      </w:r>
    </w:p>
    <w:p w14:paraId="3024C66D">
      <w:pPr>
        <w:pStyle w:val="56"/>
        <w:rPr>
          <w:rFonts w:cs="宋体"/>
          <w:spacing w:val="6"/>
          <w:highlight w:val="none"/>
        </w:rPr>
      </w:pPr>
    </w:p>
    <w:p w14:paraId="628546A9">
      <w:pPr>
        <w:rPr>
          <w:highlight w:val="none"/>
        </w:rPr>
      </w:pPr>
    </w:p>
    <w:p w14:paraId="25825494">
      <w:pPr>
        <w:shd w:val="clear" w:color="auto" w:fill="FFFFFF"/>
        <w:spacing w:line="360" w:lineRule="auto"/>
        <w:ind w:firstLine="504"/>
        <w:rPr>
          <w:rFonts w:ascii="宋体" w:hAnsi="宋体" w:cs="宋体"/>
          <w:spacing w:val="6"/>
          <w:sz w:val="24"/>
          <w:highlight w:val="none"/>
        </w:rPr>
      </w:pPr>
    </w:p>
    <w:p w14:paraId="6676D9D9">
      <w:pPr>
        <w:shd w:val="clear" w:color="auto" w:fill="FFFFFF"/>
        <w:spacing w:before="240" w:beforeLines="100" w:after="240" w:afterLines="100" w:line="360" w:lineRule="auto"/>
        <w:jc w:val="center"/>
        <w:rPr>
          <w:rFonts w:ascii="宋体" w:hAnsi="宋体" w:cs="宋体"/>
          <w:b/>
          <w:bCs/>
          <w:color w:val="000000"/>
          <w:sz w:val="36"/>
          <w:szCs w:val="36"/>
          <w:highlight w:val="none"/>
        </w:rPr>
      </w:pPr>
      <w:r>
        <w:rPr>
          <w:rFonts w:hint="eastAsia" w:ascii="宋体" w:hAnsi="宋体" w:cs="宋体"/>
          <w:b/>
          <w:bCs/>
          <w:color w:val="000000"/>
          <w:sz w:val="36"/>
          <w:szCs w:val="36"/>
          <w:highlight w:val="none"/>
        </w:rPr>
        <w:t>残疾人福利性单位声明函格式</w:t>
      </w:r>
    </w:p>
    <w:p w14:paraId="4EAF7957">
      <w:pPr>
        <w:shd w:val="clear" w:color="auto" w:fill="FFFFFF"/>
        <w:spacing w:line="588" w:lineRule="exact"/>
        <w:ind w:firstLine="504"/>
        <w:rPr>
          <w:rFonts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 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670AC3C4">
      <w:pPr>
        <w:shd w:val="clear" w:color="auto" w:fill="FFFFFF"/>
        <w:spacing w:line="588" w:lineRule="exact"/>
        <w:ind w:firstLine="482"/>
        <w:rPr>
          <w:rFonts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1EE6A8D4">
      <w:pPr>
        <w:shd w:val="clear" w:color="auto" w:fill="FFFFFF"/>
        <w:spacing w:line="588" w:lineRule="exact"/>
        <w:ind w:firstLine="482"/>
        <w:rPr>
          <w:rFonts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z w:val="24"/>
          <w:highlight w:val="none"/>
        </w:rPr>
        <w:t>______</w:t>
      </w:r>
      <w:r>
        <w:rPr>
          <w:rFonts w:hint="eastAsia" w:ascii="宋体" w:hAnsi="宋体" w:cs="宋体"/>
          <w:spacing w:val="6"/>
          <w:sz w:val="24"/>
          <w:highlight w:val="none"/>
        </w:rPr>
        <w:t>单位的</w:t>
      </w:r>
      <w:r>
        <w:rPr>
          <w:rFonts w:hint="eastAsia" w:ascii="宋体" w:hAnsi="宋体" w:cs="宋体"/>
          <w:sz w:val="24"/>
          <w:highlight w:val="none"/>
        </w:rPr>
        <w:t>______</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F31BA12">
      <w:pPr>
        <w:shd w:val="clear" w:color="auto" w:fill="FFFFFF"/>
        <w:spacing w:line="588" w:lineRule="exact"/>
        <w:ind w:firstLine="506" w:firstLineChars="200"/>
        <w:rPr>
          <w:rFonts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4EB91A50">
      <w:pPr>
        <w:shd w:val="clear" w:color="auto" w:fill="FFFFFF"/>
        <w:spacing w:line="588" w:lineRule="exact"/>
        <w:ind w:firstLine="504" w:firstLineChars="200"/>
        <w:rPr>
          <w:rFonts w:ascii="宋体" w:hAnsi="宋体" w:cs="宋体"/>
          <w:spacing w:val="6"/>
          <w:sz w:val="24"/>
          <w:highlight w:val="none"/>
        </w:rPr>
      </w:pPr>
    </w:p>
    <w:p w14:paraId="4A647280">
      <w:pPr>
        <w:shd w:val="clear" w:color="auto" w:fill="FFFFFF"/>
        <w:spacing w:line="588" w:lineRule="exact"/>
        <w:ind w:firstLine="504" w:firstLineChars="200"/>
        <w:rPr>
          <w:rFonts w:ascii="宋体" w:hAnsi="宋体" w:cs="宋体"/>
          <w:spacing w:val="6"/>
          <w:sz w:val="24"/>
          <w:highlight w:val="none"/>
        </w:rPr>
      </w:pPr>
    </w:p>
    <w:p w14:paraId="71689116">
      <w:pPr>
        <w:shd w:val="clear" w:color="auto" w:fill="FFFFFF"/>
        <w:tabs>
          <w:tab w:val="left" w:pos="4860"/>
        </w:tabs>
        <w:spacing w:line="588" w:lineRule="exact"/>
        <w:ind w:right="1560" w:firstLine="504" w:firstLineChars="200"/>
        <w:jc w:val="right"/>
        <w:rPr>
          <w:rFonts w:ascii="宋体" w:hAnsi="宋体" w:cs="宋体"/>
          <w:spacing w:val="6"/>
          <w:sz w:val="24"/>
          <w:highlight w:val="none"/>
        </w:rPr>
      </w:pPr>
      <w:r>
        <w:rPr>
          <w:rFonts w:hint="eastAsia" w:ascii="宋体" w:hAnsi="宋体" w:cs="宋体"/>
          <w:spacing w:val="6"/>
          <w:sz w:val="24"/>
          <w:highlight w:val="none"/>
        </w:rPr>
        <w:t xml:space="preserve">          单位名称（盖章）：</w:t>
      </w:r>
      <w:r>
        <w:rPr>
          <w:rFonts w:hint="eastAsia" w:ascii="宋体" w:hAnsi="宋体" w:cs="宋体"/>
          <w:sz w:val="24"/>
          <w:highlight w:val="none"/>
        </w:rPr>
        <w:t>______</w:t>
      </w:r>
    </w:p>
    <w:p w14:paraId="7BBCEDDB">
      <w:pPr>
        <w:shd w:val="clear" w:color="auto" w:fill="FFFFFF"/>
        <w:tabs>
          <w:tab w:val="left" w:pos="4860"/>
        </w:tabs>
        <w:spacing w:line="588" w:lineRule="exact"/>
        <w:ind w:right="1560" w:firstLine="504" w:firstLineChars="200"/>
        <w:jc w:val="right"/>
        <w:rPr>
          <w:rFonts w:ascii="宋体" w:hAnsi="宋体" w:cs="宋体"/>
          <w:spacing w:val="6"/>
          <w:sz w:val="24"/>
          <w:highlight w:val="none"/>
        </w:rPr>
      </w:pPr>
      <w:r>
        <w:rPr>
          <w:rFonts w:hint="eastAsia" w:ascii="宋体" w:hAnsi="宋体" w:cs="宋体"/>
          <w:spacing w:val="6"/>
          <w:sz w:val="24"/>
          <w:highlight w:val="none"/>
        </w:rPr>
        <w:t xml:space="preserve">       日  期：</w:t>
      </w:r>
      <w:r>
        <w:rPr>
          <w:rFonts w:hint="eastAsia" w:ascii="宋体" w:hAnsi="宋体" w:cs="宋体"/>
          <w:sz w:val="24"/>
          <w:highlight w:val="none"/>
        </w:rPr>
        <w:t>______</w:t>
      </w:r>
    </w:p>
    <w:p w14:paraId="6A3D5273">
      <w:pPr>
        <w:widowControl/>
        <w:shd w:val="clear" w:color="auto" w:fill="FFFFFF"/>
        <w:jc w:val="left"/>
        <w:rPr>
          <w:rFonts w:ascii="宋体" w:hAnsi="宋体" w:cs="宋体"/>
          <w:sz w:val="24"/>
          <w:highlight w:val="none"/>
        </w:rPr>
        <w:sectPr>
          <w:headerReference r:id="rId29" w:type="first"/>
          <w:footerReference r:id="rId31" w:type="first"/>
          <w:headerReference r:id="rId28" w:type="even"/>
          <w:footerReference r:id="rId30" w:type="even"/>
          <w:pgSz w:w="11907" w:h="16840"/>
          <w:pgMar w:top="1417" w:right="1417" w:bottom="1417" w:left="1417" w:header="851" w:footer="851" w:gutter="0"/>
          <w:cols w:space="720" w:num="1"/>
          <w:docGrid w:linePitch="462" w:charSpace="0"/>
        </w:sectPr>
      </w:pPr>
      <w:bookmarkStart w:id="1819" w:name="_Toc480942349"/>
      <w:bookmarkStart w:id="1820" w:name="_Ref467988698"/>
      <w:bookmarkStart w:id="1821" w:name="_Toc226965829"/>
      <w:bookmarkStart w:id="1822" w:name="_Toc195842921"/>
      <w:bookmarkStart w:id="1823" w:name="_Toc226965746"/>
      <w:bookmarkStart w:id="1824" w:name="_Toc142311058"/>
      <w:bookmarkStart w:id="1825" w:name="_Toc226309800"/>
      <w:bookmarkStart w:id="1826" w:name="_Toc150480794"/>
      <w:bookmarkStart w:id="1827" w:name="_Toc150774761"/>
      <w:bookmarkStart w:id="1828" w:name="_Toc520356217"/>
      <w:bookmarkStart w:id="1829" w:name="_Toc127151556"/>
      <w:bookmarkStart w:id="1830" w:name="_Toc226337252"/>
      <w:r>
        <w:rPr>
          <w:rFonts w:hint="eastAsia" w:ascii="宋体" w:hAnsi="宋体" w:cs="宋体"/>
          <w:sz w:val="24"/>
          <w:highlight w:val="none"/>
        </w:rPr>
        <w:br w:type="page"/>
      </w:r>
    </w:p>
    <w:p w14:paraId="572B64CC">
      <w:pPr>
        <w:pStyle w:val="32"/>
        <w:spacing w:before="336" w:line="201" w:lineRule="auto"/>
        <w:ind w:left="22"/>
        <w:outlineLvl w:val="3"/>
        <w:rPr>
          <w:rFonts w:ascii="微软雅黑" w:hAnsi="微软雅黑" w:eastAsia="微软雅黑" w:cs="微软雅黑"/>
          <w:highlight w:val="none"/>
        </w:rPr>
      </w:pPr>
      <w:r>
        <w:rPr>
          <w:spacing w:val="2"/>
          <w:highlight w:val="none"/>
        </w:rPr>
        <w:t>2-1-2</w:t>
      </w:r>
      <w:r>
        <w:rPr>
          <w:rFonts w:hint="eastAsia" w:cs="宋体"/>
          <w:spacing w:val="67"/>
          <w:w w:val="101"/>
          <w:highlight w:val="none"/>
        </w:rPr>
        <w:t xml:space="preserve"> </w:t>
      </w:r>
      <w:r>
        <w:rPr>
          <w:rFonts w:hint="eastAsia" w:cs="宋体"/>
          <w:spacing w:val="2"/>
          <w:highlight w:val="none"/>
        </w:rPr>
        <w:t>拟分包情况说明及分包意向协议</w:t>
      </w:r>
    </w:p>
    <w:p w14:paraId="5472E879">
      <w:pPr>
        <w:spacing w:before="293" w:line="201" w:lineRule="auto"/>
        <w:ind w:left="8"/>
        <w:rPr>
          <w:rFonts w:ascii="宋体" w:hAnsi="宋体" w:cs="宋体"/>
          <w:sz w:val="24"/>
          <w:highlight w:val="none"/>
        </w:rPr>
      </w:pPr>
      <w:r>
        <w:rPr>
          <w:rFonts w:hint="eastAsia" w:ascii="宋体" w:hAnsi="宋体" w:cs="宋体"/>
          <w:spacing w:val="-1"/>
          <w:sz w:val="24"/>
          <w:highlight w:val="none"/>
        </w:rPr>
        <w:t>说明：</w:t>
      </w:r>
    </w:p>
    <w:p w14:paraId="6CC6A6A3">
      <w:pPr>
        <w:spacing w:before="175" w:line="480" w:lineRule="auto"/>
        <w:ind w:left="12"/>
        <w:rPr>
          <w:rFonts w:ascii="宋体" w:hAnsi="宋体" w:cs="宋体"/>
          <w:sz w:val="24"/>
          <w:highlight w:val="none"/>
        </w:rPr>
      </w:pPr>
      <w:r>
        <w:rPr>
          <w:rFonts w:hint="eastAsia" w:ascii="宋体" w:hAnsi="宋体" w:cs="宋体"/>
          <w:spacing w:val="-1"/>
          <w:sz w:val="24"/>
          <w:highlight w:val="none"/>
        </w:rPr>
        <w:t>如本项目（包）允许分包，且供应商拟进行分包时：</w:t>
      </w:r>
    </w:p>
    <w:p w14:paraId="7ECC402C">
      <w:pPr>
        <w:pStyle w:val="32"/>
        <w:spacing w:before="184" w:line="480" w:lineRule="auto"/>
        <w:rPr>
          <w:rFonts w:cs="宋体"/>
          <w:highlight w:val="none"/>
        </w:rPr>
      </w:pPr>
      <w:r>
        <w:rPr>
          <w:rFonts w:hint="eastAsia" w:cs="宋体"/>
          <w:spacing w:val="-6"/>
          <w:highlight w:val="none"/>
        </w:rPr>
        <w:t>（ 1）响应文件中须提供《拟分包情况说明》，否则</w:t>
      </w:r>
      <w:r>
        <w:rPr>
          <w:rFonts w:hint="eastAsia" w:cs="宋体"/>
          <w:b/>
          <w:bCs/>
          <w:spacing w:val="-6"/>
          <w:highlight w:val="none"/>
        </w:rPr>
        <w:t>响应无效</w:t>
      </w:r>
      <w:r>
        <w:rPr>
          <w:rFonts w:hint="eastAsia" w:cs="宋体"/>
          <w:spacing w:val="-6"/>
          <w:highlight w:val="none"/>
        </w:rPr>
        <w:t>；</w:t>
      </w:r>
    </w:p>
    <w:p w14:paraId="6D66B431">
      <w:pPr>
        <w:pStyle w:val="32"/>
        <w:spacing w:before="187" w:line="480" w:lineRule="auto"/>
        <w:rPr>
          <w:rFonts w:cs="宋体"/>
          <w:highlight w:val="none"/>
        </w:rPr>
      </w:pPr>
      <w:r>
        <w:rPr>
          <w:rFonts w:hint="eastAsia" w:cs="宋体"/>
          <w:spacing w:val="-6"/>
          <w:highlight w:val="none"/>
        </w:rPr>
        <w:t>（ 2</w:t>
      </w:r>
      <w:r>
        <w:rPr>
          <w:rFonts w:hint="eastAsia" w:cs="宋体"/>
          <w:spacing w:val="-24"/>
          <w:highlight w:val="none"/>
        </w:rPr>
        <w:t xml:space="preserve"> </w:t>
      </w:r>
      <w:r>
        <w:rPr>
          <w:rFonts w:hint="eastAsia" w:cs="宋体"/>
          <w:spacing w:val="-6"/>
          <w:highlight w:val="none"/>
        </w:rPr>
        <w:t>）当同时符合下列情形时</w:t>
      </w:r>
      <w:r>
        <w:rPr>
          <w:rFonts w:hint="eastAsia" w:cs="宋体"/>
          <w:spacing w:val="-29"/>
          <w:highlight w:val="none"/>
        </w:rPr>
        <w:t xml:space="preserve"> </w:t>
      </w:r>
      <w:r>
        <w:rPr>
          <w:rFonts w:hint="eastAsia" w:cs="宋体"/>
          <w:spacing w:val="-6"/>
          <w:highlight w:val="none"/>
        </w:rPr>
        <w:t>，响应文件还须</w:t>
      </w:r>
      <w:r>
        <w:rPr>
          <w:rFonts w:hint="eastAsia" w:cs="宋体"/>
          <w:spacing w:val="-7"/>
          <w:highlight w:val="none"/>
        </w:rPr>
        <w:t>提供《分包意向协议》，否则</w:t>
      </w:r>
      <w:r>
        <w:rPr>
          <w:rFonts w:hint="eastAsia" w:cs="宋体"/>
          <w:b/>
          <w:bCs/>
          <w:spacing w:val="-7"/>
          <w:highlight w:val="none"/>
        </w:rPr>
        <w:t>响应无效</w:t>
      </w:r>
      <w:r>
        <w:rPr>
          <w:rFonts w:hint="eastAsia" w:cs="宋体"/>
          <w:spacing w:val="-7"/>
          <w:highlight w:val="none"/>
        </w:rPr>
        <w:t>：</w:t>
      </w:r>
    </w:p>
    <w:p w14:paraId="64E393B2">
      <w:pPr>
        <w:pStyle w:val="32"/>
        <w:spacing w:before="184" w:line="480" w:lineRule="auto"/>
        <w:ind w:left="574" w:hanging="1"/>
        <w:rPr>
          <w:rFonts w:cs="宋体"/>
          <w:highlight w:val="none"/>
        </w:rPr>
      </w:pPr>
      <w:r>
        <w:rPr>
          <w:rFonts w:hint="eastAsia" w:cs="宋体"/>
          <w:highlight w:val="none"/>
        </w:rPr>
        <w:t>A.</w:t>
      </w:r>
      <w:r>
        <w:rPr>
          <w:rFonts w:hint="eastAsia" w:cs="宋体"/>
          <w:spacing w:val="58"/>
          <w:highlight w:val="none"/>
        </w:rPr>
        <w:t xml:space="preserve"> </w:t>
      </w:r>
      <w:r>
        <w:rPr>
          <w:rFonts w:hint="eastAsia" w:cs="宋体"/>
          <w:highlight w:val="none"/>
        </w:rPr>
        <w:t>本项目（包）预留部分采购项目预算专门面向中小企业采</w:t>
      </w:r>
      <w:r>
        <w:rPr>
          <w:rFonts w:hint="eastAsia" w:cs="宋体"/>
          <w:spacing w:val="-1"/>
          <w:highlight w:val="none"/>
        </w:rPr>
        <w:t>购，且要求获得采购</w:t>
      </w:r>
      <w:r>
        <w:rPr>
          <w:rFonts w:hint="eastAsia" w:cs="宋体"/>
          <w:highlight w:val="none"/>
        </w:rPr>
        <w:t xml:space="preserve"> 合同的供应商将采购项目中的一定比例分包给一家或者多家中</w:t>
      </w:r>
      <w:r>
        <w:rPr>
          <w:rFonts w:hint="eastAsia" w:cs="宋体"/>
          <w:spacing w:val="-1"/>
          <w:highlight w:val="none"/>
        </w:rPr>
        <w:t>小企业的；</w:t>
      </w:r>
    </w:p>
    <w:p w14:paraId="585196E3">
      <w:pPr>
        <w:pStyle w:val="32"/>
        <w:spacing w:before="15" w:line="480" w:lineRule="auto"/>
        <w:ind w:left="595"/>
        <w:rPr>
          <w:rFonts w:cs="宋体"/>
          <w:highlight w:val="none"/>
        </w:rPr>
      </w:pPr>
      <w:r>
        <w:rPr>
          <w:rFonts w:hint="eastAsia" w:cs="宋体"/>
          <w:spacing w:val="-1"/>
          <w:highlight w:val="none"/>
        </w:rPr>
        <w:t>B.</w:t>
      </w:r>
      <w:r>
        <w:rPr>
          <w:rFonts w:hint="eastAsia" w:cs="宋体"/>
          <w:spacing w:val="65"/>
          <w:highlight w:val="none"/>
        </w:rPr>
        <w:t xml:space="preserve"> </w:t>
      </w:r>
      <w:r>
        <w:rPr>
          <w:rFonts w:hint="eastAsia" w:cs="宋体"/>
          <w:spacing w:val="-1"/>
          <w:highlight w:val="none"/>
        </w:rPr>
        <w:t>供应商通过分包方式满足中小企业政策要求的。</w:t>
      </w:r>
    </w:p>
    <w:p w14:paraId="649BF246">
      <w:pPr>
        <w:spacing w:line="201" w:lineRule="auto"/>
        <w:rPr>
          <w:rFonts w:ascii="宋体" w:hAnsi="宋体" w:cs="宋体"/>
          <w:sz w:val="24"/>
          <w:highlight w:val="none"/>
        </w:rPr>
        <w:sectPr>
          <w:headerReference r:id="rId32" w:type="default"/>
          <w:footerReference r:id="rId33" w:type="default"/>
          <w:pgSz w:w="11907" w:h="16840"/>
          <w:pgMar w:top="1149" w:right="1133" w:bottom="1057" w:left="1696" w:header="875" w:footer="886" w:gutter="0"/>
          <w:cols w:space="720" w:num="1"/>
        </w:sectPr>
      </w:pPr>
    </w:p>
    <w:p w14:paraId="7DB603D6">
      <w:pPr>
        <w:spacing w:before="328" w:line="204" w:lineRule="auto"/>
        <w:ind w:left="3287"/>
        <w:rPr>
          <w:rFonts w:ascii="微软雅黑" w:hAnsi="微软雅黑" w:eastAsia="微软雅黑" w:cs="微软雅黑"/>
          <w:sz w:val="35"/>
          <w:szCs w:val="35"/>
          <w:highlight w:val="none"/>
        </w:rPr>
      </w:pPr>
      <w:r>
        <w:rPr>
          <w:rFonts w:ascii="微软雅黑" w:hAnsi="微软雅黑" w:eastAsia="微软雅黑" w:cs="微软雅黑"/>
          <w:b/>
          <w:bCs/>
          <w:spacing w:val="9"/>
          <w:sz w:val="35"/>
          <w:szCs w:val="35"/>
          <w:highlight w:val="none"/>
        </w:rPr>
        <w:t>拟分包情况说明</w:t>
      </w:r>
    </w:p>
    <w:p w14:paraId="7C8DD3EB">
      <w:pPr>
        <w:spacing w:before="251" w:line="196" w:lineRule="auto"/>
        <w:ind w:left="9"/>
        <w:rPr>
          <w:rFonts w:ascii="宋体" w:hAnsi="宋体" w:cs="宋体"/>
          <w:sz w:val="24"/>
          <w:highlight w:val="none"/>
        </w:rPr>
      </w:pPr>
      <w:r>
        <w:rPr>
          <w:rFonts w:hint="eastAsia" w:ascii="宋体" w:hAnsi="宋体" w:cs="宋体"/>
          <w:spacing w:val="5"/>
          <w:sz w:val="24"/>
          <w:highlight w:val="none"/>
        </w:rPr>
        <w:t>致</w:t>
      </w:r>
      <w:r>
        <w:rPr>
          <w:rFonts w:hint="eastAsia" w:ascii="宋体" w:hAnsi="宋体" w:cs="宋体"/>
          <w:spacing w:val="-56"/>
          <w:w w:val="84"/>
          <w:sz w:val="24"/>
          <w:highlight w:val="none"/>
        </w:rPr>
        <w:t>：</w:t>
      </w:r>
      <w:r>
        <w:rPr>
          <w:rFonts w:hint="eastAsia" w:ascii="宋体" w:hAnsi="宋体" w:cs="宋体"/>
          <w:spacing w:val="-56"/>
          <w:w w:val="84"/>
          <w:sz w:val="24"/>
          <w:highlight w:val="none"/>
          <w:u w:val="single"/>
        </w:rPr>
        <w:t>（</w:t>
      </w:r>
      <w:r>
        <w:rPr>
          <w:rFonts w:hint="eastAsia" w:ascii="宋体" w:hAnsi="宋体" w:cs="宋体"/>
          <w:spacing w:val="5"/>
          <w:sz w:val="24"/>
          <w:highlight w:val="none"/>
          <w:u w:val="single"/>
        </w:rPr>
        <w:t>采购人或采购代理机构）</w:t>
      </w:r>
    </w:p>
    <w:p w14:paraId="106F2D2A">
      <w:pPr>
        <w:tabs>
          <w:tab w:val="left" w:pos="9320"/>
        </w:tabs>
        <w:spacing w:before="187" w:line="298" w:lineRule="auto"/>
        <w:ind w:left="10" w:firstLine="482"/>
        <w:rPr>
          <w:rFonts w:ascii="宋体" w:hAnsi="宋体" w:cs="宋体"/>
          <w:sz w:val="24"/>
          <w:highlight w:val="none"/>
        </w:rPr>
      </w:pPr>
      <w:r>
        <w:rPr>
          <w:rFonts w:hint="eastAsia" w:ascii="宋体" w:hAnsi="宋体" w:cs="宋体"/>
          <w:spacing w:val="-1"/>
          <w:sz w:val="24"/>
          <w:highlight w:val="none"/>
        </w:rPr>
        <w:t>我单位参加贵单位组织采购的项目编号为</w:t>
      </w:r>
      <w:r>
        <w:rPr>
          <w:rFonts w:hint="eastAsia" w:ascii="宋体" w:hAnsi="宋体" w:cs="宋体"/>
          <w:spacing w:val="-1"/>
          <w:sz w:val="24"/>
          <w:highlight w:val="none"/>
          <w:u w:val="single"/>
        </w:rPr>
        <w:t xml:space="preserve">          </w:t>
      </w:r>
      <w:r>
        <w:rPr>
          <w:rFonts w:hint="eastAsia" w:ascii="宋体" w:hAnsi="宋体" w:cs="宋体"/>
          <w:spacing w:val="-47"/>
          <w:sz w:val="24"/>
          <w:highlight w:val="none"/>
        </w:rPr>
        <w:t xml:space="preserve"> </w:t>
      </w:r>
      <w:r>
        <w:rPr>
          <w:rFonts w:hint="eastAsia" w:ascii="宋体" w:hAnsi="宋体" w:cs="宋体"/>
          <w:spacing w:val="-1"/>
          <w:sz w:val="24"/>
          <w:highlight w:val="none"/>
        </w:rPr>
        <w:t>的</w:t>
      </w:r>
      <w:r>
        <w:rPr>
          <w:rFonts w:hint="eastAsia" w:ascii="宋体" w:hAnsi="宋体" w:cs="宋体"/>
          <w:spacing w:val="-1"/>
          <w:sz w:val="24"/>
          <w:highlight w:val="none"/>
          <w:u w:val="single"/>
        </w:rPr>
        <w:t xml:space="preserve">          </w:t>
      </w:r>
      <w:r>
        <w:rPr>
          <w:rFonts w:hint="eastAsia" w:ascii="宋体" w:hAnsi="宋体" w:cs="宋体"/>
          <w:spacing w:val="-66"/>
          <w:sz w:val="24"/>
          <w:highlight w:val="none"/>
        </w:rPr>
        <w:t xml:space="preserve"> </w:t>
      </w:r>
      <w:r>
        <w:rPr>
          <w:rFonts w:hint="eastAsia" w:ascii="宋体" w:hAnsi="宋体" w:cs="宋体"/>
          <w:spacing w:val="-1"/>
          <w:sz w:val="24"/>
          <w:highlight w:val="none"/>
        </w:rPr>
        <w:t>项</w:t>
      </w:r>
      <w:r>
        <w:rPr>
          <w:rFonts w:hint="eastAsia" w:ascii="宋体" w:hAnsi="宋体" w:cs="宋体"/>
          <w:spacing w:val="-2"/>
          <w:sz w:val="24"/>
          <w:highlight w:val="none"/>
        </w:rPr>
        <w:t>目（填写采购项目名称）</w:t>
      </w:r>
      <w:r>
        <w:rPr>
          <w:rFonts w:hint="eastAsia" w:ascii="宋体" w:hAnsi="宋体" w:cs="宋体"/>
          <w:sz w:val="24"/>
          <w:highlight w:val="none"/>
        </w:rPr>
        <w:t xml:space="preserve"> </w:t>
      </w:r>
      <w:r>
        <w:rPr>
          <w:rFonts w:hint="eastAsia" w:ascii="宋体" w:hAnsi="宋体" w:cs="宋体"/>
          <w:spacing w:val="-1"/>
          <w:sz w:val="24"/>
          <w:highlight w:val="none"/>
        </w:rPr>
        <w:t>中</w:t>
      </w:r>
      <w:r>
        <w:rPr>
          <w:rFonts w:hint="eastAsia" w:ascii="宋体" w:hAnsi="宋体" w:cs="宋体"/>
          <w:spacing w:val="-1"/>
          <w:sz w:val="24"/>
          <w:highlight w:val="none"/>
          <w:u w:val="single"/>
        </w:rPr>
        <w:t xml:space="preserve">          </w:t>
      </w:r>
      <w:r>
        <w:rPr>
          <w:rFonts w:hint="eastAsia" w:ascii="宋体" w:hAnsi="宋体" w:cs="宋体"/>
          <w:spacing w:val="-1"/>
          <w:sz w:val="24"/>
          <w:highlight w:val="none"/>
        </w:rPr>
        <w:t>包（填写包号）的磋商。拟签订分包合同的单位情况如下表所示，我单位承诺</w:t>
      </w:r>
      <w:r>
        <w:rPr>
          <w:rFonts w:hint="eastAsia" w:ascii="宋体" w:hAnsi="宋体" w:cs="宋体"/>
          <w:sz w:val="24"/>
          <w:highlight w:val="none"/>
        </w:rPr>
        <w:tab/>
      </w:r>
      <w:r>
        <w:rPr>
          <w:rFonts w:hint="eastAsia" w:ascii="宋体" w:hAnsi="宋体" w:cs="宋体"/>
          <w:sz w:val="24"/>
          <w:highlight w:val="none"/>
        </w:rPr>
        <w:t xml:space="preserve"> </w:t>
      </w:r>
      <w:r>
        <w:rPr>
          <w:rFonts w:hint="eastAsia" w:ascii="宋体" w:hAnsi="宋体" w:cs="宋体"/>
          <w:spacing w:val="-1"/>
          <w:sz w:val="24"/>
          <w:highlight w:val="none"/>
        </w:rPr>
        <w:t>一旦在该项目中获得采购合同将按下表所列情况</w:t>
      </w:r>
      <w:r>
        <w:rPr>
          <w:rFonts w:hint="eastAsia" w:ascii="宋体" w:hAnsi="宋体" w:cs="宋体"/>
          <w:spacing w:val="-2"/>
          <w:sz w:val="24"/>
          <w:highlight w:val="none"/>
        </w:rPr>
        <w:t>进行分包，同时承诺分包承担主体不再</w:t>
      </w:r>
      <w:r>
        <w:rPr>
          <w:rFonts w:hint="eastAsia" w:ascii="宋体" w:hAnsi="宋体" w:cs="宋体"/>
          <w:sz w:val="24"/>
          <w:highlight w:val="none"/>
        </w:rPr>
        <w:tab/>
      </w:r>
      <w:r>
        <w:rPr>
          <w:rFonts w:hint="eastAsia" w:ascii="宋体" w:hAnsi="宋体" w:cs="宋体"/>
          <w:sz w:val="24"/>
          <w:highlight w:val="none"/>
        </w:rPr>
        <w:t xml:space="preserve"> </w:t>
      </w:r>
      <w:r>
        <w:rPr>
          <w:rFonts w:hint="eastAsia" w:ascii="宋体" w:hAnsi="宋体" w:cs="宋体"/>
          <w:spacing w:val="-2"/>
          <w:sz w:val="24"/>
          <w:highlight w:val="none"/>
        </w:rPr>
        <w:t>次分包。</w:t>
      </w:r>
    </w:p>
    <w:tbl>
      <w:tblPr>
        <w:tblStyle w:val="83"/>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2"/>
        <w:gridCol w:w="1285"/>
        <w:gridCol w:w="1891"/>
        <w:gridCol w:w="744"/>
        <w:gridCol w:w="1559"/>
        <w:gridCol w:w="1496"/>
        <w:gridCol w:w="1567"/>
      </w:tblGrid>
      <w:tr w14:paraId="039A0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52" w:hRule="atLeast"/>
        </w:trPr>
        <w:tc>
          <w:tcPr>
            <w:tcW w:w="462" w:type="dxa"/>
            <w:textDirection w:val="tbRlV"/>
          </w:tcPr>
          <w:p w14:paraId="3B912BFD">
            <w:pPr>
              <w:spacing w:before="107" w:line="179" w:lineRule="auto"/>
              <w:ind w:left="217"/>
              <w:rPr>
                <w:rFonts w:ascii="宋体" w:hAnsi="宋体" w:cs="宋体"/>
                <w:sz w:val="24"/>
                <w:highlight w:val="none"/>
              </w:rPr>
            </w:pPr>
            <w:r>
              <w:rPr>
                <w:rFonts w:hint="eastAsia" w:ascii="宋体" w:hAnsi="宋体" w:cs="宋体"/>
                <w:spacing w:val="21"/>
                <w:sz w:val="24"/>
                <w:highlight w:val="none"/>
              </w:rPr>
              <w:t>序 号</w:t>
            </w:r>
          </w:p>
        </w:tc>
        <w:tc>
          <w:tcPr>
            <w:tcW w:w="1285" w:type="dxa"/>
          </w:tcPr>
          <w:p w14:paraId="6228E3A5">
            <w:pPr>
              <w:spacing w:before="216"/>
              <w:ind w:left="171" w:right="162" w:hanging="8"/>
              <w:rPr>
                <w:rFonts w:ascii="宋体" w:hAnsi="宋体" w:cs="宋体"/>
                <w:sz w:val="24"/>
                <w:highlight w:val="none"/>
              </w:rPr>
            </w:pPr>
            <w:r>
              <w:rPr>
                <w:rFonts w:hint="eastAsia" w:ascii="宋体" w:hAnsi="宋体" w:cs="宋体"/>
                <w:spacing w:val="-2"/>
                <w:sz w:val="24"/>
                <w:highlight w:val="none"/>
              </w:rPr>
              <w:t>分包承担</w:t>
            </w:r>
            <w:r>
              <w:rPr>
                <w:rFonts w:hint="eastAsia" w:ascii="宋体" w:hAnsi="宋体" w:cs="宋体"/>
                <w:spacing w:val="1"/>
                <w:sz w:val="24"/>
                <w:highlight w:val="none"/>
              </w:rPr>
              <w:t xml:space="preserve"> </w:t>
            </w:r>
            <w:r>
              <w:rPr>
                <w:rFonts w:hint="eastAsia" w:ascii="宋体" w:hAnsi="宋体" w:cs="宋体"/>
                <w:spacing w:val="-4"/>
                <w:sz w:val="24"/>
                <w:highlight w:val="none"/>
              </w:rPr>
              <w:t>主体名称</w:t>
            </w:r>
          </w:p>
        </w:tc>
        <w:tc>
          <w:tcPr>
            <w:tcW w:w="1891" w:type="dxa"/>
          </w:tcPr>
          <w:p w14:paraId="0FBF5149">
            <w:pPr>
              <w:spacing w:before="43"/>
              <w:ind w:left="266" w:right="268" w:firstLine="10"/>
              <w:rPr>
                <w:rFonts w:ascii="宋体" w:hAnsi="宋体" w:cs="宋体"/>
                <w:sz w:val="24"/>
                <w:highlight w:val="none"/>
              </w:rPr>
            </w:pPr>
            <w:r>
              <w:rPr>
                <w:rFonts w:hint="eastAsia" w:ascii="宋体" w:hAnsi="宋体" w:cs="宋体"/>
                <w:spacing w:val="-2"/>
                <w:sz w:val="24"/>
                <w:highlight w:val="none"/>
              </w:rPr>
              <w:t>分包承担</w:t>
            </w:r>
            <w:r>
              <w:rPr>
                <w:rFonts w:hint="eastAsia" w:ascii="宋体" w:hAnsi="宋体" w:cs="宋体"/>
                <w:spacing w:val="1"/>
                <w:sz w:val="24"/>
                <w:highlight w:val="none"/>
              </w:rPr>
              <w:t xml:space="preserve"> 主体类型</w:t>
            </w:r>
            <w:r>
              <w:rPr>
                <w:rFonts w:hint="eastAsia" w:ascii="宋体" w:hAnsi="宋体" w:cs="宋体"/>
                <w:sz w:val="24"/>
                <w:highlight w:val="none"/>
              </w:rPr>
              <w:t xml:space="preserve"> </w:t>
            </w:r>
            <w:r>
              <w:rPr>
                <w:rFonts w:hint="eastAsia" w:ascii="宋体" w:hAnsi="宋体" w:cs="宋体"/>
                <w:spacing w:val="2"/>
                <w:sz w:val="24"/>
                <w:highlight w:val="none"/>
              </w:rPr>
              <w:t>（选择）</w:t>
            </w:r>
          </w:p>
        </w:tc>
        <w:tc>
          <w:tcPr>
            <w:tcW w:w="744" w:type="dxa"/>
          </w:tcPr>
          <w:p w14:paraId="18830FBC">
            <w:pPr>
              <w:spacing w:before="102"/>
              <w:ind w:left="88"/>
              <w:rPr>
                <w:rFonts w:ascii="宋体" w:hAnsi="宋体" w:cs="宋体"/>
                <w:sz w:val="24"/>
                <w:highlight w:val="none"/>
              </w:rPr>
            </w:pPr>
            <w:r>
              <w:rPr>
                <w:rFonts w:hint="eastAsia" w:ascii="宋体" w:hAnsi="宋体" w:cs="宋体"/>
                <w:spacing w:val="-3"/>
                <w:sz w:val="24"/>
                <w:highlight w:val="none"/>
              </w:rPr>
              <w:t>资质等级</w:t>
            </w:r>
          </w:p>
        </w:tc>
        <w:tc>
          <w:tcPr>
            <w:tcW w:w="1559" w:type="dxa"/>
          </w:tcPr>
          <w:p w14:paraId="510A5083">
            <w:pPr>
              <w:spacing w:before="216"/>
              <w:ind w:left="302" w:right="295" w:firstLine="123"/>
              <w:rPr>
                <w:rFonts w:ascii="宋体" w:hAnsi="宋体" w:cs="宋体"/>
                <w:sz w:val="24"/>
                <w:highlight w:val="none"/>
              </w:rPr>
            </w:pPr>
            <w:r>
              <w:rPr>
                <w:rFonts w:hint="eastAsia" w:ascii="宋体" w:hAnsi="宋体" w:cs="宋体"/>
                <w:spacing w:val="-3"/>
                <w:sz w:val="24"/>
                <w:highlight w:val="none"/>
              </w:rPr>
              <w:t>拟分包</w:t>
            </w:r>
            <w:r>
              <w:rPr>
                <w:rFonts w:hint="eastAsia" w:ascii="宋体" w:hAnsi="宋体" w:cs="宋体"/>
                <w:sz w:val="24"/>
                <w:highlight w:val="none"/>
              </w:rPr>
              <w:t xml:space="preserve">  </w:t>
            </w:r>
            <w:r>
              <w:rPr>
                <w:rFonts w:hint="eastAsia" w:ascii="宋体" w:hAnsi="宋体" w:cs="宋体"/>
                <w:spacing w:val="-1"/>
                <w:sz w:val="24"/>
                <w:highlight w:val="none"/>
              </w:rPr>
              <w:t>合同内容</w:t>
            </w:r>
          </w:p>
        </w:tc>
        <w:tc>
          <w:tcPr>
            <w:tcW w:w="1496" w:type="dxa"/>
          </w:tcPr>
          <w:p w14:paraId="4B144019">
            <w:pPr>
              <w:spacing w:before="43"/>
              <w:ind w:left="393"/>
              <w:rPr>
                <w:rFonts w:ascii="宋体" w:hAnsi="宋体" w:cs="宋体"/>
                <w:sz w:val="24"/>
                <w:highlight w:val="none"/>
              </w:rPr>
            </w:pPr>
            <w:r>
              <w:rPr>
                <w:rFonts w:hint="eastAsia" w:ascii="宋体" w:hAnsi="宋体" w:cs="宋体"/>
                <w:spacing w:val="-3"/>
                <w:sz w:val="24"/>
                <w:highlight w:val="none"/>
              </w:rPr>
              <w:t>拟分包</w:t>
            </w:r>
          </w:p>
          <w:p w14:paraId="2D890B9B">
            <w:pPr>
              <w:spacing w:before="4"/>
              <w:ind w:left="20" w:right="19" w:firstLine="249"/>
              <w:rPr>
                <w:rFonts w:ascii="宋体" w:hAnsi="宋体" w:cs="宋体"/>
                <w:sz w:val="24"/>
                <w:highlight w:val="none"/>
              </w:rPr>
            </w:pPr>
            <w:r>
              <w:rPr>
                <w:rFonts w:hint="eastAsia" w:ascii="宋体" w:hAnsi="宋体" w:cs="宋体"/>
                <w:spacing w:val="-1"/>
                <w:sz w:val="24"/>
                <w:highlight w:val="none"/>
              </w:rPr>
              <w:t>合同金额</w:t>
            </w:r>
            <w:r>
              <w:rPr>
                <w:rFonts w:hint="eastAsia" w:ascii="宋体" w:hAnsi="宋体" w:cs="宋体"/>
                <w:sz w:val="24"/>
                <w:highlight w:val="none"/>
              </w:rPr>
              <w:t xml:space="preserve">    </w:t>
            </w:r>
            <w:r>
              <w:rPr>
                <w:rFonts w:hint="eastAsia" w:ascii="宋体" w:hAnsi="宋体" w:cs="宋体"/>
                <w:spacing w:val="1"/>
                <w:sz w:val="24"/>
                <w:highlight w:val="none"/>
              </w:rPr>
              <w:t>（人民币元）</w:t>
            </w:r>
          </w:p>
        </w:tc>
        <w:tc>
          <w:tcPr>
            <w:tcW w:w="1567" w:type="dxa"/>
          </w:tcPr>
          <w:p w14:paraId="27FC95D0">
            <w:pPr>
              <w:spacing w:before="44"/>
              <w:ind w:left="219"/>
              <w:rPr>
                <w:rFonts w:ascii="宋体" w:hAnsi="宋体" w:cs="宋体"/>
                <w:sz w:val="24"/>
                <w:highlight w:val="none"/>
              </w:rPr>
            </w:pPr>
            <w:r>
              <w:rPr>
                <w:rFonts w:hint="eastAsia" w:ascii="宋体" w:hAnsi="宋体" w:cs="宋体"/>
                <w:sz w:val="24"/>
                <w:highlight w:val="none"/>
              </w:rPr>
              <w:t>占该采购包</w:t>
            </w:r>
          </w:p>
          <w:p w14:paraId="4A365FE0">
            <w:pPr>
              <w:spacing w:before="2"/>
              <w:ind w:left="184"/>
              <w:rPr>
                <w:rFonts w:ascii="宋体" w:hAnsi="宋体" w:cs="宋体"/>
                <w:sz w:val="24"/>
                <w:highlight w:val="none"/>
              </w:rPr>
            </w:pPr>
            <w:r>
              <w:rPr>
                <w:rFonts w:hint="eastAsia" w:ascii="宋体" w:hAnsi="宋体" w:cs="宋体"/>
                <w:sz w:val="24"/>
                <w:highlight w:val="none"/>
              </w:rPr>
              <w:t>合同金额的</w:t>
            </w:r>
          </w:p>
          <w:p w14:paraId="0CB9DFE1">
            <w:pPr>
              <w:pStyle w:val="326"/>
              <w:spacing w:before="2"/>
              <w:ind w:left="218"/>
              <w:rPr>
                <w:rFonts w:ascii="宋体" w:hAnsi="宋体" w:eastAsia="宋体" w:cs="宋体"/>
                <w:sz w:val="24"/>
                <w:szCs w:val="24"/>
                <w:highlight w:val="none"/>
                <w:lang w:eastAsia="zh-CN"/>
              </w:rPr>
            </w:pPr>
            <w:r>
              <w:rPr>
                <w:rFonts w:hint="eastAsia" w:ascii="宋体" w:hAnsi="宋体" w:eastAsia="宋体" w:cs="宋体"/>
                <w:spacing w:val="-3"/>
                <w:sz w:val="24"/>
                <w:szCs w:val="24"/>
                <w:highlight w:val="none"/>
                <w:lang w:eastAsia="zh-CN"/>
              </w:rPr>
              <w:t>比例（%）</w:t>
            </w:r>
          </w:p>
        </w:tc>
      </w:tr>
      <w:tr w14:paraId="2804A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52" w:hRule="atLeast"/>
        </w:trPr>
        <w:tc>
          <w:tcPr>
            <w:tcW w:w="462" w:type="dxa"/>
          </w:tcPr>
          <w:p w14:paraId="2AB8C442">
            <w:pPr>
              <w:pStyle w:val="326"/>
              <w:spacing w:line="353" w:lineRule="auto"/>
              <w:rPr>
                <w:rFonts w:ascii="宋体" w:hAnsi="宋体" w:eastAsia="宋体" w:cs="宋体"/>
                <w:highlight w:val="none"/>
                <w:lang w:eastAsia="zh-CN"/>
              </w:rPr>
            </w:pPr>
          </w:p>
          <w:p w14:paraId="3A8A0BF8">
            <w:pPr>
              <w:pStyle w:val="326"/>
              <w:spacing w:before="69" w:line="199" w:lineRule="auto"/>
              <w:ind w:left="178"/>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1285" w:type="dxa"/>
          </w:tcPr>
          <w:p w14:paraId="4A73857F">
            <w:pPr>
              <w:pStyle w:val="326"/>
              <w:rPr>
                <w:rFonts w:ascii="宋体" w:hAnsi="宋体" w:eastAsia="宋体" w:cs="宋体"/>
                <w:highlight w:val="none"/>
              </w:rPr>
            </w:pPr>
          </w:p>
        </w:tc>
        <w:tc>
          <w:tcPr>
            <w:tcW w:w="1891" w:type="dxa"/>
          </w:tcPr>
          <w:p w14:paraId="591330FB">
            <w:pPr>
              <w:pStyle w:val="326"/>
              <w:spacing w:before="41"/>
              <w:ind w:left="135"/>
              <w:rPr>
                <w:rFonts w:ascii="宋体" w:hAnsi="宋体" w:eastAsia="宋体" w:cs="宋体"/>
                <w:sz w:val="24"/>
                <w:szCs w:val="24"/>
                <w:highlight w:val="none"/>
                <w:lang w:eastAsia="zh-CN"/>
              </w:rPr>
            </w:pPr>
            <w:r>
              <w:rPr>
                <w:rFonts w:hint="eastAsia" w:ascii="宋体" w:hAnsi="宋体" w:eastAsia="宋体" w:cs="宋体"/>
                <w:spacing w:val="11"/>
                <w:sz w:val="24"/>
                <w:szCs w:val="24"/>
                <w:highlight w:val="none"/>
                <w:lang w:eastAsia="zh-CN"/>
              </w:rPr>
              <w:t>□中型企业</w:t>
            </w:r>
          </w:p>
          <w:p w14:paraId="786AC984">
            <w:pPr>
              <w:pStyle w:val="326"/>
              <w:spacing w:before="2"/>
              <w:ind w:left="375" w:right="207" w:hanging="240"/>
              <w:rPr>
                <w:rFonts w:ascii="宋体" w:hAnsi="宋体" w:eastAsia="宋体" w:cs="宋体"/>
                <w:sz w:val="24"/>
                <w:szCs w:val="24"/>
                <w:highlight w:val="none"/>
                <w:lang w:eastAsia="zh-CN"/>
              </w:rPr>
            </w:pPr>
            <w:r>
              <w:rPr>
                <w:rFonts w:hint="eastAsia" w:ascii="宋体" w:hAnsi="宋体" w:eastAsia="宋体" w:cs="宋体"/>
                <w:spacing w:val="11"/>
                <w:sz w:val="24"/>
                <w:szCs w:val="24"/>
                <w:highlight w:val="none"/>
                <w:lang w:eastAsia="zh-CN"/>
              </w:rPr>
              <w:t>□小微企业</w:t>
            </w:r>
            <w:r>
              <w:rPr>
                <w:rFonts w:hint="eastAsia" w:ascii="宋体" w:hAnsi="宋体" w:eastAsia="宋体" w:cs="宋体"/>
                <w:spacing w:val="2"/>
                <w:sz w:val="24"/>
                <w:szCs w:val="24"/>
                <w:highlight w:val="none"/>
                <w:lang w:eastAsia="zh-CN"/>
              </w:rPr>
              <w:t xml:space="preserve"> </w:t>
            </w:r>
            <w:r>
              <w:rPr>
                <w:rFonts w:hint="eastAsia" w:ascii="宋体" w:hAnsi="宋体" w:eastAsia="宋体" w:cs="宋体"/>
                <w:spacing w:val="19"/>
                <w:sz w:val="24"/>
                <w:szCs w:val="24"/>
                <w:highlight w:val="none"/>
                <w:lang w:eastAsia="zh-CN"/>
              </w:rPr>
              <w:t>□其他</w:t>
            </w:r>
          </w:p>
        </w:tc>
        <w:tc>
          <w:tcPr>
            <w:tcW w:w="744" w:type="dxa"/>
          </w:tcPr>
          <w:p w14:paraId="06D5B732">
            <w:pPr>
              <w:pStyle w:val="326"/>
              <w:rPr>
                <w:rFonts w:ascii="宋体" w:hAnsi="宋体" w:eastAsia="宋体" w:cs="宋体"/>
                <w:highlight w:val="none"/>
                <w:lang w:eastAsia="zh-CN"/>
              </w:rPr>
            </w:pPr>
          </w:p>
        </w:tc>
        <w:tc>
          <w:tcPr>
            <w:tcW w:w="1559" w:type="dxa"/>
          </w:tcPr>
          <w:p w14:paraId="5FD872FF">
            <w:pPr>
              <w:pStyle w:val="326"/>
              <w:rPr>
                <w:rFonts w:ascii="宋体" w:hAnsi="宋体" w:eastAsia="宋体" w:cs="宋体"/>
                <w:highlight w:val="none"/>
                <w:lang w:eastAsia="zh-CN"/>
              </w:rPr>
            </w:pPr>
          </w:p>
        </w:tc>
        <w:tc>
          <w:tcPr>
            <w:tcW w:w="1496" w:type="dxa"/>
          </w:tcPr>
          <w:p w14:paraId="1357A651">
            <w:pPr>
              <w:pStyle w:val="326"/>
              <w:rPr>
                <w:rFonts w:ascii="宋体" w:hAnsi="宋体" w:eastAsia="宋体" w:cs="宋体"/>
                <w:highlight w:val="none"/>
                <w:lang w:eastAsia="zh-CN"/>
              </w:rPr>
            </w:pPr>
          </w:p>
        </w:tc>
        <w:tc>
          <w:tcPr>
            <w:tcW w:w="1567" w:type="dxa"/>
          </w:tcPr>
          <w:p w14:paraId="36F942E7">
            <w:pPr>
              <w:pStyle w:val="326"/>
              <w:rPr>
                <w:rFonts w:ascii="宋体" w:hAnsi="宋体" w:eastAsia="宋体" w:cs="宋体"/>
                <w:highlight w:val="none"/>
                <w:lang w:eastAsia="zh-CN"/>
              </w:rPr>
            </w:pPr>
          </w:p>
        </w:tc>
      </w:tr>
      <w:tr w14:paraId="29D21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77" w:hRule="atLeast"/>
        </w:trPr>
        <w:tc>
          <w:tcPr>
            <w:tcW w:w="462" w:type="dxa"/>
          </w:tcPr>
          <w:p w14:paraId="12A99824">
            <w:pPr>
              <w:pStyle w:val="326"/>
              <w:spacing w:line="355" w:lineRule="auto"/>
              <w:rPr>
                <w:rFonts w:ascii="宋体" w:hAnsi="宋体" w:eastAsia="宋体" w:cs="宋体"/>
                <w:highlight w:val="none"/>
                <w:lang w:eastAsia="zh-CN"/>
              </w:rPr>
            </w:pPr>
          </w:p>
          <w:p w14:paraId="35322EC6">
            <w:pPr>
              <w:pStyle w:val="326"/>
              <w:spacing w:before="69" w:line="201" w:lineRule="auto"/>
              <w:ind w:left="169"/>
              <w:rPr>
                <w:rFonts w:ascii="宋体" w:hAnsi="宋体" w:eastAsia="宋体" w:cs="宋体"/>
                <w:sz w:val="24"/>
                <w:szCs w:val="24"/>
                <w:highlight w:val="none"/>
              </w:rPr>
            </w:pPr>
            <w:r>
              <w:rPr>
                <w:rFonts w:hint="eastAsia" w:ascii="宋体" w:hAnsi="宋体" w:eastAsia="宋体" w:cs="宋体"/>
                <w:spacing w:val="1"/>
                <w:sz w:val="24"/>
                <w:szCs w:val="24"/>
                <w:highlight w:val="none"/>
              </w:rPr>
              <w:t>2</w:t>
            </w:r>
          </w:p>
        </w:tc>
        <w:tc>
          <w:tcPr>
            <w:tcW w:w="1285" w:type="dxa"/>
          </w:tcPr>
          <w:p w14:paraId="1C5B4B42">
            <w:pPr>
              <w:pStyle w:val="326"/>
              <w:rPr>
                <w:rFonts w:ascii="宋体" w:hAnsi="宋体" w:eastAsia="宋体" w:cs="宋体"/>
                <w:highlight w:val="none"/>
              </w:rPr>
            </w:pPr>
          </w:p>
        </w:tc>
        <w:tc>
          <w:tcPr>
            <w:tcW w:w="1891" w:type="dxa"/>
          </w:tcPr>
          <w:p w14:paraId="3AB64C7A">
            <w:pPr>
              <w:pStyle w:val="326"/>
              <w:spacing w:before="42"/>
              <w:ind w:left="135"/>
              <w:rPr>
                <w:rFonts w:ascii="宋体" w:hAnsi="宋体" w:eastAsia="宋体" w:cs="宋体"/>
                <w:sz w:val="24"/>
                <w:szCs w:val="24"/>
                <w:highlight w:val="none"/>
                <w:lang w:eastAsia="zh-CN"/>
              </w:rPr>
            </w:pPr>
            <w:r>
              <w:rPr>
                <w:rFonts w:hint="eastAsia" w:ascii="宋体" w:hAnsi="宋体" w:eastAsia="宋体" w:cs="宋体"/>
                <w:spacing w:val="11"/>
                <w:sz w:val="24"/>
                <w:szCs w:val="24"/>
                <w:highlight w:val="none"/>
                <w:lang w:eastAsia="zh-CN"/>
              </w:rPr>
              <w:t>□中型企业</w:t>
            </w:r>
          </w:p>
          <w:p w14:paraId="678D86BB">
            <w:pPr>
              <w:pStyle w:val="326"/>
              <w:spacing w:before="4"/>
              <w:ind w:left="375" w:right="207" w:hanging="240"/>
              <w:rPr>
                <w:rFonts w:ascii="宋体" w:hAnsi="宋体" w:eastAsia="宋体" w:cs="宋体"/>
                <w:sz w:val="24"/>
                <w:szCs w:val="24"/>
                <w:highlight w:val="none"/>
                <w:lang w:eastAsia="zh-CN"/>
              </w:rPr>
            </w:pPr>
            <w:r>
              <w:rPr>
                <w:rFonts w:hint="eastAsia" w:ascii="宋体" w:hAnsi="宋体" w:eastAsia="宋体" w:cs="宋体"/>
                <w:spacing w:val="11"/>
                <w:sz w:val="24"/>
                <w:szCs w:val="24"/>
                <w:highlight w:val="none"/>
                <w:lang w:eastAsia="zh-CN"/>
              </w:rPr>
              <w:t>□小微企业</w:t>
            </w:r>
            <w:r>
              <w:rPr>
                <w:rFonts w:hint="eastAsia" w:ascii="宋体" w:hAnsi="宋体" w:eastAsia="宋体" w:cs="宋体"/>
                <w:spacing w:val="2"/>
                <w:sz w:val="24"/>
                <w:szCs w:val="24"/>
                <w:highlight w:val="none"/>
                <w:lang w:eastAsia="zh-CN"/>
              </w:rPr>
              <w:t xml:space="preserve"> </w:t>
            </w:r>
            <w:r>
              <w:rPr>
                <w:rFonts w:hint="eastAsia" w:ascii="宋体" w:hAnsi="宋体" w:eastAsia="宋体" w:cs="宋体"/>
                <w:spacing w:val="19"/>
                <w:sz w:val="24"/>
                <w:szCs w:val="24"/>
                <w:highlight w:val="none"/>
                <w:lang w:eastAsia="zh-CN"/>
              </w:rPr>
              <w:t>□其他</w:t>
            </w:r>
          </w:p>
        </w:tc>
        <w:tc>
          <w:tcPr>
            <w:tcW w:w="744" w:type="dxa"/>
          </w:tcPr>
          <w:p w14:paraId="15261551">
            <w:pPr>
              <w:pStyle w:val="326"/>
              <w:rPr>
                <w:rFonts w:ascii="宋体" w:hAnsi="宋体" w:eastAsia="宋体" w:cs="宋体"/>
                <w:highlight w:val="none"/>
                <w:lang w:eastAsia="zh-CN"/>
              </w:rPr>
            </w:pPr>
          </w:p>
        </w:tc>
        <w:tc>
          <w:tcPr>
            <w:tcW w:w="1559" w:type="dxa"/>
          </w:tcPr>
          <w:p w14:paraId="728CFD8B">
            <w:pPr>
              <w:pStyle w:val="326"/>
              <w:rPr>
                <w:rFonts w:ascii="宋体" w:hAnsi="宋体" w:eastAsia="宋体" w:cs="宋体"/>
                <w:highlight w:val="none"/>
                <w:lang w:eastAsia="zh-CN"/>
              </w:rPr>
            </w:pPr>
          </w:p>
        </w:tc>
        <w:tc>
          <w:tcPr>
            <w:tcW w:w="1496" w:type="dxa"/>
          </w:tcPr>
          <w:p w14:paraId="21AC0218">
            <w:pPr>
              <w:pStyle w:val="326"/>
              <w:rPr>
                <w:rFonts w:ascii="宋体" w:hAnsi="宋体" w:eastAsia="宋体" w:cs="宋体"/>
                <w:highlight w:val="none"/>
                <w:lang w:eastAsia="zh-CN"/>
              </w:rPr>
            </w:pPr>
          </w:p>
        </w:tc>
        <w:tc>
          <w:tcPr>
            <w:tcW w:w="1567" w:type="dxa"/>
          </w:tcPr>
          <w:p w14:paraId="2CC21040">
            <w:pPr>
              <w:pStyle w:val="326"/>
              <w:rPr>
                <w:rFonts w:ascii="宋体" w:hAnsi="宋体" w:eastAsia="宋体" w:cs="宋体"/>
                <w:highlight w:val="none"/>
                <w:lang w:eastAsia="zh-CN"/>
              </w:rPr>
            </w:pPr>
          </w:p>
        </w:tc>
      </w:tr>
      <w:tr w14:paraId="0997B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trPr>
        <w:tc>
          <w:tcPr>
            <w:tcW w:w="462" w:type="dxa"/>
          </w:tcPr>
          <w:p w14:paraId="5B0352DF">
            <w:pPr>
              <w:pStyle w:val="326"/>
              <w:spacing w:line="293" w:lineRule="auto"/>
              <w:rPr>
                <w:rFonts w:ascii="宋体" w:hAnsi="宋体" w:eastAsia="宋体" w:cs="宋体"/>
                <w:highlight w:val="none"/>
                <w:lang w:eastAsia="zh-CN"/>
              </w:rPr>
            </w:pPr>
          </w:p>
          <w:p w14:paraId="039F767F">
            <w:pPr>
              <w:pStyle w:val="326"/>
              <w:spacing w:before="69" w:line="81" w:lineRule="exact"/>
              <w:ind w:left="135"/>
              <w:rPr>
                <w:rFonts w:ascii="宋体" w:hAnsi="宋体" w:eastAsia="宋体" w:cs="宋体"/>
                <w:sz w:val="24"/>
                <w:szCs w:val="24"/>
                <w:highlight w:val="none"/>
              </w:rPr>
            </w:pPr>
            <w:r>
              <w:rPr>
                <w:rFonts w:hint="eastAsia" w:ascii="宋体" w:hAnsi="宋体" w:eastAsia="宋体" w:cs="宋体"/>
                <w:position w:val="1"/>
                <w:sz w:val="24"/>
                <w:szCs w:val="24"/>
                <w:highlight w:val="none"/>
              </w:rPr>
              <w:t>…</w:t>
            </w:r>
          </w:p>
        </w:tc>
        <w:tc>
          <w:tcPr>
            <w:tcW w:w="1285" w:type="dxa"/>
          </w:tcPr>
          <w:p w14:paraId="5AD3253F">
            <w:pPr>
              <w:pStyle w:val="326"/>
              <w:rPr>
                <w:rFonts w:ascii="宋体" w:hAnsi="宋体" w:eastAsia="宋体" w:cs="宋体"/>
                <w:highlight w:val="none"/>
              </w:rPr>
            </w:pPr>
          </w:p>
        </w:tc>
        <w:tc>
          <w:tcPr>
            <w:tcW w:w="1891" w:type="dxa"/>
          </w:tcPr>
          <w:p w14:paraId="2F4F315E">
            <w:pPr>
              <w:pStyle w:val="326"/>
              <w:rPr>
                <w:rFonts w:ascii="宋体" w:hAnsi="宋体" w:eastAsia="宋体" w:cs="宋体"/>
                <w:highlight w:val="none"/>
              </w:rPr>
            </w:pPr>
          </w:p>
        </w:tc>
        <w:tc>
          <w:tcPr>
            <w:tcW w:w="744" w:type="dxa"/>
          </w:tcPr>
          <w:p w14:paraId="1835E374">
            <w:pPr>
              <w:pStyle w:val="326"/>
              <w:rPr>
                <w:rFonts w:ascii="宋体" w:hAnsi="宋体" w:eastAsia="宋体" w:cs="宋体"/>
                <w:highlight w:val="none"/>
              </w:rPr>
            </w:pPr>
          </w:p>
        </w:tc>
        <w:tc>
          <w:tcPr>
            <w:tcW w:w="1559" w:type="dxa"/>
          </w:tcPr>
          <w:p w14:paraId="4EDDB2C1">
            <w:pPr>
              <w:pStyle w:val="326"/>
              <w:rPr>
                <w:rFonts w:ascii="宋体" w:hAnsi="宋体" w:eastAsia="宋体" w:cs="宋体"/>
                <w:highlight w:val="none"/>
              </w:rPr>
            </w:pPr>
          </w:p>
        </w:tc>
        <w:tc>
          <w:tcPr>
            <w:tcW w:w="1496" w:type="dxa"/>
          </w:tcPr>
          <w:p w14:paraId="43786AD4">
            <w:pPr>
              <w:pStyle w:val="326"/>
              <w:rPr>
                <w:rFonts w:ascii="宋体" w:hAnsi="宋体" w:eastAsia="宋体" w:cs="宋体"/>
                <w:highlight w:val="none"/>
              </w:rPr>
            </w:pPr>
          </w:p>
        </w:tc>
        <w:tc>
          <w:tcPr>
            <w:tcW w:w="1567" w:type="dxa"/>
          </w:tcPr>
          <w:p w14:paraId="53F97CAD">
            <w:pPr>
              <w:pStyle w:val="326"/>
              <w:rPr>
                <w:rFonts w:ascii="宋体" w:hAnsi="宋体" w:eastAsia="宋体" w:cs="宋体"/>
                <w:highlight w:val="none"/>
              </w:rPr>
            </w:pPr>
          </w:p>
        </w:tc>
      </w:tr>
      <w:tr w14:paraId="1F932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9" w:hRule="atLeast"/>
        </w:trPr>
        <w:tc>
          <w:tcPr>
            <w:tcW w:w="5941" w:type="dxa"/>
            <w:gridSpan w:val="5"/>
          </w:tcPr>
          <w:p w14:paraId="603CBA6A">
            <w:pPr>
              <w:spacing w:before="180" w:line="201" w:lineRule="auto"/>
              <w:ind w:left="5161"/>
              <w:rPr>
                <w:rFonts w:ascii="宋体" w:hAnsi="宋体" w:cs="宋体"/>
                <w:sz w:val="24"/>
                <w:highlight w:val="none"/>
              </w:rPr>
            </w:pPr>
            <w:r>
              <w:rPr>
                <w:rFonts w:hint="eastAsia" w:ascii="宋体" w:hAnsi="宋体" w:cs="宋体"/>
                <w:spacing w:val="-2"/>
                <w:sz w:val="24"/>
                <w:highlight w:val="none"/>
              </w:rPr>
              <w:t>合计：</w:t>
            </w:r>
          </w:p>
        </w:tc>
        <w:tc>
          <w:tcPr>
            <w:tcW w:w="1496" w:type="dxa"/>
          </w:tcPr>
          <w:p w14:paraId="3225F425">
            <w:pPr>
              <w:pStyle w:val="326"/>
              <w:rPr>
                <w:rFonts w:ascii="宋体" w:hAnsi="宋体" w:eastAsia="宋体" w:cs="宋体"/>
                <w:highlight w:val="none"/>
              </w:rPr>
            </w:pPr>
          </w:p>
        </w:tc>
        <w:tc>
          <w:tcPr>
            <w:tcW w:w="1567" w:type="dxa"/>
          </w:tcPr>
          <w:p w14:paraId="5A0A5E11">
            <w:pPr>
              <w:pStyle w:val="326"/>
              <w:rPr>
                <w:rFonts w:ascii="宋体" w:hAnsi="宋体" w:eastAsia="宋体" w:cs="宋体"/>
                <w:highlight w:val="none"/>
              </w:rPr>
            </w:pPr>
          </w:p>
        </w:tc>
      </w:tr>
    </w:tbl>
    <w:p w14:paraId="5C4E4E3A">
      <w:pPr>
        <w:pStyle w:val="32"/>
        <w:spacing w:line="380" w:lineRule="auto"/>
        <w:rPr>
          <w:highlight w:val="none"/>
        </w:rPr>
      </w:pPr>
    </w:p>
    <w:p w14:paraId="76068AB0">
      <w:pPr>
        <w:spacing w:before="103" w:line="315" w:lineRule="auto"/>
        <w:ind w:left="5680" w:right="190" w:hanging="1067"/>
        <w:rPr>
          <w:rFonts w:ascii="宋体" w:hAnsi="宋体" w:cs="宋体"/>
          <w:spacing w:val="1"/>
          <w:sz w:val="24"/>
          <w:highlight w:val="none"/>
        </w:rPr>
      </w:pPr>
      <w:r>
        <w:rPr>
          <w:rFonts w:hint="eastAsia" w:ascii="宋体" w:hAnsi="宋体" w:cs="宋体"/>
          <w:spacing w:val="-1"/>
          <w:sz w:val="24"/>
          <w:highlight w:val="none"/>
        </w:rPr>
        <w:t>供应商名称（加盖公章</w:t>
      </w:r>
      <w:r>
        <w:rPr>
          <w:rFonts w:hint="eastAsia" w:ascii="宋体" w:hAnsi="宋体" w:cs="宋体"/>
          <w:spacing w:val="-59"/>
          <w:sz w:val="24"/>
          <w:highlight w:val="none"/>
        </w:rPr>
        <w:t>）：</w:t>
      </w:r>
      <w:r>
        <w:rPr>
          <w:rFonts w:hint="eastAsia" w:ascii="宋体" w:hAnsi="宋体" w:cs="宋体"/>
          <w:spacing w:val="1"/>
          <w:sz w:val="24"/>
          <w:highlight w:val="none"/>
          <w:u w:val="single"/>
        </w:rPr>
        <w:t xml:space="preserve">          </w:t>
      </w:r>
      <w:r>
        <w:rPr>
          <w:rFonts w:hint="eastAsia" w:ascii="宋体" w:hAnsi="宋体" w:cs="宋体"/>
          <w:spacing w:val="1"/>
          <w:sz w:val="24"/>
          <w:highlight w:val="none"/>
        </w:rPr>
        <w:t xml:space="preserve">  </w:t>
      </w:r>
    </w:p>
    <w:p w14:paraId="1EE925C2">
      <w:pPr>
        <w:spacing w:before="103" w:line="315" w:lineRule="auto"/>
        <w:ind w:left="5680" w:right="190" w:hanging="1067"/>
        <w:rPr>
          <w:highlight w:val="none"/>
        </w:rPr>
      </w:pPr>
      <w:r>
        <w:rPr>
          <w:rFonts w:hint="eastAsia" w:ascii="宋体" w:hAnsi="宋体" w:cs="宋体"/>
          <w:spacing w:val="-22"/>
          <w:sz w:val="24"/>
          <w:highlight w:val="none"/>
        </w:rPr>
        <w:t>日期：</w:t>
      </w:r>
      <w:r>
        <w:rPr>
          <w:rFonts w:hint="eastAsia" w:ascii="宋体" w:hAnsi="宋体" w:cs="宋体"/>
          <w:spacing w:val="1"/>
          <w:sz w:val="24"/>
          <w:highlight w:val="none"/>
          <w:u w:val="single"/>
        </w:rPr>
        <w:t xml:space="preserve">     </w:t>
      </w:r>
      <w:r>
        <w:rPr>
          <w:rFonts w:hint="eastAsia" w:ascii="宋体" w:hAnsi="宋体" w:cs="宋体"/>
          <w:spacing w:val="-61"/>
          <w:sz w:val="24"/>
          <w:highlight w:val="none"/>
        </w:rPr>
        <w:t xml:space="preserve"> </w:t>
      </w:r>
      <w:r>
        <w:rPr>
          <w:rFonts w:hint="eastAsia" w:ascii="宋体" w:hAnsi="宋体" w:cs="宋体"/>
          <w:spacing w:val="-22"/>
          <w:sz w:val="24"/>
          <w:highlight w:val="none"/>
        </w:rPr>
        <w:t>年</w:t>
      </w:r>
      <w:r>
        <w:rPr>
          <w:rFonts w:hint="eastAsia" w:ascii="宋体" w:hAnsi="宋体" w:cs="宋体"/>
          <w:spacing w:val="1"/>
          <w:sz w:val="24"/>
          <w:highlight w:val="none"/>
          <w:u w:val="single"/>
        </w:rPr>
        <w:t xml:space="preserve">     </w:t>
      </w:r>
      <w:r>
        <w:rPr>
          <w:rFonts w:hint="eastAsia" w:ascii="宋体" w:hAnsi="宋体" w:cs="宋体"/>
          <w:spacing w:val="-63"/>
          <w:sz w:val="24"/>
          <w:highlight w:val="none"/>
        </w:rPr>
        <w:t xml:space="preserve"> </w:t>
      </w:r>
      <w:r>
        <w:rPr>
          <w:rFonts w:hint="eastAsia" w:ascii="宋体" w:hAnsi="宋体" w:cs="宋体"/>
          <w:spacing w:val="-22"/>
          <w:sz w:val="24"/>
          <w:highlight w:val="none"/>
        </w:rPr>
        <w:t>月</w:t>
      </w:r>
      <w:r>
        <w:rPr>
          <w:rFonts w:hint="eastAsia" w:ascii="宋体" w:hAnsi="宋体" w:cs="宋体"/>
          <w:spacing w:val="1"/>
          <w:sz w:val="24"/>
          <w:highlight w:val="none"/>
          <w:u w:val="single"/>
        </w:rPr>
        <w:t xml:space="preserve">     </w:t>
      </w:r>
      <w:r>
        <w:rPr>
          <w:rFonts w:hint="eastAsia" w:ascii="宋体" w:hAnsi="宋体" w:cs="宋体"/>
          <w:spacing w:val="-15"/>
          <w:sz w:val="24"/>
          <w:highlight w:val="none"/>
        </w:rPr>
        <w:t xml:space="preserve"> </w:t>
      </w:r>
      <w:r>
        <w:rPr>
          <w:rFonts w:hint="eastAsia" w:ascii="宋体" w:hAnsi="宋体" w:cs="宋体"/>
          <w:spacing w:val="-22"/>
          <w:sz w:val="24"/>
          <w:highlight w:val="none"/>
        </w:rPr>
        <w:t>日</w:t>
      </w:r>
    </w:p>
    <w:p w14:paraId="6E027691">
      <w:pPr>
        <w:spacing w:before="103" w:line="203" w:lineRule="auto"/>
        <w:ind w:left="15"/>
        <w:rPr>
          <w:rFonts w:ascii="宋体" w:hAnsi="宋体" w:cs="宋体"/>
          <w:sz w:val="24"/>
          <w:highlight w:val="none"/>
        </w:rPr>
      </w:pPr>
      <w:r>
        <w:rPr>
          <w:rFonts w:hint="eastAsia" w:ascii="宋体" w:hAnsi="宋体" w:cs="宋体"/>
          <w:spacing w:val="-6"/>
          <w:sz w:val="24"/>
          <w:highlight w:val="none"/>
        </w:rPr>
        <w:t>注：</w:t>
      </w:r>
    </w:p>
    <w:p w14:paraId="62287D91">
      <w:pPr>
        <w:pStyle w:val="32"/>
        <w:spacing w:before="175" w:line="360" w:lineRule="auto"/>
        <w:ind w:left="8" w:right="245" w:hanging="9"/>
        <w:rPr>
          <w:rFonts w:cs="宋体"/>
          <w:highlight w:val="none"/>
        </w:rPr>
      </w:pPr>
      <w:r>
        <w:rPr>
          <w:rFonts w:hint="eastAsia" w:cs="宋体"/>
          <w:spacing w:val="-7"/>
          <w:highlight w:val="none"/>
        </w:rPr>
        <w:t>（ 1）当供应商属于本部分说明中第（ 1</w:t>
      </w:r>
      <w:r>
        <w:rPr>
          <w:rFonts w:hint="eastAsia" w:cs="宋体"/>
          <w:spacing w:val="-21"/>
          <w:highlight w:val="none"/>
        </w:rPr>
        <w:t xml:space="preserve"> </w:t>
      </w:r>
      <w:r>
        <w:rPr>
          <w:rFonts w:hint="eastAsia" w:cs="宋体"/>
          <w:spacing w:val="-8"/>
          <w:highlight w:val="none"/>
        </w:rPr>
        <w:t>）类情形</w:t>
      </w:r>
      <w:r>
        <w:rPr>
          <w:rFonts w:hint="eastAsia" w:cs="宋体"/>
          <w:spacing w:val="-29"/>
          <w:highlight w:val="none"/>
        </w:rPr>
        <w:t xml:space="preserve"> </w:t>
      </w:r>
      <w:r>
        <w:rPr>
          <w:rFonts w:hint="eastAsia" w:cs="宋体"/>
          <w:spacing w:val="-8"/>
          <w:highlight w:val="none"/>
        </w:rPr>
        <w:t>，如未提供《拟分包情况说明》，或提</w:t>
      </w:r>
      <w:r>
        <w:rPr>
          <w:rFonts w:hint="eastAsia" w:cs="宋体"/>
          <w:highlight w:val="none"/>
        </w:rPr>
        <w:t xml:space="preserve"> </w:t>
      </w:r>
      <w:r>
        <w:rPr>
          <w:rFonts w:hint="eastAsia" w:cs="宋体"/>
          <w:spacing w:val="-1"/>
          <w:highlight w:val="none"/>
        </w:rPr>
        <w:t>供了《拟分包情况说明》但未填写分包承担主体名称</w:t>
      </w:r>
      <w:r>
        <w:rPr>
          <w:rFonts w:hint="eastAsia" w:cs="宋体"/>
          <w:spacing w:val="-2"/>
          <w:highlight w:val="none"/>
        </w:rPr>
        <w:t>、拟分包合同内容、拟分包合同金</w:t>
      </w:r>
      <w:r>
        <w:rPr>
          <w:rFonts w:hint="eastAsia" w:cs="宋体"/>
          <w:highlight w:val="none"/>
        </w:rPr>
        <w:t xml:space="preserve"> </w:t>
      </w:r>
      <w:r>
        <w:rPr>
          <w:rFonts w:hint="eastAsia" w:cs="宋体"/>
          <w:spacing w:val="-1"/>
          <w:highlight w:val="none"/>
        </w:rPr>
        <w:t>额，其</w:t>
      </w:r>
      <w:r>
        <w:rPr>
          <w:rFonts w:hint="eastAsia" w:cs="宋体"/>
          <w:b/>
          <w:bCs/>
          <w:spacing w:val="-1"/>
          <w:highlight w:val="none"/>
        </w:rPr>
        <w:t>响应无效</w:t>
      </w:r>
      <w:r>
        <w:rPr>
          <w:rFonts w:hint="eastAsia" w:cs="宋体"/>
          <w:spacing w:val="-1"/>
          <w:highlight w:val="none"/>
        </w:rPr>
        <w:t>；</w:t>
      </w:r>
    </w:p>
    <w:p w14:paraId="21418E12">
      <w:pPr>
        <w:pStyle w:val="32"/>
        <w:spacing w:before="181" w:line="360" w:lineRule="auto"/>
        <w:ind w:left="8" w:right="245" w:hanging="9"/>
        <w:rPr>
          <w:rFonts w:cs="宋体"/>
          <w:highlight w:val="none"/>
        </w:rPr>
      </w:pPr>
      <w:r>
        <w:rPr>
          <w:rFonts w:hint="eastAsia" w:cs="宋体"/>
          <w:spacing w:val="-8"/>
          <w:highlight w:val="none"/>
        </w:rPr>
        <w:t>（ 2</w:t>
      </w:r>
      <w:r>
        <w:rPr>
          <w:rFonts w:hint="eastAsia" w:cs="宋体"/>
          <w:spacing w:val="-24"/>
          <w:highlight w:val="none"/>
        </w:rPr>
        <w:t xml:space="preserve"> </w:t>
      </w:r>
      <w:r>
        <w:rPr>
          <w:rFonts w:hint="eastAsia" w:cs="宋体"/>
          <w:spacing w:val="-8"/>
          <w:highlight w:val="none"/>
        </w:rPr>
        <w:t xml:space="preserve">）当供应商属于本部分说明中第（ </w:t>
      </w:r>
      <w:r>
        <w:rPr>
          <w:rFonts w:hint="eastAsia" w:cs="宋体"/>
          <w:spacing w:val="-9"/>
          <w:highlight w:val="none"/>
        </w:rPr>
        <w:t>2</w:t>
      </w:r>
      <w:r>
        <w:rPr>
          <w:rFonts w:hint="eastAsia" w:cs="宋体"/>
          <w:spacing w:val="-22"/>
          <w:highlight w:val="none"/>
        </w:rPr>
        <w:t xml:space="preserve"> </w:t>
      </w:r>
      <w:r>
        <w:rPr>
          <w:rFonts w:hint="eastAsia" w:cs="宋体"/>
          <w:spacing w:val="-9"/>
          <w:highlight w:val="none"/>
        </w:rPr>
        <w:t>）类情形</w:t>
      </w:r>
      <w:r>
        <w:rPr>
          <w:rFonts w:hint="eastAsia" w:cs="宋体"/>
          <w:spacing w:val="-29"/>
          <w:highlight w:val="none"/>
        </w:rPr>
        <w:t xml:space="preserve"> </w:t>
      </w:r>
      <w:r>
        <w:rPr>
          <w:rFonts w:hint="eastAsia" w:cs="宋体"/>
          <w:spacing w:val="-9"/>
          <w:highlight w:val="none"/>
        </w:rPr>
        <w:t>，如未提供《拟分包情况说明》，或提</w:t>
      </w:r>
      <w:r>
        <w:rPr>
          <w:rFonts w:hint="eastAsia" w:cs="宋体"/>
          <w:highlight w:val="none"/>
        </w:rPr>
        <w:t xml:space="preserve"> </w:t>
      </w:r>
      <w:r>
        <w:rPr>
          <w:rFonts w:hint="eastAsia" w:cs="宋体"/>
          <w:spacing w:val="-1"/>
          <w:highlight w:val="none"/>
        </w:rPr>
        <w:t>供了《拟分包情况说明》但未填写分包承担主体名称</w:t>
      </w:r>
      <w:r>
        <w:rPr>
          <w:rFonts w:hint="eastAsia" w:cs="宋体"/>
          <w:spacing w:val="-2"/>
          <w:highlight w:val="none"/>
        </w:rPr>
        <w:t>、分包承担主体类型、拟分包合同</w:t>
      </w:r>
      <w:r>
        <w:rPr>
          <w:rFonts w:hint="eastAsia" w:cs="宋体"/>
          <w:highlight w:val="none"/>
        </w:rPr>
        <w:t xml:space="preserve"> </w:t>
      </w:r>
      <w:r>
        <w:rPr>
          <w:rFonts w:hint="eastAsia" w:cs="宋体"/>
          <w:spacing w:val="-1"/>
          <w:highlight w:val="none"/>
        </w:rPr>
        <w:t>内容、拟分包合同金额，其</w:t>
      </w:r>
      <w:r>
        <w:rPr>
          <w:rFonts w:hint="eastAsia" w:cs="宋体"/>
          <w:b/>
          <w:bCs/>
          <w:spacing w:val="-1"/>
          <w:highlight w:val="none"/>
        </w:rPr>
        <w:t>响应无效</w:t>
      </w:r>
      <w:r>
        <w:rPr>
          <w:rFonts w:hint="eastAsia" w:cs="宋体"/>
          <w:spacing w:val="-1"/>
          <w:highlight w:val="none"/>
        </w:rPr>
        <w:t>；</w:t>
      </w:r>
    </w:p>
    <w:p w14:paraId="2237CB48">
      <w:pPr>
        <w:pStyle w:val="32"/>
        <w:spacing w:before="180" w:line="360" w:lineRule="auto"/>
        <w:rPr>
          <w:rFonts w:cs="宋体"/>
          <w:highlight w:val="none"/>
        </w:rPr>
      </w:pPr>
      <w:r>
        <w:rPr>
          <w:rFonts w:hint="eastAsia" w:cs="宋体"/>
          <w:spacing w:val="1"/>
          <w:highlight w:val="none"/>
        </w:rPr>
        <w:t>（3）如本采购文件《供应商须知资料表》载明本</w:t>
      </w:r>
      <w:r>
        <w:rPr>
          <w:rFonts w:hint="eastAsia" w:cs="宋体"/>
          <w:highlight w:val="none"/>
        </w:rPr>
        <w:t>项目分包承担主体应具备的相应资质</w:t>
      </w:r>
      <w:r>
        <w:rPr>
          <w:rFonts w:hint="eastAsia" w:cs="宋体"/>
          <w:spacing w:val="-1"/>
          <w:highlight w:val="none"/>
        </w:rPr>
        <w:t>条件，则供应商须在本表中列明分包承担主体的</w:t>
      </w:r>
      <w:r>
        <w:rPr>
          <w:rFonts w:hint="eastAsia" w:cs="宋体"/>
          <w:spacing w:val="-2"/>
          <w:highlight w:val="none"/>
        </w:rPr>
        <w:t>资质等级，并后附资质证书，否</w:t>
      </w:r>
      <w:r>
        <w:rPr>
          <w:rFonts w:hint="eastAsia" w:cs="宋体"/>
          <w:highlight w:val="none"/>
        </w:rPr>
        <w:t xml:space="preserve"> </w:t>
      </w:r>
      <w:r>
        <w:rPr>
          <w:rFonts w:hint="eastAsia" w:cs="宋体"/>
          <w:spacing w:val="-1"/>
          <w:highlight w:val="none"/>
        </w:rPr>
        <w:t>则</w:t>
      </w:r>
      <w:r>
        <w:rPr>
          <w:rFonts w:hint="eastAsia" w:cs="宋体"/>
          <w:b/>
          <w:bCs/>
          <w:spacing w:val="-1"/>
          <w:highlight w:val="none"/>
        </w:rPr>
        <w:t>响应无效</w:t>
      </w:r>
      <w:r>
        <w:rPr>
          <w:rFonts w:hint="eastAsia" w:cs="宋体"/>
          <w:spacing w:val="-1"/>
          <w:highlight w:val="none"/>
        </w:rPr>
        <w:t>。</w:t>
      </w:r>
    </w:p>
    <w:p w14:paraId="53AD2675">
      <w:pPr>
        <w:spacing w:line="196" w:lineRule="auto"/>
        <w:rPr>
          <w:rFonts w:ascii="宋体" w:hAnsi="宋体" w:cs="宋体"/>
          <w:sz w:val="24"/>
          <w:highlight w:val="none"/>
        </w:rPr>
        <w:sectPr>
          <w:headerReference r:id="rId34" w:type="default"/>
          <w:footerReference r:id="rId35" w:type="default"/>
          <w:pgSz w:w="11907" w:h="16840"/>
          <w:pgMar w:top="1149" w:right="888" w:bottom="1060" w:left="1696" w:header="875" w:footer="886" w:gutter="0"/>
          <w:cols w:space="720" w:num="1"/>
        </w:sectPr>
      </w:pPr>
    </w:p>
    <w:p w14:paraId="6BE3756A">
      <w:pPr>
        <w:spacing w:before="328" w:line="205" w:lineRule="auto"/>
        <w:ind w:left="3464"/>
        <w:rPr>
          <w:rFonts w:ascii="微软雅黑" w:hAnsi="微软雅黑" w:eastAsia="微软雅黑" w:cs="微软雅黑"/>
          <w:sz w:val="35"/>
          <w:szCs w:val="35"/>
          <w:highlight w:val="none"/>
        </w:rPr>
      </w:pPr>
      <w:r>
        <w:rPr>
          <w:rFonts w:ascii="微软雅黑" w:hAnsi="微软雅黑" w:eastAsia="微软雅黑" w:cs="微软雅黑"/>
          <w:b/>
          <w:bCs/>
          <w:spacing w:val="9"/>
          <w:sz w:val="35"/>
          <w:szCs w:val="35"/>
          <w:highlight w:val="none"/>
        </w:rPr>
        <w:t>分包意向协议</w:t>
      </w:r>
    </w:p>
    <w:p w14:paraId="1B77100A">
      <w:pPr>
        <w:spacing w:before="248" w:line="196" w:lineRule="auto"/>
        <w:ind w:left="518"/>
        <w:rPr>
          <w:rFonts w:ascii="微软雅黑" w:hAnsi="微软雅黑" w:eastAsia="微软雅黑" w:cs="微软雅黑"/>
          <w:sz w:val="24"/>
          <w:highlight w:val="none"/>
        </w:rPr>
      </w:pPr>
      <w:r>
        <w:rPr>
          <w:rFonts w:ascii="宋体" w:hAnsi="宋体" w:cs="宋体"/>
          <w:spacing w:val="-3"/>
          <w:sz w:val="24"/>
          <w:highlight w:val="none"/>
        </w:rPr>
        <w:t>甲方（供应商）：</w:t>
      </w:r>
      <w:r>
        <w:rPr>
          <w:rFonts w:ascii="宋体" w:hAnsi="宋体" w:cs="宋体"/>
          <w:spacing w:val="-3"/>
          <w:sz w:val="24"/>
          <w:highlight w:val="none"/>
          <w:u w:val="single"/>
        </w:rPr>
        <w:t xml:space="preserve">     </w:t>
      </w:r>
      <w:r>
        <w:rPr>
          <w:rFonts w:ascii="微软雅黑" w:hAnsi="微软雅黑" w:eastAsia="微软雅黑" w:cs="微软雅黑"/>
          <w:sz w:val="24"/>
          <w:highlight w:val="none"/>
          <w:u w:val="single"/>
        </w:rPr>
        <w:t xml:space="preserve">      </w:t>
      </w:r>
    </w:p>
    <w:p w14:paraId="39C66835">
      <w:pPr>
        <w:spacing w:before="186" w:line="360" w:lineRule="auto"/>
        <w:ind w:left="504"/>
        <w:rPr>
          <w:rFonts w:ascii="宋体" w:hAnsi="宋体" w:cs="宋体"/>
          <w:sz w:val="24"/>
          <w:highlight w:val="none"/>
        </w:rPr>
      </w:pPr>
      <w:r>
        <w:rPr>
          <w:rFonts w:hint="eastAsia" w:ascii="宋体" w:hAnsi="宋体" w:cs="宋体"/>
          <w:spacing w:val="-3"/>
          <w:sz w:val="24"/>
          <w:highlight w:val="none"/>
        </w:rPr>
        <w:t>乙方（拟分包单位</w:t>
      </w:r>
      <w:r>
        <w:rPr>
          <w:rFonts w:hint="eastAsia" w:ascii="宋体" w:hAnsi="宋体" w:cs="宋体"/>
          <w:spacing w:val="-59"/>
          <w:sz w:val="24"/>
          <w:highlight w:val="none"/>
        </w:rPr>
        <w:t>）：</w:t>
      </w:r>
      <w:r>
        <w:rPr>
          <w:rFonts w:hint="eastAsia" w:ascii="宋体" w:hAnsi="宋体" w:cs="宋体"/>
          <w:sz w:val="24"/>
          <w:highlight w:val="none"/>
          <w:u w:val="single"/>
        </w:rPr>
        <w:t xml:space="preserve">           </w:t>
      </w:r>
    </w:p>
    <w:p w14:paraId="4A540FB5">
      <w:pPr>
        <w:pStyle w:val="32"/>
        <w:spacing w:before="184" w:line="360" w:lineRule="auto"/>
        <w:ind w:left="34" w:right="4" w:firstLine="483"/>
        <w:rPr>
          <w:rFonts w:cs="宋体"/>
          <w:highlight w:val="none"/>
        </w:rPr>
      </w:pPr>
      <w:r>
        <w:rPr>
          <w:rFonts w:hint="eastAsia" w:cs="宋体"/>
          <w:spacing w:val="1"/>
          <w:highlight w:val="none"/>
        </w:rPr>
        <w:t>甲方承诺，一旦在</w:t>
      </w:r>
      <w:r>
        <w:rPr>
          <w:rFonts w:hint="eastAsia" w:cs="宋体"/>
          <w:spacing w:val="1"/>
          <w:highlight w:val="none"/>
          <w:u w:val="single"/>
        </w:rPr>
        <w:t xml:space="preserve">          </w:t>
      </w:r>
      <w:r>
        <w:rPr>
          <w:rFonts w:hint="eastAsia" w:cs="宋体"/>
          <w:spacing w:val="1"/>
          <w:highlight w:val="none"/>
        </w:rPr>
        <w:t>（采购项目名称</w:t>
      </w:r>
      <w:r>
        <w:rPr>
          <w:rFonts w:hint="eastAsia" w:cs="宋体"/>
          <w:spacing w:val="-55"/>
          <w:w w:val="99"/>
          <w:highlight w:val="none"/>
        </w:rPr>
        <w:t>）（</w:t>
      </w:r>
      <w:r>
        <w:rPr>
          <w:rFonts w:hint="eastAsia" w:cs="宋体"/>
          <w:spacing w:val="1"/>
          <w:highlight w:val="none"/>
        </w:rPr>
        <w:t>项目编号/包号为</w:t>
      </w:r>
      <w:r>
        <w:rPr>
          <w:rFonts w:hint="eastAsia" w:cs="宋体"/>
          <w:spacing w:val="-55"/>
          <w:w w:val="99"/>
          <w:highlight w:val="none"/>
        </w:rPr>
        <w:t>：</w:t>
      </w:r>
      <w:r>
        <w:rPr>
          <w:rFonts w:hint="eastAsia" w:cs="宋体"/>
          <w:spacing w:val="1"/>
          <w:highlight w:val="none"/>
          <w:u w:val="single"/>
        </w:rPr>
        <w:t xml:space="preserve">          </w:t>
      </w:r>
      <w:r>
        <w:rPr>
          <w:rFonts w:hint="eastAsia" w:cs="宋体"/>
          <w:spacing w:val="-18"/>
          <w:highlight w:val="none"/>
        </w:rPr>
        <w:t xml:space="preserve"> </w:t>
      </w:r>
      <w:r>
        <w:rPr>
          <w:rFonts w:hint="eastAsia" w:cs="宋体"/>
          <w:spacing w:val="-55"/>
          <w:w w:val="99"/>
          <w:highlight w:val="none"/>
        </w:rPr>
        <w:t>）</w:t>
      </w:r>
      <w:r>
        <w:rPr>
          <w:rFonts w:hint="eastAsia" w:cs="宋体"/>
          <w:spacing w:val="1"/>
          <w:highlight w:val="none"/>
        </w:rPr>
        <w:t>采购项目</w:t>
      </w:r>
      <w:r>
        <w:rPr>
          <w:rFonts w:hint="eastAsia" w:cs="宋体"/>
          <w:highlight w:val="none"/>
        </w:rPr>
        <w:t xml:space="preserve"> </w:t>
      </w:r>
      <w:r>
        <w:rPr>
          <w:rFonts w:hint="eastAsia" w:cs="宋体"/>
          <w:spacing w:val="-1"/>
          <w:highlight w:val="none"/>
        </w:rPr>
        <w:t>中获得采购合同，将按照下述约定将合同项下部分内容分包给乙方：</w:t>
      </w:r>
    </w:p>
    <w:p w14:paraId="3A5C7E06">
      <w:pPr>
        <w:pStyle w:val="32"/>
        <w:spacing w:before="15" w:line="360" w:lineRule="auto"/>
        <w:ind w:left="511"/>
        <w:rPr>
          <w:rFonts w:cs="宋体"/>
          <w:highlight w:val="none"/>
        </w:rPr>
      </w:pPr>
      <w:r>
        <w:rPr>
          <w:rFonts w:hint="eastAsia" w:cs="宋体"/>
          <w:highlight w:val="none"/>
        </w:rPr>
        <w:t>1.分包内容：</w:t>
      </w:r>
      <w:r>
        <w:rPr>
          <w:rFonts w:hint="eastAsia" w:cs="宋体"/>
          <w:highlight w:val="none"/>
          <w:u w:val="single"/>
        </w:rPr>
        <w:t xml:space="preserve">          </w:t>
      </w:r>
      <w:r>
        <w:rPr>
          <w:rFonts w:hint="eastAsia" w:cs="宋体"/>
          <w:highlight w:val="none"/>
        </w:rPr>
        <w:t>。</w:t>
      </w:r>
    </w:p>
    <w:p w14:paraId="343BF0B2">
      <w:pPr>
        <w:pStyle w:val="32"/>
        <w:spacing w:before="177" w:line="360" w:lineRule="auto"/>
        <w:ind w:left="503" w:right="1212" w:hanging="1"/>
        <w:rPr>
          <w:rFonts w:cs="宋体"/>
          <w:highlight w:val="none"/>
        </w:rPr>
      </w:pPr>
      <w:r>
        <w:rPr>
          <w:rFonts w:hint="eastAsia" w:cs="宋体"/>
          <w:highlight w:val="none"/>
        </w:rPr>
        <w:t>2.分包金额：</w:t>
      </w:r>
      <w:r>
        <w:rPr>
          <w:rFonts w:hint="eastAsia" w:cs="宋体"/>
          <w:spacing w:val="1"/>
          <w:highlight w:val="none"/>
          <w:u w:val="single"/>
        </w:rPr>
        <w:t xml:space="preserve">          </w:t>
      </w:r>
      <w:r>
        <w:rPr>
          <w:rFonts w:hint="eastAsia" w:cs="宋体"/>
          <w:highlight w:val="none"/>
        </w:rPr>
        <w:t>，该金额占该采购包合同金额的比例</w:t>
      </w:r>
      <w:r>
        <w:rPr>
          <w:rFonts w:hint="eastAsia" w:cs="宋体"/>
          <w:spacing w:val="-1"/>
          <w:highlight w:val="none"/>
        </w:rPr>
        <w:t>为</w:t>
      </w:r>
      <w:r>
        <w:rPr>
          <w:rFonts w:hint="eastAsia" w:cs="宋体"/>
          <w:spacing w:val="-1"/>
          <w:highlight w:val="none"/>
          <w:u w:val="single"/>
        </w:rPr>
        <w:t xml:space="preserve">          </w:t>
      </w:r>
      <w:r>
        <w:rPr>
          <w:rFonts w:hint="eastAsia" w:cs="宋体"/>
          <w:spacing w:val="-57"/>
          <w:highlight w:val="none"/>
        </w:rPr>
        <w:t xml:space="preserve"> </w:t>
      </w:r>
      <w:r>
        <w:rPr>
          <w:rFonts w:hint="eastAsia" w:cs="宋体"/>
          <w:spacing w:val="-1"/>
          <w:highlight w:val="none"/>
        </w:rPr>
        <w:t>%。</w:t>
      </w:r>
      <w:r>
        <w:rPr>
          <w:rFonts w:hint="eastAsia" w:cs="宋体"/>
          <w:highlight w:val="none"/>
        </w:rPr>
        <w:t xml:space="preserve"> </w:t>
      </w:r>
      <w:r>
        <w:rPr>
          <w:rFonts w:hint="eastAsia" w:cs="宋体"/>
          <w:spacing w:val="-1"/>
          <w:highlight w:val="none"/>
        </w:rPr>
        <w:t>乙方承诺将在上述情况下与甲方签订分包合同。</w:t>
      </w:r>
    </w:p>
    <w:p w14:paraId="6EF1385C">
      <w:pPr>
        <w:spacing w:before="13" w:line="360" w:lineRule="auto"/>
        <w:ind w:left="11" w:right="4" w:firstLine="477"/>
        <w:rPr>
          <w:rFonts w:ascii="宋体" w:hAnsi="宋体" w:cs="宋体"/>
          <w:sz w:val="24"/>
          <w:highlight w:val="none"/>
        </w:rPr>
      </w:pPr>
      <w:r>
        <w:rPr>
          <w:rFonts w:hint="eastAsia" w:ascii="宋体" w:hAnsi="宋体" w:cs="宋体"/>
          <w:spacing w:val="-1"/>
          <w:sz w:val="24"/>
          <w:highlight w:val="none"/>
        </w:rPr>
        <w:t>本协议自各方盖章之日起生效，如甲方未在</w:t>
      </w:r>
      <w:r>
        <w:rPr>
          <w:rFonts w:hint="eastAsia" w:ascii="宋体" w:hAnsi="宋体" w:cs="宋体"/>
          <w:spacing w:val="-2"/>
          <w:sz w:val="24"/>
          <w:highlight w:val="none"/>
        </w:rPr>
        <w:t>该项目（采购包）成交，本协议自动终</w:t>
      </w:r>
      <w:r>
        <w:rPr>
          <w:rFonts w:hint="eastAsia" w:ascii="宋体" w:hAnsi="宋体" w:cs="宋体"/>
          <w:sz w:val="24"/>
          <w:highlight w:val="none"/>
        </w:rPr>
        <w:t xml:space="preserve"> </w:t>
      </w:r>
      <w:r>
        <w:rPr>
          <w:rFonts w:hint="eastAsia" w:ascii="宋体" w:hAnsi="宋体" w:cs="宋体"/>
          <w:spacing w:val="-4"/>
          <w:sz w:val="24"/>
          <w:highlight w:val="none"/>
        </w:rPr>
        <w:t>止。</w:t>
      </w:r>
    </w:p>
    <w:p w14:paraId="4FFDCC51">
      <w:pPr>
        <w:pStyle w:val="32"/>
        <w:spacing w:line="360" w:lineRule="auto"/>
        <w:rPr>
          <w:rFonts w:cs="宋体"/>
          <w:highlight w:val="none"/>
        </w:rPr>
      </w:pPr>
    </w:p>
    <w:p w14:paraId="2FEBE33D">
      <w:pPr>
        <w:spacing w:before="104" w:line="360" w:lineRule="auto"/>
        <w:ind w:left="508"/>
        <w:rPr>
          <w:rFonts w:ascii="宋体" w:hAnsi="宋体" w:cs="宋体"/>
          <w:sz w:val="24"/>
          <w:highlight w:val="none"/>
        </w:rPr>
      </w:pPr>
      <w:r>
        <w:rPr>
          <w:rFonts w:hint="eastAsia" w:ascii="宋体" w:hAnsi="宋体" w:cs="宋体"/>
          <w:spacing w:val="-6"/>
          <w:sz w:val="24"/>
          <w:highlight w:val="none"/>
        </w:rPr>
        <w:t>甲方（盖章</w:t>
      </w:r>
      <w:r>
        <w:rPr>
          <w:rFonts w:hint="eastAsia" w:ascii="宋体" w:hAnsi="宋体" w:cs="宋体"/>
          <w:spacing w:val="-60"/>
          <w:sz w:val="24"/>
          <w:highlight w:val="none"/>
        </w:rPr>
        <w:t>）：</w:t>
      </w:r>
      <w:r>
        <w:rPr>
          <w:rFonts w:hint="eastAsia" w:ascii="宋体" w:hAnsi="宋体" w:cs="宋体"/>
          <w:spacing w:val="1"/>
          <w:sz w:val="24"/>
          <w:highlight w:val="none"/>
          <w:u w:val="single"/>
        </w:rPr>
        <w:t xml:space="preserve">          </w:t>
      </w:r>
      <w:r>
        <w:rPr>
          <w:rFonts w:hint="eastAsia" w:ascii="宋体" w:hAnsi="宋体" w:cs="宋体"/>
          <w:spacing w:val="2"/>
          <w:sz w:val="24"/>
          <w:highlight w:val="none"/>
        </w:rPr>
        <w:t xml:space="preserve">                      </w:t>
      </w:r>
      <w:r>
        <w:rPr>
          <w:rFonts w:hint="eastAsia" w:ascii="宋体" w:hAnsi="宋体" w:cs="宋体"/>
          <w:spacing w:val="1"/>
          <w:sz w:val="24"/>
          <w:highlight w:val="none"/>
        </w:rPr>
        <w:t xml:space="preserve">    </w:t>
      </w:r>
      <w:r>
        <w:rPr>
          <w:rFonts w:hint="eastAsia" w:ascii="宋体" w:hAnsi="宋体" w:cs="宋体"/>
          <w:spacing w:val="-6"/>
          <w:sz w:val="24"/>
          <w:highlight w:val="none"/>
        </w:rPr>
        <w:t>乙方（盖章</w:t>
      </w:r>
      <w:r>
        <w:rPr>
          <w:rFonts w:hint="eastAsia" w:ascii="宋体" w:hAnsi="宋体" w:cs="宋体"/>
          <w:spacing w:val="-60"/>
          <w:sz w:val="24"/>
          <w:highlight w:val="none"/>
        </w:rPr>
        <w:t>）：</w:t>
      </w:r>
      <w:r>
        <w:rPr>
          <w:rFonts w:hint="eastAsia" w:ascii="宋体" w:hAnsi="宋体" w:cs="宋体"/>
          <w:sz w:val="24"/>
          <w:highlight w:val="none"/>
          <w:u w:val="single"/>
        </w:rPr>
        <w:t xml:space="preserve">           </w:t>
      </w:r>
    </w:p>
    <w:p w14:paraId="72D9836D">
      <w:pPr>
        <w:pStyle w:val="32"/>
        <w:spacing w:line="360" w:lineRule="auto"/>
        <w:rPr>
          <w:rFonts w:cs="宋体"/>
          <w:highlight w:val="none"/>
        </w:rPr>
      </w:pPr>
    </w:p>
    <w:p w14:paraId="4C6AADCA">
      <w:pPr>
        <w:pStyle w:val="32"/>
        <w:spacing w:line="360" w:lineRule="auto"/>
        <w:rPr>
          <w:rFonts w:cs="宋体"/>
          <w:highlight w:val="none"/>
        </w:rPr>
      </w:pPr>
    </w:p>
    <w:p w14:paraId="2CB441F9">
      <w:pPr>
        <w:spacing w:before="103" w:line="360" w:lineRule="auto"/>
        <w:ind w:left="5173"/>
        <w:rPr>
          <w:rFonts w:ascii="宋体" w:hAnsi="宋体" w:cs="宋体"/>
          <w:sz w:val="24"/>
          <w:highlight w:val="none"/>
        </w:rPr>
      </w:pPr>
      <w:r>
        <w:rPr>
          <w:rFonts w:hint="eastAsia" w:ascii="宋体" w:hAnsi="宋体" w:cs="宋体"/>
          <w:spacing w:val="-13"/>
          <w:sz w:val="24"/>
          <w:highlight w:val="none"/>
        </w:rPr>
        <w:t>日期：</w:t>
      </w:r>
      <w:r>
        <w:rPr>
          <w:rFonts w:hint="eastAsia" w:ascii="宋体" w:hAnsi="宋体" w:cs="宋体"/>
          <w:spacing w:val="1"/>
          <w:sz w:val="24"/>
          <w:highlight w:val="none"/>
          <w:u w:val="single"/>
        </w:rPr>
        <w:t xml:space="preserve">     </w:t>
      </w:r>
      <w:r>
        <w:rPr>
          <w:rFonts w:hint="eastAsia" w:ascii="宋体" w:hAnsi="宋体" w:cs="宋体"/>
          <w:spacing w:val="-59"/>
          <w:sz w:val="24"/>
          <w:highlight w:val="none"/>
        </w:rPr>
        <w:t xml:space="preserve"> </w:t>
      </w:r>
      <w:r>
        <w:rPr>
          <w:rFonts w:hint="eastAsia" w:ascii="宋体" w:hAnsi="宋体" w:cs="宋体"/>
          <w:spacing w:val="-13"/>
          <w:sz w:val="24"/>
          <w:highlight w:val="none"/>
        </w:rPr>
        <w:t>年</w:t>
      </w:r>
      <w:r>
        <w:rPr>
          <w:rFonts w:hint="eastAsia" w:ascii="宋体" w:hAnsi="宋体" w:cs="宋体"/>
          <w:spacing w:val="1"/>
          <w:sz w:val="24"/>
          <w:highlight w:val="none"/>
          <w:u w:val="single"/>
        </w:rPr>
        <w:t xml:space="preserve">     </w:t>
      </w:r>
      <w:r>
        <w:rPr>
          <w:rFonts w:hint="eastAsia" w:ascii="宋体" w:hAnsi="宋体" w:cs="宋体"/>
          <w:spacing w:val="-13"/>
          <w:sz w:val="24"/>
          <w:highlight w:val="none"/>
        </w:rPr>
        <w:t>月</w:t>
      </w:r>
      <w:r>
        <w:rPr>
          <w:rFonts w:hint="eastAsia" w:ascii="宋体" w:hAnsi="宋体" w:cs="宋体"/>
          <w:spacing w:val="1"/>
          <w:sz w:val="24"/>
          <w:highlight w:val="none"/>
          <w:u w:val="single"/>
        </w:rPr>
        <w:t xml:space="preserve">      </w:t>
      </w:r>
      <w:r>
        <w:rPr>
          <w:rFonts w:hint="eastAsia" w:ascii="宋体" w:hAnsi="宋体" w:cs="宋体"/>
          <w:spacing w:val="-13"/>
          <w:sz w:val="24"/>
          <w:highlight w:val="none"/>
        </w:rPr>
        <w:t>日</w:t>
      </w:r>
    </w:p>
    <w:p w14:paraId="079DDC3E">
      <w:pPr>
        <w:pStyle w:val="32"/>
        <w:spacing w:line="360" w:lineRule="auto"/>
        <w:rPr>
          <w:rFonts w:cs="宋体"/>
          <w:highlight w:val="none"/>
        </w:rPr>
      </w:pPr>
    </w:p>
    <w:p w14:paraId="59C1C11C">
      <w:pPr>
        <w:pStyle w:val="32"/>
        <w:spacing w:line="360" w:lineRule="auto"/>
        <w:rPr>
          <w:rFonts w:cs="宋体"/>
          <w:highlight w:val="none"/>
        </w:rPr>
      </w:pPr>
    </w:p>
    <w:p w14:paraId="142C377F">
      <w:pPr>
        <w:spacing w:before="103" w:line="360" w:lineRule="auto"/>
        <w:ind w:left="15"/>
        <w:rPr>
          <w:rFonts w:ascii="宋体" w:hAnsi="宋体" w:cs="宋体"/>
          <w:sz w:val="24"/>
          <w:highlight w:val="none"/>
        </w:rPr>
      </w:pPr>
      <w:r>
        <w:rPr>
          <w:rFonts w:hint="eastAsia" w:ascii="宋体" w:hAnsi="宋体" w:cs="宋体"/>
          <w:spacing w:val="-6"/>
          <w:sz w:val="24"/>
          <w:highlight w:val="none"/>
        </w:rPr>
        <w:t>注：</w:t>
      </w:r>
    </w:p>
    <w:p w14:paraId="45C94790">
      <w:pPr>
        <w:pStyle w:val="32"/>
        <w:spacing w:before="176" w:line="360" w:lineRule="auto"/>
        <w:ind w:left="8" w:hanging="8"/>
        <w:rPr>
          <w:rFonts w:cs="宋体"/>
          <w:highlight w:val="none"/>
        </w:rPr>
      </w:pPr>
      <w:r>
        <w:rPr>
          <w:rFonts w:hint="eastAsia" w:cs="宋体"/>
          <w:spacing w:val="-7"/>
          <w:highlight w:val="none"/>
        </w:rPr>
        <w:t>（ 1</w:t>
      </w:r>
      <w:r>
        <w:rPr>
          <w:rFonts w:hint="eastAsia" w:cs="宋体"/>
          <w:spacing w:val="-6"/>
          <w:highlight w:val="none"/>
        </w:rPr>
        <w:t>）当供应商属于本部分说明中第（ 2</w:t>
      </w:r>
      <w:r>
        <w:rPr>
          <w:rFonts w:hint="eastAsia" w:cs="宋体"/>
          <w:spacing w:val="-22"/>
          <w:highlight w:val="none"/>
        </w:rPr>
        <w:t xml:space="preserve"> </w:t>
      </w:r>
      <w:r>
        <w:rPr>
          <w:rFonts w:hint="eastAsia" w:cs="宋体"/>
          <w:spacing w:val="-6"/>
          <w:highlight w:val="none"/>
        </w:rPr>
        <w:t>）类情形，必须提供，否则</w:t>
      </w:r>
      <w:r>
        <w:rPr>
          <w:rFonts w:hint="eastAsia" w:cs="宋体"/>
          <w:b/>
          <w:bCs/>
          <w:spacing w:val="-6"/>
          <w:highlight w:val="none"/>
        </w:rPr>
        <w:t>响应</w:t>
      </w:r>
      <w:r>
        <w:rPr>
          <w:rFonts w:hint="eastAsia" w:cs="宋体"/>
          <w:b/>
          <w:bCs/>
          <w:spacing w:val="-7"/>
          <w:highlight w:val="none"/>
        </w:rPr>
        <w:t>无效；</w:t>
      </w:r>
      <w:r>
        <w:rPr>
          <w:rFonts w:hint="eastAsia" w:cs="宋体"/>
          <w:spacing w:val="-7"/>
          <w:highlight w:val="none"/>
        </w:rPr>
        <w:t>其他情</w:t>
      </w:r>
      <w:r>
        <w:rPr>
          <w:rFonts w:hint="eastAsia" w:cs="宋体"/>
          <w:spacing w:val="-4"/>
          <w:highlight w:val="none"/>
        </w:rPr>
        <w:t>形</w:t>
      </w:r>
      <w:r>
        <w:rPr>
          <w:rFonts w:hint="eastAsia" w:cs="宋体"/>
          <w:highlight w:val="none"/>
        </w:rPr>
        <w:t xml:space="preserve"> </w:t>
      </w:r>
      <w:r>
        <w:rPr>
          <w:rFonts w:hint="eastAsia" w:cs="宋体"/>
          <w:spacing w:val="-1"/>
          <w:highlight w:val="none"/>
        </w:rPr>
        <w:t>无须提供；</w:t>
      </w:r>
    </w:p>
    <w:p w14:paraId="0F49174B">
      <w:pPr>
        <w:pStyle w:val="32"/>
        <w:spacing w:before="176" w:line="360" w:lineRule="auto"/>
        <w:ind w:left="8" w:right="2" w:hanging="9"/>
        <w:rPr>
          <w:rFonts w:cs="宋体"/>
          <w:highlight w:val="none"/>
        </w:rPr>
      </w:pPr>
      <w:r>
        <w:rPr>
          <w:rFonts w:hint="eastAsia" w:cs="宋体"/>
          <w:spacing w:val="-7"/>
          <w:highlight w:val="none"/>
        </w:rPr>
        <w:t>（ 2</w:t>
      </w:r>
      <w:r>
        <w:rPr>
          <w:rFonts w:hint="eastAsia" w:cs="宋体"/>
          <w:spacing w:val="-24"/>
          <w:highlight w:val="none"/>
        </w:rPr>
        <w:t xml:space="preserve"> </w:t>
      </w:r>
      <w:r>
        <w:rPr>
          <w:rFonts w:hint="eastAsia" w:cs="宋体"/>
          <w:spacing w:val="-7"/>
          <w:highlight w:val="none"/>
        </w:rPr>
        <w:t>）供应商须与所有拟分包单位分别签订《分包意向协议》，每单</w:t>
      </w:r>
      <w:r>
        <w:rPr>
          <w:rFonts w:hint="eastAsia" w:cs="宋体"/>
          <w:spacing w:val="-8"/>
          <w:highlight w:val="none"/>
        </w:rPr>
        <w:t>位签订一份，并在响</w:t>
      </w:r>
      <w:r>
        <w:rPr>
          <w:rFonts w:hint="eastAsia" w:cs="宋体"/>
          <w:highlight w:val="none"/>
        </w:rPr>
        <w:t xml:space="preserve"> </w:t>
      </w:r>
      <w:r>
        <w:rPr>
          <w:rFonts w:hint="eastAsia" w:cs="宋体"/>
          <w:spacing w:val="-2"/>
          <w:highlight w:val="none"/>
        </w:rPr>
        <w:t>应文件中提交全部协议原件，否则</w:t>
      </w:r>
      <w:r>
        <w:rPr>
          <w:rFonts w:hint="eastAsia" w:cs="宋体"/>
          <w:b/>
          <w:bCs/>
          <w:spacing w:val="-2"/>
          <w:highlight w:val="none"/>
        </w:rPr>
        <w:t>响应无效</w:t>
      </w:r>
      <w:r>
        <w:rPr>
          <w:rFonts w:hint="eastAsia" w:cs="宋体"/>
          <w:spacing w:val="-2"/>
          <w:highlight w:val="none"/>
        </w:rPr>
        <w:t>。</w:t>
      </w:r>
    </w:p>
    <w:p w14:paraId="53CD979D">
      <w:pPr>
        <w:spacing w:line="360" w:lineRule="auto"/>
        <w:rPr>
          <w:rFonts w:ascii="宋体" w:hAnsi="宋体" w:cs="宋体"/>
          <w:sz w:val="24"/>
          <w:highlight w:val="none"/>
        </w:rPr>
        <w:sectPr>
          <w:headerReference r:id="rId36" w:type="default"/>
          <w:footerReference r:id="rId37" w:type="default"/>
          <w:pgSz w:w="11907" w:h="16840"/>
          <w:pgMar w:top="1149" w:right="1128" w:bottom="1060" w:left="1696" w:header="875" w:footer="886" w:gutter="0"/>
          <w:cols w:space="720" w:num="1"/>
        </w:sectPr>
      </w:pPr>
    </w:p>
    <w:p w14:paraId="63639ED3">
      <w:pPr>
        <w:pStyle w:val="32"/>
        <w:spacing w:before="307" w:line="196" w:lineRule="auto"/>
        <w:ind w:left="18"/>
        <w:outlineLvl w:val="2"/>
        <w:rPr>
          <w:rFonts w:cs="宋体"/>
          <w:highlight w:val="none"/>
        </w:rPr>
      </w:pPr>
      <w:r>
        <w:rPr>
          <w:spacing w:val="1"/>
          <w:highlight w:val="none"/>
        </w:rPr>
        <w:t>2-2</w:t>
      </w:r>
      <w:r>
        <w:rPr>
          <w:spacing w:val="62"/>
          <w:highlight w:val="none"/>
        </w:rPr>
        <w:t xml:space="preserve"> </w:t>
      </w:r>
      <w:r>
        <w:rPr>
          <w:rFonts w:hint="eastAsia" w:cs="宋体"/>
          <w:spacing w:val="1"/>
          <w:highlight w:val="none"/>
        </w:rPr>
        <w:t>其它落实政府采购政策的资格要求（如有）</w:t>
      </w:r>
    </w:p>
    <w:p w14:paraId="541342BE">
      <w:pPr>
        <w:spacing w:line="196" w:lineRule="auto"/>
        <w:rPr>
          <w:rFonts w:ascii="微软雅黑" w:hAnsi="微软雅黑" w:eastAsia="微软雅黑" w:cs="微软雅黑"/>
          <w:sz w:val="24"/>
          <w:highlight w:val="none"/>
        </w:rPr>
        <w:sectPr>
          <w:headerReference r:id="rId38" w:type="default"/>
          <w:footerReference r:id="rId39" w:type="default"/>
          <w:pgSz w:w="11907" w:h="16840"/>
          <w:pgMar w:top="1149" w:right="1133" w:bottom="1057" w:left="1701" w:header="875" w:footer="886" w:gutter="0"/>
          <w:cols w:space="720" w:num="1"/>
        </w:sectPr>
      </w:pPr>
    </w:p>
    <w:p w14:paraId="1A743B77">
      <w:pPr>
        <w:spacing w:before="307" w:line="196" w:lineRule="auto"/>
        <w:ind w:left="18"/>
        <w:outlineLvl w:val="1"/>
        <w:rPr>
          <w:rFonts w:ascii="宋体" w:hAnsi="宋体" w:cs="宋体"/>
          <w:sz w:val="24"/>
          <w:highlight w:val="none"/>
        </w:rPr>
      </w:pPr>
      <w:r>
        <w:rPr>
          <w:rFonts w:eastAsia="Times New Roman"/>
          <w:spacing w:val="1"/>
          <w:sz w:val="24"/>
          <w:highlight w:val="none"/>
        </w:rPr>
        <w:t xml:space="preserve">3 </w:t>
      </w:r>
      <w:r>
        <w:rPr>
          <w:rFonts w:hint="eastAsia" w:ascii="宋体" w:hAnsi="宋体" w:cs="宋体"/>
          <w:spacing w:val="1"/>
          <w:sz w:val="24"/>
          <w:highlight w:val="none"/>
        </w:rPr>
        <w:t xml:space="preserve"> 本项目的特定资格要求（如有）</w:t>
      </w:r>
    </w:p>
    <w:p w14:paraId="3607E2F8">
      <w:pPr>
        <w:spacing w:before="184" w:line="196" w:lineRule="auto"/>
        <w:ind w:left="18"/>
        <w:outlineLvl w:val="2"/>
        <w:rPr>
          <w:rFonts w:ascii="宋体" w:hAnsi="宋体" w:cs="宋体"/>
          <w:sz w:val="24"/>
          <w:highlight w:val="none"/>
        </w:rPr>
      </w:pPr>
      <w:r>
        <w:rPr>
          <w:rFonts w:hint="eastAsia" w:ascii="宋体" w:hAnsi="宋体" w:cs="宋体"/>
          <w:spacing w:val="4"/>
          <w:sz w:val="24"/>
          <w:highlight w:val="none"/>
        </w:rPr>
        <w:t>3-1  联合协议（如有）</w:t>
      </w:r>
    </w:p>
    <w:p w14:paraId="0208F01C">
      <w:pPr>
        <w:pStyle w:val="56"/>
        <w:jc w:val="center"/>
        <w:rPr>
          <w:highlight w:val="none"/>
        </w:rPr>
      </w:pPr>
      <w:r>
        <w:rPr>
          <w:highlight w:val="none"/>
        </w:rPr>
        <w:t>联合协议</w:t>
      </w:r>
    </w:p>
    <w:p w14:paraId="10E69E4B">
      <w:pPr>
        <w:spacing w:line="360" w:lineRule="auto"/>
        <w:ind w:firstLine="828" w:firstLineChars="345"/>
        <w:rPr>
          <w:rFonts w:eastAsiaTheme="minorEastAsia"/>
          <w:bCs/>
          <w:color w:val="000000"/>
          <w:highlight w:val="none"/>
        </w:rPr>
      </w:pPr>
      <w:r>
        <w:rPr>
          <w:rFonts w:eastAsiaTheme="minorEastAsia"/>
          <w:sz w:val="24"/>
          <w:highlight w:val="none"/>
        </w:rPr>
        <w:t>______</w:t>
      </w:r>
      <w:r>
        <w:rPr>
          <w:rFonts w:eastAsiaTheme="minorEastAsia"/>
          <w:bCs/>
          <w:color w:val="000000"/>
          <w:sz w:val="24"/>
          <w:highlight w:val="none"/>
        </w:rPr>
        <w:t xml:space="preserve"> 、</w:t>
      </w:r>
      <w:r>
        <w:rPr>
          <w:rFonts w:eastAsiaTheme="minorEastAsia"/>
          <w:sz w:val="24"/>
          <w:highlight w:val="none"/>
        </w:rPr>
        <w:t>______</w:t>
      </w:r>
      <w:r>
        <w:rPr>
          <w:rFonts w:eastAsiaTheme="minorEastAsia"/>
          <w:bCs/>
          <w:color w:val="000000"/>
          <w:sz w:val="24"/>
          <w:highlight w:val="none"/>
        </w:rPr>
        <w:t>及</w:t>
      </w:r>
      <w:r>
        <w:rPr>
          <w:rFonts w:eastAsiaTheme="minorEastAsia"/>
          <w:sz w:val="24"/>
          <w:highlight w:val="none"/>
        </w:rPr>
        <w:t>______</w:t>
      </w:r>
      <w:r>
        <w:rPr>
          <w:rFonts w:eastAsiaTheme="minorEastAsia"/>
          <w:bCs/>
          <w:color w:val="000000"/>
          <w:sz w:val="24"/>
          <w:highlight w:val="none"/>
        </w:rPr>
        <w:t>就“</w:t>
      </w:r>
      <w:r>
        <w:rPr>
          <w:rFonts w:eastAsiaTheme="minorEastAsia"/>
          <w:sz w:val="24"/>
          <w:highlight w:val="none"/>
        </w:rPr>
        <w:t>______</w:t>
      </w:r>
      <w:r>
        <w:rPr>
          <w:rFonts w:eastAsiaTheme="minorEastAsia"/>
          <w:bCs/>
          <w:color w:val="000000"/>
          <w:sz w:val="24"/>
          <w:highlight w:val="none"/>
        </w:rPr>
        <w:t>（项目名称）</w:t>
      </w:r>
      <w:r>
        <w:rPr>
          <w:rFonts w:eastAsiaTheme="minorEastAsia"/>
          <w:color w:val="000000"/>
          <w:sz w:val="24"/>
          <w:highlight w:val="none"/>
        </w:rPr>
        <w:t>”</w:t>
      </w:r>
      <w:r>
        <w:rPr>
          <w:rFonts w:eastAsiaTheme="minorEastAsia"/>
          <w:sz w:val="24"/>
          <w:highlight w:val="none"/>
        </w:rPr>
        <w:t xml:space="preserve"> ______</w:t>
      </w:r>
      <w:r>
        <w:rPr>
          <w:rFonts w:eastAsiaTheme="minorEastAsia"/>
          <w:color w:val="000000"/>
          <w:sz w:val="24"/>
          <w:highlight w:val="none"/>
        </w:rPr>
        <w:t>包</w:t>
      </w:r>
      <w:r>
        <w:rPr>
          <w:rFonts w:eastAsiaTheme="minorEastAsia"/>
          <w:bCs/>
          <w:color w:val="000000"/>
          <w:sz w:val="24"/>
          <w:highlight w:val="none"/>
        </w:rPr>
        <w:t>采购项目的磋商事宜，经各方充分协商一致，达成如下协议：</w:t>
      </w:r>
    </w:p>
    <w:p w14:paraId="733209C2">
      <w:pPr>
        <w:numPr>
          <w:ilvl w:val="0"/>
          <w:numId w:val="28"/>
        </w:numPr>
        <w:spacing w:line="360" w:lineRule="auto"/>
        <w:rPr>
          <w:rFonts w:eastAsiaTheme="minorEastAsia"/>
          <w:bCs/>
          <w:color w:val="000000"/>
          <w:sz w:val="24"/>
          <w:highlight w:val="none"/>
        </w:rPr>
      </w:pPr>
      <w:r>
        <w:rPr>
          <w:rFonts w:eastAsiaTheme="minorEastAsia"/>
          <w:bCs/>
          <w:color w:val="000000"/>
          <w:sz w:val="24"/>
          <w:highlight w:val="none"/>
        </w:rPr>
        <w:t>由</w:t>
      </w:r>
      <w:r>
        <w:rPr>
          <w:rFonts w:eastAsiaTheme="minorEastAsia"/>
          <w:sz w:val="24"/>
          <w:highlight w:val="none"/>
        </w:rPr>
        <w:t>____</w:t>
      </w:r>
      <w:r>
        <w:rPr>
          <w:bCs/>
          <w:color w:val="000000"/>
          <w:sz w:val="24"/>
          <w:highlight w:val="none"/>
        </w:rPr>
        <w:t>__</w:t>
      </w:r>
      <w:r>
        <w:rPr>
          <w:rFonts w:eastAsiaTheme="minorEastAsia"/>
          <w:sz w:val="24"/>
          <w:highlight w:val="none"/>
        </w:rPr>
        <w:t>__</w:t>
      </w:r>
      <w:r>
        <w:rPr>
          <w:rFonts w:eastAsiaTheme="minorEastAsia"/>
          <w:bCs/>
          <w:color w:val="000000"/>
          <w:sz w:val="24"/>
          <w:highlight w:val="none"/>
        </w:rPr>
        <w:t>牵头，</w:t>
      </w:r>
      <w:r>
        <w:rPr>
          <w:rFonts w:eastAsiaTheme="minorEastAsia"/>
          <w:sz w:val="24"/>
          <w:highlight w:val="none"/>
        </w:rPr>
        <w:t>___</w:t>
      </w:r>
      <w:r>
        <w:rPr>
          <w:bCs/>
          <w:color w:val="000000"/>
          <w:sz w:val="24"/>
          <w:highlight w:val="none"/>
        </w:rPr>
        <w:t>__</w:t>
      </w:r>
      <w:r>
        <w:rPr>
          <w:rFonts w:eastAsiaTheme="minorEastAsia"/>
          <w:sz w:val="24"/>
          <w:highlight w:val="none"/>
        </w:rPr>
        <w:t>___</w:t>
      </w:r>
      <w:r>
        <w:rPr>
          <w:rFonts w:eastAsiaTheme="minorEastAsia"/>
          <w:bCs/>
          <w:color w:val="000000"/>
          <w:sz w:val="24"/>
          <w:highlight w:val="none"/>
        </w:rPr>
        <w:t>、</w:t>
      </w:r>
      <w:r>
        <w:rPr>
          <w:rFonts w:eastAsiaTheme="minorEastAsia"/>
          <w:sz w:val="24"/>
          <w:highlight w:val="none"/>
        </w:rPr>
        <w:t>___</w:t>
      </w:r>
      <w:r>
        <w:rPr>
          <w:bCs/>
          <w:color w:val="000000"/>
          <w:sz w:val="24"/>
          <w:highlight w:val="none"/>
        </w:rPr>
        <w:t>__</w:t>
      </w:r>
      <w:r>
        <w:rPr>
          <w:rFonts w:eastAsiaTheme="minorEastAsia"/>
          <w:sz w:val="24"/>
          <w:highlight w:val="none"/>
        </w:rPr>
        <w:t>___</w:t>
      </w:r>
      <w:r>
        <w:rPr>
          <w:rFonts w:eastAsiaTheme="minorEastAsia"/>
          <w:bCs/>
          <w:color w:val="000000"/>
          <w:sz w:val="24"/>
          <w:highlight w:val="none"/>
        </w:rPr>
        <w:t>参加，组成联合体共同进行采购项目的磋商工作。</w:t>
      </w:r>
    </w:p>
    <w:p w14:paraId="6A9BA441">
      <w:pPr>
        <w:numPr>
          <w:ilvl w:val="0"/>
          <w:numId w:val="28"/>
        </w:numPr>
        <w:spacing w:line="360" w:lineRule="auto"/>
        <w:rPr>
          <w:rFonts w:eastAsiaTheme="minorEastAsia"/>
          <w:bCs/>
          <w:color w:val="000000"/>
          <w:sz w:val="24"/>
          <w:highlight w:val="none"/>
        </w:rPr>
      </w:pPr>
      <w:r>
        <w:rPr>
          <w:rFonts w:eastAsiaTheme="minorEastAsia"/>
          <w:bCs/>
          <w:color w:val="000000"/>
          <w:sz w:val="24"/>
          <w:highlight w:val="none"/>
        </w:rPr>
        <w:t>联合体成交后，联合体各方共同与采购人签订合同，就</w:t>
      </w:r>
      <w:r>
        <w:rPr>
          <w:rFonts w:eastAsiaTheme="minorEastAsia"/>
          <w:color w:val="000000"/>
          <w:sz w:val="24"/>
          <w:szCs w:val="20"/>
          <w:highlight w:val="none"/>
        </w:rPr>
        <w:t>采购合同约定的事项</w:t>
      </w:r>
      <w:r>
        <w:rPr>
          <w:rFonts w:eastAsiaTheme="minorEastAsia"/>
          <w:bCs/>
          <w:color w:val="000000"/>
          <w:sz w:val="24"/>
          <w:highlight w:val="none"/>
        </w:rPr>
        <w:t>对采购人承担连带责任。</w:t>
      </w:r>
    </w:p>
    <w:p w14:paraId="7A21BD67">
      <w:pPr>
        <w:numPr>
          <w:ilvl w:val="0"/>
          <w:numId w:val="28"/>
        </w:numPr>
        <w:spacing w:line="360" w:lineRule="auto"/>
        <w:rPr>
          <w:rFonts w:eastAsiaTheme="minorEastAsia"/>
          <w:bCs/>
          <w:color w:val="000000"/>
          <w:sz w:val="24"/>
          <w:highlight w:val="none"/>
        </w:rPr>
      </w:pPr>
      <w:r>
        <w:rPr>
          <w:rFonts w:eastAsiaTheme="minorEastAsia"/>
          <w:bCs/>
          <w:color w:val="000000"/>
          <w:sz w:val="24"/>
          <w:highlight w:val="none"/>
        </w:rPr>
        <w:t>联合体各方均同意由牵头人代表其他联合体成员单位按竞争性磋商文件要求出具《授权委托书》。</w:t>
      </w:r>
    </w:p>
    <w:p w14:paraId="5CFF7607">
      <w:pPr>
        <w:numPr>
          <w:ilvl w:val="0"/>
          <w:numId w:val="28"/>
        </w:numPr>
        <w:spacing w:line="360" w:lineRule="auto"/>
        <w:rPr>
          <w:rFonts w:eastAsiaTheme="minorEastAsia"/>
          <w:bCs/>
          <w:color w:val="000000"/>
          <w:sz w:val="24"/>
          <w:highlight w:val="none"/>
        </w:rPr>
      </w:pPr>
      <w:r>
        <w:rPr>
          <w:rFonts w:eastAsiaTheme="minorEastAsia"/>
          <w:bCs/>
          <w:color w:val="000000"/>
          <w:sz w:val="24"/>
          <w:highlight w:val="none"/>
        </w:rPr>
        <w:t>牵头人为项目的总负责单位；组织各参加方进行项目实施工作。</w:t>
      </w:r>
    </w:p>
    <w:p w14:paraId="575756FF">
      <w:pPr>
        <w:numPr>
          <w:ilvl w:val="0"/>
          <w:numId w:val="28"/>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，具体工作范围、内容以响应文件及合同为准。</w:t>
      </w:r>
    </w:p>
    <w:p w14:paraId="4332CB50">
      <w:pPr>
        <w:numPr>
          <w:ilvl w:val="0"/>
          <w:numId w:val="28"/>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，具体工作范围、内容以响应文件及合同为准。</w:t>
      </w:r>
    </w:p>
    <w:p w14:paraId="7CDB5062">
      <w:pPr>
        <w:numPr>
          <w:ilvl w:val="0"/>
          <w:numId w:val="28"/>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（如有），具体工作范围、内容以响应文件及合同为准。</w:t>
      </w:r>
    </w:p>
    <w:p w14:paraId="58075ACF">
      <w:pPr>
        <w:numPr>
          <w:ilvl w:val="0"/>
          <w:numId w:val="28"/>
        </w:numPr>
        <w:spacing w:line="360" w:lineRule="auto"/>
        <w:rPr>
          <w:rFonts w:eastAsiaTheme="minorEastAsia"/>
          <w:sz w:val="24"/>
          <w:highlight w:val="none"/>
        </w:rPr>
      </w:pPr>
      <w:r>
        <w:rPr>
          <w:rFonts w:eastAsiaTheme="minorEastAsia"/>
          <w:sz w:val="24"/>
          <w:highlight w:val="none"/>
        </w:rPr>
        <w:t>本项目联合协议合同总额为______元，联合体各成员按照如下比例分摊（按联合体成员分别列明）：</w:t>
      </w:r>
    </w:p>
    <w:p w14:paraId="741FEC68">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（1）</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26A8A89F">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（2）</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2B8C6D9D">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76B77693">
      <w:pPr>
        <w:numPr>
          <w:ilvl w:val="0"/>
          <w:numId w:val="28"/>
        </w:numPr>
        <w:tabs>
          <w:tab w:val="left" w:pos="993"/>
        </w:tabs>
        <w:spacing w:line="360" w:lineRule="auto"/>
        <w:rPr>
          <w:rFonts w:eastAsiaTheme="minorEastAsia"/>
          <w:bCs/>
          <w:color w:val="000000"/>
          <w:sz w:val="24"/>
          <w:highlight w:val="none"/>
        </w:rPr>
      </w:pPr>
      <w:r>
        <w:rPr>
          <w:rFonts w:eastAsiaTheme="minorEastAsia"/>
          <w:color w:val="000000"/>
          <w:sz w:val="24"/>
          <w:szCs w:val="20"/>
          <w:highlight w:val="none"/>
        </w:rPr>
        <w:t>以联合体形式参加政府采购活动的，联合体各方不得再单独参加或者与其他供应商另外组成联合体参加同一合同项下的政府采购活动。</w:t>
      </w:r>
    </w:p>
    <w:p w14:paraId="7E2A2F3E">
      <w:pPr>
        <w:numPr>
          <w:ilvl w:val="0"/>
          <w:numId w:val="28"/>
        </w:numPr>
        <w:spacing w:line="360" w:lineRule="auto"/>
        <w:rPr>
          <w:rFonts w:eastAsiaTheme="minorEastAsia"/>
          <w:bCs/>
          <w:color w:val="000000"/>
          <w:sz w:val="24"/>
          <w:highlight w:val="none"/>
        </w:rPr>
      </w:pPr>
      <w:r>
        <w:rPr>
          <w:rFonts w:eastAsiaTheme="minorEastAsia"/>
          <w:bCs/>
          <w:color w:val="000000"/>
          <w:sz w:val="24"/>
          <w:highlight w:val="none"/>
        </w:rPr>
        <w:t>其他约定（如有）：</w:t>
      </w:r>
      <w:r>
        <w:rPr>
          <w:rFonts w:eastAsiaTheme="minorEastAsia"/>
          <w:sz w:val="24"/>
          <w:highlight w:val="none"/>
        </w:rPr>
        <w:t>______。</w:t>
      </w:r>
    </w:p>
    <w:p w14:paraId="261F2FE4">
      <w:pPr>
        <w:tabs>
          <w:tab w:val="left" w:pos="780"/>
        </w:tabs>
        <w:spacing w:line="360" w:lineRule="auto"/>
        <w:ind w:left="180" w:firstLine="480" w:firstLineChars="200"/>
        <w:rPr>
          <w:color w:val="000000"/>
          <w:sz w:val="24"/>
          <w:highlight w:val="none"/>
        </w:rPr>
      </w:pPr>
      <w:r>
        <w:rPr>
          <w:rFonts w:eastAsiaTheme="minorEastAsia"/>
          <w:bCs/>
          <w:color w:val="000000"/>
          <w:sz w:val="24"/>
          <w:highlight w:val="none"/>
        </w:rPr>
        <w:t>本协议自各方盖章后生效，采购合同履行完毕后自动失效。如未成交，本协议自动终止。</w:t>
      </w:r>
      <w:r>
        <w:rPr>
          <w:rFonts w:eastAsiaTheme="minorEastAsia"/>
          <w:color w:val="000000"/>
          <w:sz w:val="24"/>
          <w:highlight w:val="none"/>
        </w:rPr>
        <w:br w:type="page"/>
      </w:r>
    </w:p>
    <w:p w14:paraId="34C8D3A6">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1251A0A7">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65DE4023">
      <w:pPr>
        <w:spacing w:line="360" w:lineRule="auto"/>
        <w:ind w:firstLine="471"/>
        <w:rPr>
          <w:color w:val="000000"/>
          <w:sz w:val="24"/>
          <w:highlight w:val="none"/>
        </w:rPr>
      </w:pPr>
    </w:p>
    <w:p w14:paraId="2ED91B22">
      <w:pPr>
        <w:spacing w:line="360" w:lineRule="auto"/>
        <w:ind w:firstLine="471"/>
        <w:rPr>
          <w:color w:val="000000"/>
          <w:sz w:val="24"/>
          <w:highlight w:val="none"/>
        </w:rPr>
      </w:pPr>
    </w:p>
    <w:p w14:paraId="579C72A1">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12DF974C">
      <w:pPr>
        <w:widowControl/>
        <w:ind w:firstLine="480" w:firstLineChars="200"/>
        <w:jc w:val="left"/>
        <w:rPr>
          <w:rFonts w:eastAsiaTheme="minorEastAsia"/>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r>
        <w:rPr>
          <w:rFonts w:eastAsiaTheme="minorEastAsia"/>
          <w:color w:val="000000"/>
          <w:sz w:val="24"/>
          <w:highlight w:val="none"/>
        </w:rPr>
        <w:t xml:space="preserve"> </w:t>
      </w:r>
    </w:p>
    <w:p w14:paraId="7F4A7C42">
      <w:pPr>
        <w:spacing w:line="360" w:lineRule="auto"/>
        <w:ind w:left="480"/>
        <w:jc w:val="right"/>
        <w:rPr>
          <w:rFonts w:eastAsiaTheme="minorEastAsia"/>
          <w:color w:val="000000"/>
          <w:sz w:val="24"/>
          <w:highlight w:val="none"/>
        </w:rPr>
      </w:pPr>
    </w:p>
    <w:p w14:paraId="1BC52848">
      <w:pPr>
        <w:spacing w:line="360" w:lineRule="auto"/>
        <w:ind w:left="480"/>
        <w:jc w:val="right"/>
        <w:rPr>
          <w:rFonts w:eastAsiaTheme="minorEastAsia"/>
          <w:color w:val="000000"/>
          <w:sz w:val="24"/>
          <w:highlight w:val="none"/>
        </w:rPr>
      </w:pPr>
      <w:r>
        <w:rPr>
          <w:rFonts w:eastAsiaTheme="minorEastAsia"/>
          <w:color w:val="000000"/>
          <w:sz w:val="24"/>
          <w:szCs w:val="20"/>
          <w:highlight w:val="none"/>
        </w:rPr>
        <w:t>日期：</w:t>
      </w:r>
      <w:r>
        <w:rPr>
          <w:rFonts w:eastAsiaTheme="minorEastAsia"/>
          <w:sz w:val="24"/>
          <w:highlight w:val="none"/>
        </w:rPr>
        <w:t>______</w:t>
      </w:r>
      <w:r>
        <w:rPr>
          <w:rFonts w:eastAsiaTheme="minorEastAsia"/>
          <w:color w:val="000000"/>
          <w:sz w:val="24"/>
          <w:szCs w:val="20"/>
          <w:highlight w:val="none"/>
        </w:rPr>
        <w:t>年</w:t>
      </w:r>
      <w:r>
        <w:rPr>
          <w:rFonts w:eastAsiaTheme="minorEastAsia"/>
          <w:sz w:val="24"/>
          <w:highlight w:val="none"/>
        </w:rPr>
        <w:t>______</w:t>
      </w:r>
      <w:r>
        <w:rPr>
          <w:rFonts w:eastAsiaTheme="minorEastAsia"/>
          <w:color w:val="000000"/>
          <w:sz w:val="24"/>
          <w:szCs w:val="20"/>
          <w:highlight w:val="none"/>
        </w:rPr>
        <w:t>月</w:t>
      </w:r>
      <w:r>
        <w:rPr>
          <w:rFonts w:eastAsiaTheme="minorEastAsia"/>
          <w:sz w:val="24"/>
          <w:highlight w:val="none"/>
        </w:rPr>
        <w:t>______</w:t>
      </w:r>
      <w:r>
        <w:rPr>
          <w:rFonts w:eastAsiaTheme="minorEastAsia"/>
          <w:color w:val="000000"/>
          <w:sz w:val="24"/>
          <w:szCs w:val="20"/>
          <w:highlight w:val="none"/>
        </w:rPr>
        <w:t>日</w:t>
      </w:r>
    </w:p>
    <w:p w14:paraId="794878A9">
      <w:pPr>
        <w:spacing w:line="360" w:lineRule="auto"/>
        <w:ind w:left="480"/>
        <w:jc w:val="right"/>
        <w:rPr>
          <w:rFonts w:ascii="宋体" w:hAnsi="宋体" w:cs="宋体"/>
          <w:color w:val="000000"/>
          <w:sz w:val="24"/>
          <w:highlight w:val="none"/>
        </w:rPr>
      </w:pPr>
    </w:p>
    <w:p w14:paraId="77CDDB48">
      <w:pPr>
        <w:spacing w:line="360" w:lineRule="auto"/>
        <w:ind w:left="480"/>
        <w:jc w:val="right"/>
        <w:rPr>
          <w:rFonts w:ascii="宋体" w:hAnsi="宋体" w:cs="宋体"/>
          <w:b/>
          <w:color w:val="000000"/>
          <w:sz w:val="24"/>
          <w:highlight w:val="none"/>
        </w:rPr>
      </w:pPr>
    </w:p>
    <w:p w14:paraId="57E31ED3">
      <w:pPr>
        <w:tabs>
          <w:tab w:val="left" w:pos="8280"/>
        </w:tabs>
        <w:spacing w:line="360" w:lineRule="auto"/>
        <w:ind w:firstLine="480"/>
        <w:rPr>
          <w:rFonts w:ascii="宋体" w:hAnsi="宋体" w:cs="宋体"/>
          <w:color w:val="000000"/>
          <w:sz w:val="24"/>
          <w:highlight w:val="none"/>
        </w:rPr>
      </w:pPr>
    </w:p>
    <w:p w14:paraId="0D8A970D">
      <w:pPr>
        <w:pStyle w:val="56"/>
        <w:rPr>
          <w:rFonts w:cs="宋体"/>
          <w:color w:val="000000"/>
          <w:highlight w:val="none"/>
        </w:rPr>
      </w:pPr>
    </w:p>
    <w:p w14:paraId="6E1FAF8B">
      <w:pPr>
        <w:rPr>
          <w:highlight w:val="none"/>
        </w:rPr>
      </w:pPr>
    </w:p>
    <w:p w14:paraId="5ADF3AF0">
      <w:pPr>
        <w:tabs>
          <w:tab w:val="left" w:pos="8280"/>
        </w:tabs>
        <w:spacing w:line="360" w:lineRule="auto"/>
        <w:ind w:firstLine="480"/>
        <w:rPr>
          <w:rFonts w:ascii="宋体" w:hAnsi="宋体" w:cs="宋体"/>
          <w:color w:val="000000"/>
          <w:sz w:val="24"/>
          <w:highlight w:val="none"/>
        </w:rPr>
      </w:pPr>
    </w:p>
    <w:p w14:paraId="3D552919">
      <w:pPr>
        <w:pStyle w:val="32"/>
        <w:rPr>
          <w:color w:val="000000"/>
          <w:highlight w:val="none"/>
        </w:rPr>
      </w:pPr>
      <w:r>
        <w:rPr>
          <w:rFonts w:hint="eastAsia"/>
          <w:color w:val="000000"/>
          <w:highlight w:val="none"/>
        </w:rPr>
        <w:t>注：</w:t>
      </w:r>
      <w:r>
        <w:rPr>
          <w:rFonts w:cs="Bookman Old Style"/>
          <w:color w:val="000000"/>
          <w:highlight w:val="none"/>
        </w:rPr>
        <w:t>1.</w:t>
      </w:r>
      <w:r>
        <w:rPr>
          <w:rFonts w:cs="Bookman Old Style"/>
          <w:color w:val="000000"/>
          <w:spacing w:val="29"/>
          <w:highlight w:val="none"/>
        </w:rPr>
        <w:t xml:space="preserve"> </w:t>
      </w:r>
      <w:r>
        <w:rPr>
          <w:color w:val="000000"/>
          <w:highlight w:val="none"/>
        </w:rPr>
        <w:t>如本项目（包）接受供应商以联合体形式参加采购活动，且供应商以联合体形</w:t>
      </w:r>
      <w:r>
        <w:rPr>
          <w:color w:val="000000"/>
          <w:spacing w:val="-111"/>
          <w:highlight w:val="none"/>
        </w:rPr>
        <w:t xml:space="preserve"> </w:t>
      </w:r>
      <w:r>
        <w:rPr>
          <w:color w:val="000000"/>
          <w:spacing w:val="-6"/>
          <w:highlight w:val="none"/>
        </w:rPr>
        <w:t>式参与时，须提供《联合协议》，否则响应无效。</w:t>
      </w:r>
    </w:p>
    <w:p w14:paraId="2CE5550B">
      <w:pPr>
        <w:pStyle w:val="32"/>
        <w:ind w:firstLine="480" w:firstLineChars="200"/>
        <w:rPr>
          <w:color w:val="000000"/>
          <w:highlight w:val="none"/>
        </w:rPr>
      </w:pPr>
      <w:r>
        <w:rPr>
          <w:rFonts w:cs="Bookman Old Style"/>
          <w:color w:val="000000"/>
          <w:highlight w:val="none"/>
        </w:rPr>
        <w:t>2.</w:t>
      </w:r>
      <w:r>
        <w:rPr>
          <w:rFonts w:cs="Bookman Old Style"/>
          <w:color w:val="000000"/>
          <w:spacing w:val="44"/>
          <w:highlight w:val="none"/>
        </w:rPr>
        <w:t xml:space="preserve"> </w:t>
      </w:r>
      <w:r>
        <w:rPr>
          <w:color w:val="000000"/>
          <w:highlight w:val="none"/>
        </w:rPr>
        <w:t>联合体各方成员需在本协议上共同盖章。</w:t>
      </w:r>
    </w:p>
    <w:p w14:paraId="3ED4CE35">
      <w:pPr>
        <w:spacing w:line="360" w:lineRule="auto"/>
        <w:ind w:left="719" w:leftChars="228" w:hanging="240" w:hangingChars="100"/>
        <w:rPr>
          <w:rFonts w:ascii="宋体" w:hAnsi="宋体" w:cs="宋体"/>
          <w:color w:val="000000"/>
          <w:sz w:val="24"/>
          <w:highlight w:val="none"/>
        </w:rPr>
        <w:sectPr>
          <w:footerReference r:id="rId40" w:type="default"/>
          <w:pgSz w:w="11907" w:h="16840"/>
          <w:pgMar w:top="1149" w:right="1133" w:bottom="1057" w:left="1701" w:header="875" w:footer="886" w:gutter="0"/>
          <w:cols w:space="720" w:num="1"/>
        </w:sectPr>
      </w:pPr>
    </w:p>
    <w:p w14:paraId="480753D0">
      <w:pPr>
        <w:pStyle w:val="32"/>
        <w:spacing w:before="307" w:line="201" w:lineRule="auto"/>
        <w:ind w:left="18"/>
        <w:outlineLvl w:val="2"/>
        <w:rPr>
          <w:rFonts w:cs="微软雅黑"/>
          <w:highlight w:val="none"/>
        </w:rPr>
      </w:pPr>
      <w:r>
        <w:rPr>
          <w:spacing w:val="1"/>
          <w:highlight w:val="none"/>
        </w:rPr>
        <w:t>3-2</w:t>
      </w:r>
      <w:r>
        <w:rPr>
          <w:spacing w:val="67"/>
          <w:highlight w:val="none"/>
        </w:rPr>
        <w:t xml:space="preserve"> </w:t>
      </w:r>
      <w:r>
        <w:rPr>
          <w:rFonts w:cs="微软雅黑"/>
          <w:spacing w:val="1"/>
          <w:highlight w:val="none"/>
        </w:rPr>
        <w:t>其他特定资格要求</w:t>
      </w:r>
    </w:p>
    <w:p w14:paraId="4A59A823">
      <w:pPr>
        <w:spacing w:line="201" w:lineRule="auto"/>
        <w:rPr>
          <w:rFonts w:ascii="微软雅黑" w:hAnsi="微软雅黑" w:eastAsia="微软雅黑" w:cs="微软雅黑"/>
          <w:sz w:val="24"/>
          <w:highlight w:val="none"/>
        </w:rPr>
      </w:pPr>
    </w:p>
    <w:p w14:paraId="0D6E7E57">
      <w:pPr>
        <w:pStyle w:val="82"/>
        <w:tabs>
          <w:tab w:val="left" w:pos="5580"/>
        </w:tabs>
        <w:snapToGrid w:val="0"/>
        <w:spacing w:after="0" w:line="360" w:lineRule="auto"/>
        <w:ind w:left="0" w:leftChars="0" w:firstLine="480"/>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3.2.1供应商须具有建设行政主管部门颁发的建筑工程施工总承包三级及以上资质，并具备有效的《安全生产许可证》；（提供证明材料加盖单位公章）</w:t>
      </w:r>
    </w:p>
    <w:p w14:paraId="6131ED3C">
      <w:pPr>
        <w:spacing w:line="360" w:lineRule="auto"/>
        <w:ind w:left="210" w:leftChars="100" w:firstLine="225" w:firstLineChars="94"/>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3.2.2项目经理须具有建筑工程专业二级及以上注册建造师执业资格，具备有效的安全生产考核合格证书（B本），且未在其他工程项目中担任项目负责人；（提供证明材及承诺书加盖单位公章）</w:t>
      </w:r>
    </w:p>
    <w:p w14:paraId="0755E254">
      <w:pPr>
        <w:shd w:val="clear" w:color="auto" w:fill="FFFFFF"/>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3.2.3在“信用中国”网站（www.creditchina.gov.cn）中被列入失信被执行人、重大税收违法案件当事人名单、政府采购严重违法失信行为记录名单的被执行人，在“中国政府采购网” 网站（www.ccgp.gov.cn）被列为失信供应商，不得参与本项目投标；</w:t>
      </w:r>
      <w:r>
        <w:rPr>
          <w:rFonts w:hint="eastAsia" w:asciiTheme="minorEastAsia" w:hAnsiTheme="minorEastAsia" w:eastAsiaTheme="minorEastAsia" w:cstheme="minorEastAsia"/>
          <w:color w:val="000000"/>
          <w:sz w:val="24"/>
          <w:highlight w:val="none"/>
        </w:rPr>
        <w:t>（提供证明材料加盖单位公章）</w:t>
      </w:r>
    </w:p>
    <w:p w14:paraId="03ED3B0F">
      <w:pPr>
        <w:spacing w:line="360" w:lineRule="auto"/>
        <w:ind w:left="210" w:leftChars="100" w:firstLine="225" w:firstLineChars="94"/>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3.2.4供应商经营状态：在近三年（2022年</w:t>
      </w:r>
      <w:r>
        <w:rPr>
          <w:rFonts w:asciiTheme="minorEastAsia" w:hAnsiTheme="minorEastAsia" w:eastAsiaTheme="minorEastAsia" w:cstheme="minorEastAsia"/>
          <w:sz w:val="24"/>
          <w:highlight w:val="none"/>
        </w:rPr>
        <w:t>5</w:t>
      </w:r>
      <w:r>
        <w:rPr>
          <w:rFonts w:hint="eastAsia" w:asciiTheme="minorEastAsia" w:hAnsiTheme="minorEastAsia" w:eastAsiaTheme="minorEastAsia" w:cstheme="minorEastAsia"/>
          <w:sz w:val="24"/>
          <w:highlight w:val="none"/>
        </w:rPr>
        <w:t>月1日至响应文件提交截止时间前）没有骗取中标和严重违约，没有处于被责令停业，投标资格被取消，财产被接管、冻结，破产状态；</w:t>
      </w:r>
      <w:r>
        <w:rPr>
          <w:rFonts w:hint="eastAsia" w:asciiTheme="minorEastAsia" w:hAnsiTheme="minorEastAsia" w:eastAsiaTheme="minorEastAsia" w:cstheme="minorEastAsia"/>
          <w:color w:val="000000"/>
          <w:sz w:val="24"/>
          <w:highlight w:val="none"/>
        </w:rPr>
        <w:t>（提供承诺书加盖单位公章）</w:t>
      </w:r>
    </w:p>
    <w:p w14:paraId="65C986D3">
      <w:pPr>
        <w:spacing w:line="360" w:lineRule="auto"/>
        <w:ind w:left="210" w:leftChars="100" w:firstLine="225" w:firstLineChars="94"/>
        <w:rPr>
          <w:highlight w:val="none"/>
        </w:rPr>
        <w:sectPr>
          <w:pgSz w:w="11907" w:h="16840"/>
          <w:pgMar w:top="1149" w:right="1133" w:bottom="1057" w:left="1701" w:header="875" w:footer="886" w:gutter="0"/>
          <w:cols w:space="720" w:num="1"/>
        </w:sectPr>
      </w:pPr>
      <w:r>
        <w:rPr>
          <w:rFonts w:hint="eastAsia" w:asciiTheme="minorEastAsia" w:hAnsiTheme="minorEastAsia" w:eastAsiaTheme="minorEastAsia" w:cstheme="minorEastAsia"/>
          <w:sz w:val="24"/>
          <w:highlight w:val="none"/>
        </w:rPr>
        <w:t>3.2.5单位负责人为同一人或者存在直接控股、管理关系的不同供应商，不得同时参加本项目；</w:t>
      </w:r>
      <w:r>
        <w:rPr>
          <w:rFonts w:hint="eastAsia" w:asciiTheme="minorEastAsia" w:hAnsiTheme="minorEastAsia" w:eastAsiaTheme="minorEastAsia" w:cstheme="minorEastAsia"/>
          <w:color w:val="000000"/>
          <w:sz w:val="24"/>
          <w:highlight w:val="none"/>
        </w:rPr>
        <w:t>（提供承诺书加盖单位公章）</w:t>
      </w:r>
    </w:p>
    <w:p w14:paraId="349AB8CA">
      <w:pPr>
        <w:pStyle w:val="32"/>
        <w:spacing w:before="307" w:line="201" w:lineRule="auto"/>
        <w:ind w:left="12"/>
        <w:outlineLvl w:val="1"/>
        <w:rPr>
          <w:rFonts w:cs="宋体"/>
          <w:highlight w:val="none"/>
        </w:rPr>
      </w:pPr>
      <w:r>
        <w:rPr>
          <w:spacing w:val="1"/>
          <w:highlight w:val="none"/>
        </w:rPr>
        <w:t>4</w:t>
      </w:r>
      <w:r>
        <w:rPr>
          <w:spacing w:val="57"/>
          <w:highlight w:val="none"/>
        </w:rPr>
        <w:t xml:space="preserve"> </w:t>
      </w:r>
      <w:r>
        <w:rPr>
          <w:rFonts w:hint="eastAsia" w:cs="宋体"/>
          <w:spacing w:val="1"/>
          <w:highlight w:val="none"/>
        </w:rPr>
        <w:t>磋商保证金凭证/交款单据（如有）</w:t>
      </w:r>
    </w:p>
    <w:p w14:paraId="019F7D34">
      <w:pPr>
        <w:spacing w:line="201" w:lineRule="auto"/>
        <w:rPr>
          <w:rFonts w:ascii="微软雅黑" w:hAnsi="微软雅黑" w:eastAsia="微软雅黑" w:cs="微软雅黑"/>
          <w:sz w:val="24"/>
          <w:highlight w:val="none"/>
        </w:rPr>
        <w:sectPr>
          <w:footerReference r:id="rId41" w:type="default"/>
          <w:pgSz w:w="11907" w:h="16840"/>
          <w:pgMar w:top="1149" w:right="1133" w:bottom="1060" w:left="1701" w:header="875" w:footer="886" w:gutter="0"/>
          <w:cols w:space="720" w:num="1"/>
        </w:sectPr>
      </w:pPr>
    </w:p>
    <w:p w14:paraId="45856AC2">
      <w:pPr>
        <w:shd w:val="clear" w:color="auto" w:fill="FFFFFF"/>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 xml:space="preserve">5  </w:t>
      </w:r>
      <w:bookmarkEnd w:id="1819"/>
      <w:bookmarkEnd w:id="1820"/>
      <w:r>
        <w:rPr>
          <w:rFonts w:hint="eastAsia" w:ascii="宋体" w:hAnsi="宋体" w:cs="宋体"/>
          <w:sz w:val="24"/>
          <w:highlight w:val="none"/>
        </w:rPr>
        <w:t>响应书</w:t>
      </w:r>
      <w:bookmarkEnd w:id="1821"/>
      <w:bookmarkEnd w:id="1822"/>
      <w:bookmarkEnd w:id="1823"/>
      <w:bookmarkEnd w:id="1824"/>
      <w:bookmarkEnd w:id="1825"/>
      <w:bookmarkEnd w:id="1826"/>
      <w:bookmarkEnd w:id="1827"/>
      <w:bookmarkEnd w:id="1828"/>
      <w:bookmarkEnd w:id="1829"/>
      <w:bookmarkEnd w:id="1830"/>
      <w:r>
        <w:rPr>
          <w:rFonts w:hint="eastAsia" w:ascii="宋体" w:hAnsi="宋体" w:cs="宋体"/>
          <w:sz w:val="24"/>
          <w:highlight w:val="none"/>
        </w:rPr>
        <w:t>（实质性格式）</w:t>
      </w:r>
    </w:p>
    <w:p w14:paraId="6A18BAAD">
      <w:pPr>
        <w:shd w:val="clear" w:color="auto" w:fill="FFFFFF"/>
        <w:tabs>
          <w:tab w:val="left" w:pos="5580"/>
        </w:tabs>
        <w:spacing w:line="360" w:lineRule="auto"/>
        <w:rPr>
          <w:rFonts w:ascii="宋体" w:hAnsi="宋体" w:cs="宋体"/>
          <w:color w:val="000000"/>
          <w:sz w:val="24"/>
          <w:highlight w:val="none"/>
        </w:rPr>
      </w:pPr>
    </w:p>
    <w:p w14:paraId="300A96DC">
      <w:pPr>
        <w:shd w:val="clear" w:color="auto" w:fill="FFFFFF"/>
        <w:spacing w:line="360" w:lineRule="auto"/>
        <w:jc w:val="center"/>
        <w:rPr>
          <w:rFonts w:ascii="宋体" w:hAnsi="宋体" w:cs="宋体"/>
          <w:b/>
          <w:color w:val="000000"/>
          <w:sz w:val="36"/>
          <w:szCs w:val="36"/>
          <w:highlight w:val="none"/>
        </w:rPr>
      </w:pPr>
      <w:r>
        <w:rPr>
          <w:rFonts w:hint="eastAsia" w:ascii="宋体" w:hAnsi="宋体" w:cs="宋体"/>
          <w:b/>
          <w:color w:val="000000"/>
          <w:sz w:val="36"/>
          <w:szCs w:val="36"/>
          <w:highlight w:val="none"/>
        </w:rPr>
        <w:t>响应书</w:t>
      </w:r>
    </w:p>
    <w:p w14:paraId="7ECB0D81">
      <w:pPr>
        <w:shd w:val="clear" w:color="auto" w:fill="FFFFFF"/>
        <w:tabs>
          <w:tab w:val="left" w:pos="5580"/>
        </w:tabs>
        <w:spacing w:line="360" w:lineRule="auto"/>
        <w:rPr>
          <w:rFonts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5F4F4349">
      <w:pPr>
        <w:shd w:val="clear" w:color="auto" w:fill="FFFFFF"/>
        <w:tabs>
          <w:tab w:val="left" w:pos="5580"/>
        </w:tabs>
        <w:spacing w:line="360" w:lineRule="auto"/>
        <w:rPr>
          <w:rFonts w:ascii="宋体" w:hAnsi="宋体" w:cs="宋体"/>
          <w:color w:val="000000"/>
          <w:sz w:val="24"/>
          <w:szCs w:val="20"/>
          <w:highlight w:val="none"/>
        </w:rPr>
      </w:pPr>
    </w:p>
    <w:p w14:paraId="64E00857">
      <w:pPr>
        <w:shd w:val="clear" w:color="auto" w:fill="FFFFFF"/>
        <w:tabs>
          <w:tab w:val="left" w:pos="5580"/>
        </w:tabs>
        <w:spacing w:line="360" w:lineRule="auto"/>
        <w:ind w:firstLine="408"/>
        <w:rPr>
          <w:rFonts w:ascii="宋体" w:hAnsi="宋体" w:cs="宋体"/>
          <w:color w:val="000000"/>
          <w:sz w:val="24"/>
          <w:szCs w:val="20"/>
          <w:highlight w:val="none"/>
        </w:rPr>
      </w:pPr>
      <w:r>
        <w:rPr>
          <w:rFonts w:hint="eastAsia" w:ascii="宋体" w:hAnsi="宋体" w:cs="宋体"/>
          <w:color w:val="000000"/>
          <w:sz w:val="24"/>
          <w:szCs w:val="20"/>
          <w:highlight w:val="none"/>
        </w:rPr>
        <w:t>我方参加你方就</w:t>
      </w:r>
      <w:r>
        <w:rPr>
          <w:rFonts w:hint="eastAsia" w:ascii="宋体" w:hAnsi="宋体" w:cs="宋体"/>
          <w:sz w:val="24"/>
          <w:highlight w:val="none"/>
        </w:rPr>
        <w:t>______</w:t>
      </w:r>
      <w:r>
        <w:rPr>
          <w:rFonts w:hint="eastAsia" w:ascii="宋体" w:hAnsi="宋体" w:cs="宋体"/>
          <w:color w:val="000000"/>
          <w:sz w:val="24"/>
          <w:szCs w:val="20"/>
          <w:highlight w:val="none"/>
        </w:rPr>
        <w:t>（项目名称，项目编号/包号）组织的采购活动，并对此项目进行磋商。</w:t>
      </w:r>
    </w:p>
    <w:p w14:paraId="3A753CFF">
      <w:pPr>
        <w:shd w:val="clear" w:color="auto" w:fill="FFFFFF"/>
        <w:tabs>
          <w:tab w:val="left" w:pos="5580"/>
        </w:tabs>
        <w:spacing w:line="360" w:lineRule="auto"/>
        <w:ind w:firstLine="408"/>
        <w:rPr>
          <w:rFonts w:ascii="宋体" w:hAnsi="宋体" w:cs="宋体"/>
          <w:color w:val="000000"/>
          <w:sz w:val="24"/>
          <w:szCs w:val="20"/>
          <w:highlight w:val="none"/>
        </w:rPr>
      </w:pPr>
      <w:r>
        <w:rPr>
          <w:rFonts w:hint="eastAsia" w:ascii="宋体" w:hAnsi="宋体" w:cs="宋体"/>
          <w:color w:val="000000"/>
          <w:sz w:val="24"/>
          <w:szCs w:val="20"/>
          <w:highlight w:val="none"/>
        </w:rPr>
        <w:t>1. 我方</w:t>
      </w:r>
      <w:r>
        <w:rPr>
          <w:rFonts w:hint="eastAsia" w:ascii="宋体" w:hAnsi="宋体" w:cs="宋体"/>
          <w:color w:val="000000"/>
          <w:sz w:val="24"/>
          <w:highlight w:val="none"/>
        </w:rPr>
        <w:t>已详细审查全部竞争性磋商文件</w:t>
      </w:r>
      <w:r>
        <w:rPr>
          <w:rFonts w:hint="eastAsia" w:ascii="宋体" w:hAnsi="宋体" w:cs="宋体"/>
          <w:color w:val="000000"/>
          <w:sz w:val="24"/>
          <w:szCs w:val="20"/>
          <w:highlight w:val="none"/>
        </w:rPr>
        <w:t>，自愿参与磋商并承诺如下：</w:t>
      </w:r>
    </w:p>
    <w:p w14:paraId="56B6AFCD">
      <w:pPr>
        <w:shd w:val="clear" w:color="auto" w:fill="FFFFFF"/>
        <w:tabs>
          <w:tab w:val="left" w:pos="720"/>
          <w:tab w:val="left" w:pos="900"/>
        </w:tabs>
        <w:spacing w:line="360" w:lineRule="auto"/>
        <w:ind w:left="360" w:firstLine="72" w:firstLineChars="30"/>
        <w:rPr>
          <w:rFonts w:ascii="宋体" w:hAnsi="宋体" w:cs="宋体"/>
          <w:color w:val="000000"/>
          <w:sz w:val="24"/>
          <w:szCs w:val="20"/>
          <w:highlight w:val="none"/>
        </w:rPr>
      </w:pPr>
      <w:r>
        <w:rPr>
          <w:rFonts w:hint="eastAsia" w:ascii="宋体" w:hAnsi="宋体" w:cs="宋体"/>
          <w:color w:val="000000"/>
          <w:sz w:val="24"/>
          <w:szCs w:val="20"/>
          <w:highlight w:val="none"/>
        </w:rPr>
        <w:t>（1）本响应有效期为自提交响应文件的截止之日起</w:t>
      </w:r>
      <w:r>
        <w:rPr>
          <w:rFonts w:hint="eastAsia" w:ascii="宋体" w:hAnsi="宋体" w:cs="宋体"/>
          <w:sz w:val="24"/>
          <w:highlight w:val="none"/>
        </w:rPr>
        <w:t>______</w:t>
      </w:r>
      <w:r>
        <w:rPr>
          <w:rFonts w:hint="eastAsia" w:ascii="宋体" w:hAnsi="宋体" w:cs="宋体"/>
          <w:color w:val="000000"/>
          <w:sz w:val="24"/>
          <w:szCs w:val="20"/>
          <w:highlight w:val="none"/>
        </w:rPr>
        <w:t>个日历日。</w:t>
      </w:r>
    </w:p>
    <w:p w14:paraId="2CB97FF0">
      <w:pPr>
        <w:shd w:val="clear" w:color="auto" w:fill="FFFFFF"/>
        <w:tabs>
          <w:tab w:val="left" w:pos="720"/>
          <w:tab w:val="left" w:pos="900"/>
        </w:tabs>
        <w:spacing w:line="360" w:lineRule="auto"/>
        <w:ind w:left="360" w:firstLine="72" w:firstLineChars="30"/>
        <w:rPr>
          <w:rFonts w:ascii="宋体" w:hAnsi="宋体" w:cs="宋体"/>
          <w:color w:val="000000"/>
          <w:sz w:val="24"/>
          <w:szCs w:val="20"/>
          <w:highlight w:val="none"/>
        </w:rPr>
      </w:pPr>
      <w:r>
        <w:rPr>
          <w:rFonts w:hint="eastAsia" w:ascii="宋体" w:hAnsi="宋体" w:cs="宋体"/>
          <w:color w:val="000000"/>
          <w:sz w:val="24"/>
          <w:szCs w:val="20"/>
          <w:highlight w:val="none"/>
        </w:rPr>
        <w:t>（2）除合同条款及采购需求偏离表列出的偏离外，我方响应竞争性磋商文件的全部要求。</w:t>
      </w:r>
    </w:p>
    <w:p w14:paraId="1EA018B3">
      <w:pPr>
        <w:shd w:val="clear" w:color="auto" w:fill="FFFFFF"/>
        <w:tabs>
          <w:tab w:val="left" w:pos="5580"/>
        </w:tabs>
        <w:spacing w:line="360" w:lineRule="auto"/>
        <w:ind w:firstLine="420" w:firstLineChars="175"/>
        <w:rPr>
          <w:rFonts w:ascii="宋体" w:hAnsi="宋体" w:cs="宋体"/>
          <w:color w:val="000000"/>
          <w:sz w:val="24"/>
          <w:szCs w:val="20"/>
          <w:highlight w:val="none"/>
        </w:rPr>
      </w:pPr>
      <w:r>
        <w:rPr>
          <w:rFonts w:hint="eastAsia" w:ascii="宋体" w:hAnsi="宋体" w:cs="宋体"/>
          <w:color w:val="000000"/>
          <w:sz w:val="24"/>
          <w:szCs w:val="20"/>
          <w:highlight w:val="none"/>
        </w:rPr>
        <w:t>（3）我方已提供的全部文件资料是真实、准确的，并对此承担一切法律后果。</w:t>
      </w:r>
    </w:p>
    <w:p w14:paraId="118AB26E">
      <w:pPr>
        <w:shd w:val="clear" w:color="auto" w:fill="FFFFFF"/>
        <w:tabs>
          <w:tab w:val="left" w:pos="5580"/>
        </w:tabs>
        <w:spacing w:line="360" w:lineRule="auto"/>
        <w:ind w:firstLine="420" w:firstLineChars="175"/>
        <w:rPr>
          <w:rFonts w:ascii="宋体" w:hAnsi="宋体" w:cs="宋体"/>
          <w:color w:val="000000"/>
          <w:sz w:val="24"/>
          <w:highlight w:val="none"/>
        </w:rPr>
      </w:pPr>
      <w:r>
        <w:rPr>
          <w:rFonts w:hint="eastAsia" w:ascii="宋体" w:hAnsi="宋体" w:cs="宋体"/>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765BB178">
      <w:pPr>
        <w:shd w:val="clear" w:color="auto" w:fill="FFFFFF"/>
        <w:spacing w:line="360" w:lineRule="auto"/>
        <w:ind w:left="420"/>
        <w:rPr>
          <w:rFonts w:ascii="宋体" w:hAnsi="宋体" w:cs="宋体"/>
          <w:color w:val="000000"/>
          <w:sz w:val="24"/>
          <w:highlight w:val="none"/>
        </w:rPr>
      </w:pPr>
      <w:r>
        <w:rPr>
          <w:rFonts w:hint="eastAsia" w:ascii="宋体" w:hAnsi="宋体" w:cs="宋体"/>
          <w:color w:val="000000"/>
          <w:sz w:val="24"/>
          <w:highlight w:val="none"/>
        </w:rPr>
        <w:t>2. 其他补充条款（如有）：</w:t>
      </w:r>
      <w:r>
        <w:rPr>
          <w:rFonts w:hint="eastAsia" w:ascii="宋体" w:hAnsi="宋体" w:cs="宋体"/>
          <w:sz w:val="24"/>
          <w:highlight w:val="none"/>
        </w:rPr>
        <w:t>______</w:t>
      </w:r>
      <w:r>
        <w:rPr>
          <w:rFonts w:hint="eastAsia" w:ascii="宋体" w:hAnsi="宋体" w:cs="宋体"/>
          <w:color w:val="000000"/>
          <w:sz w:val="24"/>
          <w:highlight w:val="none"/>
        </w:rPr>
        <w:t>。</w:t>
      </w:r>
    </w:p>
    <w:p w14:paraId="11EC6590">
      <w:pPr>
        <w:shd w:val="clear" w:color="auto" w:fill="FFFFFF"/>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与本磋商有关的一切正式往来信函请寄：</w:t>
      </w:r>
    </w:p>
    <w:p w14:paraId="0FD91426">
      <w:pPr>
        <w:shd w:val="clear" w:color="auto" w:fill="FFFFFF"/>
        <w:tabs>
          <w:tab w:val="left" w:pos="5580"/>
        </w:tabs>
        <w:spacing w:line="360" w:lineRule="auto"/>
        <w:ind w:left="420"/>
        <w:rPr>
          <w:rFonts w:ascii="宋体" w:hAnsi="宋体" w:cs="宋体"/>
          <w:color w:val="000000"/>
          <w:sz w:val="24"/>
          <w:szCs w:val="20"/>
          <w:highlight w:val="none"/>
        </w:rPr>
      </w:pPr>
    </w:p>
    <w:p w14:paraId="7C7E7135">
      <w:pPr>
        <w:shd w:val="clear" w:color="auto" w:fill="FFFFFF"/>
        <w:tabs>
          <w:tab w:val="left" w:pos="5580"/>
        </w:tabs>
        <w:spacing w:line="360" w:lineRule="auto"/>
        <w:ind w:left="420"/>
        <w:rPr>
          <w:rFonts w:ascii="宋体" w:hAnsi="宋体" w:cs="宋体"/>
          <w:color w:val="000000"/>
          <w:sz w:val="24"/>
          <w:szCs w:val="20"/>
          <w:highlight w:val="none"/>
        </w:rPr>
      </w:pPr>
      <w:r>
        <w:rPr>
          <w:rFonts w:hint="eastAsia" w:ascii="宋体" w:hAnsi="宋体" w:cs="宋体"/>
          <w:color w:val="000000"/>
          <w:sz w:val="24"/>
          <w:szCs w:val="20"/>
          <w:highlight w:val="none"/>
        </w:rPr>
        <w:t>地址</w:t>
      </w:r>
      <w:r>
        <w:rPr>
          <w:rFonts w:hint="eastAsia" w:ascii="宋体" w:hAnsi="宋体" w:cs="宋体"/>
          <w:bCs/>
          <w:color w:val="000000"/>
          <w:sz w:val="24"/>
          <w:highlight w:val="none"/>
        </w:rPr>
        <w:t>_________________________</w:t>
      </w:r>
      <w:r>
        <w:rPr>
          <w:rFonts w:hint="eastAsia" w:ascii="宋体" w:hAnsi="宋体" w:cs="宋体"/>
          <w:color w:val="000000"/>
          <w:sz w:val="24"/>
          <w:szCs w:val="20"/>
          <w:highlight w:val="none"/>
        </w:rPr>
        <w:t xml:space="preserve">      传   真</w:t>
      </w:r>
      <w:r>
        <w:rPr>
          <w:rFonts w:hint="eastAsia" w:ascii="宋体" w:hAnsi="宋体" w:cs="宋体"/>
          <w:bCs/>
          <w:color w:val="000000"/>
          <w:sz w:val="24"/>
          <w:highlight w:val="none"/>
        </w:rPr>
        <w:t>_________________________</w:t>
      </w:r>
    </w:p>
    <w:p w14:paraId="10DB7878">
      <w:pPr>
        <w:shd w:val="clear" w:color="auto" w:fill="FFFFFF"/>
        <w:tabs>
          <w:tab w:val="left" w:pos="5580"/>
        </w:tabs>
        <w:spacing w:line="360" w:lineRule="auto"/>
        <w:ind w:left="420"/>
        <w:rPr>
          <w:rFonts w:ascii="宋体" w:hAnsi="宋体" w:cs="宋体"/>
          <w:color w:val="000000"/>
          <w:sz w:val="24"/>
          <w:szCs w:val="20"/>
          <w:highlight w:val="none"/>
        </w:rPr>
      </w:pPr>
      <w:r>
        <w:rPr>
          <w:rFonts w:hint="eastAsia" w:ascii="宋体" w:hAnsi="宋体" w:cs="宋体"/>
          <w:color w:val="000000"/>
          <w:sz w:val="24"/>
          <w:szCs w:val="20"/>
          <w:highlight w:val="none"/>
        </w:rPr>
        <w:t>电话</w:t>
      </w:r>
      <w:r>
        <w:rPr>
          <w:rFonts w:hint="eastAsia" w:ascii="宋体" w:hAnsi="宋体" w:cs="宋体"/>
          <w:bCs/>
          <w:color w:val="000000"/>
          <w:sz w:val="24"/>
          <w:highlight w:val="none"/>
        </w:rPr>
        <w:t>_________________________</w:t>
      </w:r>
      <w:r>
        <w:rPr>
          <w:rFonts w:hint="eastAsia" w:ascii="宋体" w:hAnsi="宋体" w:cs="宋体"/>
          <w:color w:val="000000"/>
          <w:sz w:val="24"/>
          <w:szCs w:val="20"/>
          <w:highlight w:val="none"/>
        </w:rPr>
        <w:t xml:space="preserve">      电子函件</w:t>
      </w:r>
      <w:r>
        <w:rPr>
          <w:rFonts w:hint="eastAsia" w:ascii="宋体" w:hAnsi="宋体" w:cs="宋体"/>
          <w:bCs/>
          <w:color w:val="000000"/>
          <w:sz w:val="24"/>
          <w:highlight w:val="none"/>
        </w:rPr>
        <w:t>_________________________</w:t>
      </w:r>
    </w:p>
    <w:p w14:paraId="34F12AFB">
      <w:pPr>
        <w:shd w:val="clear" w:color="auto" w:fill="FFFFFF"/>
        <w:tabs>
          <w:tab w:val="left" w:pos="5580"/>
        </w:tabs>
        <w:spacing w:line="360" w:lineRule="auto"/>
        <w:ind w:left="420"/>
        <w:rPr>
          <w:rFonts w:ascii="宋体" w:hAnsi="宋体" w:cs="宋体"/>
          <w:color w:val="000000"/>
          <w:sz w:val="24"/>
          <w:szCs w:val="20"/>
          <w:highlight w:val="none"/>
        </w:rPr>
      </w:pPr>
    </w:p>
    <w:p w14:paraId="4C080108">
      <w:pPr>
        <w:shd w:val="clear" w:color="auto" w:fill="FFFFFF"/>
        <w:tabs>
          <w:tab w:val="left" w:pos="5580"/>
        </w:tabs>
        <w:spacing w:line="360" w:lineRule="auto"/>
        <w:ind w:left="420"/>
        <w:rPr>
          <w:rFonts w:ascii="宋体" w:hAnsi="宋体" w:cs="宋体"/>
          <w:color w:val="000000"/>
          <w:sz w:val="24"/>
          <w:szCs w:val="20"/>
          <w:highlight w:val="none"/>
        </w:rPr>
      </w:pPr>
    </w:p>
    <w:p w14:paraId="23F6337D">
      <w:pPr>
        <w:shd w:val="clear" w:color="auto" w:fill="FFFFFF"/>
        <w:tabs>
          <w:tab w:val="left" w:pos="5580"/>
        </w:tabs>
        <w:spacing w:line="360" w:lineRule="auto"/>
        <w:ind w:left="420"/>
        <w:rPr>
          <w:rFonts w:ascii="宋体" w:hAnsi="宋体" w:cs="宋体"/>
          <w:color w:val="000000"/>
          <w:sz w:val="24"/>
          <w:szCs w:val="20"/>
          <w:highlight w:val="none"/>
        </w:rPr>
      </w:pPr>
    </w:p>
    <w:p w14:paraId="6161C99F">
      <w:pPr>
        <w:shd w:val="clear" w:color="auto" w:fill="FFFFFF"/>
        <w:autoSpaceDE w:val="0"/>
        <w:autoSpaceDN w:val="0"/>
        <w:adjustRightInd w:val="0"/>
        <w:snapToGrid w:val="0"/>
        <w:spacing w:before="25" w:after="25" w:line="360" w:lineRule="auto"/>
        <w:ind w:right="360" w:firstLine="360" w:firstLineChars="150"/>
        <w:rPr>
          <w:rFonts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sz w:val="24"/>
          <w:highlight w:val="none"/>
        </w:rPr>
        <w:t>______</w:t>
      </w:r>
    </w:p>
    <w:p w14:paraId="560A76BD">
      <w:pPr>
        <w:shd w:val="clear" w:color="auto" w:fill="FFFFFF"/>
        <w:tabs>
          <w:tab w:val="left" w:pos="5580"/>
        </w:tabs>
        <w:spacing w:line="360" w:lineRule="auto"/>
        <w:ind w:firstLine="360" w:firstLineChars="150"/>
        <w:rPr>
          <w:rFonts w:ascii="宋体" w:hAnsi="宋体" w:cs="宋体"/>
          <w:color w:val="000000"/>
          <w:sz w:val="24"/>
          <w:szCs w:val="20"/>
          <w:highlight w:val="none"/>
        </w:rPr>
      </w:pPr>
      <w:r>
        <w:rPr>
          <w:rFonts w:hint="eastAsia" w:ascii="宋体" w:hAnsi="宋体" w:cs="宋体"/>
          <w:color w:val="000000"/>
          <w:sz w:val="24"/>
          <w:szCs w:val="20"/>
          <w:highlight w:val="none"/>
        </w:rPr>
        <w:t xml:space="preserve">日期：____年____月____日  </w:t>
      </w:r>
    </w:p>
    <w:p w14:paraId="02618EAB">
      <w:pPr>
        <w:shd w:val="clear" w:color="auto" w:fill="FFFFFF"/>
        <w:tabs>
          <w:tab w:val="left" w:pos="5580"/>
        </w:tabs>
        <w:spacing w:line="360" w:lineRule="auto"/>
        <w:ind w:left="420"/>
        <w:jc w:val="left"/>
        <w:rPr>
          <w:rFonts w:ascii="宋体" w:hAnsi="宋体" w:cs="宋体"/>
          <w:color w:val="000000"/>
          <w:sz w:val="24"/>
          <w:szCs w:val="20"/>
          <w:highlight w:val="none"/>
        </w:rPr>
      </w:pPr>
    </w:p>
    <w:p w14:paraId="40F6CB79">
      <w:pPr>
        <w:shd w:val="clear" w:color="auto" w:fill="FFFFFF"/>
        <w:tabs>
          <w:tab w:val="left" w:pos="360"/>
        </w:tabs>
        <w:snapToGrid w:val="0"/>
        <w:spacing w:line="360" w:lineRule="auto"/>
        <w:outlineLvl w:val="1"/>
        <w:rPr>
          <w:rFonts w:ascii="宋体" w:hAnsi="宋体" w:cs="宋体"/>
          <w:sz w:val="24"/>
          <w:highlight w:val="none"/>
        </w:rPr>
      </w:pPr>
      <w:r>
        <w:rPr>
          <w:rFonts w:hint="eastAsia" w:ascii="宋体" w:hAnsi="宋体" w:cs="宋体"/>
          <w:b/>
          <w:color w:val="000000"/>
          <w:sz w:val="24"/>
          <w:szCs w:val="20"/>
          <w:highlight w:val="none"/>
        </w:rPr>
        <w:br w:type="page"/>
      </w:r>
      <w:bookmarkStart w:id="1831" w:name="_Hlt520356243"/>
      <w:bookmarkEnd w:id="1831"/>
      <w:bookmarkStart w:id="1832" w:name="_Hlt520355938"/>
      <w:bookmarkEnd w:id="1832"/>
      <w:bookmarkStart w:id="1833" w:name="_Toc150774762"/>
      <w:bookmarkStart w:id="1834" w:name="_Toc226309801"/>
      <w:bookmarkStart w:id="1835" w:name="_Toc127151557"/>
      <w:bookmarkStart w:id="1836" w:name="_Toc226965747"/>
      <w:bookmarkStart w:id="1837" w:name="_Toc226337253"/>
      <w:bookmarkStart w:id="1838" w:name="_Toc305158825"/>
      <w:bookmarkStart w:id="1839" w:name="_Toc150480795"/>
      <w:bookmarkStart w:id="1840" w:name="_Toc226965830"/>
      <w:bookmarkStart w:id="1841" w:name="_Toc480942350"/>
      <w:bookmarkStart w:id="1842" w:name="_Toc195842922"/>
      <w:bookmarkStart w:id="1843" w:name="_Toc265228395"/>
      <w:bookmarkStart w:id="1844" w:name="_Toc264969247"/>
      <w:bookmarkStart w:id="1845" w:name="_Ref467988705"/>
      <w:bookmarkStart w:id="1846" w:name="_Toc520356218"/>
      <w:bookmarkStart w:id="1847" w:name="_Toc142311059"/>
      <w:bookmarkStart w:id="1848" w:name="_Toc305158899"/>
      <w:r>
        <w:rPr>
          <w:rFonts w:hint="eastAsia" w:ascii="宋体" w:hAnsi="宋体" w:cs="宋体"/>
          <w:sz w:val="24"/>
          <w:highlight w:val="none"/>
        </w:rPr>
        <w:t>6  授权委托书（实质性格式）</w:t>
      </w:r>
    </w:p>
    <w:p w14:paraId="467C1ACB">
      <w:pPr>
        <w:shd w:val="clear" w:color="auto" w:fill="FFFFFF"/>
        <w:autoSpaceDE w:val="0"/>
        <w:autoSpaceDN w:val="0"/>
        <w:adjustRightInd w:val="0"/>
        <w:spacing w:line="360" w:lineRule="auto"/>
        <w:jc w:val="center"/>
        <w:rPr>
          <w:rFonts w:ascii="宋体" w:hAnsi="宋体" w:cs="宋体"/>
          <w:b/>
          <w:color w:val="000000"/>
          <w:sz w:val="36"/>
          <w:szCs w:val="36"/>
          <w:highlight w:val="none"/>
        </w:rPr>
      </w:pPr>
      <w:r>
        <w:rPr>
          <w:rFonts w:hint="eastAsia" w:ascii="宋体" w:hAnsi="宋体" w:cs="宋体"/>
          <w:b/>
          <w:color w:val="000000"/>
          <w:sz w:val="36"/>
          <w:szCs w:val="36"/>
          <w:highlight w:val="none"/>
        </w:rPr>
        <w:t>授权委托书</w:t>
      </w:r>
    </w:p>
    <w:p w14:paraId="4436C105">
      <w:pPr>
        <w:shd w:val="clear" w:color="auto" w:fill="FFFFFF"/>
        <w:spacing w:line="360" w:lineRule="auto"/>
        <w:ind w:firstLine="420"/>
        <w:rPr>
          <w:rFonts w:ascii="宋体" w:hAnsi="宋体" w:cs="宋体"/>
          <w:color w:val="000000"/>
          <w:sz w:val="24"/>
          <w:szCs w:val="20"/>
          <w:highlight w:val="none"/>
        </w:rPr>
      </w:pPr>
      <w:r>
        <w:rPr>
          <w:rFonts w:hint="eastAsia" w:ascii="宋体" w:hAnsi="宋体" w:cs="宋体"/>
          <w:color w:val="000000"/>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11638283">
      <w:pPr>
        <w:shd w:val="clear" w:color="auto" w:fill="FFFFFF"/>
        <w:spacing w:line="360" w:lineRule="auto"/>
        <w:ind w:firstLine="420"/>
        <w:rPr>
          <w:rFonts w:ascii="宋体" w:hAnsi="宋体" w:cs="宋体"/>
          <w:color w:val="000000"/>
          <w:sz w:val="24"/>
          <w:szCs w:val="20"/>
          <w:highlight w:val="none"/>
        </w:rPr>
      </w:pPr>
      <w:r>
        <w:rPr>
          <w:rFonts w:hint="eastAsia" w:ascii="宋体" w:hAnsi="宋体" w:cs="宋体"/>
          <w:color w:val="000000"/>
          <w:sz w:val="24"/>
          <w:szCs w:val="20"/>
          <w:highlight w:val="none"/>
        </w:rPr>
        <w:t>委托期限：自本授权委托书签署之日起至响应有效期届满之日止。</w:t>
      </w:r>
    </w:p>
    <w:p w14:paraId="4620A296">
      <w:pPr>
        <w:shd w:val="clear" w:color="auto" w:fill="FFFFFF"/>
        <w:spacing w:line="360" w:lineRule="auto"/>
        <w:ind w:firstLine="420"/>
        <w:rPr>
          <w:rFonts w:ascii="宋体" w:hAnsi="宋体" w:cs="宋体"/>
          <w:color w:val="000000"/>
          <w:sz w:val="24"/>
          <w:szCs w:val="20"/>
          <w:highlight w:val="none"/>
        </w:rPr>
      </w:pPr>
      <w:r>
        <w:rPr>
          <w:rFonts w:hint="eastAsia" w:ascii="宋体" w:hAnsi="宋体" w:cs="宋体"/>
          <w:color w:val="000000"/>
          <w:sz w:val="24"/>
          <w:szCs w:val="20"/>
          <w:highlight w:val="none"/>
        </w:rPr>
        <w:t>代理人无转委托权。</w:t>
      </w:r>
      <w:r>
        <w:rPr>
          <w:rFonts w:hint="eastAsia" w:ascii="宋体" w:hAnsi="宋体" w:cs="宋体"/>
          <w:color w:val="000000"/>
          <w:sz w:val="24"/>
          <w:szCs w:val="20"/>
          <w:highlight w:val="none"/>
        </w:rPr>
        <w:cr/>
      </w:r>
    </w:p>
    <w:p w14:paraId="4B431126">
      <w:pPr>
        <w:shd w:val="clear" w:color="auto" w:fill="FFFFFF"/>
        <w:spacing w:line="360" w:lineRule="auto"/>
        <w:rPr>
          <w:rFonts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rPr>
        <w:t>______________</w:t>
      </w:r>
    </w:p>
    <w:p w14:paraId="3563A526">
      <w:pPr>
        <w:shd w:val="clear" w:color="auto" w:fill="FFFFFF"/>
        <w:spacing w:line="360" w:lineRule="auto"/>
        <w:rPr>
          <w:rFonts w:ascii="宋体" w:hAnsi="宋体" w:cs="宋体"/>
          <w:color w:val="000000"/>
          <w:sz w:val="24"/>
          <w:szCs w:val="20"/>
          <w:highlight w:val="none"/>
        </w:rPr>
      </w:pPr>
      <w:r>
        <w:rPr>
          <w:rFonts w:hint="eastAsia" w:ascii="宋体" w:hAnsi="宋体" w:cs="宋体"/>
          <w:color w:val="000000"/>
          <w:sz w:val="24"/>
          <w:szCs w:val="20"/>
          <w:highlight w:val="none"/>
        </w:rPr>
        <w:t>法定代表人（单位负责人）（</w:t>
      </w:r>
      <w:r>
        <w:rPr>
          <w:rFonts w:hint="eastAsia" w:ascii="宋体" w:hAnsi="宋体" w:cs="宋体"/>
          <w:color w:val="000000"/>
          <w:sz w:val="24"/>
          <w:highlight w:val="none"/>
        </w:rPr>
        <w:t>签字</w:t>
      </w:r>
      <w:r>
        <w:rPr>
          <w:rFonts w:hint="eastAsia" w:ascii="宋体" w:hAnsi="宋体" w:cs="宋体"/>
          <w:color w:val="000000"/>
          <w:sz w:val="24"/>
          <w:szCs w:val="20"/>
          <w:highlight w:val="none"/>
        </w:rPr>
        <w:t>或签章）：______________</w:t>
      </w:r>
    </w:p>
    <w:p w14:paraId="3E95852C">
      <w:pPr>
        <w:shd w:val="clear" w:color="auto" w:fill="FFFFFF"/>
        <w:autoSpaceDE w:val="0"/>
        <w:autoSpaceDN w:val="0"/>
        <w:adjustRightInd w:val="0"/>
        <w:snapToGrid w:val="0"/>
        <w:spacing w:line="360" w:lineRule="auto"/>
        <w:rPr>
          <w:rFonts w:ascii="宋体" w:hAnsi="宋体" w:cs="宋体"/>
          <w:color w:val="000000"/>
          <w:sz w:val="24"/>
          <w:highlight w:val="none"/>
          <w:lang w:val="zh-CN"/>
        </w:rPr>
      </w:pPr>
      <w:r>
        <w:rPr>
          <w:rFonts w:hint="eastAsia" w:ascii="宋体" w:hAnsi="宋体" w:cs="宋体"/>
          <w:color w:val="000000"/>
          <w:sz w:val="24"/>
          <w:highlight w:val="none"/>
        </w:rPr>
        <w:t>委托代理人（签字</w:t>
      </w:r>
      <w:r>
        <w:rPr>
          <w:rFonts w:hint="eastAsia" w:ascii="宋体" w:hAnsi="宋体" w:cs="宋体"/>
          <w:color w:val="000000"/>
          <w:sz w:val="24"/>
          <w:szCs w:val="20"/>
          <w:highlight w:val="none"/>
        </w:rPr>
        <w:t>或签章</w:t>
      </w:r>
      <w:r>
        <w:rPr>
          <w:rFonts w:hint="eastAsia" w:ascii="宋体" w:hAnsi="宋体" w:cs="宋体"/>
          <w:color w:val="000000"/>
          <w:sz w:val="24"/>
          <w:highlight w:val="none"/>
        </w:rPr>
        <w:t>）：</w:t>
      </w:r>
      <w:r>
        <w:rPr>
          <w:rFonts w:hint="eastAsia" w:ascii="宋体" w:hAnsi="宋体" w:cs="宋体"/>
          <w:color w:val="000000"/>
          <w:sz w:val="24"/>
          <w:szCs w:val="20"/>
          <w:highlight w:val="none"/>
        </w:rPr>
        <w:t>______________</w:t>
      </w:r>
      <w:r>
        <w:rPr>
          <w:rFonts w:hint="eastAsia" w:ascii="宋体" w:hAnsi="宋体" w:cs="宋体"/>
          <w:color w:val="000000"/>
          <w:sz w:val="24"/>
          <w:highlight w:val="none"/>
          <w:lang w:val="zh-CN"/>
        </w:rPr>
        <w:t xml:space="preserve">        </w:t>
      </w:r>
    </w:p>
    <w:p w14:paraId="7EBA093F">
      <w:pPr>
        <w:shd w:val="clear" w:color="auto" w:fill="FFFFFF"/>
        <w:autoSpaceDE w:val="0"/>
        <w:autoSpaceDN w:val="0"/>
        <w:adjustRightInd w:val="0"/>
        <w:snapToGrid w:val="0"/>
        <w:spacing w:line="360" w:lineRule="auto"/>
        <w:rPr>
          <w:rFonts w:ascii="宋体" w:hAnsi="宋体" w:cs="宋体"/>
          <w:color w:val="000000"/>
          <w:sz w:val="24"/>
          <w:highlight w:val="none"/>
          <w:lang w:val="zh-CN"/>
        </w:rPr>
      </w:pPr>
      <w:r>
        <w:rPr>
          <w:rFonts w:hint="eastAsia" w:ascii="宋体" w:hAnsi="宋体" w:cs="宋体"/>
          <w:color w:val="000000"/>
          <w:sz w:val="24"/>
          <w:highlight w:val="none"/>
        </w:rPr>
        <w:t>日期：</w:t>
      </w:r>
      <w:r>
        <w:rPr>
          <w:rFonts w:hint="eastAsia" w:ascii="宋体" w:hAnsi="宋体" w:cs="宋体"/>
          <w:color w:val="000000"/>
          <w:sz w:val="24"/>
          <w:szCs w:val="20"/>
          <w:highlight w:val="none"/>
        </w:rPr>
        <w:t>____</w:t>
      </w:r>
      <w:r>
        <w:rPr>
          <w:rFonts w:hint="eastAsia" w:ascii="宋体" w:hAnsi="宋体" w:cs="宋体"/>
          <w:color w:val="000000"/>
          <w:sz w:val="24"/>
          <w:highlight w:val="none"/>
        </w:rPr>
        <w:t>年</w:t>
      </w:r>
      <w:r>
        <w:rPr>
          <w:rFonts w:hint="eastAsia" w:ascii="宋体" w:hAnsi="宋体" w:cs="宋体"/>
          <w:color w:val="000000"/>
          <w:sz w:val="24"/>
          <w:szCs w:val="20"/>
          <w:highlight w:val="none"/>
        </w:rPr>
        <w:t>____</w:t>
      </w:r>
      <w:r>
        <w:rPr>
          <w:rFonts w:hint="eastAsia" w:ascii="宋体" w:hAnsi="宋体" w:cs="宋体"/>
          <w:color w:val="000000"/>
          <w:sz w:val="24"/>
          <w:highlight w:val="none"/>
        </w:rPr>
        <w:t>月</w:t>
      </w:r>
      <w:r>
        <w:rPr>
          <w:rFonts w:hint="eastAsia" w:ascii="宋体" w:hAnsi="宋体" w:cs="宋体"/>
          <w:color w:val="000000"/>
          <w:sz w:val="24"/>
          <w:szCs w:val="20"/>
          <w:highlight w:val="none"/>
        </w:rPr>
        <w:t>____</w:t>
      </w:r>
      <w:r>
        <w:rPr>
          <w:rFonts w:hint="eastAsia" w:ascii="宋体" w:hAnsi="宋体" w:cs="宋体"/>
          <w:color w:val="000000"/>
          <w:sz w:val="24"/>
          <w:highlight w:val="none"/>
        </w:rPr>
        <w:t>日</w:t>
      </w:r>
    </w:p>
    <w:p w14:paraId="51443B13">
      <w:pPr>
        <w:shd w:val="clear" w:color="auto" w:fill="FFFFFF"/>
        <w:tabs>
          <w:tab w:val="left" w:pos="5580"/>
        </w:tabs>
        <w:spacing w:line="360" w:lineRule="auto"/>
        <w:ind w:firstLine="480" w:firstLineChars="200"/>
        <w:rPr>
          <w:rFonts w:ascii="宋体" w:hAnsi="宋体" w:cs="宋体"/>
          <w:color w:val="000000"/>
          <w:sz w:val="24"/>
          <w:szCs w:val="20"/>
          <w:highlight w:val="none"/>
        </w:rPr>
      </w:pPr>
    </w:p>
    <w:p w14:paraId="0D38F066">
      <w:pPr>
        <w:shd w:val="clear" w:color="auto" w:fill="FFFFFF"/>
        <w:tabs>
          <w:tab w:val="left" w:pos="5580"/>
        </w:tabs>
        <w:spacing w:line="360" w:lineRule="auto"/>
        <w:jc w:val="left"/>
        <w:rPr>
          <w:rFonts w:ascii="宋体" w:hAnsi="宋体" w:cs="宋体"/>
          <w:color w:val="000000"/>
          <w:sz w:val="24"/>
          <w:szCs w:val="20"/>
          <w:highlight w:val="none"/>
        </w:rPr>
      </w:pPr>
      <w:r>
        <w:rPr>
          <w:rFonts w:hint="eastAsia" w:ascii="宋体" w:hAnsi="宋体" w:cs="宋体"/>
          <w:color w:val="000000"/>
          <w:sz w:val="24"/>
          <w:szCs w:val="20"/>
          <w:highlight w:val="none"/>
        </w:rPr>
        <w:t>附：法定代表人（单位负责人）及委托代理人身份证明文件电子件：</w:t>
      </w:r>
    </w:p>
    <w:tbl>
      <w:tblPr>
        <w:tblStyle w:val="8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9"/>
      </w:tblGrid>
      <w:tr w14:paraId="225FD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3587989E">
            <w:pPr>
              <w:shd w:val="clear" w:color="auto" w:fill="FFFFFF"/>
              <w:tabs>
                <w:tab w:val="left" w:pos="5580"/>
              </w:tabs>
              <w:spacing w:line="360" w:lineRule="auto"/>
              <w:jc w:val="left"/>
              <w:rPr>
                <w:rFonts w:ascii="宋体" w:hAnsi="宋体" w:cs="宋体"/>
                <w:color w:val="000000"/>
                <w:sz w:val="24"/>
                <w:szCs w:val="20"/>
                <w:highlight w:val="none"/>
              </w:rPr>
            </w:pPr>
          </w:p>
          <w:p w14:paraId="214AA911">
            <w:pPr>
              <w:shd w:val="clear" w:color="auto" w:fill="FFFFFF"/>
              <w:tabs>
                <w:tab w:val="left" w:pos="5580"/>
              </w:tabs>
              <w:spacing w:line="360" w:lineRule="auto"/>
              <w:jc w:val="left"/>
              <w:rPr>
                <w:rFonts w:ascii="宋体" w:hAnsi="宋体" w:cs="宋体"/>
                <w:color w:val="000000"/>
                <w:sz w:val="24"/>
                <w:szCs w:val="20"/>
                <w:highlight w:val="none"/>
              </w:rPr>
            </w:pPr>
          </w:p>
          <w:p w14:paraId="226A1C9C">
            <w:pPr>
              <w:shd w:val="clear" w:color="auto" w:fill="FFFFFF"/>
              <w:tabs>
                <w:tab w:val="left" w:pos="5580"/>
              </w:tabs>
              <w:spacing w:line="360" w:lineRule="auto"/>
              <w:jc w:val="left"/>
              <w:rPr>
                <w:rFonts w:ascii="宋体" w:hAnsi="宋体" w:cs="宋体"/>
                <w:color w:val="000000"/>
                <w:sz w:val="24"/>
                <w:szCs w:val="20"/>
                <w:highlight w:val="none"/>
              </w:rPr>
            </w:pPr>
          </w:p>
          <w:p w14:paraId="3196F457">
            <w:pPr>
              <w:shd w:val="clear" w:color="auto" w:fill="FFFFFF"/>
              <w:tabs>
                <w:tab w:val="left" w:pos="5580"/>
              </w:tabs>
              <w:spacing w:line="360" w:lineRule="auto"/>
              <w:jc w:val="left"/>
              <w:rPr>
                <w:rFonts w:ascii="宋体" w:hAnsi="宋体" w:cs="宋体"/>
                <w:color w:val="000000"/>
                <w:sz w:val="24"/>
                <w:szCs w:val="20"/>
                <w:highlight w:val="none"/>
              </w:rPr>
            </w:pPr>
          </w:p>
          <w:p w14:paraId="538B187B">
            <w:pPr>
              <w:shd w:val="clear" w:color="auto" w:fill="FFFFFF"/>
              <w:tabs>
                <w:tab w:val="left" w:pos="5580"/>
              </w:tabs>
              <w:spacing w:line="360" w:lineRule="auto"/>
              <w:jc w:val="left"/>
              <w:rPr>
                <w:rFonts w:ascii="宋体" w:hAnsi="宋体" w:cs="宋体"/>
                <w:color w:val="000000"/>
                <w:sz w:val="24"/>
                <w:szCs w:val="20"/>
                <w:highlight w:val="none"/>
              </w:rPr>
            </w:pPr>
          </w:p>
        </w:tc>
      </w:tr>
    </w:tbl>
    <w:p w14:paraId="0A5D0ECA">
      <w:pPr>
        <w:widowControl/>
        <w:shd w:val="clear" w:color="auto" w:fill="FFFFFF"/>
        <w:spacing w:line="360" w:lineRule="auto"/>
        <w:jc w:val="left"/>
        <w:rPr>
          <w:rFonts w:ascii="宋体" w:hAnsi="宋体" w:cs="宋体"/>
          <w:color w:val="000000"/>
          <w:sz w:val="24"/>
          <w:highlight w:val="none"/>
        </w:rPr>
      </w:pPr>
      <w:r>
        <w:rPr>
          <w:rFonts w:hint="eastAsia" w:ascii="宋体" w:hAnsi="宋体" w:cs="宋体"/>
          <w:color w:val="000000"/>
          <w:sz w:val="24"/>
          <w:highlight w:val="none"/>
        </w:rPr>
        <w:t>说明：</w:t>
      </w:r>
    </w:p>
    <w:p w14:paraId="5EDC91A6">
      <w:pPr>
        <w:widowControl/>
        <w:shd w:val="clear" w:color="auto" w:fill="FFFFFF"/>
        <w:spacing w:line="360" w:lineRule="auto"/>
        <w:jc w:val="left"/>
        <w:rPr>
          <w:rFonts w:ascii="宋体" w:hAnsi="宋体" w:cs="宋体"/>
          <w:color w:val="000000"/>
          <w:sz w:val="24"/>
          <w:highlight w:val="none"/>
        </w:rPr>
      </w:pPr>
      <w:r>
        <w:rPr>
          <w:rFonts w:hint="eastAsia" w:ascii="宋体" w:hAnsi="宋体" w:cs="宋体"/>
          <w:color w:val="000000"/>
          <w:sz w:val="24"/>
          <w:highlight w:val="none"/>
        </w:rPr>
        <w:t>1.若供应商为事业单位或其他组织或分支机构，则法定代表人（单位负责人）处的签署人可为单位负责人。</w:t>
      </w:r>
    </w:p>
    <w:p w14:paraId="5B529151">
      <w:pPr>
        <w:widowControl/>
        <w:shd w:val="clear" w:color="auto" w:fill="FFFFFF"/>
        <w:spacing w:line="360" w:lineRule="auto"/>
        <w:jc w:val="left"/>
        <w:rPr>
          <w:rFonts w:ascii="宋体" w:hAnsi="宋体" w:cs="宋体"/>
          <w:color w:val="000000"/>
          <w:sz w:val="24"/>
          <w:highlight w:val="none"/>
        </w:rPr>
      </w:pPr>
      <w:r>
        <w:rPr>
          <w:rFonts w:hint="eastAsia" w:ascii="宋体" w:hAnsi="宋体" w:cs="宋体"/>
          <w:color w:val="000000"/>
          <w:sz w:val="24"/>
          <w:highlight w:val="none"/>
        </w:rPr>
        <w:t>2.若响应文件中签字之处均为法定代表人（单位负责人）本人签署，则可不提供本《授权委托书》，但须提供《法定代表人（单位负责人）身份证明》；否则，不需要提供《法定代表人（单位负责人）身份证明》。</w:t>
      </w:r>
    </w:p>
    <w:p w14:paraId="12115AB1">
      <w:pPr>
        <w:widowControl/>
        <w:shd w:val="clear" w:color="auto" w:fill="FFFFFF"/>
        <w:spacing w:line="360" w:lineRule="auto"/>
        <w:jc w:val="left"/>
        <w:rPr>
          <w:rFonts w:ascii="宋体" w:hAnsi="宋体" w:cs="宋体"/>
          <w:color w:val="000000"/>
          <w:sz w:val="24"/>
          <w:highlight w:val="none"/>
        </w:rPr>
      </w:pPr>
      <w:r>
        <w:rPr>
          <w:rFonts w:hint="eastAsia" w:ascii="宋体" w:hAnsi="宋体" w:cs="宋体"/>
          <w:color w:val="000000"/>
          <w:sz w:val="24"/>
          <w:highlight w:val="none"/>
        </w:rPr>
        <w:t>3.供应商为自然人的情形，可不提供本《授权委托书》。</w:t>
      </w:r>
    </w:p>
    <w:p w14:paraId="37FB77F4">
      <w:pPr>
        <w:widowControl/>
        <w:shd w:val="clear" w:color="auto" w:fill="FFFFFF"/>
        <w:spacing w:line="360" w:lineRule="auto"/>
        <w:jc w:val="left"/>
        <w:rPr>
          <w:rFonts w:ascii="宋体" w:hAnsi="宋体" w:cs="宋体"/>
          <w:color w:val="000000"/>
          <w:sz w:val="30"/>
          <w:szCs w:val="30"/>
          <w:highlight w:val="none"/>
        </w:rPr>
      </w:pPr>
      <w:r>
        <w:rPr>
          <w:rFonts w:hint="eastAsia" w:ascii="宋体" w:hAnsi="宋体" w:cs="宋体"/>
          <w:color w:val="000000"/>
          <w:sz w:val="24"/>
          <w:highlight w:val="none"/>
        </w:rPr>
        <w:t>4.供应商应随本《授权委托书》同时提供法定代表人（单位负责人）及委托代理人的有效的身份证、护照等身份证明文件电子件。提供身份证的，应同时提供身份证</w:t>
      </w:r>
      <w:r>
        <w:rPr>
          <w:rFonts w:hint="eastAsia" w:ascii="宋体" w:hAnsi="宋体" w:cs="宋体"/>
          <w:b/>
          <w:bCs/>
          <w:color w:val="000000"/>
          <w:sz w:val="24"/>
          <w:highlight w:val="none"/>
        </w:rPr>
        <w:t>双面</w:t>
      </w:r>
      <w:r>
        <w:rPr>
          <w:rFonts w:hint="eastAsia" w:ascii="宋体" w:hAnsi="宋体" w:cs="宋体"/>
          <w:color w:val="000000"/>
          <w:sz w:val="24"/>
          <w:highlight w:val="none"/>
        </w:rPr>
        <w:t>电子件。</w:t>
      </w:r>
      <w:r>
        <w:rPr>
          <w:rFonts w:hint="eastAsia" w:ascii="宋体" w:hAnsi="宋体" w:cs="宋体"/>
          <w:color w:val="000000"/>
          <w:sz w:val="24"/>
          <w:highlight w:val="none"/>
        </w:rPr>
        <w:br w:type="page"/>
      </w:r>
    </w:p>
    <w:p w14:paraId="61949852">
      <w:pPr>
        <w:shd w:val="clear" w:color="auto" w:fill="FFFFFF"/>
        <w:autoSpaceDE w:val="0"/>
        <w:autoSpaceDN w:val="0"/>
        <w:adjustRightInd w:val="0"/>
        <w:spacing w:line="360" w:lineRule="auto"/>
        <w:jc w:val="center"/>
        <w:rPr>
          <w:rFonts w:ascii="宋体" w:hAnsi="宋体" w:cs="宋体"/>
          <w:b/>
          <w:color w:val="000000"/>
          <w:sz w:val="36"/>
          <w:szCs w:val="36"/>
          <w:highlight w:val="none"/>
        </w:rPr>
      </w:pPr>
      <w:r>
        <w:rPr>
          <w:rFonts w:hint="eastAsia" w:ascii="宋体" w:hAnsi="宋体" w:cs="宋体"/>
          <w:b/>
          <w:color w:val="000000"/>
          <w:sz w:val="36"/>
          <w:szCs w:val="36"/>
          <w:highlight w:val="none"/>
        </w:rPr>
        <w:t>法定代表人（单位负责人）身份证明</w:t>
      </w:r>
    </w:p>
    <w:p w14:paraId="1E3A6F82">
      <w:pPr>
        <w:shd w:val="clear" w:color="auto" w:fill="FFFFFF"/>
        <w:kinsoku w:val="0"/>
        <w:overflowPunct w:val="0"/>
        <w:spacing w:line="200" w:lineRule="exact"/>
        <w:rPr>
          <w:rFonts w:ascii="宋体" w:hAnsi="宋体" w:cs="宋体"/>
          <w:sz w:val="20"/>
          <w:szCs w:val="20"/>
          <w:highlight w:val="none"/>
        </w:rPr>
      </w:pPr>
    </w:p>
    <w:p w14:paraId="7A906691">
      <w:pPr>
        <w:shd w:val="clear" w:color="auto" w:fill="FFFFFF"/>
        <w:tabs>
          <w:tab w:val="left" w:pos="5580"/>
        </w:tabs>
        <w:spacing w:line="360" w:lineRule="auto"/>
        <w:rPr>
          <w:rFonts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szCs w:val="20"/>
          <w:highlight w:val="none"/>
        </w:rPr>
        <w:t>____</w:t>
      </w:r>
      <w:r>
        <w:rPr>
          <w:rFonts w:hint="eastAsia" w:ascii="宋体" w:hAnsi="宋体" w:cs="宋体"/>
          <w:color w:val="000000"/>
          <w:sz w:val="24"/>
          <w:highlight w:val="none"/>
        </w:rPr>
        <w:t>（采购人或采购代理机构）</w:t>
      </w:r>
    </w:p>
    <w:p w14:paraId="342BB252">
      <w:pPr>
        <w:pStyle w:val="32"/>
        <w:shd w:val="clear" w:color="auto" w:fill="FFFFFF"/>
        <w:tabs>
          <w:tab w:val="left" w:pos="2412"/>
          <w:tab w:val="left" w:pos="3883"/>
          <w:tab w:val="left" w:pos="5352"/>
          <w:tab w:val="left" w:pos="6821"/>
        </w:tabs>
        <w:kinsoku w:val="0"/>
        <w:overflowPunct w:val="0"/>
        <w:spacing w:line="335" w:lineRule="exact"/>
        <w:ind w:firstLine="480" w:firstLineChars="200"/>
        <w:rPr>
          <w:rFonts w:cs="宋体"/>
          <w:highlight w:val="none"/>
        </w:rPr>
      </w:pPr>
      <w:r>
        <w:rPr>
          <w:rFonts w:hint="eastAsia" w:cs="宋体"/>
          <w:highlight w:val="none"/>
        </w:rPr>
        <w:t>兹证明，</w:t>
      </w:r>
    </w:p>
    <w:p w14:paraId="2D34DC52">
      <w:pPr>
        <w:pStyle w:val="32"/>
        <w:shd w:val="clear" w:color="auto" w:fill="FFFFFF"/>
        <w:tabs>
          <w:tab w:val="left" w:pos="1690"/>
          <w:tab w:val="left" w:pos="3400"/>
          <w:tab w:val="left" w:pos="5110"/>
          <w:tab w:val="left" w:pos="6821"/>
        </w:tabs>
        <w:kinsoku w:val="0"/>
        <w:overflowPunct w:val="0"/>
        <w:spacing w:line="335" w:lineRule="exact"/>
        <w:rPr>
          <w:rFonts w:cs="宋体"/>
          <w:highlight w:val="none"/>
        </w:rPr>
      </w:pPr>
      <w:r>
        <w:rPr>
          <w:rFonts w:hint="eastAsia" w:cs="宋体"/>
          <w:highlight w:val="none"/>
        </w:rPr>
        <w:t>姓名：</w:t>
      </w:r>
      <w:r>
        <w:rPr>
          <w:rFonts w:hint="eastAsia" w:cs="宋体"/>
          <w:color w:val="000000"/>
          <w:szCs w:val="20"/>
          <w:highlight w:val="none"/>
        </w:rPr>
        <w:t>____</w:t>
      </w:r>
      <w:r>
        <w:rPr>
          <w:rFonts w:hint="eastAsia" w:cs="宋体"/>
          <w:highlight w:val="none"/>
        </w:rPr>
        <w:t>性别：</w:t>
      </w:r>
      <w:r>
        <w:rPr>
          <w:rFonts w:hint="eastAsia" w:cs="宋体"/>
          <w:color w:val="000000"/>
          <w:szCs w:val="20"/>
          <w:highlight w:val="none"/>
        </w:rPr>
        <w:t>____</w:t>
      </w:r>
      <w:r>
        <w:rPr>
          <w:rFonts w:hint="eastAsia" w:cs="宋体"/>
          <w:highlight w:val="none"/>
        </w:rPr>
        <w:t>年龄：</w:t>
      </w:r>
      <w:r>
        <w:rPr>
          <w:rFonts w:hint="eastAsia" w:cs="宋体"/>
          <w:color w:val="000000"/>
          <w:szCs w:val="20"/>
          <w:highlight w:val="none"/>
        </w:rPr>
        <w:t>____</w:t>
      </w:r>
      <w:r>
        <w:rPr>
          <w:rFonts w:hint="eastAsia" w:cs="宋体"/>
          <w:highlight w:val="none"/>
        </w:rPr>
        <w:t>职务：</w:t>
      </w:r>
      <w:r>
        <w:rPr>
          <w:rFonts w:hint="eastAsia" w:cs="宋体"/>
          <w:color w:val="000000"/>
          <w:szCs w:val="20"/>
          <w:highlight w:val="none"/>
        </w:rPr>
        <w:t>____</w:t>
      </w:r>
    </w:p>
    <w:p w14:paraId="03140442">
      <w:pPr>
        <w:pStyle w:val="32"/>
        <w:shd w:val="clear" w:color="auto" w:fill="FFFFFF"/>
        <w:tabs>
          <w:tab w:val="left" w:pos="2412"/>
          <w:tab w:val="left" w:pos="3883"/>
          <w:tab w:val="left" w:pos="5352"/>
          <w:tab w:val="left" w:pos="6821"/>
        </w:tabs>
        <w:kinsoku w:val="0"/>
        <w:overflowPunct w:val="0"/>
        <w:spacing w:line="335" w:lineRule="exact"/>
        <w:rPr>
          <w:rFonts w:cs="宋体"/>
          <w:highlight w:val="none"/>
        </w:rPr>
      </w:pPr>
    </w:p>
    <w:p w14:paraId="08115731">
      <w:pPr>
        <w:pStyle w:val="32"/>
        <w:shd w:val="clear" w:color="auto" w:fill="FFFFFF"/>
        <w:tabs>
          <w:tab w:val="clear" w:pos="567"/>
        </w:tabs>
        <w:kinsoku w:val="0"/>
        <w:overflowPunct w:val="0"/>
        <w:spacing w:line="335" w:lineRule="exact"/>
        <w:rPr>
          <w:rFonts w:cs="宋体"/>
          <w:highlight w:val="none"/>
        </w:rPr>
      </w:pPr>
      <w:r>
        <w:rPr>
          <w:rFonts w:hint="eastAsia" w:cs="宋体"/>
          <w:highlight w:val="none"/>
        </w:rPr>
        <w:t>系</w:t>
      </w:r>
      <w:r>
        <w:rPr>
          <w:rFonts w:hint="eastAsia" w:cs="宋体"/>
          <w:color w:val="000000"/>
          <w:szCs w:val="20"/>
          <w:highlight w:val="none"/>
        </w:rPr>
        <w:t>__________</w:t>
      </w:r>
      <w:r>
        <w:rPr>
          <w:rFonts w:hint="eastAsia" w:cs="宋体"/>
          <w:highlight w:val="none"/>
        </w:rPr>
        <w:t>（供应商名称）的法定代表人（单位负责人）。</w:t>
      </w:r>
    </w:p>
    <w:p w14:paraId="472A558C">
      <w:pPr>
        <w:pStyle w:val="32"/>
        <w:shd w:val="clear" w:color="auto" w:fill="FFFFFF"/>
        <w:tabs>
          <w:tab w:val="left" w:pos="2412"/>
          <w:tab w:val="left" w:pos="3883"/>
          <w:tab w:val="left" w:pos="5352"/>
          <w:tab w:val="left" w:pos="6821"/>
        </w:tabs>
        <w:kinsoku w:val="0"/>
        <w:overflowPunct w:val="0"/>
        <w:spacing w:line="335" w:lineRule="exact"/>
        <w:rPr>
          <w:rFonts w:cs="宋体"/>
          <w:highlight w:val="none"/>
        </w:rPr>
      </w:pPr>
    </w:p>
    <w:p w14:paraId="02804335">
      <w:pPr>
        <w:pStyle w:val="32"/>
        <w:shd w:val="clear" w:color="auto" w:fill="FFFFFF"/>
        <w:tabs>
          <w:tab w:val="left" w:pos="2412"/>
          <w:tab w:val="left" w:pos="3883"/>
          <w:tab w:val="left" w:pos="5352"/>
          <w:tab w:val="left" w:pos="6821"/>
        </w:tabs>
        <w:kinsoku w:val="0"/>
        <w:overflowPunct w:val="0"/>
        <w:spacing w:line="335" w:lineRule="exact"/>
        <w:rPr>
          <w:rFonts w:cs="宋体"/>
          <w:highlight w:val="none"/>
        </w:rPr>
      </w:pPr>
    </w:p>
    <w:p w14:paraId="77C962DD">
      <w:pPr>
        <w:pStyle w:val="32"/>
        <w:shd w:val="clear" w:color="auto" w:fill="FFFFFF"/>
        <w:tabs>
          <w:tab w:val="left" w:pos="2412"/>
          <w:tab w:val="left" w:pos="3883"/>
          <w:tab w:val="left" w:pos="5352"/>
          <w:tab w:val="left" w:pos="6821"/>
        </w:tabs>
        <w:kinsoku w:val="0"/>
        <w:overflowPunct w:val="0"/>
        <w:spacing w:line="335" w:lineRule="exact"/>
        <w:rPr>
          <w:rFonts w:cs="宋体"/>
          <w:highlight w:val="none"/>
        </w:rPr>
      </w:pPr>
    </w:p>
    <w:p w14:paraId="21F129A2">
      <w:pPr>
        <w:pStyle w:val="32"/>
        <w:shd w:val="clear" w:color="auto" w:fill="FFFFFF"/>
        <w:kinsoku w:val="0"/>
        <w:overflowPunct w:val="0"/>
        <w:spacing w:line="583" w:lineRule="auto"/>
        <w:ind w:right="-46"/>
        <w:rPr>
          <w:rFonts w:cs="宋体"/>
          <w:spacing w:val="-3"/>
          <w:highlight w:val="none"/>
        </w:rPr>
      </w:pPr>
      <w:r>
        <w:rPr>
          <w:rFonts w:hint="eastAsia" w:cs="宋体"/>
          <w:highlight w:val="none"/>
        </w:rPr>
        <w:t>附：法定代表人（单位负责人）身份证或护照等身份证明文件电子件：</w:t>
      </w:r>
    </w:p>
    <w:tbl>
      <w:tblPr>
        <w:tblStyle w:val="83"/>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3"/>
      </w:tblGrid>
      <w:tr w14:paraId="6EDF5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8613" w:type="dxa"/>
          </w:tcPr>
          <w:p w14:paraId="76BA11F0">
            <w:pPr>
              <w:shd w:val="clear" w:color="auto" w:fill="FFFFFF"/>
              <w:tabs>
                <w:tab w:val="left" w:pos="5580"/>
              </w:tabs>
              <w:spacing w:line="360" w:lineRule="auto"/>
              <w:jc w:val="left"/>
              <w:rPr>
                <w:rFonts w:ascii="宋体" w:hAnsi="宋体" w:cs="宋体"/>
                <w:color w:val="000000"/>
                <w:sz w:val="24"/>
                <w:szCs w:val="20"/>
                <w:highlight w:val="none"/>
              </w:rPr>
            </w:pPr>
          </w:p>
          <w:p w14:paraId="0999D52A">
            <w:pPr>
              <w:shd w:val="clear" w:color="auto" w:fill="FFFFFF"/>
              <w:tabs>
                <w:tab w:val="left" w:pos="5580"/>
              </w:tabs>
              <w:spacing w:line="360" w:lineRule="auto"/>
              <w:jc w:val="left"/>
              <w:rPr>
                <w:rFonts w:ascii="宋体" w:hAnsi="宋体" w:cs="宋体"/>
                <w:color w:val="000000"/>
                <w:sz w:val="24"/>
                <w:szCs w:val="20"/>
                <w:highlight w:val="none"/>
              </w:rPr>
            </w:pPr>
          </w:p>
          <w:p w14:paraId="3D76B426">
            <w:pPr>
              <w:shd w:val="clear" w:color="auto" w:fill="FFFFFF"/>
              <w:tabs>
                <w:tab w:val="left" w:pos="5580"/>
              </w:tabs>
              <w:spacing w:line="360" w:lineRule="auto"/>
              <w:jc w:val="left"/>
              <w:rPr>
                <w:rFonts w:ascii="宋体" w:hAnsi="宋体" w:cs="宋体"/>
                <w:color w:val="000000"/>
                <w:sz w:val="24"/>
                <w:szCs w:val="20"/>
                <w:highlight w:val="none"/>
              </w:rPr>
            </w:pPr>
          </w:p>
          <w:p w14:paraId="02DAEDDA">
            <w:pPr>
              <w:shd w:val="clear" w:color="auto" w:fill="FFFFFF"/>
              <w:tabs>
                <w:tab w:val="left" w:pos="5580"/>
              </w:tabs>
              <w:spacing w:line="360" w:lineRule="auto"/>
              <w:jc w:val="left"/>
              <w:rPr>
                <w:rFonts w:ascii="宋体" w:hAnsi="宋体" w:cs="宋体"/>
                <w:color w:val="000000"/>
                <w:sz w:val="24"/>
                <w:szCs w:val="20"/>
                <w:highlight w:val="none"/>
              </w:rPr>
            </w:pPr>
          </w:p>
          <w:p w14:paraId="4DAA4D1A">
            <w:pPr>
              <w:shd w:val="clear" w:color="auto" w:fill="FFFFFF"/>
              <w:tabs>
                <w:tab w:val="left" w:pos="5580"/>
              </w:tabs>
              <w:spacing w:line="360" w:lineRule="auto"/>
              <w:jc w:val="left"/>
              <w:rPr>
                <w:rFonts w:ascii="宋体" w:hAnsi="宋体" w:cs="宋体"/>
                <w:color w:val="000000"/>
                <w:sz w:val="24"/>
                <w:szCs w:val="20"/>
                <w:highlight w:val="none"/>
              </w:rPr>
            </w:pPr>
          </w:p>
          <w:p w14:paraId="5736BC19">
            <w:pPr>
              <w:shd w:val="clear" w:color="auto" w:fill="FFFFFF"/>
              <w:tabs>
                <w:tab w:val="left" w:pos="5580"/>
              </w:tabs>
              <w:spacing w:line="360" w:lineRule="auto"/>
              <w:jc w:val="left"/>
              <w:rPr>
                <w:rFonts w:ascii="宋体" w:hAnsi="宋体" w:cs="宋体"/>
                <w:color w:val="000000"/>
                <w:sz w:val="24"/>
                <w:szCs w:val="20"/>
                <w:highlight w:val="none"/>
              </w:rPr>
            </w:pPr>
          </w:p>
        </w:tc>
      </w:tr>
    </w:tbl>
    <w:p w14:paraId="3E7AAA25">
      <w:pPr>
        <w:pStyle w:val="32"/>
        <w:shd w:val="clear" w:color="auto" w:fill="FFFFFF"/>
        <w:kinsoku w:val="0"/>
        <w:overflowPunct w:val="0"/>
        <w:spacing w:line="583" w:lineRule="auto"/>
        <w:ind w:right="4305"/>
        <w:rPr>
          <w:rFonts w:cs="宋体"/>
          <w:spacing w:val="-3"/>
          <w:highlight w:val="none"/>
        </w:rPr>
      </w:pPr>
    </w:p>
    <w:p w14:paraId="77DAD999">
      <w:pPr>
        <w:pStyle w:val="32"/>
        <w:shd w:val="clear" w:color="auto" w:fill="FFFFFF"/>
        <w:kinsoku w:val="0"/>
        <w:overflowPunct w:val="0"/>
        <w:spacing w:line="583" w:lineRule="auto"/>
        <w:ind w:right="4305"/>
        <w:rPr>
          <w:rFonts w:cs="宋体"/>
          <w:spacing w:val="-3"/>
          <w:highlight w:val="none"/>
        </w:rPr>
      </w:pPr>
    </w:p>
    <w:p w14:paraId="0851CB4A">
      <w:pPr>
        <w:pStyle w:val="32"/>
        <w:shd w:val="clear" w:color="auto" w:fill="FFFFFF"/>
        <w:kinsoku w:val="0"/>
        <w:overflowPunct w:val="0"/>
        <w:spacing w:line="583" w:lineRule="auto"/>
        <w:ind w:right="4305"/>
        <w:rPr>
          <w:rFonts w:cs="宋体"/>
          <w:spacing w:val="-3"/>
          <w:highlight w:val="none"/>
        </w:rPr>
      </w:pPr>
    </w:p>
    <w:p w14:paraId="0843D405">
      <w:pPr>
        <w:shd w:val="clear" w:color="auto" w:fill="FFFFFF"/>
        <w:autoSpaceDE w:val="0"/>
        <w:autoSpaceDN w:val="0"/>
        <w:adjustRightInd w:val="0"/>
        <w:snapToGrid w:val="0"/>
        <w:spacing w:line="360" w:lineRule="auto"/>
        <w:rPr>
          <w:rFonts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sz w:val="24"/>
          <w:highlight w:val="none"/>
        </w:rPr>
        <w:t>______</w:t>
      </w:r>
    </w:p>
    <w:p w14:paraId="4B121B88">
      <w:pPr>
        <w:shd w:val="clear" w:color="auto" w:fill="FFFFFF"/>
        <w:autoSpaceDE w:val="0"/>
        <w:autoSpaceDN w:val="0"/>
        <w:adjustRightInd w:val="0"/>
        <w:snapToGrid w:val="0"/>
        <w:spacing w:line="360" w:lineRule="auto"/>
        <w:rPr>
          <w:rFonts w:ascii="宋体" w:hAnsi="宋体" w:cs="宋体"/>
          <w:color w:val="000000"/>
          <w:sz w:val="24"/>
          <w:highlight w:val="none"/>
          <w:lang w:val="zh-CN"/>
        </w:rPr>
      </w:pPr>
      <w:r>
        <w:rPr>
          <w:rFonts w:hint="eastAsia" w:ascii="宋体" w:hAnsi="宋体" w:cs="宋体"/>
          <w:spacing w:val="-3"/>
          <w:sz w:val="24"/>
          <w:highlight w:val="none"/>
        </w:rPr>
        <w:t>法定代表人（</w:t>
      </w:r>
      <w:r>
        <w:rPr>
          <w:rFonts w:hint="eastAsia" w:ascii="宋体" w:hAnsi="宋体" w:cs="宋体"/>
          <w:sz w:val="24"/>
          <w:highlight w:val="none"/>
        </w:rPr>
        <w:t>单位负责人</w:t>
      </w:r>
      <w:r>
        <w:rPr>
          <w:rFonts w:hint="eastAsia" w:ascii="宋体" w:hAnsi="宋体" w:cs="宋体"/>
          <w:spacing w:val="-3"/>
          <w:sz w:val="24"/>
          <w:highlight w:val="none"/>
        </w:rPr>
        <w:t>）（签字</w:t>
      </w:r>
      <w:r>
        <w:rPr>
          <w:rFonts w:hint="eastAsia" w:ascii="宋体" w:hAnsi="宋体" w:cs="宋体"/>
          <w:color w:val="000000"/>
          <w:sz w:val="24"/>
          <w:szCs w:val="20"/>
          <w:highlight w:val="none"/>
        </w:rPr>
        <w:t>或签章</w:t>
      </w:r>
      <w:r>
        <w:rPr>
          <w:rFonts w:hint="eastAsia" w:ascii="宋体" w:hAnsi="宋体" w:cs="宋体"/>
          <w:spacing w:val="-3"/>
          <w:sz w:val="24"/>
          <w:highlight w:val="none"/>
        </w:rPr>
        <w:t>）：</w:t>
      </w:r>
      <w:r>
        <w:rPr>
          <w:rFonts w:hint="eastAsia" w:ascii="宋体" w:hAnsi="宋体" w:cs="宋体"/>
          <w:sz w:val="24"/>
          <w:highlight w:val="none"/>
        </w:rPr>
        <w:t>______</w:t>
      </w:r>
    </w:p>
    <w:p w14:paraId="3CD7534E">
      <w:pPr>
        <w:shd w:val="clear" w:color="auto" w:fill="FFFFFF"/>
        <w:autoSpaceDE w:val="0"/>
        <w:autoSpaceDN w:val="0"/>
        <w:adjustRightInd w:val="0"/>
        <w:snapToGrid w:val="0"/>
        <w:spacing w:line="360" w:lineRule="auto"/>
        <w:rPr>
          <w:rFonts w:ascii="宋体" w:hAnsi="宋体" w:cs="宋体"/>
          <w:color w:val="000000"/>
          <w:sz w:val="24"/>
          <w:highlight w:val="none"/>
          <w:lang w:val="zh-CN"/>
        </w:rPr>
      </w:pPr>
      <w:r>
        <w:rPr>
          <w:rFonts w:hint="eastAsia" w:ascii="宋体" w:hAnsi="宋体" w:cs="宋体"/>
          <w:color w:val="000000"/>
          <w:sz w:val="24"/>
          <w:highlight w:val="none"/>
        </w:rPr>
        <w:t>日期：</w:t>
      </w:r>
      <w:r>
        <w:rPr>
          <w:rFonts w:hint="eastAsia" w:ascii="宋体" w:hAnsi="宋体" w:cs="宋体"/>
          <w:color w:val="000000"/>
          <w:sz w:val="24"/>
          <w:szCs w:val="20"/>
          <w:highlight w:val="none"/>
        </w:rPr>
        <w:t>____年____月____日</w:t>
      </w:r>
    </w:p>
    <w:p w14:paraId="5913360B">
      <w:pPr>
        <w:widowControl/>
        <w:shd w:val="clear" w:color="auto" w:fill="FFFFFF"/>
        <w:jc w:val="left"/>
        <w:rPr>
          <w:rFonts w:ascii="宋体" w:hAnsi="宋体" w:cs="宋体"/>
          <w:i/>
          <w:color w:val="000000"/>
          <w:sz w:val="24"/>
          <w:szCs w:val="20"/>
          <w:highlight w:val="none"/>
          <w:u w:val="single"/>
        </w:rPr>
      </w:pPr>
    </w:p>
    <w:p w14:paraId="0DBC38D6">
      <w:pPr>
        <w:widowControl/>
        <w:shd w:val="clear" w:color="auto" w:fill="FFFFFF"/>
        <w:jc w:val="left"/>
        <w:rPr>
          <w:rFonts w:ascii="宋体" w:hAnsi="宋体" w:cs="宋体"/>
          <w:color w:val="000000"/>
          <w:sz w:val="24"/>
          <w:szCs w:val="20"/>
          <w:highlight w:val="none"/>
        </w:rPr>
      </w:pPr>
      <w:r>
        <w:rPr>
          <w:rFonts w:hint="eastAsia" w:ascii="宋体" w:hAnsi="宋体" w:cs="宋体"/>
          <w:color w:val="000000"/>
          <w:sz w:val="24"/>
          <w:szCs w:val="20"/>
          <w:highlight w:val="none"/>
        </w:rPr>
        <w:br w:type="page"/>
      </w:r>
    </w:p>
    <w:p w14:paraId="454257E8">
      <w:pPr>
        <w:shd w:val="clear" w:color="auto" w:fill="FFFFFF"/>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7  报价一览表</w:t>
      </w:r>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p>
    <w:p w14:paraId="4B052BFD">
      <w:pPr>
        <w:shd w:val="clear" w:color="auto" w:fill="FFFFFF"/>
        <w:jc w:val="center"/>
        <w:rPr>
          <w:rFonts w:ascii="宋体" w:hAnsi="宋体" w:cs="宋体"/>
          <w:b/>
          <w:color w:val="000000"/>
          <w:sz w:val="36"/>
          <w:szCs w:val="36"/>
          <w:highlight w:val="none"/>
        </w:rPr>
      </w:pPr>
      <w:bookmarkStart w:id="1849" w:name="_Toc305158826"/>
      <w:bookmarkStart w:id="1850" w:name="_Toc226309802"/>
      <w:bookmarkStart w:id="1851" w:name="_Toc265228396"/>
      <w:bookmarkStart w:id="1852" w:name="_Toc226965831"/>
      <w:bookmarkStart w:id="1853" w:name="_Toc164608672"/>
      <w:bookmarkStart w:id="1854" w:name="_Toc195842923"/>
      <w:bookmarkStart w:id="1855" w:name="_Toc164608827"/>
      <w:bookmarkStart w:id="1856" w:name="_Toc264969248"/>
      <w:bookmarkStart w:id="1857" w:name="_Toc305158900"/>
      <w:bookmarkStart w:id="1858" w:name="_Toc226337254"/>
      <w:bookmarkStart w:id="1859" w:name="_Toc226965748"/>
      <w:r>
        <w:rPr>
          <w:rFonts w:hint="eastAsia" w:ascii="宋体" w:hAnsi="宋体" w:cs="宋体"/>
          <w:b/>
          <w:color w:val="000000"/>
          <w:sz w:val="36"/>
          <w:szCs w:val="36"/>
          <w:highlight w:val="none"/>
        </w:rPr>
        <w:t>报价一览表</w:t>
      </w:r>
      <w:bookmarkEnd w:id="1849"/>
      <w:bookmarkEnd w:id="1850"/>
      <w:bookmarkEnd w:id="1851"/>
      <w:bookmarkEnd w:id="1852"/>
      <w:bookmarkEnd w:id="1853"/>
      <w:bookmarkEnd w:id="1854"/>
      <w:bookmarkEnd w:id="1855"/>
      <w:bookmarkEnd w:id="1856"/>
      <w:bookmarkEnd w:id="1857"/>
      <w:bookmarkEnd w:id="1858"/>
      <w:bookmarkEnd w:id="1859"/>
    </w:p>
    <w:p w14:paraId="4B4CBD91">
      <w:pPr>
        <w:shd w:val="clear" w:color="auto" w:fill="FFFFFF"/>
        <w:tabs>
          <w:tab w:val="left" w:pos="1800"/>
          <w:tab w:val="left" w:pos="5580"/>
        </w:tabs>
        <w:spacing w:line="360" w:lineRule="auto"/>
        <w:jc w:val="left"/>
        <w:rPr>
          <w:rFonts w:ascii="宋体" w:hAnsi="宋体" w:cs="宋体"/>
          <w:color w:val="000000"/>
          <w:sz w:val="24"/>
          <w:highlight w:val="none"/>
        </w:rPr>
      </w:pPr>
    </w:p>
    <w:p w14:paraId="13C3F4FD">
      <w:pPr>
        <w:tabs>
          <w:tab w:val="left" w:pos="1800"/>
          <w:tab w:val="left" w:pos="5580"/>
        </w:tabs>
        <w:spacing w:line="360" w:lineRule="auto"/>
        <w:ind w:firstLine="240" w:firstLineChars="100"/>
        <w:jc w:val="left"/>
        <w:rPr>
          <w:rFonts w:ascii="宋体" w:hAnsi="宋体"/>
          <w:sz w:val="24"/>
          <w:highlight w:val="none"/>
          <w:u w:val="single"/>
        </w:rPr>
      </w:pPr>
      <w:r>
        <w:rPr>
          <w:rFonts w:ascii="宋体" w:hAnsi="宋体"/>
          <w:sz w:val="24"/>
          <w:highlight w:val="none"/>
        </w:rPr>
        <w:t>项目</w:t>
      </w:r>
      <w:r>
        <w:rPr>
          <w:rFonts w:hint="eastAsia" w:ascii="宋体" w:hAnsi="宋体"/>
          <w:sz w:val="24"/>
          <w:highlight w:val="none"/>
        </w:rPr>
        <w:t>代理</w:t>
      </w:r>
      <w:r>
        <w:rPr>
          <w:rFonts w:ascii="宋体" w:hAnsi="宋体"/>
          <w:sz w:val="24"/>
          <w:highlight w:val="none"/>
        </w:rPr>
        <w:t>编号：___________     项目名称：___________</w:t>
      </w:r>
    </w:p>
    <w:tbl>
      <w:tblPr>
        <w:tblStyle w:val="83"/>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5"/>
        <w:gridCol w:w="3827"/>
        <w:gridCol w:w="1985"/>
        <w:gridCol w:w="2453"/>
      </w:tblGrid>
      <w:tr w14:paraId="193A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95" w:type="dxa"/>
            <w:vMerge w:val="restart"/>
            <w:tcBorders>
              <w:top w:val="single" w:color="auto" w:sz="4" w:space="0"/>
              <w:left w:val="single" w:color="auto" w:sz="4" w:space="0"/>
              <w:bottom w:val="single" w:color="auto" w:sz="4" w:space="0"/>
              <w:right w:val="single" w:color="auto" w:sz="4" w:space="0"/>
            </w:tcBorders>
            <w:vAlign w:val="center"/>
          </w:tcPr>
          <w:p w14:paraId="05204CE9">
            <w:pPr>
              <w:shd w:val="clear" w:color="auto" w:fill="FFFFFF"/>
              <w:tabs>
                <w:tab w:val="left" w:pos="5580"/>
              </w:tabs>
              <w:jc w:val="center"/>
              <w:rPr>
                <w:b/>
                <w:sz w:val="24"/>
                <w:highlight w:val="none"/>
              </w:rPr>
            </w:pPr>
            <w:r>
              <w:rPr>
                <w:rFonts w:hint="eastAsia"/>
                <w:b/>
                <w:sz w:val="24"/>
                <w:highlight w:val="none"/>
              </w:rPr>
              <w:t>序号</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14:paraId="22B659CA">
            <w:pPr>
              <w:shd w:val="clear" w:color="auto" w:fill="FFFFFF"/>
              <w:tabs>
                <w:tab w:val="left" w:pos="5580"/>
              </w:tabs>
              <w:jc w:val="center"/>
              <w:rPr>
                <w:b/>
                <w:sz w:val="24"/>
                <w:highlight w:val="none"/>
              </w:rPr>
            </w:pPr>
            <w:r>
              <w:rPr>
                <w:rFonts w:hint="eastAsia"/>
                <w:b/>
                <w:sz w:val="24"/>
                <w:highlight w:val="none"/>
              </w:rPr>
              <w:t>供应商名称</w:t>
            </w:r>
          </w:p>
        </w:tc>
        <w:tc>
          <w:tcPr>
            <w:tcW w:w="4438" w:type="dxa"/>
            <w:gridSpan w:val="2"/>
            <w:tcBorders>
              <w:top w:val="single" w:color="auto" w:sz="4" w:space="0"/>
              <w:left w:val="single" w:color="auto" w:sz="4" w:space="0"/>
              <w:bottom w:val="single" w:color="auto" w:sz="4" w:space="0"/>
              <w:right w:val="single" w:color="auto" w:sz="4" w:space="0"/>
            </w:tcBorders>
            <w:vAlign w:val="center"/>
          </w:tcPr>
          <w:p w14:paraId="1EA94738">
            <w:pPr>
              <w:shd w:val="clear" w:color="auto" w:fill="FFFFFF"/>
              <w:tabs>
                <w:tab w:val="left" w:pos="5580"/>
              </w:tabs>
              <w:jc w:val="center"/>
              <w:rPr>
                <w:b/>
                <w:sz w:val="24"/>
                <w:highlight w:val="none"/>
              </w:rPr>
            </w:pPr>
            <w:r>
              <w:rPr>
                <w:rFonts w:hint="eastAsia"/>
                <w:b/>
                <w:sz w:val="24"/>
                <w:highlight w:val="none"/>
              </w:rPr>
              <w:t>报价</w:t>
            </w:r>
          </w:p>
        </w:tc>
      </w:tr>
      <w:tr w14:paraId="1F13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2B7695E6">
            <w:pPr>
              <w:widowControl/>
              <w:shd w:val="clear" w:color="auto" w:fill="FFFFFF"/>
              <w:jc w:val="left"/>
              <w:rPr>
                <w:b/>
                <w:sz w:val="24"/>
                <w:highlight w:val="none"/>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14:paraId="2821BBA2">
            <w:pPr>
              <w:widowControl/>
              <w:shd w:val="clear" w:color="auto" w:fill="FFFFFF"/>
              <w:jc w:val="left"/>
              <w:rPr>
                <w:b/>
                <w:sz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2BD4114E">
            <w:pPr>
              <w:shd w:val="clear" w:color="auto" w:fill="FFFFFF"/>
              <w:tabs>
                <w:tab w:val="left" w:pos="5580"/>
              </w:tabs>
              <w:jc w:val="center"/>
              <w:rPr>
                <w:b/>
                <w:sz w:val="24"/>
                <w:highlight w:val="none"/>
              </w:rPr>
            </w:pPr>
            <w:r>
              <w:rPr>
                <w:rFonts w:hint="eastAsia"/>
                <w:b/>
                <w:sz w:val="24"/>
                <w:highlight w:val="none"/>
              </w:rPr>
              <w:t>大写</w:t>
            </w:r>
          </w:p>
        </w:tc>
        <w:tc>
          <w:tcPr>
            <w:tcW w:w="2453" w:type="dxa"/>
            <w:tcBorders>
              <w:top w:val="single" w:color="auto" w:sz="4" w:space="0"/>
              <w:left w:val="single" w:color="auto" w:sz="4" w:space="0"/>
              <w:bottom w:val="single" w:color="auto" w:sz="4" w:space="0"/>
              <w:right w:val="single" w:color="auto" w:sz="4" w:space="0"/>
            </w:tcBorders>
            <w:vAlign w:val="center"/>
          </w:tcPr>
          <w:p w14:paraId="03FC80AD">
            <w:pPr>
              <w:shd w:val="clear" w:color="auto" w:fill="FFFFFF"/>
              <w:tabs>
                <w:tab w:val="left" w:pos="5580"/>
              </w:tabs>
              <w:jc w:val="center"/>
              <w:rPr>
                <w:b/>
                <w:sz w:val="24"/>
                <w:highlight w:val="none"/>
              </w:rPr>
            </w:pPr>
            <w:r>
              <w:rPr>
                <w:rFonts w:hint="eastAsia"/>
                <w:b/>
                <w:sz w:val="24"/>
                <w:highlight w:val="none"/>
              </w:rPr>
              <w:t>小写</w:t>
            </w:r>
          </w:p>
        </w:tc>
      </w:tr>
      <w:tr w14:paraId="4932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2BBA78C">
            <w:pPr>
              <w:shd w:val="clear" w:color="auto" w:fill="FFFFFF"/>
              <w:tabs>
                <w:tab w:val="left" w:pos="5580"/>
              </w:tabs>
              <w:jc w:val="center"/>
              <w:rPr>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0C1262C7">
            <w:pPr>
              <w:shd w:val="clear" w:color="auto" w:fill="FFFFFF"/>
              <w:tabs>
                <w:tab w:val="left" w:pos="5580"/>
              </w:tabs>
              <w:jc w:val="center"/>
              <w:rPr>
                <w:sz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7440B9C2">
            <w:pPr>
              <w:shd w:val="clear" w:color="auto" w:fill="FFFFFF"/>
              <w:tabs>
                <w:tab w:val="left" w:pos="5580"/>
              </w:tabs>
              <w:jc w:val="center"/>
              <w:rPr>
                <w:sz w:val="24"/>
                <w:highlight w:val="none"/>
              </w:rPr>
            </w:pPr>
          </w:p>
        </w:tc>
        <w:tc>
          <w:tcPr>
            <w:tcW w:w="2453" w:type="dxa"/>
            <w:tcBorders>
              <w:top w:val="single" w:color="auto" w:sz="4" w:space="0"/>
              <w:left w:val="single" w:color="auto" w:sz="4" w:space="0"/>
              <w:bottom w:val="single" w:color="auto" w:sz="4" w:space="0"/>
              <w:right w:val="single" w:color="auto" w:sz="4" w:space="0"/>
            </w:tcBorders>
            <w:vAlign w:val="center"/>
          </w:tcPr>
          <w:p w14:paraId="575453F6">
            <w:pPr>
              <w:shd w:val="clear" w:color="auto" w:fill="FFFFFF"/>
              <w:tabs>
                <w:tab w:val="left" w:pos="5580"/>
              </w:tabs>
              <w:jc w:val="center"/>
              <w:rPr>
                <w:sz w:val="24"/>
                <w:highlight w:val="none"/>
              </w:rPr>
            </w:pPr>
          </w:p>
        </w:tc>
      </w:tr>
    </w:tbl>
    <w:p w14:paraId="7B95A175">
      <w:pPr>
        <w:shd w:val="clear" w:color="auto" w:fill="FFFFFF"/>
        <w:autoSpaceDE w:val="0"/>
        <w:autoSpaceDN w:val="0"/>
        <w:adjustRightInd w:val="0"/>
        <w:jc w:val="left"/>
        <w:rPr>
          <w:rFonts w:ascii="宋体" w:hAnsi="宋体" w:cs="宋体"/>
          <w:color w:val="000000"/>
          <w:kern w:val="0"/>
          <w:sz w:val="24"/>
          <w:highlight w:val="none"/>
        </w:rPr>
      </w:pPr>
    </w:p>
    <w:p w14:paraId="66A6FC0A">
      <w:pPr>
        <w:shd w:val="clear" w:color="auto" w:fill="FFFFFF"/>
        <w:autoSpaceDE w:val="0"/>
        <w:autoSpaceDN w:val="0"/>
        <w:adjustRightInd w:val="0"/>
        <w:jc w:val="left"/>
        <w:rPr>
          <w:rFonts w:ascii="宋体" w:hAnsi="宋体" w:cs="宋体"/>
          <w:color w:val="000000"/>
          <w:sz w:val="24"/>
          <w:szCs w:val="20"/>
          <w:highlight w:val="none"/>
        </w:rPr>
      </w:pPr>
      <w:r>
        <w:rPr>
          <w:rFonts w:hint="eastAsia" w:ascii="宋体" w:hAnsi="宋体" w:cs="宋体"/>
          <w:color w:val="000000"/>
          <w:kern w:val="0"/>
          <w:sz w:val="24"/>
          <w:highlight w:val="none"/>
        </w:rPr>
        <w:t>注：1</w:t>
      </w:r>
      <w:r>
        <w:rPr>
          <w:rFonts w:hint="eastAsia" w:ascii="宋体" w:hAnsi="宋体" w:cs="宋体"/>
          <w:color w:val="000000"/>
          <w:sz w:val="24"/>
          <w:szCs w:val="20"/>
          <w:highlight w:val="none"/>
        </w:rPr>
        <w:t>.此表中，每包的报价应和《分项报价表》中的总价相一致。</w:t>
      </w:r>
    </w:p>
    <w:p w14:paraId="13D2E496">
      <w:pPr>
        <w:pStyle w:val="32"/>
        <w:ind w:firstLine="480" w:firstLineChars="200"/>
        <w:rPr>
          <w:rFonts w:cs="宋体"/>
          <w:highlight w:val="none"/>
        </w:rPr>
      </w:pPr>
      <w:r>
        <w:rPr>
          <w:rFonts w:hint="eastAsia" w:cs="宋体"/>
          <w:highlight w:val="none"/>
        </w:rPr>
        <w:t>2.本表必须按包分别填写。</w:t>
      </w:r>
    </w:p>
    <w:p w14:paraId="2B9F5DFB">
      <w:pPr>
        <w:shd w:val="clear" w:color="auto" w:fill="FFFFFF"/>
        <w:tabs>
          <w:tab w:val="left" w:pos="5580"/>
        </w:tabs>
        <w:ind w:firstLine="480" w:firstLineChars="200"/>
        <w:rPr>
          <w:rFonts w:ascii="宋体" w:hAnsi="宋体" w:cs="宋体"/>
          <w:color w:val="000000"/>
          <w:sz w:val="24"/>
          <w:szCs w:val="20"/>
          <w:highlight w:val="none"/>
        </w:rPr>
      </w:pPr>
    </w:p>
    <w:p w14:paraId="36565824">
      <w:pPr>
        <w:shd w:val="clear" w:color="auto" w:fill="FFFFFF"/>
        <w:autoSpaceDE w:val="0"/>
        <w:autoSpaceDN w:val="0"/>
        <w:adjustRightInd w:val="0"/>
        <w:snapToGrid w:val="0"/>
        <w:spacing w:before="25" w:after="25" w:line="360" w:lineRule="auto"/>
        <w:rPr>
          <w:rFonts w:ascii="宋体" w:hAnsi="宋体" w:cs="宋体"/>
          <w:color w:val="000000"/>
          <w:sz w:val="24"/>
          <w:highlight w:val="none"/>
          <w:lang w:val="zh-CN"/>
        </w:rPr>
      </w:pPr>
    </w:p>
    <w:p w14:paraId="7E3F8917">
      <w:pPr>
        <w:shd w:val="clear" w:color="auto" w:fill="FFFFFF"/>
        <w:autoSpaceDE w:val="0"/>
        <w:autoSpaceDN w:val="0"/>
        <w:adjustRightInd w:val="0"/>
        <w:snapToGrid w:val="0"/>
        <w:spacing w:before="25" w:after="25" w:line="360" w:lineRule="auto"/>
        <w:rPr>
          <w:rFonts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2239E405">
      <w:pPr>
        <w:shd w:val="clear" w:color="auto" w:fill="FFFFFF"/>
        <w:autoSpaceDE w:val="0"/>
        <w:autoSpaceDN w:val="0"/>
        <w:adjustRightInd w:val="0"/>
        <w:snapToGrid w:val="0"/>
        <w:spacing w:before="25" w:after="25" w:line="360" w:lineRule="auto"/>
        <w:rPr>
          <w:rFonts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sz w:val="24"/>
          <w:highlight w:val="none"/>
        </w:rPr>
        <w:t>___________</w:t>
      </w:r>
    </w:p>
    <w:p w14:paraId="43026ED7">
      <w:pPr>
        <w:shd w:val="clear" w:color="auto" w:fill="FFFFFF"/>
        <w:autoSpaceDE w:val="0"/>
        <w:autoSpaceDN w:val="0"/>
        <w:adjustRightInd w:val="0"/>
        <w:snapToGrid w:val="0"/>
        <w:spacing w:line="360" w:lineRule="auto"/>
        <w:rPr>
          <w:rFonts w:ascii="宋体" w:hAnsi="宋体" w:cs="宋体"/>
          <w:color w:val="000000"/>
          <w:sz w:val="24"/>
          <w:highlight w:val="none"/>
          <w:lang w:val="zh-CN"/>
        </w:rPr>
      </w:pPr>
      <w:r>
        <w:rPr>
          <w:rFonts w:hint="eastAsia" w:ascii="宋体" w:hAnsi="宋体" w:cs="宋体"/>
          <w:color w:val="000000"/>
          <w:sz w:val="24"/>
          <w:highlight w:val="none"/>
        </w:rPr>
        <w:t>日期：</w:t>
      </w:r>
      <w:r>
        <w:rPr>
          <w:rFonts w:hint="eastAsia" w:ascii="宋体" w:hAnsi="宋体" w:cs="宋体"/>
          <w:color w:val="000000"/>
          <w:sz w:val="24"/>
          <w:szCs w:val="20"/>
          <w:highlight w:val="none"/>
        </w:rPr>
        <w:t>____年____月____日</w:t>
      </w:r>
    </w:p>
    <w:p w14:paraId="21600924">
      <w:pPr>
        <w:shd w:val="clear" w:color="auto" w:fill="FFFFFF"/>
        <w:autoSpaceDE w:val="0"/>
        <w:autoSpaceDN w:val="0"/>
        <w:adjustRightInd w:val="0"/>
        <w:snapToGrid w:val="0"/>
        <w:spacing w:before="25" w:after="25" w:line="360" w:lineRule="auto"/>
        <w:rPr>
          <w:rFonts w:ascii="宋体" w:hAnsi="宋体" w:cs="宋体"/>
          <w:color w:val="000000"/>
          <w:sz w:val="24"/>
          <w:highlight w:val="none"/>
          <w:lang w:val="zh-CN"/>
        </w:rPr>
      </w:pPr>
      <w:r>
        <w:rPr>
          <w:rFonts w:hint="eastAsia" w:ascii="宋体" w:hAnsi="宋体" w:cs="宋体"/>
          <w:color w:val="000000"/>
          <w:sz w:val="24"/>
          <w:szCs w:val="20"/>
          <w:highlight w:val="none"/>
        </w:rPr>
        <w:t xml:space="preserve">  </w:t>
      </w:r>
    </w:p>
    <w:p w14:paraId="4E8DDE04">
      <w:pPr>
        <w:widowControl/>
        <w:shd w:val="clear" w:color="auto" w:fill="FFFFFF"/>
        <w:jc w:val="left"/>
        <w:rPr>
          <w:rFonts w:ascii="宋体" w:hAnsi="宋体" w:cs="宋体"/>
          <w:color w:val="000000"/>
          <w:sz w:val="24"/>
          <w:szCs w:val="20"/>
          <w:highlight w:val="none"/>
        </w:rPr>
        <w:sectPr>
          <w:pgSz w:w="11907" w:h="16840"/>
          <w:pgMar w:top="1417" w:right="1417" w:bottom="1417" w:left="1417" w:header="851" w:footer="851" w:gutter="0"/>
          <w:cols w:space="720" w:num="1"/>
          <w:docGrid w:linePitch="462" w:charSpace="0"/>
        </w:sectPr>
      </w:pPr>
      <w:bookmarkStart w:id="1860" w:name="_Toc226965832"/>
      <w:bookmarkStart w:id="1861" w:name="_Toc150774763"/>
      <w:bookmarkStart w:id="1862" w:name="_Toc226309803"/>
      <w:bookmarkStart w:id="1863" w:name="_Toc226337255"/>
      <w:bookmarkStart w:id="1864" w:name="_Toc127151558"/>
      <w:bookmarkStart w:id="1865" w:name="_Toc264969249"/>
      <w:bookmarkStart w:id="1866" w:name="_Toc142311060"/>
      <w:bookmarkStart w:id="1867" w:name="_Toc305158901"/>
      <w:bookmarkStart w:id="1868" w:name="_Toc226965749"/>
      <w:bookmarkStart w:id="1869" w:name="_Toc195842924"/>
      <w:bookmarkStart w:id="1870" w:name="_Toc150480796"/>
      <w:bookmarkStart w:id="1871" w:name="_Toc265228397"/>
      <w:bookmarkStart w:id="1872" w:name="_Toc305158827"/>
    </w:p>
    <w:p w14:paraId="2958E28B">
      <w:pPr>
        <w:pStyle w:val="32"/>
        <w:rPr>
          <w:highlight w:val="none"/>
        </w:rPr>
      </w:pPr>
    </w:p>
    <w:p w14:paraId="4E569C2D">
      <w:pPr>
        <w:shd w:val="clear" w:color="auto" w:fill="FFFFFF"/>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 xml:space="preserve">8 </w:t>
      </w:r>
      <w:bookmarkEnd w:id="1860"/>
      <w:bookmarkEnd w:id="1861"/>
      <w:bookmarkEnd w:id="1862"/>
      <w:bookmarkEnd w:id="1863"/>
      <w:bookmarkEnd w:id="1864"/>
      <w:bookmarkEnd w:id="1865"/>
      <w:bookmarkEnd w:id="1866"/>
      <w:bookmarkEnd w:id="1867"/>
      <w:bookmarkEnd w:id="1868"/>
      <w:bookmarkEnd w:id="1869"/>
      <w:bookmarkEnd w:id="1870"/>
      <w:bookmarkEnd w:id="1871"/>
      <w:bookmarkEnd w:id="1872"/>
      <w:r>
        <w:rPr>
          <w:rFonts w:hint="eastAsia" w:ascii="宋体" w:hAnsi="宋体" w:cs="宋体"/>
          <w:sz w:val="24"/>
          <w:highlight w:val="none"/>
        </w:rPr>
        <w:t>已标价工程量清单（响应报价）</w:t>
      </w:r>
    </w:p>
    <w:p w14:paraId="3480CCFA">
      <w:pPr>
        <w:spacing w:after="68" w:line="259" w:lineRule="auto"/>
        <w:rPr>
          <w:rFonts w:ascii="宋体" w:hAnsi="宋体" w:cs="宋体"/>
          <w:highlight w:val="none"/>
        </w:rPr>
      </w:pPr>
    </w:p>
    <w:p w14:paraId="5DBC8309">
      <w:pPr>
        <w:spacing w:line="326" w:lineRule="auto"/>
        <w:ind w:left="10"/>
        <w:rPr>
          <w:rFonts w:ascii="宋体" w:hAnsi="宋体" w:cs="宋体"/>
          <w:highlight w:val="none"/>
        </w:rPr>
      </w:pPr>
      <w:r>
        <w:rPr>
          <w:rFonts w:hint="eastAsia" w:ascii="宋体" w:hAnsi="宋体" w:cs="宋体"/>
          <w:highlight w:val="none"/>
        </w:rPr>
        <w:t xml:space="preserve">说明：已标价工程量清单按第七章“工程量清单”中的相关清单表格式填写。构成合同文件的已标价工程量清单包括第七章“工程量清单”有关工程量清单、响应报价以及其他说明的内容。 </w:t>
      </w:r>
    </w:p>
    <w:p w14:paraId="7AB0D616">
      <w:pPr>
        <w:spacing w:before="103" w:line="315" w:lineRule="auto"/>
        <w:ind w:left="169" w:right="4678" w:hanging="52"/>
        <w:rPr>
          <w:rFonts w:ascii="宋体" w:hAnsi="宋体" w:cs="宋体"/>
          <w:sz w:val="24"/>
          <w:highlight w:val="none"/>
        </w:rPr>
      </w:pPr>
    </w:p>
    <w:p w14:paraId="2366F389">
      <w:pPr>
        <w:spacing w:line="315" w:lineRule="auto"/>
        <w:rPr>
          <w:rFonts w:ascii="微软雅黑" w:hAnsi="微软雅黑" w:eastAsia="微软雅黑" w:cs="微软雅黑"/>
          <w:sz w:val="24"/>
          <w:highlight w:val="none"/>
        </w:rPr>
        <w:sectPr>
          <w:headerReference r:id="rId42" w:type="default"/>
          <w:footerReference r:id="rId43" w:type="default"/>
          <w:pgSz w:w="11907" w:h="16840"/>
          <w:pgMar w:top="1149" w:right="1021" w:bottom="1060" w:left="1588" w:header="875" w:footer="886" w:gutter="0"/>
          <w:cols w:space="720" w:num="1"/>
        </w:sectPr>
      </w:pPr>
    </w:p>
    <w:p w14:paraId="7DE83B6A">
      <w:pPr>
        <w:tabs>
          <w:tab w:val="left" w:pos="1800"/>
          <w:tab w:val="left" w:pos="5580"/>
        </w:tabs>
        <w:ind w:firstLine="480" w:firstLineChars="200"/>
        <w:jc w:val="left"/>
        <w:rPr>
          <w:rFonts w:ascii="宋体" w:hAnsi="宋体" w:cs="宋体"/>
          <w:sz w:val="24"/>
          <w:highlight w:val="none"/>
        </w:rPr>
      </w:pPr>
    </w:p>
    <w:p w14:paraId="5B83B1A8">
      <w:pPr>
        <w:shd w:val="clear" w:color="auto" w:fill="FFFFFF"/>
        <w:tabs>
          <w:tab w:val="left" w:pos="360"/>
        </w:tabs>
        <w:snapToGrid w:val="0"/>
        <w:spacing w:line="360" w:lineRule="auto"/>
        <w:outlineLvl w:val="1"/>
        <w:rPr>
          <w:rFonts w:ascii="宋体" w:hAnsi="宋体" w:cs="宋体"/>
          <w:color w:val="000000"/>
          <w:sz w:val="24"/>
          <w:szCs w:val="20"/>
          <w:highlight w:val="none"/>
        </w:rPr>
      </w:pPr>
      <w:bookmarkStart w:id="1873" w:name="_Toc305158904"/>
      <w:bookmarkStart w:id="1874" w:name="_Toc142311062"/>
      <w:bookmarkStart w:id="1875" w:name="_Toc127151562"/>
      <w:bookmarkStart w:id="1876" w:name="_Toc150774765"/>
      <w:bookmarkStart w:id="1877" w:name="_Toc226965752"/>
      <w:bookmarkStart w:id="1878" w:name="_Toc264969252"/>
      <w:bookmarkStart w:id="1879" w:name="_Toc226965835"/>
      <w:bookmarkStart w:id="1880" w:name="_Toc226337258"/>
      <w:bookmarkStart w:id="1881" w:name="_Toc265228400"/>
      <w:bookmarkStart w:id="1882" w:name="_Toc226309806"/>
      <w:bookmarkStart w:id="1883" w:name="_Toc150480798"/>
      <w:bookmarkStart w:id="1884" w:name="_Toc305158830"/>
      <w:bookmarkStart w:id="1885" w:name="_Toc195842927"/>
      <w:bookmarkStart w:id="1886" w:name="_Toc150774764"/>
      <w:bookmarkStart w:id="1887" w:name="_Toc226309805"/>
      <w:bookmarkStart w:id="1888" w:name="_Toc265228399"/>
      <w:bookmarkStart w:id="1889" w:name="_Toc226965834"/>
      <w:bookmarkStart w:id="1890" w:name="_Toc264969251"/>
      <w:bookmarkStart w:id="1891" w:name="_Toc142311061"/>
      <w:bookmarkStart w:id="1892" w:name="_Toc305158903"/>
      <w:bookmarkStart w:id="1893" w:name="_Toc150480797"/>
      <w:bookmarkStart w:id="1894" w:name="_Toc305158829"/>
      <w:bookmarkStart w:id="1895" w:name="_Toc226965751"/>
      <w:bookmarkStart w:id="1896" w:name="_Toc226337257"/>
      <w:bookmarkStart w:id="1897" w:name="_Toc195842926"/>
      <w:bookmarkStart w:id="1898" w:name="_Toc127151561"/>
      <w:r>
        <w:rPr>
          <w:rFonts w:hint="eastAsia" w:ascii="宋体" w:hAnsi="宋体" w:cs="宋体"/>
          <w:sz w:val="24"/>
          <w:highlight w:val="none"/>
        </w:rPr>
        <w:t>9 合同条款偏离表</w:t>
      </w:r>
      <w:bookmarkEnd w:id="1873"/>
      <w:bookmarkEnd w:id="1874"/>
      <w:bookmarkEnd w:id="1875"/>
      <w:bookmarkEnd w:id="1876"/>
      <w:bookmarkEnd w:id="1877"/>
      <w:bookmarkEnd w:id="1878"/>
      <w:bookmarkEnd w:id="1879"/>
      <w:bookmarkEnd w:id="1880"/>
      <w:bookmarkEnd w:id="1881"/>
      <w:bookmarkEnd w:id="1882"/>
      <w:bookmarkEnd w:id="1883"/>
      <w:bookmarkEnd w:id="1884"/>
      <w:bookmarkEnd w:id="1885"/>
      <w:r>
        <w:rPr>
          <w:rFonts w:hint="eastAsia" w:ascii="宋体" w:hAnsi="宋体" w:cs="宋体"/>
          <w:sz w:val="24"/>
          <w:highlight w:val="none"/>
        </w:rPr>
        <w:t>（实质性格式）</w:t>
      </w:r>
    </w:p>
    <w:p w14:paraId="0ED57ED6">
      <w:pPr>
        <w:shd w:val="clear" w:color="auto" w:fill="FFFFFF"/>
        <w:spacing w:line="360" w:lineRule="auto"/>
        <w:rPr>
          <w:rFonts w:ascii="宋体" w:hAnsi="宋体" w:cs="宋体"/>
          <w:color w:val="000000"/>
          <w:sz w:val="24"/>
          <w:szCs w:val="20"/>
          <w:highlight w:val="none"/>
        </w:rPr>
      </w:pPr>
    </w:p>
    <w:p w14:paraId="63BF8D35">
      <w:pPr>
        <w:shd w:val="clear" w:color="auto" w:fill="FFFFFF"/>
        <w:tabs>
          <w:tab w:val="left" w:pos="2775"/>
          <w:tab w:val="center" w:pos="4153"/>
        </w:tabs>
        <w:autoSpaceDE w:val="0"/>
        <w:autoSpaceDN w:val="0"/>
        <w:adjustRightInd w:val="0"/>
        <w:spacing w:line="360" w:lineRule="auto"/>
        <w:jc w:val="left"/>
        <w:rPr>
          <w:rFonts w:ascii="宋体" w:hAnsi="宋体" w:cs="宋体"/>
          <w:b/>
          <w:color w:val="000000"/>
          <w:sz w:val="36"/>
          <w:szCs w:val="36"/>
          <w:highlight w:val="none"/>
        </w:rPr>
      </w:pPr>
      <w:r>
        <w:rPr>
          <w:rFonts w:hint="eastAsia" w:ascii="宋体" w:hAnsi="宋体" w:cs="宋体"/>
          <w:color w:val="000000"/>
          <w:sz w:val="36"/>
          <w:szCs w:val="36"/>
          <w:highlight w:val="none"/>
        </w:rPr>
        <w:tab/>
      </w:r>
      <w:r>
        <w:rPr>
          <w:rFonts w:hint="eastAsia" w:ascii="宋体" w:hAnsi="宋体" w:cs="宋体"/>
          <w:b/>
          <w:color w:val="000000"/>
          <w:sz w:val="36"/>
          <w:szCs w:val="36"/>
          <w:highlight w:val="none"/>
        </w:rPr>
        <w:tab/>
      </w:r>
      <w:r>
        <w:rPr>
          <w:rFonts w:hint="eastAsia" w:ascii="宋体" w:hAnsi="宋体" w:cs="宋体"/>
          <w:b/>
          <w:color w:val="000000"/>
          <w:sz w:val="36"/>
          <w:szCs w:val="36"/>
          <w:highlight w:val="none"/>
        </w:rPr>
        <w:t>合同条款偏离表</w:t>
      </w:r>
    </w:p>
    <w:p w14:paraId="5FFDAE71">
      <w:pPr>
        <w:shd w:val="clear" w:color="auto" w:fill="FFFFFF"/>
        <w:spacing w:line="360" w:lineRule="auto"/>
        <w:rPr>
          <w:rFonts w:ascii="宋体" w:hAnsi="宋体" w:cs="宋体"/>
          <w:color w:val="000000"/>
          <w:sz w:val="24"/>
          <w:szCs w:val="20"/>
          <w:highlight w:val="none"/>
        </w:rPr>
      </w:pPr>
    </w:p>
    <w:p w14:paraId="16E634C8">
      <w:pPr>
        <w:shd w:val="clear" w:color="auto" w:fill="FFFFFF"/>
        <w:tabs>
          <w:tab w:val="left" w:pos="1800"/>
          <w:tab w:val="left" w:pos="5580"/>
        </w:tabs>
        <w:spacing w:line="360" w:lineRule="auto"/>
        <w:ind w:firstLine="360" w:firstLineChars="150"/>
        <w:jc w:val="left"/>
        <w:rPr>
          <w:rFonts w:ascii="宋体" w:hAnsi="宋体" w:cs="宋体"/>
          <w:color w:val="000000"/>
          <w:sz w:val="24"/>
          <w:highlight w:val="none"/>
        </w:rPr>
      </w:pPr>
      <w:r>
        <w:rPr>
          <w:rFonts w:hint="eastAsia" w:ascii="宋体" w:hAnsi="宋体" w:cs="宋体"/>
          <w:color w:val="000000"/>
          <w:sz w:val="24"/>
          <w:highlight w:val="none"/>
        </w:rPr>
        <w:t>项目编号：_______________     项目名称：_______________</w:t>
      </w:r>
    </w:p>
    <w:tbl>
      <w:tblPr>
        <w:tblStyle w:val="8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0"/>
        <w:gridCol w:w="1980"/>
        <w:gridCol w:w="1981"/>
        <w:gridCol w:w="2427"/>
        <w:gridCol w:w="782"/>
      </w:tblGrid>
      <w:tr w14:paraId="46EE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8E4AA24">
            <w:pPr>
              <w:shd w:val="clear" w:color="auto" w:fill="FFFFFF"/>
              <w:adjustRightInd w:val="0"/>
              <w:snapToGrid w:val="0"/>
              <w:jc w:val="center"/>
              <w:rPr>
                <w:rFonts w:ascii="宋体" w:hAnsi="宋体" w:cs="宋体"/>
                <w:color w:val="000000"/>
                <w:sz w:val="24"/>
                <w:highlight w:val="none"/>
              </w:rPr>
            </w:pPr>
            <w:r>
              <w:rPr>
                <w:rFonts w:hint="eastAsia" w:ascii="宋体" w:hAnsi="宋体" w:cs="宋体"/>
                <w:color w:val="000000"/>
                <w:sz w:val="24"/>
                <w:highlight w:val="none"/>
              </w:rPr>
              <w:t>序号</w:t>
            </w:r>
          </w:p>
        </w:tc>
        <w:tc>
          <w:tcPr>
            <w:tcW w:w="1290" w:type="dxa"/>
            <w:vAlign w:val="center"/>
          </w:tcPr>
          <w:p w14:paraId="2E41A31A">
            <w:pPr>
              <w:shd w:val="clear" w:color="auto" w:fill="FFFFFF"/>
              <w:adjustRightInd w:val="0"/>
              <w:snapToGrid w:val="0"/>
              <w:jc w:val="center"/>
              <w:rPr>
                <w:rFonts w:ascii="宋体" w:hAnsi="宋体" w:cs="宋体"/>
                <w:color w:val="000000"/>
                <w:sz w:val="24"/>
                <w:highlight w:val="none"/>
              </w:rPr>
            </w:pPr>
            <w:r>
              <w:rPr>
                <w:rFonts w:hint="eastAsia" w:ascii="宋体" w:hAnsi="宋体" w:cs="宋体"/>
                <w:color w:val="000000"/>
                <w:sz w:val="24"/>
                <w:szCs w:val="21"/>
                <w:highlight w:val="none"/>
              </w:rPr>
              <w:t>竞争性磋商文件</w:t>
            </w:r>
            <w:r>
              <w:rPr>
                <w:rFonts w:hint="eastAsia" w:ascii="宋体" w:hAnsi="宋体" w:cs="宋体"/>
                <w:color w:val="000000"/>
                <w:sz w:val="24"/>
                <w:highlight w:val="none"/>
              </w:rPr>
              <w:t>条目号（页码）</w:t>
            </w:r>
          </w:p>
        </w:tc>
        <w:tc>
          <w:tcPr>
            <w:tcW w:w="1980" w:type="dxa"/>
            <w:vAlign w:val="center"/>
          </w:tcPr>
          <w:p w14:paraId="72D3E99A">
            <w:pPr>
              <w:shd w:val="clear" w:color="auto" w:fill="FFFFFF"/>
              <w:adjustRightInd w:val="0"/>
              <w:snapToGrid w:val="0"/>
              <w:jc w:val="center"/>
              <w:rPr>
                <w:rFonts w:ascii="宋体" w:hAnsi="宋体" w:cs="宋体"/>
                <w:color w:val="000000"/>
                <w:sz w:val="24"/>
                <w:highlight w:val="none"/>
              </w:rPr>
            </w:pPr>
            <w:r>
              <w:rPr>
                <w:rFonts w:hint="eastAsia" w:ascii="宋体" w:hAnsi="宋体" w:cs="宋体"/>
                <w:color w:val="000000"/>
                <w:sz w:val="24"/>
                <w:szCs w:val="21"/>
                <w:highlight w:val="none"/>
              </w:rPr>
              <w:t>竞争性磋商文件</w:t>
            </w:r>
            <w:r>
              <w:rPr>
                <w:rFonts w:hint="eastAsia" w:ascii="宋体" w:hAnsi="宋体" w:cs="宋体"/>
                <w:color w:val="000000"/>
                <w:sz w:val="24"/>
                <w:highlight w:val="none"/>
              </w:rPr>
              <w:t>要求</w:t>
            </w:r>
          </w:p>
        </w:tc>
        <w:tc>
          <w:tcPr>
            <w:tcW w:w="1981" w:type="dxa"/>
            <w:vAlign w:val="center"/>
          </w:tcPr>
          <w:p w14:paraId="75EF7FE0">
            <w:pPr>
              <w:shd w:val="clear" w:color="auto" w:fill="FFFFFF"/>
              <w:adjustRightInd w:val="0"/>
              <w:snapToGrid w:val="0"/>
              <w:jc w:val="center"/>
              <w:rPr>
                <w:rFonts w:ascii="宋体" w:hAnsi="宋体" w:cs="宋体"/>
                <w:color w:val="000000"/>
                <w:sz w:val="24"/>
                <w:highlight w:val="none"/>
              </w:rPr>
            </w:pPr>
            <w:r>
              <w:rPr>
                <w:rFonts w:hint="eastAsia" w:ascii="宋体" w:hAnsi="宋体" w:cs="宋体"/>
                <w:color w:val="000000"/>
                <w:sz w:val="24"/>
                <w:highlight w:val="none"/>
              </w:rPr>
              <w:t>响应文件内容</w:t>
            </w:r>
          </w:p>
        </w:tc>
        <w:tc>
          <w:tcPr>
            <w:tcW w:w="2427" w:type="dxa"/>
            <w:vAlign w:val="center"/>
          </w:tcPr>
          <w:p w14:paraId="46077531">
            <w:pPr>
              <w:shd w:val="clear" w:color="auto" w:fill="FFFFFF"/>
              <w:adjustRightInd w:val="0"/>
              <w:snapToGrid w:val="0"/>
              <w:jc w:val="center"/>
              <w:rPr>
                <w:rFonts w:ascii="宋体" w:hAnsi="宋体" w:cs="宋体"/>
                <w:color w:val="000000"/>
                <w:sz w:val="24"/>
                <w:highlight w:val="none"/>
              </w:rPr>
            </w:pPr>
            <w:r>
              <w:rPr>
                <w:rFonts w:hint="eastAsia" w:ascii="宋体" w:hAnsi="宋体" w:cs="宋体"/>
                <w:color w:val="000000"/>
                <w:sz w:val="24"/>
                <w:highlight w:val="none"/>
              </w:rPr>
              <w:t>偏离情况</w:t>
            </w:r>
          </w:p>
        </w:tc>
        <w:tc>
          <w:tcPr>
            <w:tcW w:w="782" w:type="dxa"/>
            <w:vAlign w:val="center"/>
          </w:tcPr>
          <w:p w14:paraId="17C4974F">
            <w:pPr>
              <w:shd w:val="clear" w:color="auto" w:fill="FFFFFF"/>
              <w:adjustRightInd w:val="0"/>
              <w:snapToGrid w:val="0"/>
              <w:jc w:val="center"/>
              <w:rPr>
                <w:rFonts w:ascii="宋体" w:hAnsi="宋体" w:cs="宋体"/>
                <w:color w:val="000000"/>
                <w:sz w:val="24"/>
                <w:highlight w:val="none"/>
              </w:rPr>
            </w:pPr>
            <w:r>
              <w:rPr>
                <w:rFonts w:hint="eastAsia" w:ascii="宋体" w:hAnsi="宋体" w:cs="宋体"/>
                <w:color w:val="000000"/>
                <w:sz w:val="24"/>
                <w:highlight w:val="none"/>
              </w:rPr>
              <w:t>说明</w:t>
            </w:r>
          </w:p>
        </w:tc>
      </w:tr>
      <w:tr w14:paraId="54EC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shd w:val="clear" w:color="auto" w:fill="auto"/>
            <w:vAlign w:val="center"/>
          </w:tcPr>
          <w:p w14:paraId="12EC4D33">
            <w:pPr>
              <w:shd w:val="clear" w:color="auto" w:fill="FFFFFF"/>
              <w:adjustRightInd w:val="0"/>
              <w:snapToGrid w:val="0"/>
              <w:jc w:val="left"/>
              <w:rPr>
                <w:rFonts w:ascii="宋体" w:hAnsi="宋体" w:cs="宋体"/>
                <w:b/>
                <w:bCs/>
                <w:color w:val="000000"/>
                <w:sz w:val="24"/>
                <w:highlight w:val="none"/>
              </w:rPr>
            </w:pPr>
            <w:r>
              <w:rPr>
                <w:rFonts w:hint="eastAsia" w:ascii="宋体" w:hAnsi="宋体" w:cs="宋体"/>
                <w:b/>
                <w:bCs/>
                <w:color w:val="000000"/>
                <w:sz w:val="24"/>
                <w:highlight w:val="none"/>
              </w:rPr>
              <w:t>对本项目合同条款的偏离情况(</w:t>
            </w:r>
            <w:r>
              <w:rPr>
                <w:rFonts w:hint="eastAsia" w:ascii="宋体" w:hAnsi="宋体" w:cs="宋体"/>
                <w:color w:val="000000"/>
                <w:sz w:val="24"/>
                <w:highlight w:val="none"/>
              </w:rPr>
              <w:t>应进行选择，未选择</w:t>
            </w:r>
            <w:r>
              <w:rPr>
                <w:rFonts w:hint="eastAsia" w:ascii="宋体" w:hAnsi="宋体" w:cs="宋体"/>
                <w:b/>
                <w:bCs/>
                <w:color w:val="000000"/>
                <w:sz w:val="24"/>
                <w:highlight w:val="none"/>
              </w:rPr>
              <w:t>响应无效):</w:t>
            </w:r>
          </w:p>
          <w:p w14:paraId="7A382DDF">
            <w:pPr>
              <w:shd w:val="clear" w:color="auto" w:fill="FFFFFF"/>
              <w:adjustRightInd w:val="0"/>
              <w:snapToGrid w:val="0"/>
              <w:jc w:val="left"/>
              <w:rPr>
                <w:rFonts w:ascii="宋体" w:hAnsi="宋体" w:cs="宋体"/>
                <w:color w:val="000000"/>
                <w:sz w:val="24"/>
                <w:highlight w:val="none"/>
              </w:rPr>
            </w:pPr>
            <w:r>
              <w:rPr>
                <w:rFonts w:hint="eastAsia" w:ascii="宋体" w:hAnsi="宋体" w:cs="宋体"/>
                <w:b/>
                <w:color w:val="000000"/>
                <w:sz w:val="24"/>
                <w:highlight w:val="none"/>
              </w:rPr>
              <w:t>□无偏离</w:t>
            </w:r>
            <w:r>
              <w:rPr>
                <w:rFonts w:hint="eastAsia" w:ascii="宋体" w:hAnsi="宋体" w:cs="宋体"/>
                <w:color w:val="000000"/>
                <w:sz w:val="24"/>
                <w:highlight w:val="none"/>
              </w:rPr>
              <w:t>(如无偏离，仅选择无偏离即可;无偏离即为对合同条款中的所有要求，均视作供应商已对之理解和响应。)</w:t>
            </w:r>
          </w:p>
          <w:p w14:paraId="7CA3FF8B">
            <w:pPr>
              <w:shd w:val="clear" w:color="auto" w:fill="FFFFFF"/>
              <w:adjustRightInd w:val="0"/>
              <w:snapToGrid w:val="0"/>
              <w:jc w:val="left"/>
              <w:rPr>
                <w:rFonts w:ascii="宋体" w:hAnsi="宋体" w:cs="宋体"/>
                <w:color w:val="000000"/>
                <w:sz w:val="24"/>
                <w:highlight w:val="none"/>
              </w:rPr>
            </w:pPr>
            <w:r>
              <w:rPr>
                <w:rFonts w:hint="eastAsia" w:ascii="宋体" w:hAnsi="宋体" w:cs="宋体"/>
                <w:b/>
                <w:color w:val="000000"/>
                <w:sz w:val="24"/>
                <w:highlight w:val="none"/>
              </w:rPr>
              <w:t>□有偏离</w:t>
            </w:r>
            <w:r>
              <w:rPr>
                <w:rFonts w:hint="eastAsia" w:ascii="宋体" w:hAnsi="宋体" w:cs="宋体"/>
                <w:color w:val="000000"/>
                <w:sz w:val="24"/>
                <w:highlight w:val="none"/>
              </w:rPr>
              <w:t>(如有偏离，则应在本表中对负偏离项逐一列明，否则</w:t>
            </w:r>
            <w:r>
              <w:rPr>
                <w:rFonts w:hint="eastAsia" w:ascii="宋体" w:hAnsi="宋体" w:cs="宋体"/>
                <w:b/>
                <w:bCs/>
                <w:color w:val="000000"/>
                <w:sz w:val="24"/>
                <w:highlight w:val="none"/>
              </w:rPr>
              <w:t>响应无效</w:t>
            </w:r>
            <w:r>
              <w:rPr>
                <w:rFonts w:hint="eastAsia" w:ascii="宋体" w:hAnsi="宋体" w:cs="宋体"/>
                <w:color w:val="000000"/>
                <w:sz w:val="24"/>
                <w:highlight w:val="none"/>
              </w:rPr>
              <w:t>；对合同条款中的所有要求，除本表列明的偏离外，均视作供应商已对之理解和响应。)</w:t>
            </w:r>
          </w:p>
        </w:tc>
      </w:tr>
      <w:tr w14:paraId="3D57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B4CF560">
            <w:pPr>
              <w:shd w:val="clear" w:color="auto" w:fill="FFFFFF"/>
              <w:adjustRightInd w:val="0"/>
              <w:snapToGrid w:val="0"/>
              <w:jc w:val="center"/>
              <w:rPr>
                <w:rFonts w:ascii="宋体" w:hAnsi="宋体" w:cs="宋体"/>
                <w:color w:val="000000"/>
                <w:sz w:val="24"/>
                <w:highlight w:val="none"/>
              </w:rPr>
            </w:pPr>
          </w:p>
        </w:tc>
        <w:tc>
          <w:tcPr>
            <w:tcW w:w="1290" w:type="dxa"/>
            <w:vAlign w:val="center"/>
          </w:tcPr>
          <w:p w14:paraId="71F55782">
            <w:pPr>
              <w:shd w:val="clear" w:color="auto" w:fill="FFFFFF"/>
              <w:adjustRightInd w:val="0"/>
              <w:snapToGrid w:val="0"/>
              <w:jc w:val="center"/>
              <w:rPr>
                <w:rFonts w:ascii="宋体" w:hAnsi="宋体" w:cs="宋体"/>
                <w:color w:val="000000"/>
                <w:sz w:val="24"/>
                <w:highlight w:val="none"/>
              </w:rPr>
            </w:pPr>
          </w:p>
        </w:tc>
        <w:tc>
          <w:tcPr>
            <w:tcW w:w="1980" w:type="dxa"/>
            <w:vAlign w:val="center"/>
          </w:tcPr>
          <w:p w14:paraId="6262D591">
            <w:pPr>
              <w:shd w:val="clear" w:color="auto" w:fill="FFFFFF"/>
              <w:adjustRightInd w:val="0"/>
              <w:snapToGrid w:val="0"/>
              <w:jc w:val="center"/>
              <w:rPr>
                <w:rFonts w:ascii="宋体" w:hAnsi="宋体" w:cs="宋体"/>
                <w:color w:val="000000"/>
                <w:sz w:val="24"/>
                <w:highlight w:val="none"/>
              </w:rPr>
            </w:pPr>
          </w:p>
        </w:tc>
        <w:tc>
          <w:tcPr>
            <w:tcW w:w="1981" w:type="dxa"/>
            <w:vAlign w:val="center"/>
          </w:tcPr>
          <w:p w14:paraId="09C4C97E">
            <w:pPr>
              <w:shd w:val="clear" w:color="auto" w:fill="FFFFFF"/>
              <w:adjustRightInd w:val="0"/>
              <w:snapToGrid w:val="0"/>
              <w:jc w:val="center"/>
              <w:rPr>
                <w:rFonts w:ascii="宋体" w:hAnsi="宋体" w:cs="宋体"/>
                <w:color w:val="000000"/>
                <w:sz w:val="24"/>
                <w:highlight w:val="none"/>
              </w:rPr>
            </w:pPr>
          </w:p>
        </w:tc>
        <w:tc>
          <w:tcPr>
            <w:tcW w:w="2427" w:type="dxa"/>
            <w:vAlign w:val="center"/>
          </w:tcPr>
          <w:p w14:paraId="565014CA">
            <w:pPr>
              <w:shd w:val="clear" w:color="auto" w:fill="FFFFFF"/>
              <w:adjustRightInd w:val="0"/>
              <w:snapToGrid w:val="0"/>
              <w:jc w:val="center"/>
              <w:rPr>
                <w:rFonts w:ascii="宋体" w:hAnsi="宋体" w:cs="宋体"/>
                <w:color w:val="000000"/>
                <w:sz w:val="24"/>
                <w:highlight w:val="none"/>
              </w:rPr>
            </w:pPr>
          </w:p>
        </w:tc>
        <w:tc>
          <w:tcPr>
            <w:tcW w:w="782" w:type="dxa"/>
            <w:vAlign w:val="center"/>
          </w:tcPr>
          <w:p w14:paraId="5492ED59">
            <w:pPr>
              <w:shd w:val="clear" w:color="auto" w:fill="FFFFFF"/>
              <w:adjustRightInd w:val="0"/>
              <w:snapToGrid w:val="0"/>
              <w:jc w:val="center"/>
              <w:rPr>
                <w:rFonts w:ascii="宋体" w:hAnsi="宋体" w:cs="宋体"/>
                <w:color w:val="000000"/>
                <w:sz w:val="24"/>
                <w:highlight w:val="none"/>
              </w:rPr>
            </w:pPr>
          </w:p>
        </w:tc>
      </w:tr>
      <w:tr w14:paraId="73CF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4F027FB">
            <w:pPr>
              <w:shd w:val="clear" w:color="auto" w:fill="FFFFFF"/>
              <w:adjustRightInd w:val="0"/>
              <w:snapToGrid w:val="0"/>
              <w:jc w:val="center"/>
              <w:rPr>
                <w:rFonts w:ascii="宋体" w:hAnsi="宋体" w:cs="宋体"/>
                <w:color w:val="000000"/>
                <w:sz w:val="24"/>
                <w:highlight w:val="none"/>
              </w:rPr>
            </w:pPr>
          </w:p>
        </w:tc>
        <w:tc>
          <w:tcPr>
            <w:tcW w:w="1290" w:type="dxa"/>
            <w:vAlign w:val="center"/>
          </w:tcPr>
          <w:p w14:paraId="778C23B3">
            <w:pPr>
              <w:shd w:val="clear" w:color="auto" w:fill="FFFFFF"/>
              <w:adjustRightInd w:val="0"/>
              <w:snapToGrid w:val="0"/>
              <w:jc w:val="center"/>
              <w:rPr>
                <w:rFonts w:ascii="宋体" w:hAnsi="宋体" w:cs="宋体"/>
                <w:color w:val="000000"/>
                <w:sz w:val="24"/>
                <w:highlight w:val="none"/>
              </w:rPr>
            </w:pPr>
          </w:p>
        </w:tc>
        <w:tc>
          <w:tcPr>
            <w:tcW w:w="1980" w:type="dxa"/>
            <w:vAlign w:val="center"/>
          </w:tcPr>
          <w:p w14:paraId="168060D0">
            <w:pPr>
              <w:shd w:val="clear" w:color="auto" w:fill="FFFFFF"/>
              <w:adjustRightInd w:val="0"/>
              <w:snapToGrid w:val="0"/>
              <w:jc w:val="center"/>
              <w:rPr>
                <w:rFonts w:ascii="宋体" w:hAnsi="宋体" w:cs="宋体"/>
                <w:color w:val="000000"/>
                <w:sz w:val="24"/>
                <w:highlight w:val="none"/>
              </w:rPr>
            </w:pPr>
          </w:p>
        </w:tc>
        <w:tc>
          <w:tcPr>
            <w:tcW w:w="1981" w:type="dxa"/>
            <w:vAlign w:val="center"/>
          </w:tcPr>
          <w:p w14:paraId="7A7EBBC1">
            <w:pPr>
              <w:shd w:val="clear" w:color="auto" w:fill="FFFFFF"/>
              <w:adjustRightInd w:val="0"/>
              <w:snapToGrid w:val="0"/>
              <w:jc w:val="center"/>
              <w:rPr>
                <w:rFonts w:ascii="宋体" w:hAnsi="宋体" w:cs="宋体"/>
                <w:color w:val="000000"/>
                <w:sz w:val="24"/>
                <w:highlight w:val="none"/>
              </w:rPr>
            </w:pPr>
          </w:p>
        </w:tc>
        <w:tc>
          <w:tcPr>
            <w:tcW w:w="2427" w:type="dxa"/>
            <w:vAlign w:val="center"/>
          </w:tcPr>
          <w:p w14:paraId="122287ED">
            <w:pPr>
              <w:shd w:val="clear" w:color="auto" w:fill="FFFFFF"/>
              <w:adjustRightInd w:val="0"/>
              <w:snapToGrid w:val="0"/>
              <w:jc w:val="center"/>
              <w:rPr>
                <w:rFonts w:ascii="宋体" w:hAnsi="宋体" w:cs="宋体"/>
                <w:color w:val="000000"/>
                <w:sz w:val="24"/>
                <w:highlight w:val="none"/>
              </w:rPr>
            </w:pPr>
          </w:p>
        </w:tc>
        <w:tc>
          <w:tcPr>
            <w:tcW w:w="782" w:type="dxa"/>
            <w:vAlign w:val="center"/>
          </w:tcPr>
          <w:p w14:paraId="2A024BB5">
            <w:pPr>
              <w:shd w:val="clear" w:color="auto" w:fill="FFFFFF"/>
              <w:adjustRightInd w:val="0"/>
              <w:snapToGrid w:val="0"/>
              <w:jc w:val="center"/>
              <w:rPr>
                <w:rFonts w:ascii="宋体" w:hAnsi="宋体" w:cs="宋体"/>
                <w:color w:val="000000"/>
                <w:sz w:val="24"/>
                <w:highlight w:val="none"/>
              </w:rPr>
            </w:pPr>
          </w:p>
        </w:tc>
      </w:tr>
      <w:tr w14:paraId="1FFB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8187E55">
            <w:pPr>
              <w:shd w:val="clear" w:color="auto" w:fill="FFFFFF"/>
              <w:adjustRightInd w:val="0"/>
              <w:snapToGrid w:val="0"/>
              <w:jc w:val="center"/>
              <w:rPr>
                <w:rFonts w:ascii="宋体" w:hAnsi="宋体" w:cs="宋体"/>
                <w:color w:val="000000"/>
                <w:sz w:val="24"/>
                <w:highlight w:val="none"/>
              </w:rPr>
            </w:pPr>
          </w:p>
        </w:tc>
        <w:tc>
          <w:tcPr>
            <w:tcW w:w="1290" w:type="dxa"/>
            <w:vAlign w:val="center"/>
          </w:tcPr>
          <w:p w14:paraId="0238E971">
            <w:pPr>
              <w:shd w:val="clear" w:color="auto" w:fill="FFFFFF"/>
              <w:adjustRightInd w:val="0"/>
              <w:snapToGrid w:val="0"/>
              <w:jc w:val="center"/>
              <w:rPr>
                <w:rFonts w:ascii="宋体" w:hAnsi="宋体" w:cs="宋体"/>
                <w:color w:val="000000"/>
                <w:sz w:val="24"/>
                <w:highlight w:val="none"/>
              </w:rPr>
            </w:pPr>
          </w:p>
        </w:tc>
        <w:tc>
          <w:tcPr>
            <w:tcW w:w="1980" w:type="dxa"/>
            <w:vAlign w:val="center"/>
          </w:tcPr>
          <w:p w14:paraId="4C890624">
            <w:pPr>
              <w:shd w:val="clear" w:color="auto" w:fill="FFFFFF"/>
              <w:adjustRightInd w:val="0"/>
              <w:snapToGrid w:val="0"/>
              <w:jc w:val="center"/>
              <w:rPr>
                <w:rFonts w:ascii="宋体" w:hAnsi="宋体" w:cs="宋体"/>
                <w:color w:val="000000"/>
                <w:sz w:val="24"/>
                <w:highlight w:val="none"/>
              </w:rPr>
            </w:pPr>
          </w:p>
        </w:tc>
        <w:tc>
          <w:tcPr>
            <w:tcW w:w="1981" w:type="dxa"/>
            <w:vAlign w:val="center"/>
          </w:tcPr>
          <w:p w14:paraId="66461A71">
            <w:pPr>
              <w:shd w:val="clear" w:color="auto" w:fill="FFFFFF"/>
              <w:adjustRightInd w:val="0"/>
              <w:snapToGrid w:val="0"/>
              <w:jc w:val="center"/>
              <w:rPr>
                <w:rFonts w:ascii="宋体" w:hAnsi="宋体" w:cs="宋体"/>
                <w:color w:val="000000"/>
                <w:sz w:val="24"/>
                <w:highlight w:val="none"/>
              </w:rPr>
            </w:pPr>
          </w:p>
        </w:tc>
        <w:tc>
          <w:tcPr>
            <w:tcW w:w="2427" w:type="dxa"/>
            <w:vAlign w:val="center"/>
          </w:tcPr>
          <w:p w14:paraId="0CC5DB7A">
            <w:pPr>
              <w:shd w:val="clear" w:color="auto" w:fill="FFFFFF"/>
              <w:adjustRightInd w:val="0"/>
              <w:snapToGrid w:val="0"/>
              <w:jc w:val="center"/>
              <w:rPr>
                <w:rFonts w:ascii="宋体" w:hAnsi="宋体" w:cs="宋体"/>
                <w:color w:val="000000"/>
                <w:sz w:val="24"/>
                <w:highlight w:val="none"/>
              </w:rPr>
            </w:pPr>
          </w:p>
        </w:tc>
        <w:tc>
          <w:tcPr>
            <w:tcW w:w="782" w:type="dxa"/>
            <w:vAlign w:val="center"/>
          </w:tcPr>
          <w:p w14:paraId="227E7CB7">
            <w:pPr>
              <w:shd w:val="clear" w:color="auto" w:fill="FFFFFF"/>
              <w:adjustRightInd w:val="0"/>
              <w:snapToGrid w:val="0"/>
              <w:jc w:val="center"/>
              <w:rPr>
                <w:rFonts w:ascii="宋体" w:hAnsi="宋体" w:cs="宋体"/>
                <w:color w:val="000000"/>
                <w:sz w:val="24"/>
                <w:highlight w:val="none"/>
              </w:rPr>
            </w:pPr>
          </w:p>
        </w:tc>
      </w:tr>
      <w:tr w14:paraId="7D4B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E3E383C">
            <w:pPr>
              <w:shd w:val="clear" w:color="auto" w:fill="FFFFFF"/>
              <w:adjustRightInd w:val="0"/>
              <w:snapToGrid w:val="0"/>
              <w:jc w:val="center"/>
              <w:rPr>
                <w:rFonts w:ascii="宋体" w:hAnsi="宋体" w:cs="宋体"/>
                <w:color w:val="000000"/>
                <w:sz w:val="24"/>
                <w:highlight w:val="none"/>
              </w:rPr>
            </w:pPr>
          </w:p>
        </w:tc>
        <w:tc>
          <w:tcPr>
            <w:tcW w:w="1290" w:type="dxa"/>
            <w:vAlign w:val="center"/>
          </w:tcPr>
          <w:p w14:paraId="7CF8AEE5">
            <w:pPr>
              <w:shd w:val="clear" w:color="auto" w:fill="FFFFFF"/>
              <w:adjustRightInd w:val="0"/>
              <w:snapToGrid w:val="0"/>
              <w:jc w:val="center"/>
              <w:rPr>
                <w:rFonts w:ascii="宋体" w:hAnsi="宋体" w:cs="宋体"/>
                <w:color w:val="000000"/>
                <w:sz w:val="24"/>
                <w:highlight w:val="none"/>
              </w:rPr>
            </w:pPr>
          </w:p>
        </w:tc>
        <w:tc>
          <w:tcPr>
            <w:tcW w:w="1980" w:type="dxa"/>
            <w:vAlign w:val="center"/>
          </w:tcPr>
          <w:p w14:paraId="0FA06A14">
            <w:pPr>
              <w:shd w:val="clear" w:color="auto" w:fill="FFFFFF"/>
              <w:adjustRightInd w:val="0"/>
              <w:snapToGrid w:val="0"/>
              <w:jc w:val="center"/>
              <w:rPr>
                <w:rFonts w:ascii="宋体" w:hAnsi="宋体" w:cs="宋体"/>
                <w:color w:val="000000"/>
                <w:sz w:val="24"/>
                <w:highlight w:val="none"/>
              </w:rPr>
            </w:pPr>
          </w:p>
        </w:tc>
        <w:tc>
          <w:tcPr>
            <w:tcW w:w="1981" w:type="dxa"/>
            <w:vAlign w:val="center"/>
          </w:tcPr>
          <w:p w14:paraId="2BCB7626">
            <w:pPr>
              <w:shd w:val="clear" w:color="auto" w:fill="FFFFFF"/>
              <w:adjustRightInd w:val="0"/>
              <w:snapToGrid w:val="0"/>
              <w:jc w:val="center"/>
              <w:rPr>
                <w:rFonts w:ascii="宋体" w:hAnsi="宋体" w:cs="宋体"/>
                <w:color w:val="000000"/>
                <w:sz w:val="24"/>
                <w:highlight w:val="none"/>
              </w:rPr>
            </w:pPr>
          </w:p>
        </w:tc>
        <w:tc>
          <w:tcPr>
            <w:tcW w:w="2427" w:type="dxa"/>
            <w:vAlign w:val="center"/>
          </w:tcPr>
          <w:p w14:paraId="2574BF26">
            <w:pPr>
              <w:shd w:val="clear" w:color="auto" w:fill="FFFFFF"/>
              <w:adjustRightInd w:val="0"/>
              <w:snapToGrid w:val="0"/>
              <w:jc w:val="center"/>
              <w:rPr>
                <w:rFonts w:ascii="宋体" w:hAnsi="宋体" w:cs="宋体"/>
                <w:color w:val="000000"/>
                <w:sz w:val="24"/>
                <w:highlight w:val="none"/>
              </w:rPr>
            </w:pPr>
          </w:p>
        </w:tc>
        <w:tc>
          <w:tcPr>
            <w:tcW w:w="782" w:type="dxa"/>
            <w:vAlign w:val="center"/>
          </w:tcPr>
          <w:p w14:paraId="7F543E2C">
            <w:pPr>
              <w:shd w:val="clear" w:color="auto" w:fill="FFFFFF"/>
              <w:adjustRightInd w:val="0"/>
              <w:snapToGrid w:val="0"/>
              <w:jc w:val="center"/>
              <w:rPr>
                <w:rFonts w:ascii="宋体" w:hAnsi="宋体" w:cs="宋体"/>
                <w:color w:val="000000"/>
                <w:sz w:val="24"/>
                <w:highlight w:val="none"/>
              </w:rPr>
            </w:pPr>
          </w:p>
        </w:tc>
      </w:tr>
    </w:tbl>
    <w:p w14:paraId="45B5340C">
      <w:pPr>
        <w:shd w:val="clear" w:color="auto" w:fill="FFFFFF"/>
        <w:tabs>
          <w:tab w:val="left" w:pos="1800"/>
          <w:tab w:val="left" w:pos="5580"/>
        </w:tabs>
        <w:jc w:val="left"/>
        <w:rPr>
          <w:rFonts w:ascii="宋体" w:hAnsi="宋体" w:cs="宋体"/>
          <w:color w:val="000000"/>
          <w:sz w:val="24"/>
          <w:highlight w:val="none"/>
        </w:rPr>
      </w:pPr>
    </w:p>
    <w:p w14:paraId="765BEA65">
      <w:pPr>
        <w:shd w:val="clear" w:color="auto" w:fill="FFFFFF"/>
        <w:tabs>
          <w:tab w:val="left" w:pos="1800"/>
          <w:tab w:val="left" w:pos="5580"/>
        </w:tabs>
        <w:jc w:val="left"/>
        <w:rPr>
          <w:rFonts w:ascii="宋体" w:hAnsi="宋体" w:cs="宋体"/>
          <w:color w:val="000000"/>
          <w:sz w:val="24"/>
          <w:highlight w:val="none"/>
        </w:rPr>
      </w:pPr>
      <w:r>
        <w:rPr>
          <w:rFonts w:hint="eastAsia" w:ascii="宋体" w:hAnsi="宋体" w:cs="宋体"/>
          <w:color w:val="000000"/>
          <w:sz w:val="24"/>
          <w:highlight w:val="none"/>
        </w:rPr>
        <w:t>注：</w:t>
      </w:r>
      <w:r>
        <w:rPr>
          <w:rFonts w:hint="eastAsia" w:ascii="宋体" w:hAnsi="宋体" w:cs="宋体"/>
          <w:sz w:val="24"/>
          <w:highlight w:val="none"/>
        </w:rPr>
        <w:t>“偏离情况”列应</w:t>
      </w:r>
      <w:r>
        <w:rPr>
          <w:rFonts w:hint="eastAsia" w:ascii="宋体" w:hAnsi="宋体" w:cs="宋体"/>
          <w:color w:val="000000"/>
          <w:sz w:val="24"/>
          <w:highlight w:val="none"/>
        </w:rPr>
        <w:t>据实</w:t>
      </w:r>
      <w:r>
        <w:rPr>
          <w:rFonts w:hint="eastAsia" w:ascii="宋体" w:hAnsi="宋体" w:cs="宋体"/>
          <w:sz w:val="24"/>
          <w:highlight w:val="none"/>
        </w:rPr>
        <w:t>填写“正偏离”或“负偏离”。</w:t>
      </w:r>
    </w:p>
    <w:p w14:paraId="665224A0">
      <w:pPr>
        <w:shd w:val="clear" w:color="auto" w:fill="FFFFFF"/>
        <w:spacing w:line="360" w:lineRule="auto"/>
        <w:rPr>
          <w:rFonts w:ascii="宋体" w:hAnsi="宋体" w:cs="宋体"/>
          <w:color w:val="000000"/>
          <w:sz w:val="24"/>
          <w:szCs w:val="20"/>
          <w:highlight w:val="none"/>
        </w:rPr>
      </w:pPr>
    </w:p>
    <w:p w14:paraId="1EC5408C">
      <w:pPr>
        <w:shd w:val="clear" w:color="auto" w:fill="FFFFFF"/>
        <w:autoSpaceDE w:val="0"/>
        <w:autoSpaceDN w:val="0"/>
        <w:adjustRightInd w:val="0"/>
        <w:snapToGrid w:val="0"/>
        <w:spacing w:before="25" w:after="25" w:line="360" w:lineRule="auto"/>
        <w:rPr>
          <w:rFonts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rPr>
        <w:t>_______________</w:t>
      </w:r>
    </w:p>
    <w:p w14:paraId="2D3E3891">
      <w:pPr>
        <w:shd w:val="clear" w:color="auto" w:fill="FFFFFF"/>
        <w:autoSpaceDE w:val="0"/>
        <w:autoSpaceDN w:val="0"/>
        <w:adjustRightInd w:val="0"/>
        <w:snapToGrid w:val="0"/>
        <w:spacing w:before="25" w:after="25" w:line="360" w:lineRule="auto"/>
        <w:rPr>
          <w:rFonts w:ascii="宋体" w:hAnsi="宋体" w:cs="宋体"/>
          <w:color w:val="000000"/>
          <w:sz w:val="24"/>
          <w:highlight w:val="none"/>
          <w:lang w:val="zh-CN"/>
        </w:rPr>
      </w:pPr>
      <w:r>
        <w:rPr>
          <w:rFonts w:hint="eastAsia" w:ascii="宋体" w:hAnsi="宋体" w:cs="宋体"/>
          <w:color w:val="000000"/>
          <w:sz w:val="24"/>
          <w:szCs w:val="20"/>
          <w:highlight w:val="none"/>
        </w:rPr>
        <w:t xml:space="preserve">日期：____年____月____日    </w:t>
      </w:r>
    </w:p>
    <w:p w14:paraId="22EC9F3D">
      <w:pPr>
        <w:shd w:val="clear" w:color="auto" w:fill="FFFFFF"/>
        <w:tabs>
          <w:tab w:val="left" w:pos="360"/>
        </w:tabs>
        <w:snapToGrid w:val="0"/>
        <w:spacing w:line="360" w:lineRule="auto"/>
        <w:outlineLvl w:val="1"/>
        <w:rPr>
          <w:rFonts w:ascii="宋体" w:hAnsi="宋体" w:cs="宋体"/>
          <w:color w:val="000000"/>
          <w:sz w:val="24"/>
          <w:szCs w:val="20"/>
          <w:highlight w:val="none"/>
        </w:rPr>
      </w:pPr>
      <w:r>
        <w:rPr>
          <w:rFonts w:hint="eastAsia" w:ascii="宋体" w:hAnsi="宋体" w:cs="宋体"/>
          <w:color w:val="000000"/>
          <w:sz w:val="24"/>
          <w:szCs w:val="20"/>
          <w:highlight w:val="none"/>
        </w:rPr>
        <w:br w:type="page"/>
      </w:r>
      <w:r>
        <w:rPr>
          <w:rFonts w:hint="eastAsia" w:ascii="宋体" w:hAnsi="宋体" w:cs="宋体"/>
          <w:sz w:val="24"/>
          <w:highlight w:val="none"/>
        </w:rPr>
        <w:t xml:space="preserve">10 </w:t>
      </w:r>
      <w:bookmarkEnd w:id="1886"/>
      <w:bookmarkEnd w:id="1887"/>
      <w:bookmarkEnd w:id="1888"/>
      <w:bookmarkEnd w:id="1889"/>
      <w:bookmarkEnd w:id="1890"/>
      <w:bookmarkEnd w:id="1891"/>
      <w:bookmarkEnd w:id="1892"/>
      <w:bookmarkEnd w:id="1893"/>
      <w:bookmarkEnd w:id="1894"/>
      <w:bookmarkEnd w:id="1895"/>
      <w:bookmarkEnd w:id="1896"/>
      <w:bookmarkEnd w:id="1897"/>
      <w:bookmarkEnd w:id="1898"/>
      <w:r>
        <w:rPr>
          <w:rFonts w:hint="eastAsia" w:ascii="宋体" w:hAnsi="宋体" w:cs="宋体"/>
          <w:sz w:val="24"/>
          <w:highlight w:val="none"/>
        </w:rPr>
        <w:t>采购需求偏离表（实质性格式）</w:t>
      </w:r>
    </w:p>
    <w:p w14:paraId="26EE0D27">
      <w:pPr>
        <w:shd w:val="clear" w:color="auto" w:fill="FFFFFF"/>
        <w:autoSpaceDE w:val="0"/>
        <w:autoSpaceDN w:val="0"/>
        <w:adjustRightInd w:val="0"/>
        <w:spacing w:line="360" w:lineRule="auto"/>
        <w:jc w:val="center"/>
        <w:rPr>
          <w:rFonts w:ascii="宋体" w:hAnsi="宋体" w:cs="宋体"/>
          <w:b/>
          <w:color w:val="000000"/>
          <w:sz w:val="36"/>
          <w:szCs w:val="36"/>
          <w:highlight w:val="none"/>
        </w:rPr>
      </w:pPr>
      <w:r>
        <w:rPr>
          <w:rFonts w:hint="eastAsia" w:ascii="宋体" w:hAnsi="宋体" w:cs="宋体"/>
          <w:b/>
          <w:color w:val="000000"/>
          <w:sz w:val="36"/>
          <w:szCs w:val="36"/>
          <w:highlight w:val="none"/>
        </w:rPr>
        <w:t>采购需求偏离表</w:t>
      </w:r>
    </w:p>
    <w:p w14:paraId="6CF6F761">
      <w:pPr>
        <w:shd w:val="clear" w:color="auto" w:fill="FFFFFF"/>
        <w:tabs>
          <w:tab w:val="left" w:pos="1800"/>
          <w:tab w:val="left" w:pos="5580"/>
        </w:tabs>
        <w:spacing w:line="360" w:lineRule="auto"/>
        <w:ind w:firstLine="360" w:firstLineChars="150"/>
        <w:jc w:val="left"/>
        <w:rPr>
          <w:rFonts w:ascii="宋体" w:hAnsi="宋体" w:cs="宋体"/>
          <w:color w:val="000000"/>
          <w:sz w:val="24"/>
          <w:highlight w:val="none"/>
        </w:rPr>
      </w:pPr>
      <w:r>
        <w:rPr>
          <w:rFonts w:hint="eastAsia" w:ascii="宋体" w:hAnsi="宋体" w:cs="宋体"/>
          <w:color w:val="000000"/>
          <w:sz w:val="24"/>
          <w:highlight w:val="none"/>
        </w:rPr>
        <w:t>项目编号：_______________     项目名称：_______________</w:t>
      </w:r>
    </w:p>
    <w:tbl>
      <w:tblPr>
        <w:tblStyle w:val="8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DB8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9A703CD">
            <w:pPr>
              <w:shd w:val="clear" w:color="auto" w:fill="FFFFFF"/>
              <w:adjustRightInd w:val="0"/>
              <w:snapToGrid w:val="0"/>
              <w:jc w:val="center"/>
              <w:rPr>
                <w:rFonts w:ascii="宋体" w:hAnsi="宋体" w:cs="宋体"/>
                <w:color w:val="000000"/>
                <w:sz w:val="24"/>
                <w:highlight w:val="none"/>
              </w:rPr>
            </w:pPr>
            <w:r>
              <w:rPr>
                <w:rFonts w:hint="eastAsia" w:ascii="宋体" w:hAnsi="宋体" w:cs="宋体"/>
                <w:color w:val="000000"/>
                <w:sz w:val="24"/>
                <w:highlight w:val="none"/>
              </w:rPr>
              <w:t>序号</w:t>
            </w:r>
          </w:p>
        </w:tc>
        <w:tc>
          <w:tcPr>
            <w:tcW w:w="1482" w:type="dxa"/>
            <w:vAlign w:val="center"/>
          </w:tcPr>
          <w:p w14:paraId="609DC81F">
            <w:pPr>
              <w:shd w:val="clear" w:color="auto" w:fill="FFFFFF"/>
              <w:adjustRightInd w:val="0"/>
              <w:snapToGrid w:val="0"/>
              <w:jc w:val="center"/>
              <w:rPr>
                <w:rFonts w:ascii="宋体" w:hAnsi="宋体" w:cs="宋体"/>
                <w:color w:val="000000"/>
                <w:sz w:val="24"/>
                <w:highlight w:val="none"/>
              </w:rPr>
            </w:pPr>
            <w:r>
              <w:rPr>
                <w:rFonts w:hint="eastAsia" w:ascii="宋体" w:hAnsi="宋体" w:cs="宋体"/>
                <w:color w:val="000000"/>
                <w:sz w:val="24"/>
                <w:highlight w:val="none"/>
              </w:rPr>
              <w:t>竞争性磋商文件条目号(页码)</w:t>
            </w:r>
          </w:p>
        </w:tc>
        <w:tc>
          <w:tcPr>
            <w:tcW w:w="2384" w:type="dxa"/>
            <w:vAlign w:val="center"/>
          </w:tcPr>
          <w:p w14:paraId="7FF2D85B">
            <w:pPr>
              <w:shd w:val="clear" w:color="auto" w:fill="FFFFFF"/>
              <w:adjustRightInd w:val="0"/>
              <w:snapToGrid w:val="0"/>
              <w:jc w:val="center"/>
              <w:rPr>
                <w:rFonts w:ascii="宋体" w:hAnsi="宋体" w:cs="宋体"/>
                <w:color w:val="000000"/>
                <w:sz w:val="24"/>
                <w:highlight w:val="none"/>
              </w:rPr>
            </w:pPr>
            <w:r>
              <w:rPr>
                <w:rFonts w:hint="eastAsia" w:ascii="宋体" w:hAnsi="宋体" w:cs="宋体"/>
                <w:color w:val="000000"/>
                <w:sz w:val="24"/>
                <w:highlight w:val="none"/>
              </w:rPr>
              <w:t>竞争性磋商文件要求</w:t>
            </w:r>
          </w:p>
        </w:tc>
        <w:tc>
          <w:tcPr>
            <w:tcW w:w="2126" w:type="dxa"/>
            <w:vAlign w:val="center"/>
          </w:tcPr>
          <w:p w14:paraId="52E3F082">
            <w:pPr>
              <w:shd w:val="clear" w:color="auto" w:fill="FFFFFF"/>
              <w:adjustRightInd w:val="0"/>
              <w:snapToGrid w:val="0"/>
              <w:jc w:val="center"/>
              <w:rPr>
                <w:rFonts w:ascii="宋体" w:hAnsi="宋体" w:cs="宋体"/>
                <w:color w:val="000000"/>
                <w:sz w:val="24"/>
                <w:highlight w:val="none"/>
              </w:rPr>
            </w:pPr>
            <w:r>
              <w:rPr>
                <w:rFonts w:hint="eastAsia" w:ascii="宋体" w:hAnsi="宋体" w:cs="宋体"/>
                <w:color w:val="000000"/>
                <w:sz w:val="24"/>
                <w:highlight w:val="none"/>
              </w:rPr>
              <w:t>响应内容</w:t>
            </w:r>
          </w:p>
        </w:tc>
        <w:tc>
          <w:tcPr>
            <w:tcW w:w="1875" w:type="dxa"/>
            <w:vAlign w:val="center"/>
          </w:tcPr>
          <w:p w14:paraId="181E07F5">
            <w:pPr>
              <w:shd w:val="clear" w:color="auto" w:fill="FFFFFF"/>
              <w:adjustRightInd w:val="0"/>
              <w:snapToGrid w:val="0"/>
              <w:jc w:val="center"/>
              <w:rPr>
                <w:rFonts w:ascii="宋体" w:hAnsi="宋体" w:cs="宋体"/>
                <w:color w:val="000000"/>
                <w:sz w:val="24"/>
                <w:highlight w:val="none"/>
              </w:rPr>
            </w:pPr>
            <w:r>
              <w:rPr>
                <w:rFonts w:hint="eastAsia" w:ascii="宋体" w:hAnsi="宋体" w:cs="宋体"/>
                <w:color w:val="000000"/>
                <w:sz w:val="24"/>
                <w:highlight w:val="none"/>
              </w:rPr>
              <w:t>偏离情况</w:t>
            </w:r>
          </w:p>
        </w:tc>
        <w:tc>
          <w:tcPr>
            <w:tcW w:w="1009" w:type="dxa"/>
            <w:vAlign w:val="center"/>
          </w:tcPr>
          <w:p w14:paraId="61A0F20A">
            <w:pPr>
              <w:shd w:val="clear" w:color="auto" w:fill="FFFFFF"/>
              <w:adjustRightInd w:val="0"/>
              <w:snapToGrid w:val="0"/>
              <w:jc w:val="center"/>
              <w:rPr>
                <w:rFonts w:ascii="宋体" w:hAnsi="宋体" w:cs="宋体"/>
                <w:color w:val="000000"/>
                <w:sz w:val="24"/>
                <w:highlight w:val="none"/>
              </w:rPr>
            </w:pPr>
            <w:r>
              <w:rPr>
                <w:rFonts w:hint="eastAsia" w:ascii="宋体" w:hAnsi="宋体" w:cs="宋体"/>
                <w:color w:val="000000"/>
                <w:sz w:val="24"/>
                <w:highlight w:val="none"/>
              </w:rPr>
              <w:t>说明</w:t>
            </w:r>
          </w:p>
        </w:tc>
      </w:tr>
      <w:tr w14:paraId="5F33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26E504D">
            <w:pPr>
              <w:shd w:val="clear" w:color="auto" w:fill="FFFFFF"/>
              <w:adjustRightInd w:val="0"/>
              <w:snapToGrid w:val="0"/>
              <w:jc w:val="center"/>
              <w:rPr>
                <w:rFonts w:ascii="宋体" w:hAnsi="宋体" w:cs="宋体"/>
                <w:color w:val="000000"/>
                <w:sz w:val="24"/>
                <w:highlight w:val="none"/>
              </w:rPr>
            </w:pPr>
          </w:p>
        </w:tc>
        <w:tc>
          <w:tcPr>
            <w:tcW w:w="1482" w:type="dxa"/>
            <w:vAlign w:val="center"/>
          </w:tcPr>
          <w:p w14:paraId="06936BEF">
            <w:pPr>
              <w:shd w:val="clear" w:color="auto" w:fill="FFFFFF"/>
              <w:adjustRightInd w:val="0"/>
              <w:snapToGrid w:val="0"/>
              <w:jc w:val="center"/>
              <w:rPr>
                <w:rFonts w:ascii="宋体" w:hAnsi="宋体" w:cs="宋体"/>
                <w:color w:val="000000"/>
                <w:sz w:val="24"/>
                <w:highlight w:val="none"/>
              </w:rPr>
            </w:pPr>
          </w:p>
        </w:tc>
        <w:tc>
          <w:tcPr>
            <w:tcW w:w="2384" w:type="dxa"/>
            <w:vAlign w:val="center"/>
          </w:tcPr>
          <w:p w14:paraId="64DC26AB">
            <w:pPr>
              <w:shd w:val="clear" w:color="auto" w:fill="FFFFFF"/>
              <w:adjustRightInd w:val="0"/>
              <w:snapToGrid w:val="0"/>
              <w:jc w:val="center"/>
              <w:rPr>
                <w:rFonts w:ascii="宋体" w:hAnsi="宋体" w:cs="宋体"/>
                <w:color w:val="000000"/>
                <w:sz w:val="24"/>
                <w:highlight w:val="none"/>
              </w:rPr>
            </w:pPr>
          </w:p>
        </w:tc>
        <w:tc>
          <w:tcPr>
            <w:tcW w:w="2126" w:type="dxa"/>
            <w:vAlign w:val="center"/>
          </w:tcPr>
          <w:p w14:paraId="3E4F3EC2">
            <w:pPr>
              <w:shd w:val="clear" w:color="auto" w:fill="FFFFFF"/>
              <w:adjustRightInd w:val="0"/>
              <w:snapToGrid w:val="0"/>
              <w:jc w:val="center"/>
              <w:rPr>
                <w:rFonts w:ascii="宋体" w:hAnsi="宋体" w:cs="宋体"/>
                <w:color w:val="000000"/>
                <w:sz w:val="24"/>
                <w:highlight w:val="none"/>
              </w:rPr>
            </w:pPr>
          </w:p>
        </w:tc>
        <w:tc>
          <w:tcPr>
            <w:tcW w:w="1875" w:type="dxa"/>
            <w:vAlign w:val="center"/>
          </w:tcPr>
          <w:p w14:paraId="45D16C2A">
            <w:pPr>
              <w:shd w:val="clear" w:color="auto" w:fill="FFFFFF"/>
              <w:adjustRightInd w:val="0"/>
              <w:snapToGrid w:val="0"/>
              <w:jc w:val="center"/>
              <w:rPr>
                <w:rFonts w:ascii="宋体" w:hAnsi="宋体" w:cs="宋体"/>
                <w:color w:val="000000"/>
                <w:sz w:val="24"/>
                <w:highlight w:val="none"/>
              </w:rPr>
            </w:pPr>
          </w:p>
        </w:tc>
        <w:tc>
          <w:tcPr>
            <w:tcW w:w="1009" w:type="dxa"/>
            <w:vAlign w:val="center"/>
          </w:tcPr>
          <w:p w14:paraId="0B3CC18A">
            <w:pPr>
              <w:shd w:val="clear" w:color="auto" w:fill="FFFFFF"/>
              <w:adjustRightInd w:val="0"/>
              <w:snapToGrid w:val="0"/>
              <w:jc w:val="center"/>
              <w:rPr>
                <w:rFonts w:ascii="宋体" w:hAnsi="宋体" w:cs="宋体"/>
                <w:color w:val="000000"/>
                <w:sz w:val="24"/>
                <w:highlight w:val="none"/>
              </w:rPr>
            </w:pPr>
          </w:p>
        </w:tc>
      </w:tr>
      <w:tr w14:paraId="47DB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EB33D91">
            <w:pPr>
              <w:shd w:val="clear" w:color="auto" w:fill="FFFFFF"/>
              <w:adjustRightInd w:val="0"/>
              <w:snapToGrid w:val="0"/>
              <w:jc w:val="center"/>
              <w:rPr>
                <w:rFonts w:ascii="宋体" w:hAnsi="宋体" w:cs="宋体"/>
                <w:color w:val="000000"/>
                <w:sz w:val="24"/>
                <w:highlight w:val="none"/>
              </w:rPr>
            </w:pPr>
          </w:p>
        </w:tc>
        <w:tc>
          <w:tcPr>
            <w:tcW w:w="1482" w:type="dxa"/>
            <w:vAlign w:val="center"/>
          </w:tcPr>
          <w:p w14:paraId="475B1AC4">
            <w:pPr>
              <w:shd w:val="clear" w:color="auto" w:fill="FFFFFF"/>
              <w:adjustRightInd w:val="0"/>
              <w:snapToGrid w:val="0"/>
              <w:jc w:val="center"/>
              <w:rPr>
                <w:rFonts w:ascii="宋体" w:hAnsi="宋体" w:cs="宋体"/>
                <w:color w:val="000000"/>
                <w:sz w:val="24"/>
                <w:highlight w:val="none"/>
              </w:rPr>
            </w:pPr>
          </w:p>
        </w:tc>
        <w:tc>
          <w:tcPr>
            <w:tcW w:w="2384" w:type="dxa"/>
            <w:vAlign w:val="center"/>
          </w:tcPr>
          <w:p w14:paraId="5FAB8BD4">
            <w:pPr>
              <w:shd w:val="clear" w:color="auto" w:fill="FFFFFF"/>
              <w:adjustRightInd w:val="0"/>
              <w:snapToGrid w:val="0"/>
              <w:jc w:val="center"/>
              <w:rPr>
                <w:rFonts w:ascii="宋体" w:hAnsi="宋体" w:cs="宋体"/>
                <w:color w:val="000000"/>
                <w:sz w:val="24"/>
                <w:highlight w:val="none"/>
              </w:rPr>
            </w:pPr>
          </w:p>
        </w:tc>
        <w:tc>
          <w:tcPr>
            <w:tcW w:w="2126" w:type="dxa"/>
            <w:vAlign w:val="center"/>
          </w:tcPr>
          <w:p w14:paraId="7E651C02">
            <w:pPr>
              <w:shd w:val="clear" w:color="auto" w:fill="FFFFFF"/>
              <w:adjustRightInd w:val="0"/>
              <w:snapToGrid w:val="0"/>
              <w:jc w:val="center"/>
              <w:rPr>
                <w:rFonts w:ascii="宋体" w:hAnsi="宋体" w:cs="宋体"/>
                <w:color w:val="000000"/>
                <w:sz w:val="24"/>
                <w:highlight w:val="none"/>
              </w:rPr>
            </w:pPr>
          </w:p>
        </w:tc>
        <w:tc>
          <w:tcPr>
            <w:tcW w:w="1875" w:type="dxa"/>
            <w:vAlign w:val="center"/>
          </w:tcPr>
          <w:p w14:paraId="6A0C849E">
            <w:pPr>
              <w:shd w:val="clear" w:color="auto" w:fill="FFFFFF"/>
              <w:adjustRightInd w:val="0"/>
              <w:snapToGrid w:val="0"/>
              <w:jc w:val="center"/>
              <w:rPr>
                <w:rFonts w:ascii="宋体" w:hAnsi="宋体" w:cs="宋体"/>
                <w:color w:val="000000"/>
                <w:sz w:val="24"/>
                <w:highlight w:val="none"/>
              </w:rPr>
            </w:pPr>
          </w:p>
        </w:tc>
        <w:tc>
          <w:tcPr>
            <w:tcW w:w="1009" w:type="dxa"/>
            <w:vAlign w:val="center"/>
          </w:tcPr>
          <w:p w14:paraId="53508329">
            <w:pPr>
              <w:shd w:val="clear" w:color="auto" w:fill="FFFFFF"/>
              <w:adjustRightInd w:val="0"/>
              <w:snapToGrid w:val="0"/>
              <w:jc w:val="center"/>
              <w:rPr>
                <w:rFonts w:ascii="宋体" w:hAnsi="宋体" w:cs="宋体"/>
                <w:color w:val="000000"/>
                <w:sz w:val="24"/>
                <w:highlight w:val="none"/>
              </w:rPr>
            </w:pPr>
          </w:p>
        </w:tc>
      </w:tr>
      <w:tr w14:paraId="7063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79865E2">
            <w:pPr>
              <w:shd w:val="clear" w:color="auto" w:fill="FFFFFF"/>
              <w:adjustRightInd w:val="0"/>
              <w:snapToGrid w:val="0"/>
              <w:jc w:val="center"/>
              <w:rPr>
                <w:rFonts w:ascii="宋体" w:hAnsi="宋体" w:cs="宋体"/>
                <w:color w:val="000000"/>
                <w:sz w:val="24"/>
                <w:highlight w:val="none"/>
              </w:rPr>
            </w:pPr>
          </w:p>
        </w:tc>
        <w:tc>
          <w:tcPr>
            <w:tcW w:w="1482" w:type="dxa"/>
            <w:vAlign w:val="center"/>
          </w:tcPr>
          <w:p w14:paraId="692BB033">
            <w:pPr>
              <w:shd w:val="clear" w:color="auto" w:fill="FFFFFF"/>
              <w:adjustRightInd w:val="0"/>
              <w:snapToGrid w:val="0"/>
              <w:jc w:val="center"/>
              <w:rPr>
                <w:rFonts w:ascii="宋体" w:hAnsi="宋体" w:cs="宋体"/>
                <w:color w:val="000000"/>
                <w:sz w:val="24"/>
                <w:highlight w:val="none"/>
              </w:rPr>
            </w:pPr>
          </w:p>
        </w:tc>
        <w:tc>
          <w:tcPr>
            <w:tcW w:w="2384" w:type="dxa"/>
            <w:vAlign w:val="center"/>
          </w:tcPr>
          <w:p w14:paraId="7EC3CF5E">
            <w:pPr>
              <w:shd w:val="clear" w:color="auto" w:fill="FFFFFF"/>
              <w:adjustRightInd w:val="0"/>
              <w:snapToGrid w:val="0"/>
              <w:jc w:val="center"/>
              <w:rPr>
                <w:rFonts w:ascii="宋体" w:hAnsi="宋体" w:cs="宋体"/>
                <w:color w:val="000000"/>
                <w:sz w:val="24"/>
                <w:highlight w:val="none"/>
              </w:rPr>
            </w:pPr>
          </w:p>
        </w:tc>
        <w:tc>
          <w:tcPr>
            <w:tcW w:w="2126" w:type="dxa"/>
            <w:vAlign w:val="center"/>
          </w:tcPr>
          <w:p w14:paraId="3D49FF0B">
            <w:pPr>
              <w:shd w:val="clear" w:color="auto" w:fill="FFFFFF"/>
              <w:adjustRightInd w:val="0"/>
              <w:snapToGrid w:val="0"/>
              <w:jc w:val="center"/>
              <w:rPr>
                <w:rFonts w:ascii="宋体" w:hAnsi="宋体" w:cs="宋体"/>
                <w:color w:val="000000"/>
                <w:sz w:val="24"/>
                <w:highlight w:val="none"/>
              </w:rPr>
            </w:pPr>
          </w:p>
        </w:tc>
        <w:tc>
          <w:tcPr>
            <w:tcW w:w="1875" w:type="dxa"/>
            <w:vAlign w:val="center"/>
          </w:tcPr>
          <w:p w14:paraId="15DFA767">
            <w:pPr>
              <w:shd w:val="clear" w:color="auto" w:fill="FFFFFF"/>
              <w:adjustRightInd w:val="0"/>
              <w:snapToGrid w:val="0"/>
              <w:jc w:val="center"/>
              <w:rPr>
                <w:rFonts w:ascii="宋体" w:hAnsi="宋体" w:cs="宋体"/>
                <w:color w:val="000000"/>
                <w:sz w:val="24"/>
                <w:highlight w:val="none"/>
              </w:rPr>
            </w:pPr>
          </w:p>
        </w:tc>
        <w:tc>
          <w:tcPr>
            <w:tcW w:w="1009" w:type="dxa"/>
            <w:vAlign w:val="center"/>
          </w:tcPr>
          <w:p w14:paraId="5C37FB65">
            <w:pPr>
              <w:shd w:val="clear" w:color="auto" w:fill="FFFFFF"/>
              <w:adjustRightInd w:val="0"/>
              <w:snapToGrid w:val="0"/>
              <w:jc w:val="center"/>
              <w:rPr>
                <w:rFonts w:ascii="宋体" w:hAnsi="宋体" w:cs="宋体"/>
                <w:color w:val="000000"/>
                <w:sz w:val="24"/>
                <w:highlight w:val="none"/>
              </w:rPr>
            </w:pPr>
          </w:p>
        </w:tc>
      </w:tr>
      <w:tr w14:paraId="3CF4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34DC625">
            <w:pPr>
              <w:shd w:val="clear" w:color="auto" w:fill="FFFFFF"/>
              <w:adjustRightInd w:val="0"/>
              <w:snapToGrid w:val="0"/>
              <w:jc w:val="center"/>
              <w:rPr>
                <w:rFonts w:ascii="宋体" w:hAnsi="宋体" w:cs="宋体"/>
                <w:color w:val="000000"/>
                <w:sz w:val="24"/>
                <w:highlight w:val="none"/>
              </w:rPr>
            </w:pPr>
          </w:p>
        </w:tc>
        <w:tc>
          <w:tcPr>
            <w:tcW w:w="1482" w:type="dxa"/>
            <w:vAlign w:val="center"/>
          </w:tcPr>
          <w:p w14:paraId="419113DD">
            <w:pPr>
              <w:shd w:val="clear" w:color="auto" w:fill="FFFFFF"/>
              <w:adjustRightInd w:val="0"/>
              <w:snapToGrid w:val="0"/>
              <w:jc w:val="center"/>
              <w:rPr>
                <w:rFonts w:ascii="宋体" w:hAnsi="宋体" w:cs="宋体"/>
                <w:color w:val="000000"/>
                <w:sz w:val="24"/>
                <w:highlight w:val="none"/>
              </w:rPr>
            </w:pPr>
          </w:p>
        </w:tc>
        <w:tc>
          <w:tcPr>
            <w:tcW w:w="2384" w:type="dxa"/>
            <w:vAlign w:val="center"/>
          </w:tcPr>
          <w:p w14:paraId="38C9C957">
            <w:pPr>
              <w:shd w:val="clear" w:color="auto" w:fill="FFFFFF"/>
              <w:adjustRightInd w:val="0"/>
              <w:snapToGrid w:val="0"/>
              <w:jc w:val="center"/>
              <w:rPr>
                <w:rFonts w:ascii="宋体" w:hAnsi="宋体" w:cs="宋体"/>
                <w:color w:val="000000"/>
                <w:sz w:val="24"/>
                <w:highlight w:val="none"/>
              </w:rPr>
            </w:pPr>
          </w:p>
        </w:tc>
        <w:tc>
          <w:tcPr>
            <w:tcW w:w="2126" w:type="dxa"/>
            <w:vAlign w:val="center"/>
          </w:tcPr>
          <w:p w14:paraId="1F238421">
            <w:pPr>
              <w:shd w:val="clear" w:color="auto" w:fill="FFFFFF"/>
              <w:adjustRightInd w:val="0"/>
              <w:snapToGrid w:val="0"/>
              <w:jc w:val="center"/>
              <w:rPr>
                <w:rFonts w:ascii="宋体" w:hAnsi="宋体" w:cs="宋体"/>
                <w:color w:val="000000"/>
                <w:sz w:val="24"/>
                <w:highlight w:val="none"/>
              </w:rPr>
            </w:pPr>
          </w:p>
        </w:tc>
        <w:tc>
          <w:tcPr>
            <w:tcW w:w="1875" w:type="dxa"/>
            <w:vAlign w:val="center"/>
          </w:tcPr>
          <w:p w14:paraId="2F062246">
            <w:pPr>
              <w:shd w:val="clear" w:color="auto" w:fill="FFFFFF"/>
              <w:adjustRightInd w:val="0"/>
              <w:snapToGrid w:val="0"/>
              <w:jc w:val="center"/>
              <w:rPr>
                <w:rFonts w:ascii="宋体" w:hAnsi="宋体" w:cs="宋体"/>
                <w:color w:val="000000"/>
                <w:sz w:val="24"/>
                <w:highlight w:val="none"/>
              </w:rPr>
            </w:pPr>
          </w:p>
        </w:tc>
        <w:tc>
          <w:tcPr>
            <w:tcW w:w="1009" w:type="dxa"/>
            <w:vAlign w:val="center"/>
          </w:tcPr>
          <w:p w14:paraId="2802F85B">
            <w:pPr>
              <w:shd w:val="clear" w:color="auto" w:fill="FFFFFF"/>
              <w:adjustRightInd w:val="0"/>
              <w:snapToGrid w:val="0"/>
              <w:jc w:val="center"/>
              <w:rPr>
                <w:rFonts w:ascii="宋体" w:hAnsi="宋体" w:cs="宋体"/>
                <w:color w:val="000000"/>
                <w:sz w:val="24"/>
                <w:highlight w:val="none"/>
              </w:rPr>
            </w:pPr>
          </w:p>
        </w:tc>
      </w:tr>
      <w:tr w14:paraId="6821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82C427F">
            <w:pPr>
              <w:shd w:val="clear" w:color="auto" w:fill="FFFFFF"/>
              <w:adjustRightInd w:val="0"/>
              <w:snapToGrid w:val="0"/>
              <w:jc w:val="center"/>
              <w:rPr>
                <w:rFonts w:ascii="宋体" w:hAnsi="宋体" w:cs="宋体"/>
                <w:color w:val="000000"/>
                <w:sz w:val="24"/>
                <w:highlight w:val="none"/>
              </w:rPr>
            </w:pPr>
          </w:p>
        </w:tc>
        <w:tc>
          <w:tcPr>
            <w:tcW w:w="1482" w:type="dxa"/>
            <w:vAlign w:val="center"/>
          </w:tcPr>
          <w:p w14:paraId="679679F7">
            <w:pPr>
              <w:shd w:val="clear" w:color="auto" w:fill="FFFFFF"/>
              <w:adjustRightInd w:val="0"/>
              <w:snapToGrid w:val="0"/>
              <w:jc w:val="center"/>
              <w:rPr>
                <w:rFonts w:ascii="宋体" w:hAnsi="宋体" w:cs="宋体"/>
                <w:color w:val="000000"/>
                <w:sz w:val="24"/>
                <w:highlight w:val="none"/>
              </w:rPr>
            </w:pPr>
          </w:p>
        </w:tc>
        <w:tc>
          <w:tcPr>
            <w:tcW w:w="2384" w:type="dxa"/>
            <w:vAlign w:val="center"/>
          </w:tcPr>
          <w:p w14:paraId="5A7F2F3C">
            <w:pPr>
              <w:shd w:val="clear" w:color="auto" w:fill="FFFFFF"/>
              <w:adjustRightInd w:val="0"/>
              <w:snapToGrid w:val="0"/>
              <w:jc w:val="center"/>
              <w:rPr>
                <w:rFonts w:ascii="宋体" w:hAnsi="宋体" w:cs="宋体"/>
                <w:color w:val="000000"/>
                <w:sz w:val="24"/>
                <w:highlight w:val="none"/>
              </w:rPr>
            </w:pPr>
          </w:p>
        </w:tc>
        <w:tc>
          <w:tcPr>
            <w:tcW w:w="2126" w:type="dxa"/>
            <w:vAlign w:val="center"/>
          </w:tcPr>
          <w:p w14:paraId="6862A374">
            <w:pPr>
              <w:shd w:val="clear" w:color="auto" w:fill="FFFFFF"/>
              <w:adjustRightInd w:val="0"/>
              <w:snapToGrid w:val="0"/>
              <w:jc w:val="center"/>
              <w:rPr>
                <w:rFonts w:ascii="宋体" w:hAnsi="宋体" w:cs="宋体"/>
                <w:color w:val="000000"/>
                <w:sz w:val="24"/>
                <w:highlight w:val="none"/>
              </w:rPr>
            </w:pPr>
          </w:p>
        </w:tc>
        <w:tc>
          <w:tcPr>
            <w:tcW w:w="1875" w:type="dxa"/>
            <w:vAlign w:val="center"/>
          </w:tcPr>
          <w:p w14:paraId="07442E06">
            <w:pPr>
              <w:shd w:val="clear" w:color="auto" w:fill="FFFFFF"/>
              <w:adjustRightInd w:val="0"/>
              <w:snapToGrid w:val="0"/>
              <w:jc w:val="center"/>
              <w:rPr>
                <w:rFonts w:ascii="宋体" w:hAnsi="宋体" w:cs="宋体"/>
                <w:color w:val="000000"/>
                <w:sz w:val="24"/>
                <w:highlight w:val="none"/>
              </w:rPr>
            </w:pPr>
          </w:p>
        </w:tc>
        <w:tc>
          <w:tcPr>
            <w:tcW w:w="1009" w:type="dxa"/>
            <w:vAlign w:val="center"/>
          </w:tcPr>
          <w:p w14:paraId="21C7EB18">
            <w:pPr>
              <w:shd w:val="clear" w:color="auto" w:fill="FFFFFF"/>
              <w:adjustRightInd w:val="0"/>
              <w:snapToGrid w:val="0"/>
              <w:jc w:val="center"/>
              <w:rPr>
                <w:rFonts w:ascii="宋体" w:hAnsi="宋体" w:cs="宋体"/>
                <w:color w:val="000000"/>
                <w:sz w:val="24"/>
                <w:highlight w:val="none"/>
              </w:rPr>
            </w:pPr>
          </w:p>
        </w:tc>
      </w:tr>
      <w:tr w14:paraId="2B0C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46F626C">
            <w:pPr>
              <w:shd w:val="clear" w:color="auto" w:fill="FFFFFF"/>
              <w:adjustRightInd w:val="0"/>
              <w:snapToGrid w:val="0"/>
              <w:jc w:val="center"/>
              <w:rPr>
                <w:rFonts w:ascii="宋体" w:hAnsi="宋体" w:cs="宋体"/>
                <w:color w:val="000000"/>
                <w:sz w:val="24"/>
                <w:highlight w:val="none"/>
              </w:rPr>
            </w:pPr>
          </w:p>
        </w:tc>
        <w:tc>
          <w:tcPr>
            <w:tcW w:w="1482" w:type="dxa"/>
            <w:vAlign w:val="center"/>
          </w:tcPr>
          <w:p w14:paraId="00E02FDE">
            <w:pPr>
              <w:shd w:val="clear" w:color="auto" w:fill="FFFFFF"/>
              <w:adjustRightInd w:val="0"/>
              <w:snapToGrid w:val="0"/>
              <w:jc w:val="center"/>
              <w:rPr>
                <w:rFonts w:ascii="宋体" w:hAnsi="宋体" w:cs="宋体"/>
                <w:color w:val="000000"/>
                <w:sz w:val="24"/>
                <w:highlight w:val="none"/>
              </w:rPr>
            </w:pPr>
          </w:p>
        </w:tc>
        <w:tc>
          <w:tcPr>
            <w:tcW w:w="2384" w:type="dxa"/>
            <w:vAlign w:val="center"/>
          </w:tcPr>
          <w:p w14:paraId="2131AEDD">
            <w:pPr>
              <w:shd w:val="clear" w:color="auto" w:fill="FFFFFF"/>
              <w:adjustRightInd w:val="0"/>
              <w:snapToGrid w:val="0"/>
              <w:jc w:val="center"/>
              <w:rPr>
                <w:rFonts w:ascii="宋体" w:hAnsi="宋体" w:cs="宋体"/>
                <w:color w:val="000000"/>
                <w:sz w:val="24"/>
                <w:highlight w:val="none"/>
              </w:rPr>
            </w:pPr>
          </w:p>
        </w:tc>
        <w:tc>
          <w:tcPr>
            <w:tcW w:w="2126" w:type="dxa"/>
            <w:vAlign w:val="center"/>
          </w:tcPr>
          <w:p w14:paraId="3C3671A6">
            <w:pPr>
              <w:shd w:val="clear" w:color="auto" w:fill="FFFFFF"/>
              <w:adjustRightInd w:val="0"/>
              <w:snapToGrid w:val="0"/>
              <w:jc w:val="center"/>
              <w:rPr>
                <w:rFonts w:ascii="宋体" w:hAnsi="宋体" w:cs="宋体"/>
                <w:color w:val="000000"/>
                <w:sz w:val="24"/>
                <w:highlight w:val="none"/>
              </w:rPr>
            </w:pPr>
          </w:p>
        </w:tc>
        <w:tc>
          <w:tcPr>
            <w:tcW w:w="1875" w:type="dxa"/>
            <w:vAlign w:val="center"/>
          </w:tcPr>
          <w:p w14:paraId="573A540C">
            <w:pPr>
              <w:shd w:val="clear" w:color="auto" w:fill="FFFFFF"/>
              <w:adjustRightInd w:val="0"/>
              <w:snapToGrid w:val="0"/>
              <w:jc w:val="center"/>
              <w:rPr>
                <w:rFonts w:ascii="宋体" w:hAnsi="宋体" w:cs="宋体"/>
                <w:color w:val="000000"/>
                <w:sz w:val="24"/>
                <w:highlight w:val="none"/>
              </w:rPr>
            </w:pPr>
          </w:p>
        </w:tc>
        <w:tc>
          <w:tcPr>
            <w:tcW w:w="1009" w:type="dxa"/>
            <w:vAlign w:val="center"/>
          </w:tcPr>
          <w:p w14:paraId="257386EB">
            <w:pPr>
              <w:shd w:val="clear" w:color="auto" w:fill="FFFFFF"/>
              <w:adjustRightInd w:val="0"/>
              <w:snapToGrid w:val="0"/>
              <w:jc w:val="center"/>
              <w:rPr>
                <w:rFonts w:ascii="宋体" w:hAnsi="宋体" w:cs="宋体"/>
                <w:color w:val="000000"/>
                <w:sz w:val="24"/>
                <w:highlight w:val="none"/>
              </w:rPr>
            </w:pPr>
          </w:p>
        </w:tc>
      </w:tr>
    </w:tbl>
    <w:p w14:paraId="1ED46C25">
      <w:pPr>
        <w:shd w:val="clear" w:color="auto" w:fill="FFFFFF"/>
        <w:tabs>
          <w:tab w:val="left" w:pos="1800"/>
          <w:tab w:val="left" w:pos="5580"/>
        </w:tabs>
        <w:spacing w:line="360" w:lineRule="auto"/>
        <w:ind w:firstLine="360" w:firstLineChars="150"/>
        <w:jc w:val="left"/>
        <w:rPr>
          <w:rFonts w:ascii="宋体" w:hAnsi="宋体" w:cs="宋体"/>
          <w:color w:val="000000"/>
          <w:sz w:val="24"/>
          <w:highlight w:val="none"/>
          <w:u w:val="single"/>
        </w:rPr>
      </w:pPr>
    </w:p>
    <w:p w14:paraId="7F64989A">
      <w:pPr>
        <w:shd w:val="clear" w:color="auto" w:fill="FFFFFF"/>
        <w:tabs>
          <w:tab w:val="left" w:pos="1800"/>
          <w:tab w:val="left" w:pos="5580"/>
        </w:tabs>
        <w:spacing w:line="360" w:lineRule="auto"/>
        <w:ind w:firstLine="360" w:firstLineChars="150"/>
        <w:jc w:val="left"/>
        <w:rPr>
          <w:rFonts w:ascii="宋体" w:hAnsi="宋体" w:cs="宋体"/>
          <w:color w:val="000000"/>
          <w:sz w:val="24"/>
          <w:highlight w:val="none"/>
          <w:u w:val="single"/>
        </w:rPr>
      </w:pPr>
    </w:p>
    <w:p w14:paraId="1B32C815">
      <w:pPr>
        <w:shd w:val="clear" w:color="auto" w:fill="FFFFFF"/>
        <w:tabs>
          <w:tab w:val="left" w:pos="1800"/>
          <w:tab w:val="left" w:pos="5580"/>
        </w:tabs>
        <w:jc w:val="left"/>
        <w:rPr>
          <w:rFonts w:ascii="宋体" w:hAnsi="宋体" w:cs="宋体"/>
          <w:color w:val="000000"/>
          <w:sz w:val="24"/>
          <w:highlight w:val="none"/>
        </w:rPr>
      </w:pPr>
      <w:r>
        <w:rPr>
          <w:rFonts w:hint="eastAsia" w:ascii="宋体" w:hAnsi="宋体" w:cs="宋体"/>
          <w:color w:val="000000"/>
          <w:sz w:val="24"/>
          <w:highlight w:val="none"/>
        </w:rPr>
        <w:t>注：</w:t>
      </w:r>
    </w:p>
    <w:p w14:paraId="151F1623">
      <w:pPr>
        <w:shd w:val="clear" w:color="auto" w:fill="FFFFFF"/>
        <w:tabs>
          <w:tab w:val="left" w:pos="1800"/>
          <w:tab w:val="left" w:pos="5580"/>
        </w:tabs>
        <w:jc w:val="left"/>
        <w:rPr>
          <w:rFonts w:ascii="宋体" w:hAnsi="宋体" w:cs="宋体"/>
          <w:sz w:val="24"/>
          <w:highlight w:val="none"/>
        </w:rPr>
      </w:pPr>
      <w:r>
        <w:rPr>
          <w:rFonts w:hint="eastAsia" w:ascii="宋体" w:hAnsi="宋体" w:cs="宋体"/>
          <w:color w:val="000000"/>
          <w:sz w:val="24"/>
          <w:highlight w:val="none"/>
        </w:rPr>
        <w:t xml:space="preserve">1. </w:t>
      </w:r>
      <w:r>
        <w:rPr>
          <w:rFonts w:hint="eastAsia" w:ascii="宋体" w:hAnsi="宋体" w:cs="宋体"/>
          <w:sz w:val="24"/>
          <w:highlight w:val="none"/>
        </w:rPr>
        <w:t>对竞争性磋商文件中的所有商务、技术要求，除本表所列明的所有偏离外，均视作供应商已对之理解和响应。此表中若无任何文字说明，内容为空白的，</w:t>
      </w:r>
      <w:r>
        <w:rPr>
          <w:rFonts w:hint="eastAsia" w:ascii="宋体" w:hAnsi="宋体" w:cs="宋体"/>
          <w:b/>
          <w:sz w:val="24"/>
          <w:highlight w:val="none"/>
        </w:rPr>
        <w:t>响应无效</w:t>
      </w:r>
      <w:r>
        <w:rPr>
          <w:rFonts w:hint="eastAsia" w:ascii="宋体" w:hAnsi="宋体" w:cs="宋体"/>
          <w:sz w:val="24"/>
          <w:highlight w:val="none"/>
        </w:rPr>
        <w:t>。</w:t>
      </w:r>
    </w:p>
    <w:p w14:paraId="61439588">
      <w:pPr>
        <w:shd w:val="clear" w:color="auto" w:fill="FFFFFF"/>
        <w:tabs>
          <w:tab w:val="left" w:pos="1800"/>
          <w:tab w:val="left" w:pos="5580"/>
        </w:tabs>
        <w:jc w:val="left"/>
        <w:rPr>
          <w:rFonts w:ascii="宋体" w:hAnsi="宋体" w:cs="宋体"/>
          <w:color w:val="000000"/>
          <w:sz w:val="24"/>
          <w:highlight w:val="none"/>
        </w:rPr>
      </w:pPr>
      <w:r>
        <w:rPr>
          <w:rFonts w:hint="eastAsia" w:ascii="宋体" w:hAnsi="宋体" w:cs="宋体"/>
          <w:sz w:val="24"/>
          <w:highlight w:val="none"/>
        </w:rPr>
        <w:t>2.“偏离情况”列应</w:t>
      </w:r>
      <w:r>
        <w:rPr>
          <w:rFonts w:hint="eastAsia" w:ascii="宋体" w:hAnsi="宋体" w:cs="宋体"/>
          <w:color w:val="000000"/>
          <w:sz w:val="24"/>
          <w:highlight w:val="none"/>
        </w:rPr>
        <w:t>据实</w:t>
      </w:r>
      <w:r>
        <w:rPr>
          <w:rFonts w:hint="eastAsia" w:ascii="宋体" w:hAnsi="宋体" w:cs="宋体"/>
          <w:sz w:val="24"/>
          <w:highlight w:val="none"/>
        </w:rPr>
        <w:t>填写“无偏离”、“正偏离”或“负偏离”。</w:t>
      </w:r>
    </w:p>
    <w:p w14:paraId="44563A54">
      <w:pPr>
        <w:shd w:val="clear" w:color="auto" w:fill="FFFFFF"/>
        <w:tabs>
          <w:tab w:val="left" w:pos="1800"/>
          <w:tab w:val="left" w:pos="5580"/>
        </w:tabs>
        <w:jc w:val="left"/>
        <w:rPr>
          <w:rFonts w:ascii="宋体" w:hAnsi="宋体" w:cs="宋体"/>
          <w:color w:val="000000"/>
          <w:sz w:val="24"/>
          <w:highlight w:val="none"/>
        </w:rPr>
      </w:pPr>
    </w:p>
    <w:p w14:paraId="67E1E6CC">
      <w:pPr>
        <w:shd w:val="clear" w:color="auto" w:fill="FFFFFF"/>
        <w:rPr>
          <w:rFonts w:ascii="宋体" w:hAnsi="宋体" w:cs="宋体"/>
          <w:color w:val="000000"/>
          <w:sz w:val="24"/>
          <w:szCs w:val="20"/>
          <w:highlight w:val="none"/>
        </w:rPr>
      </w:pPr>
    </w:p>
    <w:p w14:paraId="4670A89B">
      <w:pPr>
        <w:shd w:val="clear" w:color="auto" w:fill="FFFFFF"/>
        <w:autoSpaceDE w:val="0"/>
        <w:autoSpaceDN w:val="0"/>
        <w:adjustRightInd w:val="0"/>
        <w:snapToGrid w:val="0"/>
        <w:spacing w:before="25" w:after="25" w:line="360" w:lineRule="auto"/>
        <w:ind w:right="360"/>
        <w:jc w:val="left"/>
        <w:rPr>
          <w:rFonts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sz w:val="24"/>
          <w:highlight w:val="none"/>
        </w:rPr>
        <w:t>______</w:t>
      </w:r>
    </w:p>
    <w:p w14:paraId="5E3A41AD">
      <w:pPr>
        <w:shd w:val="clear" w:color="auto" w:fill="FFFFFF"/>
        <w:autoSpaceDE w:val="0"/>
        <w:autoSpaceDN w:val="0"/>
        <w:adjustRightInd w:val="0"/>
        <w:snapToGrid w:val="0"/>
        <w:spacing w:before="25" w:after="25" w:line="360" w:lineRule="auto"/>
        <w:ind w:right="360"/>
        <w:jc w:val="left"/>
        <w:rPr>
          <w:rFonts w:ascii="宋体" w:hAnsi="宋体" w:cs="宋体"/>
          <w:color w:val="000000"/>
          <w:sz w:val="24"/>
          <w:szCs w:val="20"/>
          <w:highlight w:val="none"/>
        </w:rPr>
      </w:pPr>
      <w:r>
        <w:rPr>
          <w:rFonts w:hint="eastAsia" w:ascii="宋体" w:hAnsi="宋体" w:cs="宋体"/>
          <w:color w:val="000000"/>
          <w:sz w:val="24"/>
          <w:szCs w:val="20"/>
          <w:highlight w:val="none"/>
        </w:rPr>
        <w:t xml:space="preserve">日期：____年____月____日 </w:t>
      </w:r>
    </w:p>
    <w:p w14:paraId="66EEC346">
      <w:pPr>
        <w:shd w:val="clear" w:color="auto" w:fill="FFFFFF"/>
        <w:tabs>
          <w:tab w:val="left" w:pos="360"/>
        </w:tabs>
        <w:snapToGrid w:val="0"/>
        <w:spacing w:line="360" w:lineRule="auto"/>
        <w:outlineLvl w:val="1"/>
        <w:rPr>
          <w:rFonts w:ascii="宋体" w:hAnsi="宋体" w:cs="宋体"/>
          <w:color w:val="000000"/>
          <w:sz w:val="24"/>
          <w:szCs w:val="20"/>
          <w:highlight w:val="none"/>
        </w:rPr>
      </w:pPr>
      <w:r>
        <w:rPr>
          <w:rFonts w:hint="eastAsia" w:ascii="宋体" w:hAnsi="宋体" w:cs="宋体"/>
          <w:color w:val="000000"/>
          <w:sz w:val="24"/>
          <w:szCs w:val="20"/>
          <w:highlight w:val="none"/>
        </w:rPr>
        <w:br w:type="page"/>
      </w:r>
      <w:r>
        <w:rPr>
          <w:rFonts w:hint="eastAsia" w:ascii="宋体" w:hAnsi="宋体" w:cs="宋体"/>
          <w:color w:val="000000"/>
          <w:sz w:val="24"/>
          <w:szCs w:val="20"/>
          <w:highlight w:val="none"/>
        </w:rPr>
        <w:t>11 竞争性磋商文件要求提供或供应商认为应附的其他材料</w:t>
      </w:r>
    </w:p>
    <w:p w14:paraId="7D866DEA">
      <w:pPr>
        <w:shd w:val="clear" w:color="auto" w:fill="FFFFFF"/>
        <w:tabs>
          <w:tab w:val="left" w:pos="360"/>
        </w:tabs>
        <w:snapToGrid w:val="0"/>
        <w:spacing w:line="360" w:lineRule="auto"/>
        <w:outlineLvl w:val="1"/>
        <w:rPr>
          <w:sz w:val="24"/>
          <w:highlight w:val="none"/>
        </w:rPr>
      </w:pPr>
      <w:r>
        <w:rPr>
          <w:rFonts w:hint="eastAsia"/>
          <w:sz w:val="24"/>
          <w:highlight w:val="none"/>
        </w:rPr>
        <w:t>11-1 供应商信息采集表</w:t>
      </w:r>
    </w:p>
    <w:tbl>
      <w:tblPr>
        <w:tblStyle w:val="8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7"/>
      </w:tblGrid>
      <w:tr w14:paraId="2330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B85F7ED">
            <w:pPr>
              <w:tabs>
                <w:tab w:val="left" w:pos="360"/>
              </w:tabs>
              <w:snapToGrid w:val="0"/>
              <w:spacing w:line="360" w:lineRule="auto"/>
              <w:ind w:left="5250"/>
              <w:jc w:val="center"/>
              <w:outlineLvl w:val="1"/>
              <w:rPr>
                <w:sz w:val="24"/>
                <w:highlight w:val="none"/>
              </w:rPr>
            </w:pPr>
            <w:r>
              <w:rPr>
                <w:rFonts w:hint="eastAsia" w:ascii="FZSSK--GBK1-0" w:hAnsi="FZSSK--GBK1-0" w:eastAsia="FZSSK--GBK1-0"/>
                <w:sz w:val="24"/>
                <w:highlight w:val="none"/>
              </w:rPr>
              <w:t>供应商名称</w:t>
            </w:r>
          </w:p>
        </w:tc>
        <w:tc>
          <w:tcPr>
            <w:tcW w:w="3096" w:type="dxa"/>
          </w:tcPr>
          <w:p w14:paraId="708E63EB">
            <w:pPr>
              <w:tabs>
                <w:tab w:val="left" w:pos="360"/>
              </w:tabs>
              <w:snapToGrid w:val="0"/>
              <w:spacing w:line="360" w:lineRule="auto"/>
              <w:ind w:left="5250"/>
              <w:jc w:val="center"/>
              <w:outlineLvl w:val="1"/>
              <w:rPr>
                <w:rFonts w:eastAsia="FZSSK--GBK1-0"/>
                <w:sz w:val="24"/>
                <w:highlight w:val="none"/>
              </w:rPr>
            </w:pPr>
            <w:r>
              <w:rPr>
                <w:rFonts w:hint="eastAsia" w:ascii="FZSSK--GBK1-0" w:hAnsi="FZSSK--GBK1-0" w:eastAsia="FZSSK--GBK1-0"/>
                <w:sz w:val="24"/>
                <w:highlight w:val="none"/>
              </w:rPr>
              <w:t>供应商所属性别</w:t>
            </w:r>
          </w:p>
        </w:tc>
        <w:tc>
          <w:tcPr>
            <w:tcW w:w="3097" w:type="dxa"/>
          </w:tcPr>
          <w:p w14:paraId="11CF383F">
            <w:pPr>
              <w:tabs>
                <w:tab w:val="left" w:pos="360"/>
              </w:tabs>
              <w:snapToGrid w:val="0"/>
              <w:spacing w:line="360" w:lineRule="auto"/>
              <w:ind w:left="5250"/>
              <w:jc w:val="center"/>
              <w:outlineLvl w:val="1"/>
              <w:rPr>
                <w:sz w:val="24"/>
                <w:highlight w:val="none"/>
              </w:rPr>
            </w:pPr>
            <w:r>
              <w:rPr>
                <w:rFonts w:hint="eastAsia" w:ascii="FZSSK--GBK1-0" w:hAnsi="FZSSK--GBK1-0" w:eastAsia="FZSSK--GBK1-0"/>
                <w:sz w:val="24"/>
                <w:highlight w:val="none"/>
              </w:rPr>
              <w:t>外商投资类型</w:t>
            </w:r>
          </w:p>
        </w:tc>
      </w:tr>
      <w:tr w14:paraId="70D5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32253AB">
            <w:pPr>
              <w:tabs>
                <w:tab w:val="left" w:pos="360"/>
              </w:tabs>
              <w:snapToGrid w:val="0"/>
              <w:spacing w:line="360" w:lineRule="auto"/>
              <w:ind w:left="5250"/>
              <w:outlineLvl w:val="1"/>
              <w:rPr>
                <w:sz w:val="24"/>
                <w:highlight w:val="none"/>
              </w:rPr>
            </w:pPr>
          </w:p>
        </w:tc>
        <w:tc>
          <w:tcPr>
            <w:tcW w:w="3096" w:type="dxa"/>
          </w:tcPr>
          <w:p w14:paraId="4C9DB421">
            <w:pPr>
              <w:tabs>
                <w:tab w:val="left" w:pos="360"/>
              </w:tabs>
              <w:snapToGrid w:val="0"/>
              <w:spacing w:line="360" w:lineRule="auto"/>
              <w:ind w:left="5250"/>
              <w:outlineLvl w:val="1"/>
              <w:rPr>
                <w:sz w:val="24"/>
                <w:highlight w:val="none"/>
              </w:rPr>
            </w:pPr>
          </w:p>
        </w:tc>
        <w:tc>
          <w:tcPr>
            <w:tcW w:w="3097" w:type="dxa"/>
          </w:tcPr>
          <w:p w14:paraId="12D7121A">
            <w:pPr>
              <w:tabs>
                <w:tab w:val="left" w:pos="360"/>
              </w:tabs>
              <w:snapToGrid w:val="0"/>
              <w:spacing w:line="360" w:lineRule="auto"/>
              <w:ind w:left="5250"/>
              <w:outlineLvl w:val="1"/>
              <w:rPr>
                <w:sz w:val="24"/>
                <w:highlight w:val="none"/>
              </w:rPr>
            </w:pPr>
          </w:p>
        </w:tc>
      </w:tr>
      <w:tr w14:paraId="7507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274A39ED">
            <w:pPr>
              <w:tabs>
                <w:tab w:val="left" w:pos="360"/>
              </w:tabs>
              <w:snapToGrid w:val="0"/>
              <w:spacing w:line="360" w:lineRule="auto"/>
              <w:ind w:left="5250"/>
              <w:outlineLvl w:val="1"/>
              <w:rPr>
                <w:sz w:val="24"/>
                <w:highlight w:val="none"/>
              </w:rPr>
            </w:pPr>
          </w:p>
        </w:tc>
        <w:tc>
          <w:tcPr>
            <w:tcW w:w="3096" w:type="dxa"/>
          </w:tcPr>
          <w:p w14:paraId="4CB8C895">
            <w:pPr>
              <w:tabs>
                <w:tab w:val="left" w:pos="360"/>
              </w:tabs>
              <w:snapToGrid w:val="0"/>
              <w:spacing w:line="360" w:lineRule="auto"/>
              <w:ind w:left="5250"/>
              <w:outlineLvl w:val="1"/>
              <w:rPr>
                <w:sz w:val="24"/>
                <w:highlight w:val="none"/>
              </w:rPr>
            </w:pPr>
          </w:p>
        </w:tc>
        <w:tc>
          <w:tcPr>
            <w:tcW w:w="3097" w:type="dxa"/>
          </w:tcPr>
          <w:p w14:paraId="283888AC">
            <w:pPr>
              <w:tabs>
                <w:tab w:val="left" w:pos="360"/>
              </w:tabs>
              <w:snapToGrid w:val="0"/>
              <w:spacing w:line="360" w:lineRule="auto"/>
              <w:ind w:left="5250"/>
              <w:outlineLvl w:val="1"/>
              <w:rPr>
                <w:sz w:val="24"/>
                <w:highlight w:val="none"/>
              </w:rPr>
            </w:pPr>
          </w:p>
        </w:tc>
      </w:tr>
      <w:tr w14:paraId="6463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5998E5F5">
            <w:pPr>
              <w:tabs>
                <w:tab w:val="left" w:pos="360"/>
              </w:tabs>
              <w:snapToGrid w:val="0"/>
              <w:spacing w:line="360" w:lineRule="auto"/>
              <w:ind w:left="5250"/>
              <w:outlineLvl w:val="1"/>
              <w:rPr>
                <w:sz w:val="24"/>
                <w:highlight w:val="none"/>
              </w:rPr>
            </w:pPr>
          </w:p>
        </w:tc>
        <w:tc>
          <w:tcPr>
            <w:tcW w:w="3096" w:type="dxa"/>
          </w:tcPr>
          <w:p w14:paraId="49132A0C">
            <w:pPr>
              <w:tabs>
                <w:tab w:val="left" w:pos="360"/>
              </w:tabs>
              <w:snapToGrid w:val="0"/>
              <w:spacing w:line="360" w:lineRule="auto"/>
              <w:ind w:left="5250"/>
              <w:outlineLvl w:val="1"/>
              <w:rPr>
                <w:sz w:val="24"/>
                <w:highlight w:val="none"/>
              </w:rPr>
            </w:pPr>
          </w:p>
        </w:tc>
        <w:tc>
          <w:tcPr>
            <w:tcW w:w="3097" w:type="dxa"/>
          </w:tcPr>
          <w:p w14:paraId="454AEDA4">
            <w:pPr>
              <w:tabs>
                <w:tab w:val="left" w:pos="360"/>
              </w:tabs>
              <w:snapToGrid w:val="0"/>
              <w:spacing w:line="360" w:lineRule="auto"/>
              <w:ind w:left="5250"/>
              <w:outlineLvl w:val="1"/>
              <w:rPr>
                <w:sz w:val="24"/>
                <w:highlight w:val="none"/>
              </w:rPr>
            </w:pPr>
          </w:p>
        </w:tc>
      </w:tr>
    </w:tbl>
    <w:p w14:paraId="63EBA4A4">
      <w:pPr>
        <w:shd w:val="clear" w:color="auto" w:fill="FFFFFF"/>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注：1.供应商如为联合体，则应填写联合体各成员信息。</w:t>
      </w:r>
    </w:p>
    <w:p w14:paraId="0253A89B">
      <w:pPr>
        <w:shd w:val="clear" w:color="auto" w:fill="FFFFFF"/>
        <w:tabs>
          <w:tab w:val="left" w:pos="360"/>
        </w:tabs>
        <w:snapToGrid w:val="0"/>
        <w:spacing w:line="360" w:lineRule="auto"/>
        <w:ind w:firstLine="480" w:firstLineChars="200"/>
        <w:outlineLvl w:val="1"/>
        <w:rPr>
          <w:rFonts w:ascii="宋体" w:hAnsi="宋体" w:cs="宋体"/>
          <w:sz w:val="24"/>
          <w:highlight w:val="none"/>
        </w:rPr>
      </w:pPr>
      <w:r>
        <w:rPr>
          <w:rFonts w:hint="eastAsia" w:ascii="宋体" w:hAnsi="宋体" w:cs="宋体"/>
          <w:sz w:val="24"/>
          <w:highlight w:val="none"/>
        </w:rPr>
        <w:t>2.供应商所属性别请填写“男”或“女”，指拥有供应商51%以上绝对所有权的性</w:t>
      </w:r>
    </w:p>
    <w:p w14:paraId="3CEEFCAB">
      <w:pPr>
        <w:shd w:val="clear" w:color="auto" w:fill="FFFFFF"/>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别；绝对所有权拥有者可以是一个人，也可以是多人合计计算。</w:t>
      </w:r>
    </w:p>
    <w:p w14:paraId="4BF2D522">
      <w:pPr>
        <w:shd w:val="clear" w:color="auto" w:fill="FFFFFF"/>
        <w:tabs>
          <w:tab w:val="left" w:pos="360"/>
        </w:tabs>
        <w:snapToGrid w:val="0"/>
        <w:spacing w:line="360" w:lineRule="auto"/>
        <w:ind w:firstLine="480" w:firstLineChars="200"/>
        <w:outlineLvl w:val="1"/>
        <w:rPr>
          <w:rFonts w:ascii="宋体" w:hAnsi="宋体" w:cs="宋体"/>
          <w:sz w:val="24"/>
          <w:highlight w:val="none"/>
        </w:rPr>
      </w:pPr>
      <w:r>
        <w:rPr>
          <w:rFonts w:hint="eastAsia" w:ascii="宋体" w:hAnsi="宋体" w:cs="宋体"/>
          <w:sz w:val="24"/>
          <w:highlight w:val="none"/>
        </w:rPr>
        <w:t>3.外商投资类型请填写“外商单独投资”、“外商部分投资”或“内资”。</w:t>
      </w:r>
    </w:p>
    <w:p w14:paraId="0B286C8E">
      <w:pPr>
        <w:widowControl/>
        <w:shd w:val="clear" w:color="auto" w:fill="FFFFFF"/>
        <w:jc w:val="left"/>
        <w:rPr>
          <w:b/>
          <w:sz w:val="36"/>
          <w:szCs w:val="36"/>
          <w:highlight w:val="none"/>
        </w:rPr>
      </w:pPr>
    </w:p>
    <w:p w14:paraId="7587701B">
      <w:pPr>
        <w:widowControl/>
        <w:shd w:val="clear" w:color="auto" w:fill="FFFFFF"/>
        <w:jc w:val="left"/>
        <w:rPr>
          <w:b/>
          <w:sz w:val="36"/>
          <w:szCs w:val="36"/>
          <w:highlight w:val="none"/>
        </w:rPr>
      </w:pPr>
      <w:r>
        <w:rPr>
          <w:b/>
          <w:sz w:val="36"/>
          <w:szCs w:val="36"/>
          <w:highlight w:val="none"/>
        </w:rPr>
        <w:br w:type="page"/>
      </w:r>
    </w:p>
    <w:p w14:paraId="237C2561">
      <w:pPr>
        <w:shd w:val="clear" w:color="auto" w:fill="FFFFFF"/>
        <w:tabs>
          <w:tab w:val="left" w:pos="360"/>
        </w:tabs>
        <w:snapToGrid w:val="0"/>
        <w:spacing w:line="360" w:lineRule="auto"/>
        <w:outlineLvl w:val="1"/>
        <w:rPr>
          <w:sz w:val="24"/>
          <w:highlight w:val="none"/>
        </w:rPr>
      </w:pPr>
      <w:r>
        <w:rPr>
          <w:rFonts w:hint="eastAsia"/>
          <w:sz w:val="24"/>
          <w:highlight w:val="none"/>
        </w:rPr>
        <w:t>12</w:t>
      </w:r>
      <w:r>
        <w:rPr>
          <w:sz w:val="24"/>
          <w:highlight w:val="none"/>
        </w:rPr>
        <w:t xml:space="preserve">  最后报价一览表</w:t>
      </w:r>
    </w:p>
    <w:p w14:paraId="642AB7ED">
      <w:pPr>
        <w:widowControl/>
        <w:shd w:val="clear" w:color="auto" w:fill="FFFFFF"/>
        <w:jc w:val="left"/>
        <w:rPr>
          <w:kern w:val="0"/>
          <w:sz w:val="24"/>
          <w:szCs w:val="20"/>
          <w:highlight w:val="none"/>
        </w:rPr>
      </w:pPr>
    </w:p>
    <w:p w14:paraId="1D690E1D">
      <w:pPr>
        <w:shd w:val="clear" w:color="auto" w:fill="FFFFFF"/>
        <w:spacing w:line="360" w:lineRule="exact"/>
        <w:ind w:firstLine="720"/>
        <w:jc w:val="center"/>
        <w:rPr>
          <w:b/>
          <w:color w:val="000000"/>
          <w:sz w:val="36"/>
          <w:szCs w:val="36"/>
          <w:highlight w:val="none"/>
        </w:rPr>
      </w:pPr>
      <w:r>
        <w:rPr>
          <w:rFonts w:hint="eastAsia"/>
          <w:b/>
          <w:color w:val="000000"/>
          <w:sz w:val="36"/>
          <w:szCs w:val="36"/>
          <w:highlight w:val="none"/>
        </w:rPr>
        <w:t>最后报价一览表</w:t>
      </w:r>
    </w:p>
    <w:p w14:paraId="35C2B89F">
      <w:pPr>
        <w:shd w:val="clear" w:color="auto" w:fill="FFFFFF"/>
        <w:tabs>
          <w:tab w:val="left" w:pos="1800"/>
          <w:tab w:val="left" w:pos="5580"/>
        </w:tabs>
        <w:spacing w:line="360" w:lineRule="auto"/>
        <w:jc w:val="left"/>
        <w:rPr>
          <w:color w:val="000000"/>
          <w:sz w:val="24"/>
          <w:highlight w:val="none"/>
        </w:rPr>
      </w:pPr>
    </w:p>
    <w:p w14:paraId="4D381E3E">
      <w:pPr>
        <w:shd w:val="clear" w:color="auto" w:fill="FFFFFF"/>
        <w:tabs>
          <w:tab w:val="left" w:pos="1800"/>
          <w:tab w:val="left" w:pos="5580"/>
        </w:tabs>
        <w:spacing w:line="360" w:lineRule="auto"/>
        <w:ind w:firstLine="360" w:firstLineChars="150"/>
        <w:jc w:val="left"/>
        <w:rPr>
          <w:color w:val="000000"/>
          <w:sz w:val="24"/>
          <w:highlight w:val="none"/>
        </w:rPr>
      </w:pPr>
      <w:r>
        <w:rPr>
          <w:color w:val="000000"/>
          <w:sz w:val="24"/>
          <w:highlight w:val="none"/>
        </w:rPr>
        <w:t>项目</w:t>
      </w:r>
      <w:r>
        <w:rPr>
          <w:rFonts w:hint="eastAsia"/>
          <w:color w:val="000000"/>
          <w:sz w:val="24"/>
          <w:highlight w:val="none"/>
        </w:rPr>
        <w:t>代理</w:t>
      </w:r>
      <w:r>
        <w:rPr>
          <w:color w:val="000000"/>
          <w:sz w:val="24"/>
          <w:highlight w:val="none"/>
        </w:rPr>
        <w:t>编号：_______________     项目名称：_______________</w:t>
      </w:r>
    </w:p>
    <w:tbl>
      <w:tblPr>
        <w:tblStyle w:val="8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4"/>
        <w:gridCol w:w="2964"/>
        <w:gridCol w:w="1714"/>
        <w:gridCol w:w="1526"/>
        <w:gridCol w:w="1460"/>
      </w:tblGrid>
      <w:tr w14:paraId="2119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44" w:type="dxa"/>
            <w:vMerge w:val="restart"/>
            <w:vAlign w:val="center"/>
          </w:tcPr>
          <w:p w14:paraId="3AE50E16">
            <w:pPr>
              <w:shd w:val="clear" w:color="auto" w:fill="FFFFFF"/>
              <w:tabs>
                <w:tab w:val="left" w:pos="5580"/>
              </w:tabs>
              <w:jc w:val="center"/>
              <w:rPr>
                <w:b/>
                <w:sz w:val="24"/>
                <w:highlight w:val="none"/>
              </w:rPr>
            </w:pPr>
            <w:r>
              <w:rPr>
                <w:b/>
                <w:sz w:val="24"/>
                <w:highlight w:val="none"/>
              </w:rPr>
              <w:t>序号</w:t>
            </w:r>
          </w:p>
        </w:tc>
        <w:tc>
          <w:tcPr>
            <w:tcW w:w="2964" w:type="dxa"/>
            <w:vMerge w:val="restart"/>
            <w:vAlign w:val="center"/>
          </w:tcPr>
          <w:p w14:paraId="67EDB86E">
            <w:pPr>
              <w:shd w:val="clear" w:color="auto" w:fill="FFFFFF"/>
              <w:tabs>
                <w:tab w:val="left" w:pos="5580"/>
              </w:tabs>
              <w:jc w:val="center"/>
              <w:rPr>
                <w:b/>
                <w:sz w:val="24"/>
                <w:highlight w:val="none"/>
              </w:rPr>
            </w:pPr>
            <w:r>
              <w:rPr>
                <w:b/>
                <w:sz w:val="24"/>
                <w:highlight w:val="none"/>
              </w:rPr>
              <w:t>供应商名称</w:t>
            </w:r>
          </w:p>
        </w:tc>
        <w:tc>
          <w:tcPr>
            <w:tcW w:w="3240" w:type="dxa"/>
            <w:gridSpan w:val="2"/>
            <w:vAlign w:val="center"/>
          </w:tcPr>
          <w:p w14:paraId="27760488">
            <w:pPr>
              <w:shd w:val="clear" w:color="auto" w:fill="FFFFFF"/>
              <w:tabs>
                <w:tab w:val="left" w:pos="5580"/>
              </w:tabs>
              <w:jc w:val="center"/>
              <w:rPr>
                <w:b/>
                <w:sz w:val="24"/>
                <w:highlight w:val="none"/>
              </w:rPr>
            </w:pPr>
            <w:r>
              <w:rPr>
                <w:b/>
                <w:sz w:val="24"/>
                <w:highlight w:val="none"/>
              </w:rPr>
              <w:t>最后报价</w:t>
            </w:r>
          </w:p>
        </w:tc>
        <w:tc>
          <w:tcPr>
            <w:tcW w:w="1460" w:type="dxa"/>
            <w:vMerge w:val="restart"/>
            <w:vAlign w:val="center"/>
          </w:tcPr>
          <w:p w14:paraId="2AF960A1">
            <w:pPr>
              <w:shd w:val="clear" w:color="auto" w:fill="FFFFFF"/>
              <w:tabs>
                <w:tab w:val="left" w:pos="5580"/>
              </w:tabs>
              <w:jc w:val="center"/>
              <w:rPr>
                <w:b/>
                <w:sz w:val="24"/>
                <w:highlight w:val="none"/>
              </w:rPr>
            </w:pPr>
            <w:r>
              <w:rPr>
                <w:b/>
                <w:sz w:val="24"/>
                <w:highlight w:val="none"/>
              </w:rPr>
              <w:t>其他</w:t>
            </w:r>
          </w:p>
          <w:p w14:paraId="3677AF29">
            <w:pPr>
              <w:shd w:val="clear" w:color="auto" w:fill="FFFFFF"/>
              <w:tabs>
                <w:tab w:val="left" w:pos="5580"/>
              </w:tabs>
              <w:jc w:val="center"/>
              <w:rPr>
                <w:b/>
                <w:sz w:val="24"/>
                <w:highlight w:val="none"/>
              </w:rPr>
            </w:pPr>
            <w:r>
              <w:rPr>
                <w:b/>
                <w:sz w:val="24"/>
                <w:highlight w:val="none"/>
              </w:rPr>
              <w:t>声明</w:t>
            </w:r>
          </w:p>
        </w:tc>
      </w:tr>
      <w:tr w14:paraId="3233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144" w:type="dxa"/>
            <w:vMerge w:val="continue"/>
            <w:vAlign w:val="center"/>
          </w:tcPr>
          <w:p w14:paraId="7EE5F5F4">
            <w:pPr>
              <w:shd w:val="clear" w:color="auto" w:fill="FFFFFF"/>
              <w:tabs>
                <w:tab w:val="left" w:pos="5580"/>
              </w:tabs>
              <w:jc w:val="center"/>
              <w:rPr>
                <w:sz w:val="24"/>
                <w:highlight w:val="none"/>
              </w:rPr>
            </w:pPr>
          </w:p>
        </w:tc>
        <w:tc>
          <w:tcPr>
            <w:tcW w:w="2964" w:type="dxa"/>
            <w:vMerge w:val="continue"/>
            <w:vAlign w:val="center"/>
          </w:tcPr>
          <w:p w14:paraId="423033CE">
            <w:pPr>
              <w:shd w:val="clear" w:color="auto" w:fill="FFFFFF"/>
              <w:tabs>
                <w:tab w:val="left" w:pos="5580"/>
              </w:tabs>
              <w:jc w:val="center"/>
              <w:rPr>
                <w:sz w:val="24"/>
                <w:highlight w:val="none"/>
              </w:rPr>
            </w:pPr>
          </w:p>
        </w:tc>
        <w:tc>
          <w:tcPr>
            <w:tcW w:w="1714" w:type="dxa"/>
            <w:vAlign w:val="center"/>
          </w:tcPr>
          <w:p w14:paraId="1780A3AD">
            <w:pPr>
              <w:shd w:val="clear" w:color="auto" w:fill="FFFFFF"/>
              <w:tabs>
                <w:tab w:val="left" w:pos="5580"/>
              </w:tabs>
              <w:jc w:val="center"/>
              <w:rPr>
                <w:b/>
                <w:sz w:val="24"/>
                <w:highlight w:val="none"/>
              </w:rPr>
            </w:pPr>
            <w:r>
              <w:rPr>
                <w:b/>
                <w:sz w:val="24"/>
                <w:highlight w:val="none"/>
              </w:rPr>
              <w:t>大写</w:t>
            </w:r>
          </w:p>
        </w:tc>
        <w:tc>
          <w:tcPr>
            <w:tcW w:w="1526" w:type="dxa"/>
            <w:vAlign w:val="center"/>
          </w:tcPr>
          <w:p w14:paraId="2E62C36A">
            <w:pPr>
              <w:shd w:val="clear" w:color="auto" w:fill="FFFFFF"/>
              <w:tabs>
                <w:tab w:val="left" w:pos="5580"/>
              </w:tabs>
              <w:jc w:val="center"/>
              <w:rPr>
                <w:b/>
                <w:sz w:val="24"/>
                <w:highlight w:val="none"/>
              </w:rPr>
            </w:pPr>
            <w:r>
              <w:rPr>
                <w:b/>
                <w:sz w:val="24"/>
                <w:highlight w:val="none"/>
              </w:rPr>
              <w:t>小写</w:t>
            </w:r>
          </w:p>
        </w:tc>
        <w:tc>
          <w:tcPr>
            <w:tcW w:w="1460" w:type="dxa"/>
            <w:vMerge w:val="continue"/>
            <w:vAlign w:val="center"/>
          </w:tcPr>
          <w:p w14:paraId="7333DE65">
            <w:pPr>
              <w:shd w:val="clear" w:color="auto" w:fill="FFFFFF"/>
              <w:tabs>
                <w:tab w:val="left" w:pos="5580"/>
              </w:tabs>
              <w:ind w:firstLine="482"/>
              <w:jc w:val="center"/>
              <w:rPr>
                <w:b/>
                <w:sz w:val="24"/>
                <w:highlight w:val="none"/>
              </w:rPr>
            </w:pPr>
          </w:p>
        </w:tc>
      </w:tr>
      <w:tr w14:paraId="63CD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1144" w:type="dxa"/>
            <w:vAlign w:val="center"/>
          </w:tcPr>
          <w:p w14:paraId="50FF5723">
            <w:pPr>
              <w:shd w:val="clear" w:color="auto" w:fill="FFFFFF"/>
              <w:tabs>
                <w:tab w:val="left" w:pos="5580"/>
              </w:tabs>
              <w:jc w:val="center"/>
              <w:rPr>
                <w:sz w:val="24"/>
                <w:highlight w:val="none"/>
              </w:rPr>
            </w:pPr>
          </w:p>
        </w:tc>
        <w:tc>
          <w:tcPr>
            <w:tcW w:w="2964" w:type="dxa"/>
            <w:vAlign w:val="center"/>
          </w:tcPr>
          <w:p w14:paraId="708DD78F">
            <w:pPr>
              <w:shd w:val="clear" w:color="auto" w:fill="FFFFFF"/>
              <w:tabs>
                <w:tab w:val="left" w:pos="5580"/>
              </w:tabs>
              <w:jc w:val="center"/>
              <w:rPr>
                <w:sz w:val="24"/>
                <w:highlight w:val="none"/>
              </w:rPr>
            </w:pPr>
          </w:p>
        </w:tc>
        <w:tc>
          <w:tcPr>
            <w:tcW w:w="1714" w:type="dxa"/>
            <w:vAlign w:val="center"/>
          </w:tcPr>
          <w:p w14:paraId="581607A9">
            <w:pPr>
              <w:shd w:val="clear" w:color="auto" w:fill="FFFFFF"/>
              <w:tabs>
                <w:tab w:val="left" w:pos="5580"/>
              </w:tabs>
              <w:jc w:val="center"/>
              <w:rPr>
                <w:sz w:val="24"/>
                <w:highlight w:val="none"/>
              </w:rPr>
            </w:pPr>
          </w:p>
        </w:tc>
        <w:tc>
          <w:tcPr>
            <w:tcW w:w="1526" w:type="dxa"/>
            <w:vAlign w:val="center"/>
          </w:tcPr>
          <w:p w14:paraId="15A798B1">
            <w:pPr>
              <w:shd w:val="clear" w:color="auto" w:fill="FFFFFF"/>
              <w:tabs>
                <w:tab w:val="left" w:pos="5580"/>
              </w:tabs>
              <w:jc w:val="center"/>
              <w:rPr>
                <w:sz w:val="24"/>
                <w:highlight w:val="none"/>
              </w:rPr>
            </w:pPr>
          </w:p>
        </w:tc>
        <w:tc>
          <w:tcPr>
            <w:tcW w:w="1460" w:type="dxa"/>
            <w:vAlign w:val="center"/>
          </w:tcPr>
          <w:p w14:paraId="3A8128EC">
            <w:pPr>
              <w:shd w:val="clear" w:color="auto" w:fill="FFFFFF"/>
              <w:tabs>
                <w:tab w:val="left" w:pos="5580"/>
              </w:tabs>
              <w:jc w:val="center"/>
              <w:rPr>
                <w:sz w:val="24"/>
                <w:highlight w:val="none"/>
              </w:rPr>
            </w:pPr>
          </w:p>
        </w:tc>
      </w:tr>
    </w:tbl>
    <w:p w14:paraId="09C11011">
      <w:pPr>
        <w:shd w:val="clear" w:color="auto" w:fill="FFFFFF"/>
        <w:autoSpaceDE w:val="0"/>
        <w:autoSpaceDN w:val="0"/>
        <w:adjustRightInd w:val="0"/>
        <w:jc w:val="left"/>
        <w:rPr>
          <w:color w:val="000000"/>
          <w:kern w:val="0"/>
          <w:sz w:val="24"/>
          <w:highlight w:val="none"/>
        </w:rPr>
      </w:pPr>
    </w:p>
    <w:p w14:paraId="03352336">
      <w:pPr>
        <w:shd w:val="clear" w:color="auto" w:fill="FFFFFF"/>
        <w:autoSpaceDE w:val="0"/>
        <w:autoSpaceDN w:val="0"/>
        <w:adjustRightInd w:val="0"/>
        <w:snapToGrid w:val="0"/>
        <w:spacing w:before="25" w:after="25" w:line="360" w:lineRule="auto"/>
        <w:rPr>
          <w:color w:val="000000"/>
          <w:kern w:val="0"/>
          <w:sz w:val="24"/>
          <w:highlight w:val="none"/>
        </w:rPr>
      </w:pPr>
      <w:r>
        <w:rPr>
          <w:color w:val="000000"/>
          <w:kern w:val="0"/>
          <w:sz w:val="24"/>
          <w:highlight w:val="none"/>
        </w:rPr>
        <w:t>注：</w:t>
      </w:r>
      <w:r>
        <w:rPr>
          <w:rFonts w:hint="eastAsia"/>
          <w:color w:val="000000"/>
          <w:kern w:val="0"/>
          <w:sz w:val="24"/>
          <w:highlight w:val="none"/>
        </w:rPr>
        <w:t xml:space="preserve">  1.此表中 ，每包的最后报价应和《最后分项报价表》 中的总价相一致。 </w:t>
      </w:r>
    </w:p>
    <w:p w14:paraId="2276C339">
      <w:pPr>
        <w:shd w:val="clear" w:color="auto" w:fill="FFFFFF"/>
        <w:autoSpaceDE w:val="0"/>
        <w:autoSpaceDN w:val="0"/>
        <w:adjustRightInd w:val="0"/>
        <w:snapToGrid w:val="0"/>
        <w:spacing w:before="25" w:after="25" w:line="360" w:lineRule="auto"/>
        <w:ind w:firstLine="720" w:firstLineChars="300"/>
        <w:rPr>
          <w:color w:val="000000"/>
          <w:kern w:val="0"/>
          <w:sz w:val="24"/>
          <w:highlight w:val="none"/>
        </w:rPr>
      </w:pPr>
      <w:r>
        <w:rPr>
          <w:rFonts w:hint="eastAsia"/>
          <w:color w:val="000000"/>
          <w:kern w:val="0"/>
          <w:sz w:val="24"/>
          <w:highlight w:val="none"/>
        </w:rPr>
        <w:t>2.本表必须按包分别填写。</w:t>
      </w:r>
    </w:p>
    <w:p w14:paraId="24D7C6EA">
      <w:pPr>
        <w:shd w:val="clear" w:color="auto" w:fill="FFFFFF"/>
        <w:autoSpaceDE w:val="0"/>
        <w:autoSpaceDN w:val="0"/>
        <w:adjustRightInd w:val="0"/>
        <w:snapToGrid w:val="0"/>
        <w:spacing w:before="25" w:after="25" w:line="360" w:lineRule="auto"/>
        <w:ind w:firstLine="720" w:firstLineChars="300"/>
        <w:rPr>
          <w:color w:val="000000"/>
          <w:kern w:val="0"/>
          <w:sz w:val="24"/>
          <w:highlight w:val="none"/>
        </w:rPr>
      </w:pPr>
      <w:r>
        <w:rPr>
          <w:rFonts w:hint="eastAsia"/>
          <w:color w:val="000000"/>
          <w:kern w:val="0"/>
          <w:sz w:val="24"/>
          <w:highlight w:val="none"/>
        </w:rPr>
        <w:t>3.此表无需在响应文件中提交，磋商后供应商按磋商小组要求提交。</w:t>
      </w:r>
    </w:p>
    <w:p w14:paraId="3CEA842F">
      <w:pPr>
        <w:shd w:val="clear" w:color="auto" w:fill="FFFFFF"/>
        <w:autoSpaceDE w:val="0"/>
        <w:autoSpaceDN w:val="0"/>
        <w:adjustRightInd w:val="0"/>
        <w:snapToGrid w:val="0"/>
        <w:spacing w:before="25" w:after="25" w:line="360" w:lineRule="auto"/>
        <w:rPr>
          <w:color w:val="000000"/>
          <w:sz w:val="24"/>
          <w:highlight w:val="none"/>
        </w:rPr>
      </w:pPr>
    </w:p>
    <w:p w14:paraId="4CFFD38F">
      <w:pPr>
        <w:shd w:val="clear" w:color="auto" w:fill="FFFFFF"/>
        <w:autoSpaceDE w:val="0"/>
        <w:autoSpaceDN w:val="0"/>
        <w:adjustRightInd w:val="0"/>
        <w:snapToGrid w:val="0"/>
        <w:spacing w:before="25" w:after="25" w:line="360" w:lineRule="auto"/>
        <w:rPr>
          <w:color w:val="000000"/>
          <w:sz w:val="24"/>
          <w:highlight w:val="none"/>
        </w:rPr>
      </w:pPr>
    </w:p>
    <w:p w14:paraId="730F9649">
      <w:pPr>
        <w:shd w:val="clear" w:color="auto" w:fill="FFFFFF"/>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供应商授权代表签字（或加盖供应商公章）</w:t>
      </w:r>
      <w:r>
        <w:rPr>
          <w:color w:val="000000"/>
          <w:sz w:val="24"/>
          <w:highlight w:val="none"/>
          <w:lang w:val="zh-CN"/>
        </w:rPr>
        <w:t xml:space="preserve">：___________ </w:t>
      </w:r>
    </w:p>
    <w:p w14:paraId="4D17BBE6">
      <w:pPr>
        <w:widowControl/>
        <w:shd w:val="clear" w:color="auto" w:fill="FFFFFF"/>
        <w:jc w:val="left"/>
        <w:rPr>
          <w:color w:val="000000"/>
          <w:sz w:val="24"/>
          <w:szCs w:val="20"/>
          <w:highlight w:val="none"/>
        </w:rPr>
      </w:pPr>
      <w:r>
        <w:rPr>
          <w:color w:val="000000"/>
          <w:sz w:val="24"/>
          <w:szCs w:val="20"/>
          <w:highlight w:val="none"/>
        </w:rPr>
        <w:t xml:space="preserve">日期：____年____月____日   </w:t>
      </w:r>
    </w:p>
    <w:p w14:paraId="2223F7A2">
      <w:pPr>
        <w:widowControl/>
        <w:shd w:val="clear" w:color="auto" w:fill="FFFFFF"/>
        <w:jc w:val="left"/>
        <w:rPr>
          <w:color w:val="000000"/>
          <w:sz w:val="24"/>
          <w:szCs w:val="20"/>
          <w:highlight w:val="none"/>
        </w:rPr>
      </w:pPr>
      <w:r>
        <w:rPr>
          <w:color w:val="000000"/>
          <w:sz w:val="24"/>
          <w:szCs w:val="20"/>
          <w:highlight w:val="none"/>
        </w:rPr>
        <w:br w:type="page"/>
      </w:r>
    </w:p>
    <w:p w14:paraId="0EAAED07">
      <w:pPr>
        <w:shd w:val="clear" w:color="auto" w:fill="FFFFFF"/>
        <w:tabs>
          <w:tab w:val="left" w:pos="360"/>
        </w:tabs>
        <w:snapToGrid w:val="0"/>
        <w:spacing w:line="360" w:lineRule="auto"/>
        <w:outlineLvl w:val="1"/>
        <w:rPr>
          <w:sz w:val="24"/>
          <w:highlight w:val="none"/>
        </w:rPr>
      </w:pPr>
      <w:r>
        <w:rPr>
          <w:rFonts w:hint="eastAsia"/>
          <w:sz w:val="24"/>
          <w:highlight w:val="none"/>
        </w:rPr>
        <w:t>12</w:t>
      </w:r>
      <w:r>
        <w:rPr>
          <w:sz w:val="24"/>
          <w:highlight w:val="none"/>
        </w:rPr>
        <w:t xml:space="preserve">  最后分项报价表</w:t>
      </w:r>
      <w:r>
        <w:rPr>
          <w:rFonts w:hint="eastAsia"/>
          <w:sz w:val="24"/>
          <w:highlight w:val="none"/>
        </w:rPr>
        <w:t>（实质性格式，磋商后提交）</w:t>
      </w:r>
    </w:p>
    <w:p w14:paraId="58489119">
      <w:pPr>
        <w:shd w:val="clear" w:color="auto" w:fill="FFFFFF"/>
        <w:spacing w:line="360" w:lineRule="exact"/>
        <w:jc w:val="center"/>
        <w:rPr>
          <w:color w:val="000000"/>
          <w:sz w:val="36"/>
          <w:szCs w:val="36"/>
          <w:highlight w:val="none"/>
        </w:rPr>
      </w:pPr>
      <w:r>
        <w:rPr>
          <w:color w:val="000000"/>
          <w:sz w:val="36"/>
          <w:szCs w:val="36"/>
          <w:highlight w:val="none"/>
        </w:rPr>
        <w:t>最后分项报价表</w:t>
      </w:r>
    </w:p>
    <w:p w14:paraId="0EBF2D05">
      <w:pPr>
        <w:shd w:val="clear" w:color="auto" w:fill="FFFFFF"/>
        <w:spacing w:line="260" w:lineRule="exact"/>
        <w:jc w:val="center"/>
        <w:rPr>
          <w:color w:val="000000"/>
          <w:sz w:val="36"/>
          <w:szCs w:val="36"/>
          <w:highlight w:val="none"/>
        </w:rPr>
      </w:pPr>
    </w:p>
    <w:p w14:paraId="045D0068">
      <w:pPr>
        <w:shd w:val="clear" w:color="auto" w:fill="FFFFFF"/>
        <w:tabs>
          <w:tab w:val="left" w:pos="1800"/>
          <w:tab w:val="left" w:pos="5580"/>
        </w:tabs>
        <w:rPr>
          <w:color w:val="000000"/>
          <w:sz w:val="24"/>
          <w:highlight w:val="none"/>
        </w:rPr>
      </w:pPr>
    </w:p>
    <w:p w14:paraId="2624511C">
      <w:pPr>
        <w:shd w:val="clear" w:color="auto" w:fill="FFFFFF"/>
        <w:tabs>
          <w:tab w:val="left" w:pos="1800"/>
          <w:tab w:val="left" w:pos="5580"/>
        </w:tabs>
        <w:rPr>
          <w:color w:val="000000"/>
          <w:sz w:val="24"/>
          <w:highlight w:val="none"/>
        </w:rPr>
      </w:pPr>
      <w:r>
        <w:rPr>
          <w:color w:val="000000"/>
          <w:sz w:val="24"/>
          <w:highlight w:val="none"/>
        </w:rPr>
        <w:t>项目</w:t>
      </w:r>
      <w:r>
        <w:rPr>
          <w:rFonts w:hint="eastAsia"/>
          <w:color w:val="000000"/>
          <w:sz w:val="24"/>
          <w:highlight w:val="none"/>
        </w:rPr>
        <w:t>代理</w:t>
      </w:r>
      <w:r>
        <w:rPr>
          <w:color w:val="000000"/>
          <w:sz w:val="24"/>
          <w:highlight w:val="none"/>
        </w:rPr>
        <w:t xml:space="preserve">编号：_________ </w:t>
      </w:r>
      <w:r>
        <w:rPr>
          <w:rFonts w:hint="eastAsia"/>
          <w:color w:val="000000"/>
          <w:sz w:val="24"/>
          <w:highlight w:val="none"/>
        </w:rPr>
        <w:t xml:space="preserve">    </w:t>
      </w:r>
      <w:r>
        <w:rPr>
          <w:color w:val="000000"/>
          <w:sz w:val="24"/>
          <w:highlight w:val="none"/>
        </w:rPr>
        <w:t>项目名称：_________报价单位：人民币元</w:t>
      </w:r>
    </w:p>
    <w:p w14:paraId="53B358F0">
      <w:pPr>
        <w:shd w:val="clear" w:color="auto" w:fill="FFFFFF"/>
        <w:tabs>
          <w:tab w:val="left" w:pos="1800"/>
          <w:tab w:val="left" w:pos="5580"/>
        </w:tabs>
        <w:rPr>
          <w:color w:val="000000"/>
          <w:sz w:val="24"/>
          <w:highlight w:val="none"/>
        </w:rPr>
      </w:pPr>
    </w:p>
    <w:tbl>
      <w:tblPr>
        <w:tblStyle w:val="83"/>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5330"/>
        <w:gridCol w:w="1562"/>
        <w:gridCol w:w="1063"/>
      </w:tblGrid>
      <w:tr w14:paraId="3834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703" w:type="dxa"/>
            <w:vAlign w:val="center"/>
          </w:tcPr>
          <w:p w14:paraId="3FDAFDA3">
            <w:pPr>
              <w:shd w:val="clear" w:color="auto" w:fill="FFFFFF"/>
              <w:adjustRightInd w:val="0"/>
              <w:snapToGrid w:val="0"/>
              <w:jc w:val="center"/>
              <w:rPr>
                <w:rFonts w:ascii="宋体" w:hAnsi="宋体" w:cs="宋体"/>
                <w:bCs/>
                <w:color w:val="000000"/>
                <w:sz w:val="24"/>
                <w:highlight w:val="none"/>
              </w:rPr>
            </w:pPr>
            <w:r>
              <w:rPr>
                <w:rFonts w:hint="eastAsia" w:ascii="宋体" w:hAnsi="宋体" w:cs="宋体"/>
                <w:bCs/>
                <w:color w:val="000000"/>
                <w:sz w:val="24"/>
                <w:highlight w:val="none"/>
              </w:rPr>
              <w:t>序号</w:t>
            </w:r>
          </w:p>
        </w:tc>
        <w:tc>
          <w:tcPr>
            <w:tcW w:w="5330" w:type="dxa"/>
            <w:vAlign w:val="center"/>
          </w:tcPr>
          <w:p w14:paraId="43D64A9E">
            <w:pPr>
              <w:shd w:val="clear" w:color="auto" w:fill="FFFFFF"/>
              <w:adjustRightInd w:val="0"/>
              <w:snapToGrid w:val="0"/>
              <w:jc w:val="left"/>
              <w:rPr>
                <w:rFonts w:ascii="宋体" w:hAnsi="宋体" w:cs="宋体"/>
                <w:bCs/>
                <w:color w:val="000000"/>
                <w:sz w:val="24"/>
                <w:highlight w:val="none"/>
              </w:rPr>
            </w:pPr>
            <w:r>
              <w:rPr>
                <w:rFonts w:hint="eastAsia" w:ascii="宋体" w:hAnsi="宋体" w:cs="宋体"/>
                <w:bCs/>
                <w:color w:val="000000"/>
                <w:sz w:val="24"/>
                <w:highlight w:val="none"/>
              </w:rPr>
              <w:t>最后报价计算过程或说明（可以填写按第一次报价下浮/上浮比例，也可以填写相对第一次报价某部分价格变化情况）</w:t>
            </w:r>
          </w:p>
        </w:tc>
        <w:tc>
          <w:tcPr>
            <w:tcW w:w="1562" w:type="dxa"/>
            <w:vAlign w:val="center"/>
          </w:tcPr>
          <w:p w14:paraId="69E9AFE1">
            <w:pPr>
              <w:shd w:val="clear" w:color="auto" w:fill="FFFFFF"/>
              <w:adjustRightInd w:val="0"/>
              <w:snapToGrid w:val="0"/>
              <w:jc w:val="center"/>
              <w:rPr>
                <w:rFonts w:ascii="宋体" w:hAnsi="宋体" w:cs="宋体"/>
                <w:bCs/>
                <w:color w:val="000000"/>
                <w:sz w:val="24"/>
                <w:highlight w:val="none"/>
              </w:rPr>
            </w:pPr>
            <w:r>
              <w:rPr>
                <w:rFonts w:hint="eastAsia" w:ascii="宋体" w:hAnsi="宋体" w:cs="宋体"/>
                <w:bCs/>
                <w:color w:val="000000"/>
                <w:sz w:val="24"/>
                <w:highlight w:val="none"/>
              </w:rPr>
              <w:t>总价（元）</w:t>
            </w:r>
          </w:p>
        </w:tc>
        <w:tc>
          <w:tcPr>
            <w:tcW w:w="1063" w:type="dxa"/>
            <w:vAlign w:val="center"/>
          </w:tcPr>
          <w:p w14:paraId="6AA8DE40">
            <w:pPr>
              <w:shd w:val="clear" w:color="auto" w:fill="FFFFFF"/>
              <w:adjustRightInd w:val="0"/>
              <w:snapToGrid w:val="0"/>
              <w:jc w:val="center"/>
              <w:rPr>
                <w:rFonts w:ascii="宋体" w:hAnsi="宋体" w:cs="宋体"/>
                <w:bCs/>
                <w:color w:val="000000"/>
                <w:sz w:val="24"/>
                <w:highlight w:val="none"/>
              </w:rPr>
            </w:pPr>
            <w:r>
              <w:rPr>
                <w:rFonts w:hint="eastAsia" w:ascii="宋体" w:hAnsi="宋体" w:cs="宋体"/>
                <w:bCs/>
                <w:color w:val="000000"/>
                <w:sz w:val="24"/>
                <w:highlight w:val="none"/>
              </w:rPr>
              <w:t>备注</w:t>
            </w:r>
          </w:p>
        </w:tc>
      </w:tr>
      <w:tr w14:paraId="00C6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703" w:type="dxa"/>
            <w:vAlign w:val="center"/>
          </w:tcPr>
          <w:p w14:paraId="4E3A7DF3">
            <w:pPr>
              <w:shd w:val="clear" w:color="auto" w:fill="FFFFFF"/>
              <w:adjustRightInd w:val="0"/>
              <w:snapToGrid w:val="0"/>
              <w:jc w:val="center"/>
              <w:rPr>
                <w:rFonts w:ascii="宋体" w:hAnsi="宋体" w:cs="宋体"/>
                <w:bCs/>
                <w:color w:val="000000"/>
                <w:sz w:val="24"/>
                <w:highlight w:val="none"/>
              </w:rPr>
            </w:pPr>
            <w:r>
              <w:rPr>
                <w:rFonts w:hint="eastAsia" w:ascii="宋体" w:hAnsi="宋体" w:cs="宋体"/>
                <w:bCs/>
                <w:color w:val="000000"/>
                <w:sz w:val="24"/>
                <w:highlight w:val="none"/>
              </w:rPr>
              <w:t>1</w:t>
            </w:r>
          </w:p>
        </w:tc>
        <w:tc>
          <w:tcPr>
            <w:tcW w:w="5330" w:type="dxa"/>
            <w:vAlign w:val="center"/>
          </w:tcPr>
          <w:p w14:paraId="6BC39B9D">
            <w:pPr>
              <w:shd w:val="clear" w:color="auto" w:fill="FFFFFF"/>
              <w:adjustRightInd w:val="0"/>
              <w:snapToGrid w:val="0"/>
              <w:jc w:val="left"/>
              <w:rPr>
                <w:rFonts w:ascii="宋体" w:hAnsi="宋体" w:cs="宋体"/>
                <w:bCs/>
                <w:color w:val="000000"/>
                <w:sz w:val="24"/>
                <w:highlight w:val="none"/>
              </w:rPr>
            </w:pPr>
          </w:p>
        </w:tc>
        <w:tc>
          <w:tcPr>
            <w:tcW w:w="1562" w:type="dxa"/>
            <w:vAlign w:val="center"/>
          </w:tcPr>
          <w:p w14:paraId="28FFE4FF">
            <w:pPr>
              <w:shd w:val="clear" w:color="auto" w:fill="FFFFFF"/>
              <w:adjustRightInd w:val="0"/>
              <w:snapToGrid w:val="0"/>
              <w:jc w:val="left"/>
              <w:rPr>
                <w:rFonts w:ascii="宋体" w:hAnsi="宋体" w:cs="宋体"/>
                <w:bCs/>
                <w:color w:val="000000"/>
                <w:sz w:val="24"/>
                <w:highlight w:val="none"/>
              </w:rPr>
            </w:pPr>
          </w:p>
        </w:tc>
        <w:tc>
          <w:tcPr>
            <w:tcW w:w="1063" w:type="dxa"/>
            <w:vAlign w:val="center"/>
          </w:tcPr>
          <w:p w14:paraId="1A0620E4">
            <w:pPr>
              <w:shd w:val="clear" w:color="auto" w:fill="FFFFFF"/>
              <w:adjustRightInd w:val="0"/>
              <w:snapToGrid w:val="0"/>
              <w:jc w:val="left"/>
              <w:rPr>
                <w:rFonts w:ascii="宋体" w:hAnsi="宋体" w:cs="宋体"/>
                <w:bCs/>
                <w:color w:val="000000"/>
                <w:sz w:val="24"/>
                <w:highlight w:val="none"/>
              </w:rPr>
            </w:pPr>
          </w:p>
        </w:tc>
      </w:tr>
      <w:tr w14:paraId="7BD7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33" w:type="dxa"/>
            <w:gridSpan w:val="2"/>
            <w:vAlign w:val="center"/>
          </w:tcPr>
          <w:p w14:paraId="684E193C">
            <w:pPr>
              <w:shd w:val="clear" w:color="auto" w:fill="FFFFFF"/>
              <w:adjustRightInd w:val="0"/>
              <w:snapToGrid w:val="0"/>
              <w:jc w:val="right"/>
              <w:rPr>
                <w:color w:val="000000"/>
                <w:sz w:val="24"/>
                <w:highlight w:val="none"/>
              </w:rPr>
            </w:pPr>
            <w:r>
              <w:rPr>
                <w:rFonts w:hint="eastAsia"/>
                <w:color w:val="000000"/>
                <w:sz w:val="24"/>
                <w:highlight w:val="none"/>
              </w:rPr>
              <w:t>合计</w:t>
            </w:r>
            <w:r>
              <w:rPr>
                <w:color w:val="000000"/>
                <w:sz w:val="24"/>
                <w:highlight w:val="none"/>
              </w:rPr>
              <w:t>（元）</w:t>
            </w:r>
          </w:p>
        </w:tc>
        <w:tc>
          <w:tcPr>
            <w:tcW w:w="1562" w:type="dxa"/>
            <w:vAlign w:val="center"/>
          </w:tcPr>
          <w:p w14:paraId="5EBA6BEC">
            <w:pPr>
              <w:shd w:val="clear" w:color="auto" w:fill="FFFFFF"/>
              <w:adjustRightInd w:val="0"/>
              <w:snapToGrid w:val="0"/>
              <w:jc w:val="left"/>
              <w:rPr>
                <w:color w:val="000000"/>
                <w:sz w:val="24"/>
                <w:highlight w:val="none"/>
              </w:rPr>
            </w:pPr>
          </w:p>
        </w:tc>
        <w:tc>
          <w:tcPr>
            <w:tcW w:w="1063" w:type="dxa"/>
            <w:vAlign w:val="center"/>
          </w:tcPr>
          <w:p w14:paraId="11E69229">
            <w:pPr>
              <w:shd w:val="clear" w:color="auto" w:fill="FFFFFF"/>
              <w:adjustRightInd w:val="0"/>
              <w:snapToGrid w:val="0"/>
              <w:jc w:val="left"/>
              <w:rPr>
                <w:color w:val="000000"/>
                <w:sz w:val="24"/>
                <w:highlight w:val="none"/>
              </w:rPr>
            </w:pPr>
          </w:p>
        </w:tc>
      </w:tr>
    </w:tbl>
    <w:p w14:paraId="1CD47997">
      <w:pPr>
        <w:widowControl/>
        <w:shd w:val="clear" w:color="auto" w:fill="FFFFFF"/>
        <w:jc w:val="left"/>
        <w:rPr>
          <w:rFonts w:ascii="宋体" w:hAnsi="宋体" w:cs="宋体"/>
          <w:b/>
          <w:sz w:val="36"/>
          <w:szCs w:val="36"/>
          <w:highlight w:val="none"/>
        </w:rPr>
      </w:pPr>
    </w:p>
    <w:p w14:paraId="100558E7">
      <w:pPr>
        <w:widowControl/>
        <w:shd w:val="clear" w:color="auto" w:fill="FFFFFF"/>
        <w:jc w:val="left"/>
        <w:rPr>
          <w:rFonts w:ascii="宋体" w:hAnsi="宋体" w:cs="宋体"/>
          <w:b/>
          <w:sz w:val="36"/>
          <w:szCs w:val="36"/>
          <w:highlight w:val="none"/>
        </w:rPr>
      </w:pPr>
    </w:p>
    <w:p w14:paraId="7561E6CF">
      <w:pPr>
        <w:widowControl/>
        <w:shd w:val="clear" w:color="auto" w:fill="FFFFFF"/>
        <w:jc w:val="left"/>
        <w:rPr>
          <w:rFonts w:ascii="宋体" w:hAnsi="宋体" w:cs="宋体"/>
          <w:b/>
          <w:sz w:val="36"/>
          <w:szCs w:val="36"/>
          <w:highlight w:val="none"/>
        </w:rPr>
      </w:pPr>
    </w:p>
    <w:p w14:paraId="7CB3D4B2">
      <w:pPr>
        <w:shd w:val="clear" w:color="auto" w:fill="FFFFFF"/>
        <w:autoSpaceDE w:val="0"/>
        <w:autoSpaceDN w:val="0"/>
        <w:adjustRightInd w:val="0"/>
        <w:snapToGrid w:val="0"/>
        <w:spacing w:before="25" w:after="25" w:line="360" w:lineRule="auto"/>
        <w:rPr>
          <w:color w:val="000000"/>
          <w:sz w:val="24"/>
          <w:highlight w:val="none"/>
          <w:lang w:val="zh-CN"/>
        </w:rPr>
      </w:pPr>
      <w:r>
        <w:rPr>
          <w:kern w:val="0"/>
          <w:sz w:val="24"/>
          <w:highlight w:val="none"/>
        </w:rPr>
        <w:t>供应商授权代表签字（或加盖供应商公章）</w:t>
      </w:r>
      <w:r>
        <w:rPr>
          <w:color w:val="000000"/>
          <w:sz w:val="24"/>
          <w:highlight w:val="none"/>
          <w:lang w:val="zh-CN"/>
        </w:rPr>
        <w:t xml:space="preserve">：____________ </w:t>
      </w:r>
    </w:p>
    <w:p w14:paraId="4176EF44">
      <w:pPr>
        <w:widowControl/>
        <w:shd w:val="clear" w:color="auto" w:fill="FFFFFF"/>
        <w:jc w:val="left"/>
        <w:rPr>
          <w:color w:val="000000"/>
          <w:sz w:val="24"/>
          <w:szCs w:val="20"/>
          <w:highlight w:val="none"/>
        </w:rPr>
      </w:pPr>
      <w:r>
        <w:rPr>
          <w:color w:val="000000"/>
          <w:sz w:val="24"/>
          <w:szCs w:val="20"/>
          <w:highlight w:val="none"/>
        </w:rPr>
        <w:t xml:space="preserve">日期：____年____月____日  </w:t>
      </w:r>
    </w:p>
    <w:p w14:paraId="01805834">
      <w:pPr>
        <w:widowControl/>
        <w:shd w:val="clear" w:color="auto" w:fill="FFFFFF"/>
        <w:jc w:val="left"/>
        <w:rPr>
          <w:color w:val="000000"/>
          <w:sz w:val="24"/>
          <w:szCs w:val="20"/>
          <w:highlight w:val="none"/>
        </w:rPr>
      </w:pPr>
    </w:p>
    <w:p w14:paraId="233D703F">
      <w:pPr>
        <w:rPr>
          <w:color w:val="000000"/>
          <w:sz w:val="24"/>
          <w:szCs w:val="20"/>
          <w:highlight w:val="none"/>
        </w:rPr>
      </w:pPr>
      <w:r>
        <w:rPr>
          <w:rFonts w:hint="eastAsia"/>
          <w:color w:val="000000"/>
          <w:sz w:val="24"/>
          <w:szCs w:val="20"/>
          <w:highlight w:val="none"/>
        </w:rPr>
        <w:br w:type="page"/>
      </w:r>
    </w:p>
    <w:p w14:paraId="732E1DEA">
      <w:pPr>
        <w:widowControl/>
        <w:shd w:val="clear" w:color="auto" w:fill="FFFFFF"/>
        <w:jc w:val="left"/>
        <w:rPr>
          <w:color w:val="000000"/>
          <w:sz w:val="24"/>
          <w:szCs w:val="20"/>
          <w:highlight w:val="none"/>
        </w:rPr>
      </w:pPr>
      <w:r>
        <w:rPr>
          <w:rFonts w:hint="eastAsia"/>
          <w:color w:val="000000"/>
          <w:sz w:val="24"/>
          <w:szCs w:val="20"/>
          <w:highlight w:val="none"/>
        </w:rPr>
        <w:t>14 最后报价构成表（如有，磋商后提交）</w:t>
      </w:r>
    </w:p>
    <w:p w14:paraId="34E5506D">
      <w:pPr>
        <w:widowControl/>
        <w:shd w:val="clear" w:color="auto" w:fill="FFFFFF"/>
        <w:jc w:val="left"/>
        <w:rPr>
          <w:color w:val="000000"/>
          <w:sz w:val="24"/>
          <w:szCs w:val="20"/>
          <w:highlight w:val="none"/>
        </w:rPr>
      </w:pPr>
      <w:r>
        <w:rPr>
          <w:rFonts w:hint="eastAsia"/>
          <w:color w:val="000000"/>
          <w:sz w:val="24"/>
          <w:szCs w:val="20"/>
          <w:highlight w:val="none"/>
        </w:rPr>
        <w:t>14-1 最终报价中分包情况说明</w:t>
      </w:r>
    </w:p>
    <w:p w14:paraId="3B7E3A95">
      <w:pPr>
        <w:widowControl/>
        <w:shd w:val="clear" w:color="auto" w:fill="FFFFFF"/>
        <w:jc w:val="left"/>
        <w:rPr>
          <w:color w:val="000000"/>
          <w:sz w:val="24"/>
          <w:szCs w:val="20"/>
          <w:highlight w:val="none"/>
        </w:rPr>
      </w:pPr>
    </w:p>
    <w:tbl>
      <w:tblPr>
        <w:tblStyle w:val="83"/>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730"/>
        <w:gridCol w:w="2237"/>
        <w:gridCol w:w="1988"/>
      </w:tblGrid>
      <w:tr w14:paraId="53DD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3" w:type="dxa"/>
            <w:vAlign w:val="center"/>
          </w:tcPr>
          <w:p w14:paraId="76F834CD">
            <w:pPr>
              <w:shd w:val="clear" w:color="auto" w:fill="FFFFFF"/>
              <w:adjustRightInd w:val="0"/>
              <w:snapToGrid w:val="0"/>
              <w:jc w:val="center"/>
              <w:rPr>
                <w:rFonts w:ascii="宋体" w:hAnsi="宋体" w:cs="宋体"/>
                <w:bCs/>
                <w:color w:val="000000"/>
                <w:sz w:val="24"/>
                <w:highlight w:val="none"/>
              </w:rPr>
            </w:pPr>
            <w:r>
              <w:rPr>
                <w:rFonts w:hint="eastAsia" w:ascii="宋体" w:hAnsi="宋体" w:cs="宋体"/>
                <w:bCs/>
                <w:color w:val="000000"/>
                <w:sz w:val="24"/>
                <w:highlight w:val="none"/>
              </w:rPr>
              <w:t>序号</w:t>
            </w:r>
          </w:p>
        </w:tc>
        <w:tc>
          <w:tcPr>
            <w:tcW w:w="3730" w:type="dxa"/>
            <w:vAlign w:val="center"/>
          </w:tcPr>
          <w:p w14:paraId="67967F72">
            <w:pPr>
              <w:shd w:val="clear" w:color="auto" w:fill="FFFFFF"/>
              <w:adjustRightInd w:val="0"/>
              <w:snapToGrid w:val="0"/>
              <w:jc w:val="left"/>
              <w:rPr>
                <w:rFonts w:ascii="宋体" w:hAnsi="宋体" w:cs="宋体"/>
                <w:bCs/>
                <w:color w:val="000000"/>
                <w:sz w:val="24"/>
                <w:highlight w:val="none"/>
              </w:rPr>
            </w:pPr>
            <w:r>
              <w:rPr>
                <w:rFonts w:hint="eastAsia" w:ascii="宋体" w:hAnsi="宋体" w:cs="宋体"/>
                <w:bCs/>
                <w:color w:val="000000"/>
                <w:sz w:val="24"/>
                <w:highlight w:val="none"/>
              </w:rPr>
              <w:t>分包承担主体名称</w:t>
            </w:r>
          </w:p>
        </w:tc>
        <w:tc>
          <w:tcPr>
            <w:tcW w:w="2237" w:type="dxa"/>
            <w:vAlign w:val="center"/>
          </w:tcPr>
          <w:p w14:paraId="018A3016">
            <w:pPr>
              <w:jc w:val="center"/>
              <w:rPr>
                <w:rFonts w:ascii="FZSSK--GBK1-0" w:hAnsi="FZSSK--GBK1-0" w:eastAsia="FZSSK--GBK1-0"/>
                <w:sz w:val="24"/>
                <w:highlight w:val="none"/>
              </w:rPr>
            </w:pPr>
            <w:r>
              <w:rPr>
                <w:rFonts w:hint="eastAsia" w:ascii="FZSSK--GBK1-0" w:hAnsi="FZSSK--GBK1-0" w:eastAsia="FZSSK--GBK1-0"/>
                <w:sz w:val="24"/>
                <w:highlight w:val="none"/>
              </w:rPr>
              <w:t>分包承担主体类型</w:t>
            </w:r>
          </w:p>
          <w:p w14:paraId="67C2A0B5">
            <w:pPr>
              <w:jc w:val="center"/>
              <w:rPr>
                <w:rFonts w:ascii="宋体" w:hAnsi="宋体" w:cs="宋体"/>
                <w:bCs/>
                <w:color w:val="000000"/>
                <w:sz w:val="24"/>
                <w:highlight w:val="none"/>
              </w:rPr>
            </w:pPr>
            <w:r>
              <w:rPr>
                <w:rFonts w:hint="eastAsia" w:ascii="FZSSK--GBK1-0" w:hAnsi="FZSSK--GBK1-0" w:eastAsia="FZSSK--GBK1-0"/>
                <w:sz w:val="24"/>
                <w:highlight w:val="none"/>
              </w:rPr>
              <w:t>（选择）</w:t>
            </w:r>
          </w:p>
        </w:tc>
        <w:tc>
          <w:tcPr>
            <w:tcW w:w="1988" w:type="dxa"/>
            <w:vAlign w:val="center"/>
          </w:tcPr>
          <w:p w14:paraId="3C8235D4">
            <w:pPr>
              <w:shd w:val="clear" w:color="auto" w:fill="FFFFFF"/>
              <w:adjustRightInd w:val="0"/>
              <w:snapToGrid w:val="0"/>
              <w:jc w:val="center"/>
              <w:rPr>
                <w:rFonts w:ascii="宋体" w:hAnsi="宋体" w:cs="宋体"/>
                <w:bCs/>
                <w:color w:val="000000"/>
                <w:sz w:val="24"/>
                <w:highlight w:val="none"/>
              </w:rPr>
            </w:pPr>
            <w:r>
              <w:rPr>
                <w:rFonts w:hint="eastAsia" w:ascii="宋体" w:hAnsi="宋体" w:cs="宋体"/>
                <w:bCs/>
                <w:color w:val="000000"/>
                <w:sz w:val="24"/>
                <w:highlight w:val="none"/>
              </w:rPr>
              <w:t>拟分包合同金额</w:t>
            </w:r>
          </w:p>
          <w:p w14:paraId="1E16D0DE">
            <w:pPr>
              <w:shd w:val="clear" w:color="auto" w:fill="FFFFFF"/>
              <w:adjustRightInd w:val="0"/>
              <w:snapToGrid w:val="0"/>
              <w:jc w:val="center"/>
              <w:rPr>
                <w:rFonts w:ascii="宋体" w:hAnsi="宋体" w:cs="宋体"/>
                <w:bCs/>
                <w:color w:val="000000"/>
                <w:sz w:val="24"/>
                <w:highlight w:val="none"/>
              </w:rPr>
            </w:pPr>
            <w:r>
              <w:rPr>
                <w:rFonts w:hint="eastAsia" w:ascii="宋体" w:hAnsi="宋体" w:cs="宋体"/>
                <w:bCs/>
                <w:color w:val="000000"/>
                <w:sz w:val="24"/>
                <w:highlight w:val="none"/>
              </w:rPr>
              <w:t>（人民币元）</w:t>
            </w:r>
          </w:p>
        </w:tc>
      </w:tr>
      <w:tr w14:paraId="2AEC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03" w:type="dxa"/>
            <w:vAlign w:val="center"/>
          </w:tcPr>
          <w:p w14:paraId="7535978F">
            <w:pPr>
              <w:shd w:val="clear" w:color="auto" w:fill="FFFFFF"/>
              <w:adjustRightInd w:val="0"/>
              <w:snapToGrid w:val="0"/>
              <w:jc w:val="center"/>
              <w:rPr>
                <w:rFonts w:ascii="宋体" w:hAnsi="宋体" w:cs="宋体"/>
                <w:bCs/>
                <w:color w:val="000000"/>
                <w:sz w:val="24"/>
                <w:highlight w:val="none"/>
              </w:rPr>
            </w:pPr>
            <w:r>
              <w:rPr>
                <w:rFonts w:hint="eastAsia" w:ascii="宋体" w:hAnsi="宋体" w:cs="宋体"/>
                <w:bCs/>
                <w:color w:val="000000"/>
                <w:sz w:val="24"/>
                <w:highlight w:val="none"/>
              </w:rPr>
              <w:t>1</w:t>
            </w:r>
          </w:p>
        </w:tc>
        <w:tc>
          <w:tcPr>
            <w:tcW w:w="3730" w:type="dxa"/>
            <w:vAlign w:val="center"/>
          </w:tcPr>
          <w:p w14:paraId="7F706A15">
            <w:pPr>
              <w:shd w:val="clear" w:color="auto" w:fill="FFFFFF"/>
              <w:adjustRightInd w:val="0"/>
              <w:snapToGrid w:val="0"/>
              <w:jc w:val="left"/>
              <w:rPr>
                <w:rFonts w:ascii="宋体" w:hAnsi="宋体" w:cs="宋体"/>
                <w:bCs/>
                <w:color w:val="000000"/>
                <w:sz w:val="24"/>
                <w:highlight w:val="none"/>
              </w:rPr>
            </w:pPr>
          </w:p>
        </w:tc>
        <w:tc>
          <w:tcPr>
            <w:tcW w:w="2237" w:type="dxa"/>
            <w:vAlign w:val="center"/>
          </w:tcPr>
          <w:p w14:paraId="08888225">
            <w:pPr>
              <w:jc w:val="center"/>
              <w:rPr>
                <w:rFonts w:ascii="FZSSK--GBK1-0" w:hAnsi="FZSSK--GBK1-0" w:eastAsia="FZSSK--GBK1-0"/>
                <w:sz w:val="24"/>
                <w:highlight w:val="none"/>
              </w:rPr>
            </w:pPr>
            <w:r>
              <w:rPr>
                <w:rFonts w:hint="eastAsia" w:ascii="DejaVuSans" w:hAnsi="DejaVuSans" w:eastAsia="DejaVuSans"/>
                <w:sz w:val="24"/>
                <w:highlight w:val="none"/>
              </w:rPr>
              <w:t>□</w:t>
            </w:r>
            <w:r>
              <w:rPr>
                <w:rFonts w:hint="eastAsia" w:ascii="FZSSK--GBK1-0" w:hAnsi="FZSSK--GBK1-0" w:eastAsia="FZSSK--GBK1-0"/>
                <w:sz w:val="24"/>
                <w:highlight w:val="none"/>
              </w:rPr>
              <w:t>中型企业</w:t>
            </w:r>
          </w:p>
          <w:p w14:paraId="6FF0AB0C">
            <w:pPr>
              <w:jc w:val="center"/>
              <w:rPr>
                <w:rFonts w:ascii="FZSSK--GBK1-0" w:hAnsi="FZSSK--GBK1-0" w:eastAsia="FZSSK--GBK1-0"/>
                <w:sz w:val="24"/>
                <w:highlight w:val="none"/>
              </w:rPr>
            </w:pPr>
            <w:r>
              <w:rPr>
                <w:rFonts w:hint="eastAsia" w:ascii="DejaVuSans" w:hAnsi="DejaVuSans" w:eastAsia="DejaVuSans"/>
                <w:sz w:val="24"/>
                <w:highlight w:val="none"/>
              </w:rPr>
              <w:t>□</w:t>
            </w:r>
            <w:r>
              <w:rPr>
                <w:rFonts w:hint="eastAsia" w:ascii="FZSSK--GBK1-0" w:hAnsi="FZSSK--GBK1-0" w:eastAsia="FZSSK--GBK1-0"/>
                <w:sz w:val="24"/>
                <w:highlight w:val="none"/>
              </w:rPr>
              <w:t>小微企业</w:t>
            </w:r>
          </w:p>
          <w:p w14:paraId="3F821386">
            <w:pPr>
              <w:shd w:val="clear" w:color="auto" w:fill="FFFFFF"/>
              <w:adjustRightInd w:val="0"/>
              <w:snapToGrid w:val="0"/>
              <w:jc w:val="center"/>
              <w:rPr>
                <w:rFonts w:ascii="宋体" w:hAnsi="宋体" w:cs="宋体"/>
                <w:bCs/>
                <w:color w:val="000000"/>
                <w:sz w:val="24"/>
                <w:highlight w:val="none"/>
              </w:rPr>
            </w:pPr>
            <w:r>
              <w:rPr>
                <w:rFonts w:hint="eastAsia" w:ascii="DejaVuSans" w:hAnsi="DejaVuSans" w:eastAsia="DejaVuSans"/>
                <w:sz w:val="24"/>
                <w:highlight w:val="none"/>
              </w:rPr>
              <w:t>□</w:t>
            </w:r>
            <w:r>
              <w:rPr>
                <w:rFonts w:hint="eastAsia" w:ascii="FZSSK--GBK1-0" w:hAnsi="FZSSK--GBK1-0" w:eastAsia="FZSSK--GBK1-0"/>
                <w:sz w:val="24"/>
                <w:highlight w:val="none"/>
              </w:rPr>
              <w:t>其他</w:t>
            </w:r>
          </w:p>
        </w:tc>
        <w:tc>
          <w:tcPr>
            <w:tcW w:w="1988" w:type="dxa"/>
            <w:vAlign w:val="center"/>
          </w:tcPr>
          <w:p w14:paraId="2CF3435F">
            <w:pPr>
              <w:shd w:val="clear" w:color="auto" w:fill="FFFFFF"/>
              <w:adjustRightInd w:val="0"/>
              <w:snapToGrid w:val="0"/>
              <w:jc w:val="center"/>
              <w:rPr>
                <w:rFonts w:ascii="宋体" w:hAnsi="宋体" w:cs="宋体"/>
                <w:bCs/>
                <w:color w:val="000000"/>
                <w:sz w:val="24"/>
                <w:highlight w:val="none"/>
              </w:rPr>
            </w:pPr>
          </w:p>
        </w:tc>
      </w:tr>
      <w:tr w14:paraId="24F9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3" w:type="dxa"/>
            <w:vAlign w:val="center"/>
          </w:tcPr>
          <w:p w14:paraId="48C6A817">
            <w:pPr>
              <w:shd w:val="clear" w:color="auto" w:fill="FFFFFF"/>
              <w:adjustRightInd w:val="0"/>
              <w:snapToGrid w:val="0"/>
              <w:jc w:val="center"/>
              <w:rPr>
                <w:rFonts w:ascii="宋体" w:hAnsi="宋体" w:cs="宋体"/>
                <w:bCs/>
                <w:color w:val="000000"/>
                <w:sz w:val="24"/>
                <w:highlight w:val="none"/>
              </w:rPr>
            </w:pPr>
            <w:r>
              <w:rPr>
                <w:rFonts w:hint="eastAsia" w:ascii="宋体" w:hAnsi="宋体" w:cs="宋体"/>
                <w:bCs/>
                <w:color w:val="000000"/>
                <w:sz w:val="24"/>
                <w:highlight w:val="none"/>
              </w:rPr>
              <w:t>2</w:t>
            </w:r>
          </w:p>
        </w:tc>
        <w:tc>
          <w:tcPr>
            <w:tcW w:w="3730" w:type="dxa"/>
            <w:vAlign w:val="center"/>
          </w:tcPr>
          <w:p w14:paraId="0E38A1AF">
            <w:pPr>
              <w:shd w:val="clear" w:color="auto" w:fill="FFFFFF"/>
              <w:adjustRightInd w:val="0"/>
              <w:snapToGrid w:val="0"/>
              <w:jc w:val="left"/>
              <w:rPr>
                <w:rFonts w:ascii="宋体" w:hAnsi="宋体" w:cs="宋体"/>
                <w:bCs/>
                <w:color w:val="000000"/>
                <w:sz w:val="24"/>
                <w:highlight w:val="none"/>
              </w:rPr>
            </w:pPr>
          </w:p>
        </w:tc>
        <w:tc>
          <w:tcPr>
            <w:tcW w:w="2237" w:type="dxa"/>
            <w:vAlign w:val="center"/>
          </w:tcPr>
          <w:p w14:paraId="11E0E54B">
            <w:pPr>
              <w:jc w:val="center"/>
              <w:rPr>
                <w:rFonts w:ascii="FZSSK--GBK1-0" w:hAnsi="FZSSK--GBK1-0" w:eastAsia="FZSSK--GBK1-0"/>
                <w:sz w:val="24"/>
                <w:highlight w:val="none"/>
              </w:rPr>
            </w:pPr>
            <w:r>
              <w:rPr>
                <w:rFonts w:hint="eastAsia" w:ascii="DejaVuSans" w:hAnsi="DejaVuSans" w:eastAsia="DejaVuSans"/>
                <w:sz w:val="24"/>
                <w:highlight w:val="none"/>
              </w:rPr>
              <w:t>□</w:t>
            </w:r>
            <w:r>
              <w:rPr>
                <w:rFonts w:hint="eastAsia" w:ascii="FZSSK--GBK1-0" w:hAnsi="FZSSK--GBK1-0" w:eastAsia="FZSSK--GBK1-0"/>
                <w:sz w:val="24"/>
                <w:highlight w:val="none"/>
              </w:rPr>
              <w:t>中型企业</w:t>
            </w:r>
          </w:p>
          <w:p w14:paraId="508D2EF4">
            <w:pPr>
              <w:jc w:val="center"/>
              <w:rPr>
                <w:rFonts w:ascii="FZSSK--GBK1-0" w:hAnsi="FZSSK--GBK1-0" w:eastAsia="FZSSK--GBK1-0"/>
                <w:sz w:val="24"/>
                <w:highlight w:val="none"/>
              </w:rPr>
            </w:pPr>
            <w:r>
              <w:rPr>
                <w:rFonts w:hint="eastAsia" w:ascii="DejaVuSans" w:hAnsi="DejaVuSans" w:eastAsia="DejaVuSans"/>
                <w:sz w:val="24"/>
                <w:highlight w:val="none"/>
              </w:rPr>
              <w:t>□</w:t>
            </w:r>
            <w:r>
              <w:rPr>
                <w:rFonts w:hint="eastAsia" w:ascii="FZSSK--GBK1-0" w:hAnsi="FZSSK--GBK1-0" w:eastAsia="FZSSK--GBK1-0"/>
                <w:sz w:val="24"/>
                <w:highlight w:val="none"/>
              </w:rPr>
              <w:t>小微企业</w:t>
            </w:r>
          </w:p>
          <w:p w14:paraId="409CDFE7">
            <w:pPr>
              <w:shd w:val="clear" w:color="auto" w:fill="FFFFFF"/>
              <w:adjustRightInd w:val="0"/>
              <w:snapToGrid w:val="0"/>
              <w:jc w:val="center"/>
              <w:rPr>
                <w:rFonts w:ascii="宋体" w:hAnsi="宋体" w:cs="宋体"/>
                <w:bCs/>
                <w:color w:val="000000"/>
                <w:sz w:val="24"/>
                <w:highlight w:val="none"/>
              </w:rPr>
            </w:pPr>
            <w:r>
              <w:rPr>
                <w:rFonts w:hint="eastAsia" w:ascii="DejaVuSans" w:hAnsi="DejaVuSans" w:eastAsia="DejaVuSans"/>
                <w:sz w:val="24"/>
                <w:highlight w:val="none"/>
              </w:rPr>
              <w:t>□</w:t>
            </w:r>
            <w:r>
              <w:rPr>
                <w:rFonts w:hint="eastAsia" w:ascii="FZSSK--GBK1-0" w:hAnsi="FZSSK--GBK1-0" w:eastAsia="FZSSK--GBK1-0"/>
                <w:sz w:val="24"/>
                <w:highlight w:val="none"/>
              </w:rPr>
              <w:t>其他</w:t>
            </w:r>
          </w:p>
        </w:tc>
        <w:tc>
          <w:tcPr>
            <w:tcW w:w="1988" w:type="dxa"/>
            <w:vAlign w:val="center"/>
          </w:tcPr>
          <w:p w14:paraId="7ADCBD26">
            <w:pPr>
              <w:shd w:val="clear" w:color="auto" w:fill="FFFFFF"/>
              <w:adjustRightInd w:val="0"/>
              <w:snapToGrid w:val="0"/>
              <w:jc w:val="left"/>
              <w:rPr>
                <w:rFonts w:ascii="宋体" w:hAnsi="宋体" w:cs="宋体"/>
                <w:bCs/>
                <w:color w:val="000000"/>
                <w:sz w:val="24"/>
                <w:highlight w:val="none"/>
              </w:rPr>
            </w:pPr>
          </w:p>
        </w:tc>
      </w:tr>
      <w:tr w14:paraId="236A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03" w:type="dxa"/>
            <w:vAlign w:val="center"/>
          </w:tcPr>
          <w:p w14:paraId="7F7CF0BD">
            <w:pPr>
              <w:shd w:val="clear" w:color="auto" w:fill="FFFFFF"/>
              <w:adjustRightInd w:val="0"/>
              <w:snapToGrid w:val="0"/>
              <w:jc w:val="center"/>
              <w:rPr>
                <w:rFonts w:ascii="宋体" w:hAnsi="宋体" w:cs="宋体"/>
                <w:bCs/>
                <w:color w:val="000000"/>
                <w:sz w:val="24"/>
                <w:highlight w:val="none"/>
              </w:rPr>
            </w:pPr>
            <w:r>
              <w:rPr>
                <w:rFonts w:hint="eastAsia" w:ascii="宋体" w:hAnsi="宋体" w:cs="宋体"/>
                <w:bCs/>
                <w:color w:val="000000"/>
                <w:sz w:val="24"/>
                <w:highlight w:val="none"/>
              </w:rPr>
              <w:t>...</w:t>
            </w:r>
          </w:p>
        </w:tc>
        <w:tc>
          <w:tcPr>
            <w:tcW w:w="3730" w:type="dxa"/>
            <w:vAlign w:val="center"/>
          </w:tcPr>
          <w:p w14:paraId="3774E152">
            <w:pPr>
              <w:shd w:val="clear" w:color="auto" w:fill="FFFFFF"/>
              <w:adjustRightInd w:val="0"/>
              <w:snapToGrid w:val="0"/>
              <w:jc w:val="left"/>
              <w:rPr>
                <w:rFonts w:ascii="宋体" w:hAnsi="宋体" w:cs="宋体"/>
                <w:bCs/>
                <w:color w:val="000000"/>
                <w:sz w:val="24"/>
                <w:highlight w:val="none"/>
              </w:rPr>
            </w:pPr>
          </w:p>
        </w:tc>
        <w:tc>
          <w:tcPr>
            <w:tcW w:w="2237" w:type="dxa"/>
            <w:vAlign w:val="center"/>
          </w:tcPr>
          <w:p w14:paraId="180D779B">
            <w:pPr>
              <w:shd w:val="clear" w:color="auto" w:fill="FFFFFF"/>
              <w:adjustRightInd w:val="0"/>
              <w:snapToGrid w:val="0"/>
              <w:jc w:val="center"/>
              <w:rPr>
                <w:rFonts w:ascii="宋体" w:hAnsi="宋体" w:cs="宋体"/>
                <w:bCs/>
                <w:color w:val="000000"/>
                <w:sz w:val="24"/>
                <w:highlight w:val="none"/>
              </w:rPr>
            </w:pPr>
          </w:p>
        </w:tc>
        <w:tc>
          <w:tcPr>
            <w:tcW w:w="1988" w:type="dxa"/>
            <w:vAlign w:val="center"/>
          </w:tcPr>
          <w:p w14:paraId="29903761">
            <w:pPr>
              <w:shd w:val="clear" w:color="auto" w:fill="FFFFFF"/>
              <w:adjustRightInd w:val="0"/>
              <w:snapToGrid w:val="0"/>
              <w:jc w:val="left"/>
              <w:rPr>
                <w:rFonts w:ascii="宋体" w:hAnsi="宋体" w:cs="宋体"/>
                <w:bCs/>
                <w:color w:val="000000"/>
                <w:sz w:val="24"/>
                <w:highlight w:val="none"/>
              </w:rPr>
            </w:pPr>
          </w:p>
        </w:tc>
      </w:tr>
      <w:tr w14:paraId="48CD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670" w:type="dxa"/>
            <w:gridSpan w:val="3"/>
            <w:vAlign w:val="center"/>
          </w:tcPr>
          <w:p w14:paraId="6619DCF9">
            <w:pPr>
              <w:shd w:val="clear" w:color="auto" w:fill="FFFFFF"/>
              <w:adjustRightInd w:val="0"/>
              <w:snapToGrid w:val="0"/>
              <w:jc w:val="center"/>
              <w:rPr>
                <w:color w:val="000000"/>
                <w:sz w:val="24"/>
                <w:highlight w:val="none"/>
              </w:rPr>
            </w:pPr>
            <w:r>
              <w:rPr>
                <w:rFonts w:hint="eastAsia"/>
                <w:color w:val="000000"/>
                <w:sz w:val="24"/>
                <w:highlight w:val="none"/>
              </w:rPr>
              <w:t>合计</w:t>
            </w:r>
          </w:p>
        </w:tc>
        <w:tc>
          <w:tcPr>
            <w:tcW w:w="1988" w:type="dxa"/>
            <w:vAlign w:val="center"/>
          </w:tcPr>
          <w:p w14:paraId="42B93DB3">
            <w:pPr>
              <w:shd w:val="clear" w:color="auto" w:fill="FFFFFF"/>
              <w:adjustRightInd w:val="0"/>
              <w:snapToGrid w:val="0"/>
              <w:jc w:val="left"/>
              <w:rPr>
                <w:color w:val="000000"/>
                <w:sz w:val="24"/>
                <w:highlight w:val="none"/>
              </w:rPr>
            </w:pPr>
          </w:p>
        </w:tc>
      </w:tr>
    </w:tbl>
    <w:p w14:paraId="35882690">
      <w:pPr>
        <w:widowControl/>
        <w:shd w:val="clear" w:color="auto" w:fill="FFFFFF"/>
        <w:jc w:val="left"/>
        <w:rPr>
          <w:color w:val="000000"/>
          <w:sz w:val="24"/>
          <w:szCs w:val="20"/>
          <w:highlight w:val="none"/>
        </w:rPr>
      </w:pPr>
    </w:p>
    <w:p w14:paraId="72C75F37">
      <w:pPr>
        <w:widowControl/>
        <w:shd w:val="clear" w:color="auto" w:fill="FFFFFF"/>
        <w:jc w:val="left"/>
        <w:rPr>
          <w:color w:val="000000"/>
          <w:sz w:val="24"/>
          <w:szCs w:val="20"/>
          <w:highlight w:val="none"/>
        </w:rPr>
      </w:pPr>
      <w:r>
        <w:rPr>
          <w:rFonts w:hint="eastAsia"/>
          <w:color w:val="000000"/>
          <w:sz w:val="24"/>
          <w:szCs w:val="20"/>
          <w:highlight w:val="none"/>
        </w:rPr>
        <w:t>14-2 联合体最终报价情况说明</w:t>
      </w:r>
    </w:p>
    <w:tbl>
      <w:tblPr>
        <w:tblStyle w:val="83"/>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730"/>
        <w:gridCol w:w="2237"/>
        <w:gridCol w:w="1988"/>
      </w:tblGrid>
      <w:tr w14:paraId="667A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3" w:type="dxa"/>
            <w:vAlign w:val="center"/>
          </w:tcPr>
          <w:p w14:paraId="6A9C37E0">
            <w:pPr>
              <w:shd w:val="clear" w:color="auto" w:fill="FFFFFF"/>
              <w:adjustRightInd w:val="0"/>
              <w:snapToGrid w:val="0"/>
              <w:jc w:val="center"/>
              <w:rPr>
                <w:rFonts w:ascii="宋体" w:hAnsi="宋体" w:cs="宋体"/>
                <w:bCs/>
                <w:color w:val="000000"/>
                <w:sz w:val="24"/>
                <w:highlight w:val="none"/>
              </w:rPr>
            </w:pPr>
            <w:r>
              <w:rPr>
                <w:rFonts w:hint="eastAsia" w:ascii="宋体" w:hAnsi="宋体" w:cs="宋体"/>
                <w:bCs/>
                <w:color w:val="000000"/>
                <w:sz w:val="24"/>
                <w:highlight w:val="none"/>
              </w:rPr>
              <w:t>序号</w:t>
            </w:r>
          </w:p>
        </w:tc>
        <w:tc>
          <w:tcPr>
            <w:tcW w:w="3730" w:type="dxa"/>
            <w:vAlign w:val="center"/>
          </w:tcPr>
          <w:p w14:paraId="77D045EC">
            <w:pPr>
              <w:shd w:val="clear" w:color="auto" w:fill="FFFFFF"/>
              <w:adjustRightInd w:val="0"/>
              <w:snapToGrid w:val="0"/>
              <w:jc w:val="left"/>
              <w:rPr>
                <w:rFonts w:ascii="宋体" w:hAnsi="宋体" w:cs="宋体"/>
                <w:bCs/>
                <w:color w:val="000000"/>
                <w:sz w:val="24"/>
                <w:highlight w:val="none"/>
              </w:rPr>
            </w:pPr>
            <w:r>
              <w:rPr>
                <w:rFonts w:hint="eastAsia" w:ascii="宋体" w:hAnsi="宋体" w:cs="宋体"/>
                <w:bCs/>
                <w:color w:val="000000"/>
                <w:sz w:val="24"/>
                <w:highlight w:val="none"/>
              </w:rPr>
              <w:t>联合体成员名称</w:t>
            </w:r>
          </w:p>
        </w:tc>
        <w:tc>
          <w:tcPr>
            <w:tcW w:w="2237" w:type="dxa"/>
            <w:vAlign w:val="center"/>
          </w:tcPr>
          <w:p w14:paraId="2E15661D">
            <w:pPr>
              <w:jc w:val="center"/>
              <w:rPr>
                <w:rFonts w:ascii="FZSSK--GBK1-0" w:hAnsi="FZSSK--GBK1-0" w:eastAsia="FZSSK--GBK1-0"/>
                <w:sz w:val="24"/>
                <w:highlight w:val="none"/>
              </w:rPr>
            </w:pPr>
            <w:r>
              <w:rPr>
                <w:rFonts w:hint="eastAsia" w:ascii="FZSSK--GBK1-0" w:hAnsi="FZSSK--GBK1-0" w:eastAsia="FZSSK--GBK1-0"/>
                <w:sz w:val="24"/>
                <w:highlight w:val="none"/>
              </w:rPr>
              <w:t>联合体成员类型</w:t>
            </w:r>
          </w:p>
          <w:p w14:paraId="6A4906EA">
            <w:pPr>
              <w:jc w:val="center"/>
              <w:rPr>
                <w:rFonts w:ascii="宋体" w:hAnsi="宋体" w:cs="宋体"/>
                <w:bCs/>
                <w:color w:val="000000"/>
                <w:sz w:val="24"/>
                <w:highlight w:val="none"/>
              </w:rPr>
            </w:pPr>
            <w:r>
              <w:rPr>
                <w:rFonts w:hint="eastAsia" w:ascii="FZSSK--GBK1-0" w:hAnsi="FZSSK--GBK1-0" w:eastAsia="FZSSK--GBK1-0"/>
                <w:sz w:val="24"/>
                <w:highlight w:val="none"/>
              </w:rPr>
              <w:t>（选择）</w:t>
            </w:r>
          </w:p>
        </w:tc>
        <w:tc>
          <w:tcPr>
            <w:tcW w:w="1988" w:type="dxa"/>
            <w:vAlign w:val="center"/>
          </w:tcPr>
          <w:p w14:paraId="7E0B4A99">
            <w:pPr>
              <w:shd w:val="clear" w:color="auto" w:fill="FFFFFF"/>
              <w:adjustRightInd w:val="0"/>
              <w:snapToGrid w:val="0"/>
              <w:jc w:val="center"/>
              <w:rPr>
                <w:rFonts w:ascii="宋体" w:hAnsi="宋体" w:cs="宋体"/>
                <w:bCs/>
                <w:color w:val="000000"/>
                <w:sz w:val="24"/>
                <w:highlight w:val="none"/>
              </w:rPr>
            </w:pPr>
            <w:r>
              <w:rPr>
                <w:rFonts w:hint="eastAsia" w:ascii="宋体" w:hAnsi="宋体" w:cs="宋体"/>
                <w:bCs/>
                <w:color w:val="000000"/>
                <w:sz w:val="24"/>
                <w:highlight w:val="none"/>
              </w:rPr>
              <w:t>合同金额</w:t>
            </w:r>
          </w:p>
          <w:p w14:paraId="410D0D84">
            <w:pPr>
              <w:shd w:val="clear" w:color="auto" w:fill="FFFFFF"/>
              <w:adjustRightInd w:val="0"/>
              <w:snapToGrid w:val="0"/>
              <w:jc w:val="center"/>
              <w:rPr>
                <w:rFonts w:ascii="宋体" w:hAnsi="宋体" w:cs="宋体"/>
                <w:bCs/>
                <w:color w:val="000000"/>
                <w:sz w:val="24"/>
                <w:highlight w:val="none"/>
              </w:rPr>
            </w:pPr>
            <w:r>
              <w:rPr>
                <w:rFonts w:hint="eastAsia" w:ascii="宋体" w:hAnsi="宋体" w:cs="宋体"/>
                <w:bCs/>
                <w:color w:val="000000"/>
                <w:sz w:val="24"/>
                <w:highlight w:val="none"/>
              </w:rPr>
              <w:t>（人民币元）</w:t>
            </w:r>
          </w:p>
        </w:tc>
      </w:tr>
      <w:tr w14:paraId="6A78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03" w:type="dxa"/>
            <w:vAlign w:val="center"/>
          </w:tcPr>
          <w:p w14:paraId="6F0667C7">
            <w:pPr>
              <w:shd w:val="clear" w:color="auto" w:fill="FFFFFF"/>
              <w:adjustRightInd w:val="0"/>
              <w:snapToGrid w:val="0"/>
              <w:jc w:val="center"/>
              <w:rPr>
                <w:rFonts w:ascii="宋体" w:hAnsi="宋体" w:cs="宋体"/>
                <w:bCs/>
                <w:color w:val="000000"/>
                <w:sz w:val="24"/>
                <w:highlight w:val="none"/>
              </w:rPr>
            </w:pPr>
            <w:r>
              <w:rPr>
                <w:rFonts w:hint="eastAsia" w:ascii="宋体" w:hAnsi="宋体" w:cs="宋体"/>
                <w:bCs/>
                <w:color w:val="000000"/>
                <w:sz w:val="24"/>
                <w:highlight w:val="none"/>
              </w:rPr>
              <w:t>1</w:t>
            </w:r>
          </w:p>
        </w:tc>
        <w:tc>
          <w:tcPr>
            <w:tcW w:w="3730" w:type="dxa"/>
            <w:vAlign w:val="center"/>
          </w:tcPr>
          <w:p w14:paraId="065E2B86">
            <w:pPr>
              <w:shd w:val="clear" w:color="auto" w:fill="FFFFFF"/>
              <w:adjustRightInd w:val="0"/>
              <w:snapToGrid w:val="0"/>
              <w:jc w:val="left"/>
              <w:rPr>
                <w:rFonts w:ascii="宋体" w:hAnsi="宋体" w:cs="宋体"/>
                <w:bCs/>
                <w:color w:val="000000"/>
                <w:sz w:val="24"/>
                <w:highlight w:val="none"/>
              </w:rPr>
            </w:pPr>
          </w:p>
        </w:tc>
        <w:tc>
          <w:tcPr>
            <w:tcW w:w="2237" w:type="dxa"/>
            <w:vAlign w:val="center"/>
          </w:tcPr>
          <w:p w14:paraId="010F3353">
            <w:pPr>
              <w:jc w:val="center"/>
              <w:rPr>
                <w:rFonts w:ascii="FZSSK--GBK1-0" w:hAnsi="FZSSK--GBK1-0" w:eastAsia="FZSSK--GBK1-0"/>
                <w:sz w:val="24"/>
                <w:highlight w:val="none"/>
              </w:rPr>
            </w:pPr>
            <w:r>
              <w:rPr>
                <w:rFonts w:hint="eastAsia" w:ascii="DejaVuSans" w:hAnsi="DejaVuSans" w:eastAsia="DejaVuSans"/>
                <w:sz w:val="24"/>
                <w:highlight w:val="none"/>
              </w:rPr>
              <w:t>□</w:t>
            </w:r>
            <w:r>
              <w:rPr>
                <w:rFonts w:hint="eastAsia" w:ascii="FZSSK--GBK1-0" w:hAnsi="FZSSK--GBK1-0" w:eastAsia="FZSSK--GBK1-0"/>
                <w:sz w:val="24"/>
                <w:highlight w:val="none"/>
              </w:rPr>
              <w:t>中型企业</w:t>
            </w:r>
          </w:p>
          <w:p w14:paraId="444D3BB6">
            <w:pPr>
              <w:jc w:val="center"/>
              <w:rPr>
                <w:rFonts w:ascii="FZSSK--GBK1-0" w:hAnsi="FZSSK--GBK1-0" w:eastAsia="FZSSK--GBK1-0"/>
                <w:sz w:val="24"/>
                <w:highlight w:val="none"/>
              </w:rPr>
            </w:pPr>
            <w:r>
              <w:rPr>
                <w:rFonts w:hint="eastAsia" w:ascii="DejaVuSans" w:hAnsi="DejaVuSans" w:eastAsia="DejaVuSans"/>
                <w:sz w:val="24"/>
                <w:highlight w:val="none"/>
              </w:rPr>
              <w:t>□</w:t>
            </w:r>
            <w:r>
              <w:rPr>
                <w:rFonts w:hint="eastAsia" w:ascii="FZSSK--GBK1-0" w:hAnsi="FZSSK--GBK1-0" w:eastAsia="FZSSK--GBK1-0"/>
                <w:sz w:val="24"/>
                <w:highlight w:val="none"/>
              </w:rPr>
              <w:t>小微企业</w:t>
            </w:r>
          </w:p>
          <w:p w14:paraId="7E857842">
            <w:pPr>
              <w:shd w:val="clear" w:color="auto" w:fill="FFFFFF"/>
              <w:adjustRightInd w:val="0"/>
              <w:snapToGrid w:val="0"/>
              <w:jc w:val="center"/>
              <w:rPr>
                <w:rFonts w:ascii="宋体" w:hAnsi="宋体" w:cs="宋体"/>
                <w:bCs/>
                <w:color w:val="000000"/>
                <w:sz w:val="24"/>
                <w:highlight w:val="none"/>
              </w:rPr>
            </w:pPr>
            <w:r>
              <w:rPr>
                <w:rFonts w:hint="eastAsia" w:ascii="DejaVuSans" w:hAnsi="DejaVuSans" w:eastAsia="DejaVuSans"/>
                <w:sz w:val="24"/>
                <w:highlight w:val="none"/>
              </w:rPr>
              <w:t>□</w:t>
            </w:r>
            <w:r>
              <w:rPr>
                <w:rFonts w:hint="eastAsia" w:ascii="FZSSK--GBK1-0" w:hAnsi="FZSSK--GBK1-0" w:eastAsia="FZSSK--GBK1-0"/>
                <w:sz w:val="24"/>
                <w:highlight w:val="none"/>
              </w:rPr>
              <w:t>其他</w:t>
            </w:r>
          </w:p>
        </w:tc>
        <w:tc>
          <w:tcPr>
            <w:tcW w:w="1988" w:type="dxa"/>
            <w:vAlign w:val="center"/>
          </w:tcPr>
          <w:p w14:paraId="403B714D">
            <w:pPr>
              <w:shd w:val="clear" w:color="auto" w:fill="FFFFFF"/>
              <w:adjustRightInd w:val="0"/>
              <w:snapToGrid w:val="0"/>
              <w:jc w:val="center"/>
              <w:rPr>
                <w:rFonts w:ascii="宋体" w:hAnsi="宋体" w:cs="宋体"/>
                <w:bCs/>
                <w:color w:val="000000"/>
                <w:sz w:val="24"/>
                <w:highlight w:val="none"/>
              </w:rPr>
            </w:pPr>
          </w:p>
        </w:tc>
      </w:tr>
      <w:tr w14:paraId="2065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3" w:type="dxa"/>
            <w:vAlign w:val="center"/>
          </w:tcPr>
          <w:p w14:paraId="7EDB41FE">
            <w:pPr>
              <w:shd w:val="clear" w:color="auto" w:fill="FFFFFF"/>
              <w:adjustRightInd w:val="0"/>
              <w:snapToGrid w:val="0"/>
              <w:jc w:val="center"/>
              <w:rPr>
                <w:rFonts w:ascii="宋体" w:hAnsi="宋体" w:cs="宋体"/>
                <w:bCs/>
                <w:color w:val="000000"/>
                <w:sz w:val="24"/>
                <w:highlight w:val="none"/>
              </w:rPr>
            </w:pPr>
            <w:r>
              <w:rPr>
                <w:rFonts w:hint="eastAsia" w:ascii="宋体" w:hAnsi="宋体" w:cs="宋体"/>
                <w:bCs/>
                <w:color w:val="000000"/>
                <w:sz w:val="24"/>
                <w:highlight w:val="none"/>
              </w:rPr>
              <w:t>2</w:t>
            </w:r>
          </w:p>
        </w:tc>
        <w:tc>
          <w:tcPr>
            <w:tcW w:w="3730" w:type="dxa"/>
            <w:vAlign w:val="center"/>
          </w:tcPr>
          <w:p w14:paraId="0E18DC90">
            <w:pPr>
              <w:shd w:val="clear" w:color="auto" w:fill="FFFFFF"/>
              <w:adjustRightInd w:val="0"/>
              <w:snapToGrid w:val="0"/>
              <w:jc w:val="left"/>
              <w:rPr>
                <w:rFonts w:ascii="宋体" w:hAnsi="宋体" w:cs="宋体"/>
                <w:bCs/>
                <w:color w:val="000000"/>
                <w:sz w:val="24"/>
                <w:highlight w:val="none"/>
              </w:rPr>
            </w:pPr>
          </w:p>
        </w:tc>
        <w:tc>
          <w:tcPr>
            <w:tcW w:w="2237" w:type="dxa"/>
            <w:vAlign w:val="center"/>
          </w:tcPr>
          <w:p w14:paraId="7900E38A">
            <w:pPr>
              <w:jc w:val="center"/>
              <w:rPr>
                <w:rFonts w:ascii="FZSSK--GBK1-0" w:hAnsi="FZSSK--GBK1-0" w:eastAsia="FZSSK--GBK1-0"/>
                <w:sz w:val="24"/>
                <w:highlight w:val="none"/>
              </w:rPr>
            </w:pPr>
            <w:r>
              <w:rPr>
                <w:rFonts w:hint="eastAsia" w:ascii="DejaVuSans" w:hAnsi="DejaVuSans" w:eastAsia="DejaVuSans"/>
                <w:sz w:val="24"/>
                <w:highlight w:val="none"/>
              </w:rPr>
              <w:t>□</w:t>
            </w:r>
            <w:r>
              <w:rPr>
                <w:rFonts w:hint="eastAsia" w:ascii="FZSSK--GBK1-0" w:hAnsi="FZSSK--GBK1-0" w:eastAsia="FZSSK--GBK1-0"/>
                <w:sz w:val="24"/>
                <w:highlight w:val="none"/>
              </w:rPr>
              <w:t>中型企业</w:t>
            </w:r>
          </w:p>
          <w:p w14:paraId="4C7CC3BF">
            <w:pPr>
              <w:jc w:val="center"/>
              <w:rPr>
                <w:rFonts w:ascii="FZSSK--GBK1-0" w:hAnsi="FZSSK--GBK1-0" w:eastAsia="FZSSK--GBK1-0"/>
                <w:sz w:val="24"/>
                <w:highlight w:val="none"/>
              </w:rPr>
            </w:pPr>
            <w:r>
              <w:rPr>
                <w:rFonts w:hint="eastAsia" w:ascii="DejaVuSans" w:hAnsi="DejaVuSans" w:eastAsia="DejaVuSans"/>
                <w:sz w:val="24"/>
                <w:highlight w:val="none"/>
              </w:rPr>
              <w:t>□</w:t>
            </w:r>
            <w:r>
              <w:rPr>
                <w:rFonts w:hint="eastAsia" w:ascii="FZSSK--GBK1-0" w:hAnsi="FZSSK--GBK1-0" w:eastAsia="FZSSK--GBK1-0"/>
                <w:sz w:val="24"/>
                <w:highlight w:val="none"/>
              </w:rPr>
              <w:t>小微企业</w:t>
            </w:r>
          </w:p>
          <w:p w14:paraId="0E20A977">
            <w:pPr>
              <w:shd w:val="clear" w:color="auto" w:fill="FFFFFF"/>
              <w:adjustRightInd w:val="0"/>
              <w:snapToGrid w:val="0"/>
              <w:jc w:val="center"/>
              <w:rPr>
                <w:rFonts w:ascii="宋体" w:hAnsi="宋体" w:cs="宋体"/>
                <w:bCs/>
                <w:color w:val="000000"/>
                <w:sz w:val="24"/>
                <w:highlight w:val="none"/>
              </w:rPr>
            </w:pPr>
            <w:r>
              <w:rPr>
                <w:rFonts w:hint="eastAsia" w:ascii="DejaVuSans" w:hAnsi="DejaVuSans" w:eastAsia="DejaVuSans"/>
                <w:sz w:val="24"/>
                <w:highlight w:val="none"/>
              </w:rPr>
              <w:t>□</w:t>
            </w:r>
            <w:r>
              <w:rPr>
                <w:rFonts w:hint="eastAsia" w:ascii="FZSSK--GBK1-0" w:hAnsi="FZSSK--GBK1-0" w:eastAsia="FZSSK--GBK1-0"/>
                <w:sz w:val="24"/>
                <w:highlight w:val="none"/>
              </w:rPr>
              <w:t>其他</w:t>
            </w:r>
          </w:p>
        </w:tc>
        <w:tc>
          <w:tcPr>
            <w:tcW w:w="1988" w:type="dxa"/>
            <w:vAlign w:val="center"/>
          </w:tcPr>
          <w:p w14:paraId="1697D8AB">
            <w:pPr>
              <w:shd w:val="clear" w:color="auto" w:fill="FFFFFF"/>
              <w:adjustRightInd w:val="0"/>
              <w:snapToGrid w:val="0"/>
              <w:jc w:val="left"/>
              <w:rPr>
                <w:rFonts w:ascii="宋体" w:hAnsi="宋体" w:cs="宋体"/>
                <w:bCs/>
                <w:color w:val="000000"/>
                <w:sz w:val="24"/>
                <w:highlight w:val="none"/>
              </w:rPr>
            </w:pPr>
          </w:p>
        </w:tc>
      </w:tr>
      <w:tr w14:paraId="06DC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03" w:type="dxa"/>
            <w:vAlign w:val="center"/>
          </w:tcPr>
          <w:p w14:paraId="4DE21BE2">
            <w:pPr>
              <w:shd w:val="clear" w:color="auto" w:fill="FFFFFF"/>
              <w:adjustRightInd w:val="0"/>
              <w:snapToGrid w:val="0"/>
              <w:jc w:val="center"/>
              <w:rPr>
                <w:rFonts w:ascii="宋体" w:hAnsi="宋体" w:cs="宋体"/>
                <w:bCs/>
                <w:color w:val="000000"/>
                <w:sz w:val="24"/>
                <w:highlight w:val="none"/>
              </w:rPr>
            </w:pPr>
            <w:r>
              <w:rPr>
                <w:rFonts w:hint="eastAsia" w:ascii="宋体" w:hAnsi="宋体" w:cs="宋体"/>
                <w:bCs/>
                <w:color w:val="000000"/>
                <w:sz w:val="24"/>
                <w:highlight w:val="none"/>
              </w:rPr>
              <w:t>...</w:t>
            </w:r>
          </w:p>
        </w:tc>
        <w:tc>
          <w:tcPr>
            <w:tcW w:w="3730" w:type="dxa"/>
            <w:vAlign w:val="center"/>
          </w:tcPr>
          <w:p w14:paraId="35936F22">
            <w:pPr>
              <w:shd w:val="clear" w:color="auto" w:fill="FFFFFF"/>
              <w:adjustRightInd w:val="0"/>
              <w:snapToGrid w:val="0"/>
              <w:jc w:val="left"/>
              <w:rPr>
                <w:rFonts w:ascii="宋体" w:hAnsi="宋体" w:cs="宋体"/>
                <w:bCs/>
                <w:color w:val="000000"/>
                <w:sz w:val="24"/>
                <w:highlight w:val="none"/>
              </w:rPr>
            </w:pPr>
          </w:p>
        </w:tc>
        <w:tc>
          <w:tcPr>
            <w:tcW w:w="2237" w:type="dxa"/>
            <w:vAlign w:val="center"/>
          </w:tcPr>
          <w:p w14:paraId="7AD484D2">
            <w:pPr>
              <w:shd w:val="clear" w:color="auto" w:fill="FFFFFF"/>
              <w:adjustRightInd w:val="0"/>
              <w:snapToGrid w:val="0"/>
              <w:jc w:val="center"/>
              <w:rPr>
                <w:rFonts w:ascii="宋体" w:hAnsi="宋体" w:cs="宋体"/>
                <w:bCs/>
                <w:color w:val="000000"/>
                <w:sz w:val="24"/>
                <w:highlight w:val="none"/>
              </w:rPr>
            </w:pPr>
          </w:p>
        </w:tc>
        <w:tc>
          <w:tcPr>
            <w:tcW w:w="1988" w:type="dxa"/>
            <w:vAlign w:val="center"/>
          </w:tcPr>
          <w:p w14:paraId="1770871A">
            <w:pPr>
              <w:shd w:val="clear" w:color="auto" w:fill="FFFFFF"/>
              <w:adjustRightInd w:val="0"/>
              <w:snapToGrid w:val="0"/>
              <w:jc w:val="left"/>
              <w:rPr>
                <w:rFonts w:ascii="宋体" w:hAnsi="宋体" w:cs="宋体"/>
                <w:bCs/>
                <w:color w:val="000000"/>
                <w:sz w:val="24"/>
                <w:highlight w:val="none"/>
              </w:rPr>
            </w:pPr>
          </w:p>
        </w:tc>
      </w:tr>
      <w:tr w14:paraId="412E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670" w:type="dxa"/>
            <w:gridSpan w:val="3"/>
            <w:vAlign w:val="center"/>
          </w:tcPr>
          <w:p w14:paraId="51A9997A">
            <w:pPr>
              <w:shd w:val="clear" w:color="auto" w:fill="FFFFFF"/>
              <w:adjustRightInd w:val="0"/>
              <w:snapToGrid w:val="0"/>
              <w:jc w:val="center"/>
              <w:rPr>
                <w:color w:val="000000"/>
                <w:sz w:val="24"/>
                <w:highlight w:val="none"/>
              </w:rPr>
            </w:pPr>
            <w:r>
              <w:rPr>
                <w:rFonts w:hint="eastAsia"/>
                <w:color w:val="000000"/>
                <w:sz w:val="24"/>
                <w:highlight w:val="none"/>
              </w:rPr>
              <w:t>合计</w:t>
            </w:r>
          </w:p>
        </w:tc>
        <w:tc>
          <w:tcPr>
            <w:tcW w:w="1988" w:type="dxa"/>
            <w:vAlign w:val="center"/>
          </w:tcPr>
          <w:p w14:paraId="7D2B2086">
            <w:pPr>
              <w:shd w:val="clear" w:color="auto" w:fill="FFFFFF"/>
              <w:adjustRightInd w:val="0"/>
              <w:snapToGrid w:val="0"/>
              <w:jc w:val="left"/>
              <w:rPr>
                <w:color w:val="000000"/>
                <w:sz w:val="24"/>
                <w:highlight w:val="none"/>
              </w:rPr>
            </w:pPr>
          </w:p>
        </w:tc>
      </w:tr>
    </w:tbl>
    <w:p w14:paraId="51D95FFF">
      <w:pPr>
        <w:widowControl/>
        <w:shd w:val="clear" w:color="auto" w:fill="FFFFFF"/>
        <w:jc w:val="left"/>
        <w:rPr>
          <w:color w:val="000000"/>
          <w:sz w:val="24"/>
          <w:szCs w:val="20"/>
          <w:highlight w:val="none"/>
        </w:rPr>
      </w:pPr>
    </w:p>
    <w:p w14:paraId="32BB15F1">
      <w:pPr>
        <w:widowControl/>
        <w:shd w:val="clear" w:color="auto" w:fill="FFFFFF"/>
        <w:jc w:val="left"/>
        <w:rPr>
          <w:color w:val="000000"/>
          <w:sz w:val="24"/>
          <w:szCs w:val="20"/>
          <w:highlight w:val="none"/>
        </w:rPr>
      </w:pPr>
    </w:p>
    <w:p w14:paraId="34A6664A">
      <w:pPr>
        <w:widowControl/>
        <w:shd w:val="clear" w:color="auto" w:fill="FFFFFF"/>
        <w:jc w:val="left"/>
        <w:rPr>
          <w:color w:val="000000"/>
          <w:sz w:val="24"/>
          <w:szCs w:val="20"/>
          <w:highlight w:val="none"/>
        </w:rPr>
      </w:pPr>
      <w:r>
        <w:rPr>
          <w:rFonts w:hint="eastAsia"/>
          <w:color w:val="000000"/>
          <w:sz w:val="24"/>
          <w:szCs w:val="20"/>
          <w:highlight w:val="none"/>
        </w:rPr>
        <w:t>注：</w:t>
      </w:r>
    </w:p>
    <w:p w14:paraId="71CE73E1">
      <w:pPr>
        <w:widowControl/>
        <w:shd w:val="clear" w:color="auto" w:fill="FFFFFF"/>
        <w:jc w:val="left"/>
        <w:rPr>
          <w:color w:val="000000"/>
          <w:sz w:val="24"/>
          <w:szCs w:val="20"/>
          <w:highlight w:val="none"/>
        </w:rPr>
      </w:pPr>
      <w:r>
        <w:rPr>
          <w:rFonts w:hint="eastAsia"/>
          <w:color w:val="000000"/>
          <w:sz w:val="24"/>
          <w:szCs w:val="20"/>
          <w:highlight w:val="none"/>
        </w:rPr>
        <w:t>1. 如供应商为联合体或拟进行合同分包，则必须选择一种表格填报，否则</w:t>
      </w:r>
      <w:r>
        <w:rPr>
          <w:rFonts w:hint="eastAsia"/>
          <w:b/>
          <w:bCs/>
          <w:color w:val="000000"/>
          <w:sz w:val="24"/>
          <w:szCs w:val="20"/>
          <w:highlight w:val="none"/>
        </w:rPr>
        <w:t>响应无效</w:t>
      </w:r>
      <w:r>
        <w:rPr>
          <w:rFonts w:hint="eastAsia"/>
          <w:color w:val="000000"/>
          <w:sz w:val="24"/>
          <w:szCs w:val="20"/>
          <w:highlight w:val="none"/>
        </w:rPr>
        <w:t>。</w:t>
      </w:r>
    </w:p>
    <w:p w14:paraId="26E996A3">
      <w:pPr>
        <w:widowControl/>
        <w:shd w:val="clear" w:color="auto" w:fill="FFFFFF"/>
        <w:jc w:val="left"/>
        <w:rPr>
          <w:color w:val="000000"/>
          <w:sz w:val="24"/>
          <w:szCs w:val="20"/>
          <w:highlight w:val="none"/>
        </w:rPr>
      </w:pPr>
      <w:r>
        <w:rPr>
          <w:rFonts w:hint="eastAsia"/>
          <w:color w:val="000000"/>
          <w:sz w:val="24"/>
          <w:szCs w:val="20"/>
          <w:highlight w:val="none"/>
        </w:rPr>
        <w:t>2.本表应按包分别填写。</w:t>
      </w:r>
    </w:p>
    <w:p w14:paraId="6F6311BE">
      <w:pPr>
        <w:widowControl/>
        <w:shd w:val="clear" w:color="auto" w:fill="FFFFFF"/>
        <w:jc w:val="left"/>
        <w:rPr>
          <w:color w:val="000000"/>
          <w:sz w:val="24"/>
          <w:szCs w:val="20"/>
          <w:highlight w:val="none"/>
        </w:rPr>
      </w:pPr>
      <w:r>
        <w:rPr>
          <w:rFonts w:hint="eastAsia"/>
          <w:color w:val="000000"/>
          <w:sz w:val="24"/>
          <w:szCs w:val="20"/>
          <w:highlight w:val="none"/>
        </w:rPr>
        <w:t>3.此表无需在响应文件中提交，磋商后供应商按磋商小组要求提交。</w:t>
      </w:r>
    </w:p>
    <w:p w14:paraId="09DB9F25">
      <w:pPr>
        <w:widowControl/>
        <w:shd w:val="clear" w:color="auto" w:fill="FFFFFF"/>
        <w:jc w:val="left"/>
        <w:rPr>
          <w:rFonts w:ascii="宋体" w:hAnsi="宋体" w:cs="宋体"/>
          <w:b/>
          <w:sz w:val="36"/>
          <w:szCs w:val="36"/>
          <w:highlight w:val="none"/>
        </w:rPr>
      </w:pPr>
    </w:p>
    <w:p w14:paraId="09235B98">
      <w:pPr>
        <w:widowControl/>
        <w:shd w:val="clear" w:color="auto" w:fill="FFFFFF"/>
        <w:jc w:val="left"/>
        <w:rPr>
          <w:rFonts w:ascii="宋体" w:hAnsi="宋体" w:cs="宋体"/>
          <w:b/>
          <w:sz w:val="36"/>
          <w:szCs w:val="36"/>
          <w:highlight w:val="none"/>
        </w:rPr>
      </w:pPr>
    </w:p>
    <w:p w14:paraId="2343B9C2">
      <w:pPr>
        <w:shd w:val="clear" w:color="auto" w:fill="FFFFFF"/>
        <w:autoSpaceDE w:val="0"/>
        <w:autoSpaceDN w:val="0"/>
        <w:adjustRightInd w:val="0"/>
        <w:snapToGrid w:val="0"/>
        <w:spacing w:before="25" w:after="25" w:line="360" w:lineRule="auto"/>
        <w:rPr>
          <w:color w:val="000000"/>
          <w:sz w:val="24"/>
          <w:highlight w:val="none"/>
          <w:lang w:val="zh-CN"/>
        </w:rPr>
      </w:pPr>
      <w:r>
        <w:rPr>
          <w:kern w:val="0"/>
          <w:sz w:val="24"/>
          <w:highlight w:val="none"/>
        </w:rPr>
        <w:t>供应商授权代表签字（或加盖供应商公章）</w:t>
      </w:r>
      <w:r>
        <w:rPr>
          <w:color w:val="000000"/>
          <w:sz w:val="24"/>
          <w:highlight w:val="none"/>
          <w:lang w:val="zh-CN"/>
        </w:rPr>
        <w:t xml:space="preserve">：____________ </w:t>
      </w:r>
    </w:p>
    <w:p w14:paraId="1A58D7DC">
      <w:pPr>
        <w:widowControl/>
        <w:shd w:val="clear" w:color="auto" w:fill="FFFFFF"/>
        <w:jc w:val="left"/>
        <w:rPr>
          <w:color w:val="000000"/>
          <w:sz w:val="24"/>
          <w:szCs w:val="20"/>
          <w:highlight w:val="none"/>
        </w:rPr>
      </w:pPr>
      <w:r>
        <w:rPr>
          <w:color w:val="000000"/>
          <w:sz w:val="24"/>
          <w:szCs w:val="20"/>
          <w:highlight w:val="none"/>
        </w:rPr>
        <w:t xml:space="preserve">日期：____年____月____日  </w:t>
      </w:r>
    </w:p>
    <w:p w14:paraId="5B9B92FE">
      <w:pPr>
        <w:widowControl/>
        <w:shd w:val="clear" w:color="auto" w:fill="FFFFFF"/>
        <w:jc w:val="left"/>
        <w:rPr>
          <w:color w:val="000000"/>
          <w:sz w:val="24"/>
          <w:szCs w:val="20"/>
          <w:highlight w:val="none"/>
        </w:rPr>
        <w:sectPr>
          <w:pgSz w:w="11907" w:h="16840"/>
          <w:pgMar w:top="1417" w:right="1417" w:bottom="1417" w:left="1417" w:header="851" w:footer="851" w:gutter="0"/>
          <w:cols w:space="720" w:num="1"/>
          <w:docGrid w:linePitch="462" w:charSpace="0"/>
        </w:sectPr>
      </w:pPr>
    </w:p>
    <w:p w14:paraId="1AAD4357">
      <w:pPr>
        <w:pStyle w:val="3"/>
        <w:numPr>
          <w:ilvl w:val="0"/>
          <w:numId w:val="29"/>
        </w:numPr>
        <w:spacing w:after="234" w:line="265" w:lineRule="auto"/>
        <w:ind w:left="262" w:right="378"/>
        <w:rPr>
          <w:rFonts w:hAnsi="宋体" w:cs="宋体"/>
          <w:szCs w:val="28"/>
          <w:highlight w:val="none"/>
        </w:rPr>
      </w:pPr>
      <w:bookmarkStart w:id="1899" w:name="_Toc17359"/>
      <w:bookmarkStart w:id="1900" w:name="_Toc2666"/>
      <w:r>
        <w:rPr>
          <w:rFonts w:hint="eastAsia" w:hAnsi="宋体" w:cs="宋体"/>
          <w:szCs w:val="28"/>
          <w:highlight w:val="none"/>
        </w:rPr>
        <w:t>图纸及工程量清单</w:t>
      </w:r>
      <w:bookmarkEnd w:id="1899"/>
      <w:bookmarkEnd w:id="1900"/>
    </w:p>
    <w:p w14:paraId="1E182088">
      <w:pPr>
        <w:spacing w:after="81" w:line="259" w:lineRule="auto"/>
        <w:ind w:left="10" w:right="-11" w:hanging="10"/>
        <w:jc w:val="right"/>
        <w:rPr>
          <w:rFonts w:ascii="宋体" w:hAnsi="宋体" w:cs="宋体"/>
          <w:highlight w:val="none"/>
        </w:rPr>
      </w:pPr>
    </w:p>
    <w:p w14:paraId="1F29D125">
      <w:pPr>
        <w:spacing w:after="44" w:line="259" w:lineRule="auto"/>
        <w:ind w:left="125"/>
        <w:jc w:val="center"/>
        <w:rPr>
          <w:rFonts w:ascii="宋体" w:hAnsi="宋体" w:cs="宋体"/>
          <w:highlight w:val="none"/>
        </w:rPr>
      </w:pPr>
      <w:r>
        <w:rPr>
          <w:rFonts w:hint="eastAsia" w:ascii="宋体" w:hAnsi="宋体" w:cs="宋体"/>
          <w:sz w:val="30"/>
          <w:highlight w:val="none"/>
        </w:rPr>
        <w:t xml:space="preserve">（工程量清单详见附件） </w:t>
      </w:r>
    </w:p>
    <w:p w14:paraId="33D8A2CF">
      <w:pPr>
        <w:pStyle w:val="67"/>
        <w:rPr>
          <w:highlight w:val="none"/>
        </w:rPr>
      </w:pPr>
    </w:p>
    <w:sectPr>
      <w:pgSz w:w="11907" w:h="16840"/>
      <w:pgMar w:top="1417" w:right="1417" w:bottom="1417" w:left="1417"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微软雅黑"/>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7FFAEFF" w:usb1="F9DFFFFF" w:usb2="0000007F" w:usb3="00000000" w:csb0="203F01FF" w:csb1="DFFF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Helvetica-Condensed-Bold">
    <w:altName w:val="微软雅黑"/>
    <w:panose1 w:val="00000000000000000000"/>
    <w:charset w:val="00"/>
    <w:family w:val="auto"/>
    <w:pitch w:val="default"/>
    <w:sig w:usb0="00000000" w:usb1="00000000" w:usb2="0000001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
    <w:altName w:val="Segoe Print"/>
    <w:panose1 w:val="00000000000000000000"/>
    <w:charset w:val="00"/>
    <w:family w:val="auto"/>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全真中明體">
    <w:altName w:val="Segoe Print"/>
    <w:panose1 w:val="00000000000000000000"/>
    <w:charset w:val="00"/>
    <w:family w:val="auto"/>
    <w:pitch w:val="default"/>
    <w:sig w:usb0="00000000" w:usb1="00000000" w:usb2="00000010" w:usb3="00000000" w:csb0="00100000" w:csb1="00000000"/>
  </w:font>
  <w:font w:name="Sim Sun+ 2">
    <w:altName w:val="微软雅黑"/>
    <w:panose1 w:val="00000000000000000000"/>
    <w:charset w:val="00"/>
    <w:family w:val="auto"/>
    <w:pitch w:val="default"/>
    <w:sig w:usb0="00000000" w:usb1="00000000" w:usb2="00000010" w:usb3="00000000" w:csb0="00040000" w:csb1="0000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modern"/>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Helvetica Neue">
    <w:altName w:val="Times New Roman"/>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細明體">
    <w:altName w:val="AMGDT"/>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ì.">
    <w:altName w:val="微软雅黑"/>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Arial Black">
    <w:panose1 w:val="020B0A04020102020204"/>
    <w:charset w:val="00"/>
    <w:family w:val="swiss"/>
    <w:pitch w:val="default"/>
    <w:sig w:usb0="A00002AF" w:usb1="400078FB" w:usb2="00000000" w:usb3="00000000" w:csb0="6000009F" w:csb1="DFD70000"/>
  </w:font>
  <w:font w:name="Plotter">
    <w:altName w:val="Segoe Print"/>
    <w:panose1 w:val="00000000000000000000"/>
    <w:charset w:val="00"/>
    <w:family w:val="roman"/>
    <w:pitch w:val="default"/>
    <w:sig w:usb0="00000000" w:usb1="00000000" w:usb2="00000000" w:usb3="00000000" w:csb0="00000001" w:csb1="00000000"/>
  </w:font>
  <w:font w:name="Comic Sans MS">
    <w:panose1 w:val="030F0702030302020204"/>
    <w:charset w:val="00"/>
    <w:family w:val="script"/>
    <w:pitch w:val="default"/>
    <w:sig w:usb0="00000287" w:usb1="00000013" w:usb2="00000000" w:usb3="00000000" w:csb0="2000009F" w:csb1="00000000"/>
  </w:font>
  <w:font w:name="Angsana New">
    <w:altName w:val="Microsoft Sans Serif"/>
    <w:panose1 w:val="02020603050405020304"/>
    <w:charset w:val="DE"/>
    <w:family w:val="roman"/>
    <w:pitch w:val="default"/>
    <w:sig w:usb0="00000000" w:usb1="00000000" w:usb2="00000000" w:usb3="00000000" w:csb0="00010001" w:csb1="00000000"/>
  </w:font>
  <w:font w:name="Batang">
    <w:altName w:val="Malgun Gothic"/>
    <w:panose1 w:val="02030600000101010101"/>
    <w:charset w:val="81"/>
    <w:family w:val="roman"/>
    <w:pitch w:val="default"/>
    <w:sig w:usb0="00000000" w:usb1="00000000" w:usb2="00000030" w:usb3="00000000" w:csb0="0008009F" w:csb1="00000000"/>
  </w:font>
  <w:font w:name="바탕">
    <w:altName w:val="AMGDT"/>
    <w:panose1 w:val="00000000000000000000"/>
    <w:charset w:val="00"/>
    <w:family w:val="auto"/>
    <w:pitch w:val="default"/>
    <w:sig w:usb0="00000000" w:usb1="00000000" w:usb2="00000000" w:usb3="00000000" w:csb0="00000000" w:csb1="00000000"/>
  </w:font>
  <w:font w:name="Futura Bk">
    <w:altName w:val="Arial"/>
    <w:panose1 w:val="00000000000000000000"/>
    <w:charset w:val="00"/>
    <w:family w:val="auto"/>
    <w:pitch w:val="default"/>
    <w:sig w:usb0="00000000" w:usb1="00000000" w:usb2="00000000" w:usb3="00000000" w:csb0="000001FB" w:csb1="00000000"/>
  </w:font>
  <w:font w:name="Microsoft Sans Serif">
    <w:panose1 w:val="020B0604020202020204"/>
    <w:charset w:val="00"/>
    <w:family w:val="swiss"/>
    <w:pitch w:val="default"/>
    <w:sig w:usb0="E5002EFF" w:usb1="C000605B" w:usb2="00000029" w:usb3="00000000" w:csb0="200101FF" w:csb1="2028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AMGDT"/>
    <w:panose1 w:val="00000000000000000000"/>
    <w:charset w:val="00"/>
    <w:family w:val="auto"/>
    <w:pitch w:val="default"/>
    <w:sig w:usb0="00000000" w:usb1="00000000" w:usb2="00000000" w:usb3="00000000" w:csb0="00000000" w:csb1="00000000"/>
  </w:font>
  <w:font w:name="文鼎粗黑">
    <w:altName w:val="黑体"/>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FZSSK--GBK1-0">
    <w:altName w:val="宋体"/>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Bookman Old Style">
    <w:panose1 w:val="02050604050505020204"/>
    <w:charset w:val="00"/>
    <w:family w:val="roman"/>
    <w:pitch w:val="default"/>
    <w:sig w:usb0="00000287" w:usb1="00000000" w:usb2="00000000" w:usb3="00000000" w:csb0="2000009F" w:csb1="DFD70000"/>
  </w:font>
  <w:font w:name="DejaVuSans">
    <w:altName w:val="宋体"/>
    <w:panose1 w:val="00000000000000000000"/>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AMGDT">
    <w:panose1 w:val="02000400000000000000"/>
    <w:charset w:val="00"/>
    <w:family w:val="auto"/>
    <w:pitch w:val="default"/>
    <w:sig w:usb0="80000003" w:usb1="1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6064D">
    <w:pPr>
      <w:pStyle w:val="53"/>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C648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1139"/>
    </w:sdtPr>
    <w:sdtContent>
      <w:p w14:paraId="20F479A5">
        <w:pPr>
          <w:pStyle w:val="53"/>
          <w:jc w:val="center"/>
        </w:pPr>
        <w:r>
          <w:fldChar w:fldCharType="begin"/>
        </w:r>
        <w:r>
          <w:instrText xml:space="preserve">PAGE   \* MERGEFORMAT</w:instrText>
        </w:r>
        <w:r>
          <w:fldChar w:fldCharType="separate"/>
        </w:r>
        <w:r>
          <w:rPr>
            <w:lang w:val="zh-CN"/>
          </w:rPr>
          <w:t>2</w:t>
        </w:r>
        <w:r>
          <w:fldChar w:fldCharType="end"/>
        </w:r>
      </w:p>
    </w:sdtContent>
  </w:sdt>
  <w:p w14:paraId="75774843"/>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8240721"/>
    </w:sdtPr>
    <w:sdtContent>
      <w:p w14:paraId="3821B7A3">
        <w:pPr>
          <w:pStyle w:val="53"/>
          <w:jc w:val="center"/>
        </w:pPr>
        <w:r>
          <w:fldChar w:fldCharType="begin"/>
        </w:r>
        <w:r>
          <w:instrText xml:space="preserve">PAGE   \* MERGEFORMAT</w:instrText>
        </w:r>
        <w:r>
          <w:fldChar w:fldCharType="separate"/>
        </w:r>
        <w:r>
          <w:rPr>
            <w:lang w:val="zh-CN"/>
          </w:rPr>
          <w:t>2</w:t>
        </w:r>
        <w:r>
          <w:fldChar w:fldCharType="end"/>
        </w:r>
      </w:p>
    </w:sdtContent>
  </w:sdt>
  <w:p w14:paraId="1CFD972C"/>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245524"/>
    </w:sdtPr>
    <w:sdtContent>
      <w:p w14:paraId="72C7783B">
        <w:pPr>
          <w:pStyle w:val="53"/>
          <w:jc w:val="center"/>
        </w:pPr>
        <w:r>
          <w:fldChar w:fldCharType="begin"/>
        </w:r>
        <w:r>
          <w:instrText xml:space="preserve">PAGE   \* MERGEFORMAT</w:instrText>
        </w:r>
        <w:r>
          <w:fldChar w:fldCharType="separate"/>
        </w:r>
        <w:r>
          <w:rPr>
            <w:lang w:val="zh-CN"/>
          </w:rPr>
          <w:t>2</w:t>
        </w:r>
        <w:r>
          <w:fldChar w:fldCharType="end"/>
        </w:r>
      </w:p>
    </w:sdtContent>
  </w:sdt>
  <w:p w14:paraId="77A197FA">
    <w:pPr>
      <w:pStyle w:val="5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B14FA">
    <w:pPr>
      <w:pStyle w:val="53"/>
      <w:framePr w:wrap="around" w:vAnchor="text" w:hAnchor="margin" w:xAlign="right" w:y="1"/>
      <w:rPr>
        <w:rStyle w:val="89"/>
      </w:rPr>
    </w:pPr>
    <w:r>
      <w:fldChar w:fldCharType="begin"/>
    </w:r>
    <w:r>
      <w:rPr>
        <w:rStyle w:val="89"/>
      </w:rPr>
      <w:instrText xml:space="preserve">PAGE  </w:instrText>
    </w:r>
    <w:r>
      <w:fldChar w:fldCharType="end"/>
    </w:r>
  </w:p>
  <w:p w14:paraId="0507FFAE">
    <w:pPr>
      <w:pStyle w:val="53"/>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6D336">
    <w:pPr>
      <w:pStyle w:val="53"/>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21FE8">
    <w:pPr>
      <w:pStyle w:val="53"/>
      <w:framePr w:wrap="around" w:vAnchor="text" w:hAnchor="margin" w:xAlign="right" w:y="1"/>
      <w:rPr>
        <w:rStyle w:val="89"/>
      </w:rPr>
    </w:pPr>
    <w:r>
      <w:fldChar w:fldCharType="begin"/>
    </w:r>
    <w:r>
      <w:rPr>
        <w:rStyle w:val="89"/>
      </w:rPr>
      <w:instrText xml:space="preserve">PAGE  </w:instrText>
    </w:r>
    <w:r>
      <w:fldChar w:fldCharType="end"/>
    </w:r>
  </w:p>
  <w:p w14:paraId="6D321D08">
    <w:pPr>
      <w:pStyle w:val="53"/>
      <w:ind w:right="360"/>
    </w:pPr>
  </w:p>
  <w:p w14:paraId="5C9E995C"/>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F5C53">
    <w:pPr>
      <w:pStyle w:val="53"/>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9105">
    <w:pPr>
      <w:pStyle w:val="32"/>
      <w:spacing w:line="187" w:lineRule="auto"/>
      <w:ind w:left="4434"/>
      <w:rPr>
        <w:sz w:val="18"/>
        <w:szCs w:val="18"/>
      </w:rPr>
    </w:pPr>
    <w:r>
      <w:rPr>
        <w:sz w:val="18"/>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2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E350B8C">
                          <w:pPr>
                            <w:pStyle w:val="53"/>
                          </w:pPr>
                          <w:r>
                            <w:fldChar w:fldCharType="begin"/>
                          </w:r>
                          <w:r>
                            <w:instrText xml:space="preserve"> PAGE  \* MERGEFORMAT </w:instrText>
                          </w:r>
                          <w:r>
                            <w:fldChar w:fldCharType="separate"/>
                          </w:r>
                          <w:r>
                            <w:t>51</w:t>
                          </w:r>
                          <w:r>
                            <w:fldChar w:fldCharType="end"/>
                          </w:r>
                        </w:p>
                      </w:txbxContent>
                    </wps:txbx>
                    <wps:bodyPr vert="horz" wrap="none" lIns="0" tIns="0" rIns="0" bIns="0" anchor="t">
                      <a:spAutoFit/>
                    </wps:bodyPr>
                  </wps:wsp>
                </a:graphicData>
              </a:graphic>
            </wp:anchor>
          </w:drawing>
        </mc:Choice>
        <mc:Fallback>
          <w:pict>
            <v:rect id="文本框 20"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BCXMfgyAEAAJMDAAAOAAAAAAAAAAEAIAAAAB8BAABkcnMvZTJvRG9j&#10;LnhtbFBLBQYAAAAABgAGAFkBAABZBQAAAAA=&#10;">
              <v:fill on="f" focussize="0,0"/>
              <v:stroke on="f"/>
              <v:imagedata o:title=""/>
              <o:lock v:ext="edit" aspectratio="f"/>
              <v:textbox inset="0mm,0mm,0mm,0mm" style="mso-fit-shape-to-text:t;">
                <w:txbxContent>
                  <w:p w14:paraId="3E350B8C">
                    <w:pPr>
                      <w:pStyle w:val="53"/>
                    </w:pPr>
                    <w:r>
                      <w:fldChar w:fldCharType="begin"/>
                    </w:r>
                    <w:r>
                      <w:instrText xml:space="preserve"> PAGE  \* MERGEFORMAT </w:instrText>
                    </w:r>
                    <w:r>
                      <w:fldChar w:fldCharType="separate"/>
                    </w:r>
                    <w:r>
                      <w:t>51</w:t>
                    </w:r>
                    <w:r>
                      <w:fldChar w:fldCharType="end"/>
                    </w:r>
                  </w:p>
                </w:txbxContent>
              </v:textbox>
            </v:rect>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45806">
    <w:pPr>
      <w:pStyle w:val="32"/>
      <w:spacing w:line="189" w:lineRule="auto"/>
      <w:ind w:left="4434"/>
      <w:rPr>
        <w:sz w:val="18"/>
        <w:szCs w:val="18"/>
      </w:rPr>
    </w:pPr>
    <w:r>
      <w:rPr>
        <w:sz w:val="18"/>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2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007235">
                          <w:pPr>
                            <w:pStyle w:val="53"/>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21"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Cwz3V7KAQAAkwMAAA4AAAAAAAAAAQAgAAAAHwEAAGRycy9lMm9E&#10;b2MueG1sUEsFBgAAAAAGAAYAWQEAAFsFAAAAAA==&#10;">
              <v:fill on="f" focussize="0,0"/>
              <v:stroke on="f"/>
              <v:imagedata o:title=""/>
              <o:lock v:ext="edit" aspectratio="f"/>
              <v:textbox inset="0mm,0mm,0mm,0mm" style="mso-fit-shape-to-text:t;">
                <w:txbxContent>
                  <w:p w14:paraId="4D007235">
                    <w:pPr>
                      <w:pStyle w:val="53"/>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ABDBA">
    <w:pPr>
      <w:pStyle w:val="53"/>
      <w:framePr w:wrap="around" w:vAnchor="text" w:hAnchor="margin" w:xAlign="center" w:y="1"/>
      <w:rPr>
        <w:rStyle w:val="89"/>
      </w:rPr>
    </w:pPr>
    <w:r>
      <w:fldChar w:fldCharType="begin"/>
    </w:r>
    <w:r>
      <w:rPr>
        <w:rStyle w:val="89"/>
      </w:rPr>
      <w:instrText xml:space="preserve">PAGE  </w:instrText>
    </w:r>
    <w:r>
      <w:fldChar w:fldCharType="end"/>
    </w:r>
  </w:p>
  <w:p w14:paraId="7DC7A661">
    <w:pPr>
      <w:pStyle w:val="53"/>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AF7FE">
    <w:pPr>
      <w:pStyle w:val="32"/>
      <w:spacing w:line="189" w:lineRule="auto"/>
      <w:ind w:left="4439"/>
      <w:rPr>
        <w:sz w:val="18"/>
        <w:szCs w:val="18"/>
      </w:rPr>
    </w:pPr>
    <w:r>
      <w:rPr>
        <w:sz w:val="18"/>
      </w:rP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C893F6">
                          <w:pPr>
                            <w:pStyle w:val="53"/>
                          </w:pPr>
                          <w:r>
                            <w:fldChar w:fldCharType="begin"/>
                          </w:r>
                          <w:r>
                            <w:instrText xml:space="preserve"> PAGE  \* MERGEFORMAT </w:instrText>
                          </w:r>
                          <w:r>
                            <w:fldChar w:fldCharType="separate"/>
                          </w:r>
                          <w:r>
                            <w:t>53</w:t>
                          </w:r>
                          <w:r>
                            <w:fldChar w:fldCharType="end"/>
                          </w:r>
                        </w:p>
                      </w:txbxContent>
                    </wps:txbx>
                    <wps:bodyPr vert="horz" wrap="none" lIns="0" tIns="0" rIns="0" bIns="0" anchor="t">
                      <a:spAutoFit/>
                    </wps:bodyPr>
                  </wps:wsp>
                </a:graphicData>
              </a:graphic>
            </wp:anchor>
          </w:drawing>
        </mc:Choice>
        <mc:Fallback>
          <w:pict>
            <v:rect id="文本框 27"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zBOsJywEAAJMDAAAOAAAAAAAAAAEAIAAAAB8BAABkcnMvZTJv&#10;RG9jLnhtbFBLBQYAAAAABgAGAFkBAABcBQAAAAA=&#10;">
              <v:fill on="f" focussize="0,0"/>
              <v:stroke on="f"/>
              <v:imagedata o:title=""/>
              <o:lock v:ext="edit" aspectratio="f"/>
              <v:textbox inset="0mm,0mm,0mm,0mm" style="mso-fit-shape-to-text:t;">
                <w:txbxContent>
                  <w:p w14:paraId="49C893F6">
                    <w:pPr>
                      <w:pStyle w:val="53"/>
                    </w:pPr>
                    <w:r>
                      <w:fldChar w:fldCharType="begin"/>
                    </w:r>
                    <w:r>
                      <w:instrText xml:space="preserve"> PAGE  \* MERGEFORMAT </w:instrText>
                    </w:r>
                    <w:r>
                      <w:fldChar w:fldCharType="separate"/>
                    </w:r>
                    <w:r>
                      <w:t>53</w:t>
                    </w:r>
                    <w:r>
                      <w:fldChar w:fldCharType="end"/>
                    </w:r>
                  </w:p>
                </w:txbxContent>
              </v:textbox>
            </v:rect>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CCFAA">
    <w:pPr>
      <w:pStyle w:val="32"/>
      <w:spacing w:line="187" w:lineRule="auto"/>
      <w:ind w:left="4435"/>
      <w:rPr>
        <w:sz w:val="18"/>
        <w:szCs w:val="18"/>
      </w:rPr>
    </w:pPr>
    <w:r>
      <w:rPr>
        <w:sz w:val="18"/>
      </w:rP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2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96F579D">
                          <w:pPr>
                            <w:pStyle w:val="53"/>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28"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gleYeywEAAJMDAAAOAAAAAAAAAAEAIAAAAB8BAABkcnMvZTJv&#10;RG9jLnhtbFBLBQYAAAAABgAGAFkBAABcBQAAAAA=&#10;">
              <v:fill on="f" focussize="0,0"/>
              <v:stroke on="f"/>
              <v:imagedata o:title=""/>
              <o:lock v:ext="edit" aspectratio="f"/>
              <v:textbox inset="0mm,0mm,0mm,0mm" style="mso-fit-shape-to-text:t;">
                <w:txbxContent>
                  <w:p w14:paraId="696F579D">
                    <w:pPr>
                      <w:pStyle w:val="53"/>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972C9">
    <w:pPr>
      <w:pStyle w:val="53"/>
    </w:pPr>
    <w:r>
      <mc:AlternateContent>
        <mc:Choice Requires="wps">
          <w:drawing>
            <wp:anchor distT="0" distB="0" distL="0" distR="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3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F091667">
                          <w:pPr>
                            <w:pStyle w:val="53"/>
                          </w:pPr>
                          <w:r>
                            <w:fldChar w:fldCharType="begin"/>
                          </w:r>
                          <w:r>
                            <w:instrText xml:space="preserve"> PAGE  \* MERGEFORMAT </w:instrText>
                          </w:r>
                          <w:r>
                            <w:fldChar w:fldCharType="separate"/>
                          </w:r>
                          <w:r>
                            <w:t>56</w:t>
                          </w:r>
                          <w:r>
                            <w:fldChar w:fldCharType="end"/>
                          </w:r>
                        </w:p>
                      </w:txbxContent>
                    </wps:txbx>
                    <wps:bodyPr vert="horz" wrap="none" lIns="0" tIns="0" rIns="0" bIns="0" anchor="t">
                      <a:spAutoFit/>
                    </wps:bodyPr>
                  </wps:wsp>
                </a:graphicData>
              </a:graphic>
            </wp:anchor>
          </w:drawing>
        </mc:Choice>
        <mc:Fallback>
          <w:pict>
            <v:rect id="文本框 35"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qgDd3ywEAAJMDAAAOAAAAAAAAAAEAIAAAAB8BAABkcnMvZTJv&#10;RG9jLnhtbFBLBQYAAAAABgAGAFkBAABcBQAAAAA=&#10;">
              <v:fill on="f" focussize="0,0"/>
              <v:stroke on="f"/>
              <v:imagedata o:title=""/>
              <o:lock v:ext="edit" aspectratio="f"/>
              <v:textbox inset="0mm,0mm,0mm,0mm" style="mso-fit-shape-to-text:t;">
                <w:txbxContent>
                  <w:p w14:paraId="2F091667">
                    <w:pPr>
                      <w:pStyle w:val="53"/>
                    </w:pPr>
                    <w:r>
                      <w:fldChar w:fldCharType="begin"/>
                    </w:r>
                    <w:r>
                      <w:instrText xml:space="preserve"> PAGE  \* MERGEFORMAT </w:instrText>
                    </w:r>
                    <w:r>
                      <w:fldChar w:fldCharType="separate"/>
                    </w:r>
                    <w:r>
                      <w:t>56</w:t>
                    </w:r>
                    <w:r>
                      <w:fldChar w:fldCharType="end"/>
                    </w:r>
                  </w:p>
                </w:txbxContent>
              </v:textbox>
            </v:rect>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F543E">
    <w:pPr>
      <w:pStyle w:val="53"/>
    </w:pPr>
    <w: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3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4224DD2">
                          <w:pPr>
                            <w:pStyle w:val="53"/>
                          </w:pPr>
                          <w:r>
                            <w:fldChar w:fldCharType="begin"/>
                          </w:r>
                          <w:r>
                            <w:instrText xml:space="preserve"> PAGE  \* MERGEFORMAT </w:instrText>
                          </w:r>
                          <w:r>
                            <w:fldChar w:fldCharType="separate"/>
                          </w:r>
                          <w:r>
                            <w:t>58</w:t>
                          </w:r>
                          <w:r>
                            <w:fldChar w:fldCharType="end"/>
                          </w:r>
                        </w:p>
                      </w:txbxContent>
                    </wps:txbx>
                    <wps:bodyPr vert="horz" wrap="none" lIns="0" tIns="0" rIns="0" bIns="0" anchor="t">
                      <a:spAutoFit/>
                    </wps:bodyPr>
                  </wps:wsp>
                </a:graphicData>
              </a:graphic>
            </wp:anchor>
          </w:drawing>
        </mc:Choice>
        <mc:Fallback>
          <w:pict>
            <v:rect id="文本框 38" o:spid="_x0000_s1026" o:spt="1"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r7WCXywEAAJMDAAAOAAAAAAAAAAEAIAAAAB8BAABkcnMvZTJv&#10;RG9jLnhtbFBLBQYAAAAABgAGAFkBAABcBQAAAAA=&#10;">
              <v:fill on="f" focussize="0,0"/>
              <v:stroke on="f"/>
              <v:imagedata o:title=""/>
              <o:lock v:ext="edit" aspectratio="f"/>
              <v:textbox inset="0mm,0mm,0mm,0mm" style="mso-fit-shape-to-text:t;">
                <w:txbxContent>
                  <w:p w14:paraId="74224DD2">
                    <w:pPr>
                      <w:pStyle w:val="53"/>
                    </w:pPr>
                    <w:r>
                      <w:fldChar w:fldCharType="begin"/>
                    </w:r>
                    <w:r>
                      <w:instrText xml:space="preserve"> PAGE  \* MERGEFORMAT </w:instrText>
                    </w:r>
                    <w:r>
                      <w:fldChar w:fldCharType="separate"/>
                    </w:r>
                    <w:r>
                      <w:t>58</w:t>
                    </w:r>
                    <w:r>
                      <w:fldChar w:fldCharType="end"/>
                    </w:r>
                  </w:p>
                </w:txbxContent>
              </v:textbox>
            </v:rect>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6EE9C">
    <w:pPr>
      <w:pStyle w:val="53"/>
    </w:pPr>
    <w: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4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CE7748F">
                          <w:pPr>
                            <w:pStyle w:val="53"/>
                          </w:pPr>
                          <w:r>
                            <w:fldChar w:fldCharType="begin"/>
                          </w:r>
                          <w:r>
                            <w:instrText xml:space="preserve"> PAGE  \* MERGEFORMAT </w:instrText>
                          </w:r>
                          <w:r>
                            <w:fldChar w:fldCharType="separate"/>
                          </w:r>
                          <w:r>
                            <w:t>63</w:t>
                          </w:r>
                          <w:r>
                            <w:fldChar w:fldCharType="end"/>
                          </w:r>
                        </w:p>
                      </w:txbxContent>
                    </wps:txbx>
                    <wps:bodyPr vert="horz" wrap="none" lIns="0" tIns="0" rIns="0" bIns="0" anchor="t">
                      <a:spAutoFit/>
                    </wps:bodyPr>
                  </wps:wsp>
                </a:graphicData>
              </a:graphic>
            </wp:anchor>
          </w:drawing>
        </mc:Choice>
        <mc:Fallback>
          <w:pict>
            <v:rect id="文本框 40" o:spid="_x0000_s1026" o:spt="1"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5LRd7KAQAAkwMAAA4AAAAAAAAAAQAgAAAAHwEAAGRycy9lMm9E&#10;b2MueG1sUEsFBgAAAAAGAAYAWQEAAFsFAAAAAA==&#10;">
              <v:fill on="f" focussize="0,0"/>
              <v:stroke on="f"/>
              <v:imagedata o:title=""/>
              <o:lock v:ext="edit" aspectratio="f"/>
              <v:textbox inset="0mm,0mm,0mm,0mm" style="mso-fit-shape-to-text:t;">
                <w:txbxContent>
                  <w:p w14:paraId="2CE7748F">
                    <w:pPr>
                      <w:pStyle w:val="53"/>
                    </w:pPr>
                    <w:r>
                      <w:fldChar w:fldCharType="begin"/>
                    </w:r>
                    <w:r>
                      <w:instrText xml:space="preserve"> PAGE  \* MERGEFORMAT </w:instrText>
                    </w:r>
                    <w:r>
                      <w:fldChar w:fldCharType="separate"/>
                    </w:r>
                    <w:r>
                      <w:t>63</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1EE4F">
    <w:pPr>
      <w:pStyle w:val="5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4F7F7">
    <w:pPr>
      <w:pStyle w:val="53"/>
      <w:rPr>
        <w:rFonts w:ascii="Times New Roman"/>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3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E11EA3D">
                          <w:pPr>
                            <w:pStyle w:val="53"/>
                          </w:pPr>
                          <w:r>
                            <w:fldChar w:fldCharType="begin"/>
                          </w:r>
                          <w:r>
                            <w:instrText xml:space="preserve"> PAGE  \* MERGEFORMAT </w:instrText>
                          </w:r>
                          <w:r>
                            <w:fldChar w:fldCharType="separate"/>
                          </w:r>
                          <w:r>
                            <w:t>8</w:t>
                          </w:r>
                          <w:r>
                            <w:fldChar w:fldCharType="end"/>
                          </w:r>
                        </w:p>
                      </w:txbxContent>
                    </wps:txbx>
                    <wps:bodyPr wrap="none" lIns="0" tIns="0" rIns="0" bIns="0">
                      <a:spAutoFit/>
                    </wps:bodyPr>
                  </wps:wsp>
                </a:graphicData>
              </a:graphic>
            </wp:anchor>
          </w:drawing>
        </mc:Choice>
        <mc:Fallback>
          <w:pict>
            <v:rect id="文本框 103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XW5UtAAAAAFAQAADwAAAAAAAAABACAAAAAiAAAAZHJzL2Rvd25yZXYueG1sUEsBAhQAFAAA&#10;AAgAh07iQMYS1LG+AQAAfgMAAA4AAAAAAAAAAQAgAAAAHwEAAGRycy9lMm9Eb2MueG1sUEsFBgAA&#10;AAAGAAYAWQEAAE8FAAAAAA==&#10;">
              <v:fill on="f" focussize="0,0"/>
              <v:stroke on="f"/>
              <v:imagedata o:title=""/>
              <o:lock v:ext="edit" aspectratio="f"/>
              <v:textbox inset="0mm,0mm,0mm,0mm" style="mso-fit-shape-to-text:t;">
                <w:txbxContent>
                  <w:p w14:paraId="2E11EA3D">
                    <w:pPr>
                      <w:pStyle w:val="53"/>
                    </w:pPr>
                    <w:r>
                      <w:fldChar w:fldCharType="begin"/>
                    </w:r>
                    <w:r>
                      <w:instrText xml:space="preserve"> PAGE  \* MERGEFORMAT </w:instrText>
                    </w:r>
                    <w:r>
                      <w:fldChar w:fldCharType="separate"/>
                    </w:r>
                    <w:r>
                      <w:t>8</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46DD7">
    <w:pPr>
      <w:pStyle w:val="53"/>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03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5AEF4A8">
                          <w:pPr>
                            <w:pStyle w:val="53"/>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id="文本框 103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XW5UtAAAAAFAQAADwAAAAAAAAABACAAAAAiAAAAZHJzL2Rvd25yZXYueG1sUEsBAhQAFAAA&#10;AAgAh07iQAQi/ty+AQAAfgMAAA4AAAAAAAAAAQAgAAAAHwEAAGRycy9lMm9Eb2MueG1sUEsFBgAA&#10;AAAGAAYAWQEAAE8FAAAAAA==&#10;">
              <v:fill on="f" focussize="0,0"/>
              <v:stroke on="f"/>
              <v:imagedata o:title=""/>
              <o:lock v:ext="edit" aspectratio="f"/>
              <v:textbox inset="0mm,0mm,0mm,0mm" style="mso-fit-shape-to-text:t;">
                <w:txbxContent>
                  <w:p w14:paraId="35AEF4A8">
                    <w:pPr>
                      <w:pStyle w:val="5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A71EA">
    <w:pPr>
      <w:pStyle w:val="32"/>
      <w:spacing w:line="14" w:lineRule="auto"/>
      <w:rPr>
        <w:sz w:val="20"/>
      </w:rPr>
    </w:pPr>
    <w:r>
      <w:rPr>
        <w:sz w:val="20"/>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03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B72921B">
                          <w:pPr>
                            <w:pStyle w:val="53"/>
                          </w:pPr>
                          <w:r>
                            <w:fldChar w:fldCharType="begin"/>
                          </w:r>
                          <w:r>
                            <w:instrText xml:space="preserve"> PAGE  \* MERGEFORMAT </w:instrText>
                          </w:r>
                          <w:r>
                            <w:fldChar w:fldCharType="separate"/>
                          </w:r>
                          <w:r>
                            <w:t>22</w:t>
                          </w:r>
                          <w:r>
                            <w:fldChar w:fldCharType="end"/>
                          </w:r>
                        </w:p>
                      </w:txbxContent>
                    </wps:txbx>
                    <wps:bodyPr wrap="none" lIns="0" tIns="0" rIns="0" bIns="0">
                      <a:spAutoFit/>
                    </wps:bodyPr>
                  </wps:wsp>
                </a:graphicData>
              </a:graphic>
            </wp:anchor>
          </w:drawing>
        </mc:Choice>
        <mc:Fallback>
          <w:pict>
            <v:rect id="文本框 103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jCat1vwEAAH4DAAAOAAAAAAAAAAEAIAAAAB8BAABkcnMvZTJvRG9jLnhtbFBLBQYA&#10;AAAABgAGAFkBAABQBQAAAAA=&#10;">
              <v:fill on="f" focussize="0,0"/>
              <v:stroke on="f"/>
              <v:imagedata o:title=""/>
              <o:lock v:ext="edit" aspectratio="f"/>
              <v:textbox inset="0mm,0mm,0mm,0mm" style="mso-fit-shape-to-text:t;">
                <w:txbxContent>
                  <w:p w14:paraId="5B72921B">
                    <w:pPr>
                      <w:pStyle w:val="53"/>
                    </w:pPr>
                    <w:r>
                      <w:fldChar w:fldCharType="begin"/>
                    </w:r>
                    <w:r>
                      <w:instrText xml:space="preserve"> PAGE  \* MERGEFORMAT </w:instrText>
                    </w:r>
                    <w:r>
                      <w:fldChar w:fldCharType="separate"/>
                    </w:r>
                    <w:r>
                      <w:t>22</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8EB23">
    <w:pPr>
      <w:pStyle w:val="53"/>
      <w:jc w:val="center"/>
    </w:pPr>
    <w:r>
      <w:fldChar w:fldCharType="begin"/>
    </w:r>
    <w:r>
      <w:instrText xml:space="preserve"> PAGE   \* MERGEFORMAT </w:instrText>
    </w:r>
    <w:r>
      <w:fldChar w:fldCharType="separate"/>
    </w:r>
    <w:r>
      <w:rPr>
        <w:lang w:val="zh-CN"/>
      </w:rPr>
      <w:t>32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37A61">
    <w:pPr>
      <w:pStyle w:val="53"/>
      <w:jc w:val="center"/>
    </w:pPr>
    <w:r>
      <w:fldChar w:fldCharType="begin"/>
    </w:r>
    <w:r>
      <w:instrText xml:space="preserve">PAGE   \* MERGEFORMAT</w:instrText>
    </w:r>
    <w:r>
      <w:fldChar w:fldCharType="separate"/>
    </w:r>
    <w:r>
      <w:rPr>
        <w:lang w:val="zh-CN"/>
      </w:rPr>
      <w:t>93</w:t>
    </w:r>
    <w:r>
      <w:fldChar w:fldCharType="end"/>
    </w:r>
  </w:p>
  <w:p w14:paraId="3DC1E80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C4E5">
    <w:pPr>
      <w:pStyle w:val="53"/>
      <w:jc w:val="center"/>
    </w:pPr>
    <w:r>
      <w:fldChar w:fldCharType="begin"/>
    </w:r>
    <w:r>
      <w:instrText xml:space="preserve">PAGE   \* MERGEFORMAT</w:instrText>
    </w:r>
    <w:r>
      <w:fldChar w:fldCharType="separate"/>
    </w:r>
    <w:r>
      <w:rPr>
        <w:lang w:val="zh-CN"/>
      </w:rPr>
      <w:t>115</w:t>
    </w:r>
    <w:r>
      <w:fldChar w:fldCharType="end"/>
    </w:r>
  </w:p>
  <w:p w14:paraId="46F40CB0">
    <w:pPr>
      <w:pStyle w:val="5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2C71D">
    <w:pPr>
      <w:pStyle w:val="54"/>
      <w:pBdr>
        <w:bottom w:val="none" w:color="auto" w:sz="0" w:space="0"/>
      </w:pBd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4E186">
    <w:pPr>
      <w:pStyle w:val="5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8897A">
    <w:pPr>
      <w:pStyle w:val="54"/>
    </w:pPr>
  </w:p>
  <w:p w14:paraId="35FD7BD7"/>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5A944">
    <w:pPr>
      <w:pStyle w:val="5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12ACB"/>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7424E"/>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C4F89"/>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50BA"/>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828A8">
    <w:pPr>
      <w:rPr>
        <w:rFonts w:ascii="宋体" w:hAnsi="宋体" w:cs="宋体"/>
        <w:u w:val="single" w:color="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E6B94">
    <w:pPr>
      <w:pStyle w:val="54"/>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A8CE2">
    <w:pPr>
      <w:spacing w:after="160" w:line="259"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AB34A">
    <w:pPr>
      <w:pStyle w:val="5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A823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331E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A416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B08C2">
    <w:pPr>
      <w:pStyle w:val="54"/>
      <w:pBdr>
        <w:bottom w:val="none" w:color="auto" w:sz="0" w:space="1"/>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44475">
    <w:pPr>
      <w:pStyle w:val="5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738"/>
        </w:tabs>
      </w:pPr>
    </w:lvl>
  </w:abstractNum>
  <w:abstractNum w:abstractNumId="1">
    <w:nsid w:val="00000005"/>
    <w:multiLevelType w:val="multilevel"/>
    <w:tmpl w:val="00000005"/>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9"/>
    <w:multiLevelType w:val="multilevel"/>
    <w:tmpl w:val="00000009"/>
    <w:lvl w:ilvl="0" w:tentative="0">
      <w:start w:val="1"/>
      <w:numFmt w:val="decimal"/>
      <w:pStyle w:val="26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A"/>
    <w:multiLevelType w:val="multilevel"/>
    <w:tmpl w:val="0000000A"/>
    <w:lvl w:ilvl="0" w:tentative="0">
      <w:start w:val="1"/>
      <w:numFmt w:val="lowerLetter"/>
      <w:pStyle w:val="28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B"/>
    <w:multiLevelType w:val="singleLevel"/>
    <w:tmpl w:val="0000000B"/>
    <w:lvl w:ilvl="0" w:tentative="0">
      <w:start w:val="1"/>
      <w:numFmt w:val="decimal"/>
      <w:pStyle w:val="199"/>
      <w:lvlText w:val="%1."/>
      <w:lvlJc w:val="left"/>
      <w:pPr>
        <w:tabs>
          <w:tab w:val="left" w:pos="360"/>
        </w:tabs>
        <w:ind w:left="360" w:hanging="360"/>
      </w:pPr>
      <w:rPr>
        <w:rFonts w:hint="default"/>
      </w:rPr>
    </w:lvl>
  </w:abstractNum>
  <w:abstractNum w:abstractNumId="5">
    <w:nsid w:val="0000000C"/>
    <w:multiLevelType w:val="multilevel"/>
    <w:tmpl w:val="0000000C"/>
    <w:lvl w:ilvl="0" w:tentative="0">
      <w:start w:val="1"/>
      <w:numFmt w:val="decimal"/>
      <w:pStyle w:val="21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21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31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4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0D"/>
    <w:multiLevelType w:val="multilevel"/>
    <w:tmpl w:val="0000000D"/>
    <w:lvl w:ilvl="0" w:tentative="0">
      <w:start w:val="1"/>
      <w:numFmt w:val="decimal"/>
      <w:lvlText w:val="%1．"/>
      <w:lvlJc w:val="left"/>
      <w:pPr>
        <w:tabs>
          <w:tab w:val="left" w:pos="768"/>
        </w:tabs>
        <w:ind w:left="768" w:hanging="360"/>
      </w:pPr>
      <w:rPr>
        <w:rFonts w:hint="eastAsia"/>
      </w:rPr>
    </w:lvl>
    <w:lvl w:ilvl="1" w:tentative="0">
      <w:start w:val="1"/>
      <w:numFmt w:val="decimal"/>
      <w:pStyle w:val="20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E"/>
    <w:multiLevelType w:val="multilevel"/>
    <w:tmpl w:val="0000000E"/>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0F"/>
    <w:multiLevelType w:val="multilevel"/>
    <w:tmpl w:val="0000000F"/>
    <w:lvl w:ilvl="0" w:tentative="0">
      <w:start w:val="1"/>
      <w:numFmt w:val="decimal"/>
      <w:pStyle w:val="26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12"/>
    <w:multiLevelType w:val="multilevel"/>
    <w:tmpl w:val="00000012"/>
    <w:lvl w:ilvl="0" w:tentative="0">
      <w:start w:val="1"/>
      <w:numFmt w:val="decimal"/>
      <w:pStyle w:val="235"/>
      <w:lvlText w:val="%1"/>
      <w:lvlJc w:val="left"/>
      <w:pPr>
        <w:ind w:left="680" w:hanging="680"/>
      </w:pPr>
      <w:rPr>
        <w:rFonts w:hint="eastAsia" w:ascii="宋体" w:hAnsi="宋体" w:eastAsia="宋体"/>
      </w:rPr>
    </w:lvl>
    <w:lvl w:ilvl="1" w:tentative="0">
      <w:start w:val="1"/>
      <w:numFmt w:val="decimal"/>
      <w:pStyle w:val="227"/>
      <w:lvlText w:val="%1.%2"/>
      <w:lvlJc w:val="left"/>
      <w:pPr>
        <w:ind w:left="851" w:hanging="851"/>
      </w:pPr>
      <w:rPr>
        <w:rFonts w:hint="eastAsia" w:ascii="宋体" w:hAnsi="宋体" w:eastAsia="宋体"/>
        <w:color w:val="auto"/>
      </w:rPr>
    </w:lvl>
    <w:lvl w:ilvl="2" w:tentative="0">
      <w:start w:val="1"/>
      <w:numFmt w:val="decimal"/>
      <w:pStyle w:val="20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0000013"/>
    <w:multiLevelType w:val="multilevel"/>
    <w:tmpl w:val="00000013"/>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14"/>
    <w:multiLevelType w:val="multilevel"/>
    <w:tmpl w:val="00000014"/>
    <w:lvl w:ilvl="0" w:tentative="0">
      <w:start w:val="19"/>
      <w:numFmt w:val="decimal"/>
      <w:pStyle w:val="748"/>
      <w:lvlText w:val="%1"/>
      <w:lvlJc w:val="left"/>
      <w:pPr>
        <w:tabs>
          <w:tab w:val="left" w:pos="720"/>
        </w:tabs>
        <w:ind w:left="720" w:hanging="720"/>
      </w:pPr>
      <w:rPr>
        <w:rFonts w:hint="eastAsia"/>
      </w:rPr>
    </w:lvl>
    <w:lvl w:ilvl="1" w:tentative="0">
      <w:start w:val="2"/>
      <w:numFmt w:val="decimal"/>
      <w:lvlText w:val="%1.%2"/>
      <w:lvlJc w:val="left"/>
      <w:pPr>
        <w:tabs>
          <w:tab w:val="left" w:pos="720"/>
        </w:tabs>
        <w:ind w:left="720" w:hanging="720"/>
      </w:pPr>
      <w:rPr>
        <w:rFonts w:hint="eastAsia"/>
      </w:rPr>
    </w:lvl>
    <w:lvl w:ilvl="2" w:tentative="0">
      <w:start w:val="2"/>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16"/>
    <w:multiLevelType w:val="multilevel"/>
    <w:tmpl w:val="00000016"/>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00000017"/>
    <w:multiLevelType w:val="singleLevel"/>
    <w:tmpl w:val="00000017"/>
    <w:lvl w:ilvl="0" w:tentative="0">
      <w:start w:val="2"/>
      <w:numFmt w:val="chineseCounting"/>
      <w:suff w:val="nothing"/>
      <w:lvlText w:val="%1、"/>
      <w:lvlJc w:val="left"/>
      <w:rPr>
        <w:rFonts w:hint="eastAsia"/>
      </w:rPr>
    </w:lvl>
  </w:abstractNum>
  <w:abstractNum w:abstractNumId="14">
    <w:nsid w:val="00000019"/>
    <w:multiLevelType w:val="singleLevel"/>
    <w:tmpl w:val="00000019"/>
    <w:lvl w:ilvl="0" w:tentative="0">
      <w:start w:val="5"/>
      <w:numFmt w:val="chineseCounting"/>
      <w:suff w:val="space"/>
      <w:lvlText w:val="第%1章"/>
      <w:lvlJc w:val="left"/>
      <w:rPr>
        <w:rFonts w:hint="eastAsia"/>
      </w:rPr>
    </w:lvl>
  </w:abstractNum>
  <w:abstractNum w:abstractNumId="15">
    <w:nsid w:val="0000001F"/>
    <w:multiLevelType w:val="multilevel"/>
    <w:tmpl w:val="0000001F"/>
    <w:lvl w:ilvl="0" w:tentative="0">
      <w:start w:val="1"/>
      <w:numFmt w:val="decimal"/>
      <w:suff w:val="space"/>
      <w:lvlText w:val="%1"/>
      <w:lvlJc w:val="left"/>
      <w:pPr>
        <w:ind w:left="0" w:firstLine="0"/>
      </w:pPr>
    </w:lvl>
    <w:lvl w:ilvl="1" w:tentative="0">
      <w:start w:val="1"/>
      <w:numFmt w:val="decimal"/>
      <w:pStyle w:val="495"/>
      <w:suff w:val="space"/>
      <w:lvlText w:val="%1.%2"/>
      <w:lvlJc w:val="left"/>
      <w:pPr>
        <w:ind w:left="0" w:firstLine="0"/>
      </w:pPr>
    </w:lvl>
    <w:lvl w:ilvl="2" w:tentative="0">
      <w:start w:val="1"/>
      <w:numFmt w:val="decimal"/>
      <w:pStyle w:val="442"/>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6">
    <w:nsid w:val="0000002A"/>
    <w:multiLevelType w:val="multilevel"/>
    <w:tmpl w:val="0000002A"/>
    <w:lvl w:ilvl="0" w:tentative="0">
      <w:start w:val="1"/>
      <w:numFmt w:val="decimal"/>
      <w:pStyle w:val="578"/>
      <w:lvlText w:val="(%1)."/>
      <w:lvlJc w:val="left"/>
      <w:pPr>
        <w:tabs>
          <w:tab w:val="left" w:pos="964"/>
        </w:tabs>
        <w:ind w:left="964" w:hanging="482"/>
      </w:pPr>
      <w:rPr>
        <w:rFonts w:hint="eastAsia"/>
        <w:b w:val="0"/>
        <w:i w:val="0"/>
        <w:sz w:val="24"/>
        <w:szCs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2C"/>
    <w:multiLevelType w:val="multilevel"/>
    <w:tmpl w:val="0000002C"/>
    <w:lvl w:ilvl="0" w:tentative="0">
      <w:start w:val="1"/>
      <w:numFmt w:val="bullet"/>
      <w:pStyle w:val="579"/>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18">
    <w:nsid w:val="00000030"/>
    <w:multiLevelType w:val="multilevel"/>
    <w:tmpl w:val="00000030"/>
    <w:lvl w:ilvl="0" w:tentative="0">
      <w:start w:val="0"/>
      <w:numFmt w:val="decimal"/>
      <w:pStyle w:val="561"/>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00000036"/>
    <w:multiLevelType w:val="multilevel"/>
    <w:tmpl w:val="00000036"/>
    <w:lvl w:ilvl="0" w:tentative="0">
      <w:start w:val="1"/>
      <w:numFmt w:val="decimal"/>
      <w:suff w:val="space"/>
      <w:lvlText w:val="第%1章"/>
      <w:lvlJc w:val="left"/>
      <w:pPr>
        <w:ind w:left="0" w:firstLine="0"/>
      </w:pPr>
      <w:rPr>
        <w:rFonts w:hint="eastAsia"/>
      </w:rPr>
    </w:lvl>
    <w:lvl w:ilvl="1" w:tentative="0">
      <w:start w:val="1"/>
      <w:numFmt w:val="decimal"/>
      <w:suff w:val="space"/>
      <w:lvlText w:val="%1.%2"/>
      <w:lvlJc w:val="left"/>
      <w:pPr>
        <w:ind w:left="0" w:firstLine="0"/>
      </w:pPr>
      <w:rPr>
        <w:rFonts w:hint="eastAsia" w:cs="Times New Roman"/>
        <w:b/>
        <w:bCs w:val="0"/>
        <w:i w:val="0"/>
        <w:iCs w:val="0"/>
        <w:caps w:val="0"/>
        <w:smallCaps w:val="0"/>
        <w:vanish w:val="0"/>
        <w:color w:val="000000"/>
        <w:spacing w:val="0"/>
        <w:position w:val="0"/>
        <w:u w:val="none"/>
        <w:vertAlign w:val="baseline"/>
      </w:rPr>
    </w:lvl>
    <w:lvl w:ilvl="2" w:tentative="0">
      <w:start w:val="1"/>
      <w:numFmt w:val="decimal"/>
      <w:pStyle w:val="887"/>
      <w:suff w:val="space"/>
      <w:lvlText w:val="%1.%2.%3"/>
      <w:lvlJc w:val="left"/>
      <w:pPr>
        <w:ind w:left="0" w:firstLine="0"/>
      </w:pPr>
      <w:rPr>
        <w:rFonts w:hint="default" w:ascii="Cambria" w:hAnsi="Cambria" w:cs="Times New Roman"/>
        <w:b/>
        <w:bCs w:val="0"/>
        <w:i w:val="0"/>
        <w:iCs w:val="0"/>
        <w:caps w:val="0"/>
        <w:smallCaps w:val="0"/>
        <w:vanish w:val="0"/>
        <w:color w:val="000000"/>
        <w:spacing w:val="0"/>
        <w:position w:val="0"/>
        <w:u w:val="none"/>
        <w:vertAlign w:val="baseline"/>
      </w:rPr>
    </w:lvl>
    <w:lvl w:ilvl="3" w:tentative="0">
      <w:start w:val="1"/>
      <w:numFmt w:val="decimal"/>
      <w:suff w:val="space"/>
      <w:lvlText w:val="%1.%2.%3.%4"/>
      <w:lvlJc w:val="left"/>
      <w:pPr>
        <w:ind w:left="0" w:firstLine="0"/>
      </w:pPr>
      <w:rPr>
        <w:rFonts w:hint="eastAsia" w:cs="Times New Roman"/>
        <w:b/>
        <w:bCs w:val="0"/>
        <w:i w:val="0"/>
        <w:iCs w:val="0"/>
        <w:caps w:val="0"/>
        <w:smallCaps w:val="0"/>
        <w:vanish w:val="0"/>
        <w:color w:val="000000"/>
        <w:spacing w:val="0"/>
        <w:position w:val="0"/>
        <w:u w:val="none"/>
        <w:vertAlign w:val="baseline"/>
      </w:rPr>
    </w:lvl>
    <w:lvl w:ilvl="4" w:tentative="0">
      <w:start w:val="1"/>
      <w:numFmt w:val="decimal"/>
      <w:suff w:val="space"/>
      <w:lvlText w:val="%1.%2.%3.%4.%5"/>
      <w:lvlJc w:val="left"/>
      <w:pPr>
        <w:ind w:left="0" w:firstLine="0"/>
      </w:pPr>
      <w:rPr>
        <w:rFonts w:hint="default" w:ascii="Cambria" w:hAnsi="Cambria" w:cs="Times New Roman"/>
        <w:b w:val="0"/>
        <w:bCs w:val="0"/>
        <w:i w:val="0"/>
        <w:iCs w:val="0"/>
        <w:caps w:val="0"/>
        <w:smallCaps w:val="0"/>
        <w:vanish w:val="0"/>
        <w:color w:val="000000"/>
        <w:spacing w:val="0"/>
        <w:position w:val="0"/>
        <w:u w:val="none"/>
        <w:vertAlign w:val="baseline"/>
      </w:rPr>
    </w:lvl>
    <w:lvl w:ilvl="5" w:tentative="0">
      <w:start w:val="1"/>
      <w:numFmt w:val="decimal"/>
      <w:suff w:val="space"/>
      <w:lvlText w:val="%1.%2.%3.%4.%5.%6"/>
      <w:lvlJc w:val="left"/>
      <w:pPr>
        <w:ind w:left="851" w:firstLine="0"/>
      </w:pPr>
      <w:rPr>
        <w:rFonts w:hint="eastAsia" w:cs="Times New Roman"/>
        <w:b/>
        <w:bCs w:val="0"/>
        <w:i w:val="0"/>
        <w:iCs w:val="0"/>
        <w:caps w:val="0"/>
        <w:smallCaps w:val="0"/>
        <w:vanish w:val="0"/>
        <w:color w:val="000000"/>
        <w:spacing w:val="0"/>
        <w:position w:val="0"/>
        <w:u w:val="none"/>
        <w:vertAlign w:val="baseline"/>
      </w:rPr>
    </w:lvl>
    <w:lvl w:ilvl="6" w:tentative="0">
      <w:start w:val="1"/>
      <w:numFmt w:val="decimal"/>
      <w:pStyle w:val="487"/>
      <w:suff w:val="space"/>
      <w:lvlText w:val="(%7)"/>
      <w:lvlJc w:val="left"/>
      <w:pPr>
        <w:ind w:left="0" w:firstLine="0"/>
      </w:pPr>
      <w:rPr>
        <w:rFonts w:hint="eastAsia" w:cs="Times New Roman"/>
        <w:b w:val="0"/>
        <w:bCs w:val="0"/>
        <w:i w:val="0"/>
        <w:iCs w:val="0"/>
        <w:caps w:val="0"/>
        <w:smallCaps w:val="0"/>
        <w:vanish w:val="0"/>
        <w:color w:val="000000"/>
        <w:spacing w:val="0"/>
        <w:position w:val="0"/>
        <w:u w:val="none"/>
        <w:vertAlign w:val="baseline"/>
      </w:rPr>
    </w:lvl>
    <w:lvl w:ilvl="7" w:tentative="0">
      <w:start w:val="1"/>
      <w:numFmt w:val="lowerLetter"/>
      <w:pStyle w:val="385"/>
      <w:suff w:val="space"/>
      <w:lvlText w:val="%8)"/>
      <w:lvlJc w:val="left"/>
      <w:pPr>
        <w:ind w:left="0" w:firstLine="0"/>
      </w:pPr>
      <w:rPr>
        <w:rFonts w:hint="eastAsia" w:cs="Times New Roman"/>
        <w:b w:val="0"/>
        <w:bCs w:val="0"/>
        <w:i w:val="0"/>
        <w:iCs w:val="0"/>
        <w:caps w:val="0"/>
        <w:smallCaps w:val="0"/>
        <w:vanish w:val="0"/>
        <w:color w:val="000000"/>
        <w:spacing w:val="0"/>
        <w:position w:val="0"/>
        <w:u w:val="none"/>
        <w:vertAlign w:val="baseline"/>
      </w:rPr>
    </w:lvl>
    <w:lvl w:ilvl="8" w:tentative="0">
      <w:start w:val="1"/>
      <w:numFmt w:val="decimal"/>
      <w:lvlText w:val="%1.%2.%3.%4.%5.%6.%7.%8.%9"/>
      <w:lvlJc w:val="left"/>
      <w:pPr>
        <w:ind w:left="0" w:firstLine="0"/>
      </w:pPr>
      <w:rPr>
        <w:rFonts w:hint="eastAsia"/>
      </w:rPr>
    </w:lvl>
  </w:abstractNum>
  <w:abstractNum w:abstractNumId="20">
    <w:nsid w:val="00000043"/>
    <w:multiLevelType w:val="multilevel"/>
    <w:tmpl w:val="00000043"/>
    <w:lvl w:ilvl="0" w:tentative="0">
      <w:start w:val="1"/>
      <w:numFmt w:val="chineseCountingThousand"/>
      <w:pStyle w:val="775"/>
      <w:lvlText w:val="第%1章"/>
      <w:lvlJc w:val="left"/>
      <w:pPr>
        <w:tabs>
          <w:tab w:val="left" w:pos="1440"/>
        </w:tabs>
        <w:ind w:left="425" w:hanging="425"/>
      </w:p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80"/>
        </w:tabs>
        <w:ind w:left="709" w:hanging="709"/>
      </w:pPr>
      <w:rPr>
        <w:b/>
        <w:i w:val="0"/>
      </w:rPr>
    </w:lvl>
    <w:lvl w:ilvl="3" w:tentative="0">
      <w:start w:val="1"/>
      <w:numFmt w:val="decimal"/>
      <w:pStyle w:val="539"/>
      <w:isLgl/>
      <w:lvlText w:val="%1.%2.%3.%4"/>
      <w:lvlJc w:val="left"/>
      <w:pPr>
        <w:tabs>
          <w:tab w:val="left" w:pos="1191"/>
        </w:tabs>
        <w:ind w:left="851" w:hanging="738"/>
      </w:pPr>
      <w:rPr>
        <w:b/>
        <w:i w:val="0"/>
      </w:rPr>
    </w:lvl>
    <w:lvl w:ilvl="4" w:tentative="0">
      <w:start w:val="1"/>
      <w:numFmt w:val="decimal"/>
      <w:isLg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1">
    <w:nsid w:val="00000044"/>
    <w:multiLevelType w:val="multilevel"/>
    <w:tmpl w:val="00000044"/>
    <w:lvl w:ilvl="0" w:tentative="0">
      <w:start w:val="0"/>
      <w:numFmt w:val="decimal"/>
      <w:lvlText w:val=""/>
      <w:lvlJc w:val="left"/>
    </w:lvl>
    <w:lvl w:ilvl="1" w:tentative="0">
      <w:start w:val="0"/>
      <w:numFmt w:val="decimal"/>
      <w:pStyle w:val="550"/>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0000004A"/>
    <w:multiLevelType w:val="multilevel"/>
    <w:tmpl w:val="0000004A"/>
    <w:lvl w:ilvl="0" w:tentative="0">
      <w:start w:val="1"/>
      <w:numFmt w:val="bullet"/>
      <w:pStyle w:val="42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0000004D"/>
    <w:multiLevelType w:val="singleLevel"/>
    <w:tmpl w:val="0000004D"/>
    <w:lvl w:ilvl="0" w:tentative="0">
      <w:start w:val="0"/>
      <w:numFmt w:val="decimal"/>
      <w:pStyle w:val="549"/>
      <w:lvlText w:val=""/>
      <w:lvlJc w:val="left"/>
    </w:lvl>
  </w:abstractNum>
  <w:abstractNum w:abstractNumId="24">
    <w:nsid w:val="0F6E282C"/>
    <w:multiLevelType w:val="multilevel"/>
    <w:tmpl w:val="0F6E282C"/>
    <w:lvl w:ilvl="0" w:tentative="0">
      <w:start w:val="1"/>
      <w:numFmt w:val="japaneseCounting"/>
      <w:lvlText w:val="第%1条"/>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A335866"/>
    <w:multiLevelType w:val="multilevel"/>
    <w:tmpl w:val="1A335866"/>
    <w:lvl w:ilvl="0" w:tentative="0">
      <w:start w:val="25"/>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6">
    <w:nsid w:val="3224FDB3"/>
    <w:multiLevelType w:val="singleLevel"/>
    <w:tmpl w:val="3224FDB3"/>
    <w:lvl w:ilvl="0" w:tentative="0">
      <w:start w:val="7"/>
      <w:numFmt w:val="chineseCounting"/>
      <w:suff w:val="space"/>
      <w:lvlText w:val="第%1章"/>
      <w:lvlJc w:val="left"/>
      <w:rPr>
        <w:rFonts w:hint="eastAsia"/>
      </w:rPr>
    </w:lvl>
  </w:abstractNum>
  <w:abstractNum w:abstractNumId="2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8">
    <w:nsid w:val="7BD91581"/>
    <w:multiLevelType w:val="multilevel"/>
    <w:tmpl w:val="7BD91581"/>
    <w:lvl w:ilvl="0" w:tentative="0">
      <w:start w:val="1"/>
      <w:numFmt w:val="bullet"/>
      <w:lvlText w:val=""/>
      <w:lvlJc w:val="left"/>
      <w:pPr>
        <w:ind w:left="786" w:hanging="360"/>
      </w:pPr>
      <w:rPr>
        <w:rFonts w:hint="default" w:ascii="Cambria" w:hAnsi="Cambria"/>
      </w:rPr>
    </w:lvl>
    <w:lvl w:ilvl="1" w:tentative="0">
      <w:start w:val="1"/>
      <w:numFmt w:val="bullet"/>
      <w:lvlText w:val=""/>
      <w:lvlJc w:val="left"/>
      <w:pPr>
        <w:ind w:left="1266" w:hanging="420"/>
      </w:pPr>
      <w:rPr>
        <w:rFonts w:hint="default" w:ascii="Cambria" w:hAnsi="Cambria"/>
      </w:rPr>
    </w:lvl>
    <w:lvl w:ilvl="2" w:tentative="0">
      <w:start w:val="1"/>
      <w:numFmt w:val="bullet"/>
      <w:lvlText w:val=""/>
      <w:lvlJc w:val="left"/>
      <w:pPr>
        <w:ind w:left="1686" w:hanging="420"/>
      </w:pPr>
      <w:rPr>
        <w:rFonts w:hint="default" w:ascii="Cambria" w:hAnsi="Cambria"/>
      </w:rPr>
    </w:lvl>
    <w:lvl w:ilvl="3" w:tentative="0">
      <w:start w:val="1"/>
      <w:numFmt w:val="bullet"/>
      <w:lvlText w:val=""/>
      <w:lvlJc w:val="left"/>
      <w:pPr>
        <w:ind w:left="2106" w:hanging="420"/>
      </w:pPr>
      <w:rPr>
        <w:rFonts w:hint="default" w:ascii="Cambria" w:hAnsi="Cambria"/>
      </w:rPr>
    </w:lvl>
    <w:lvl w:ilvl="4" w:tentative="0">
      <w:start w:val="1"/>
      <w:numFmt w:val="bullet"/>
      <w:lvlText w:val=""/>
      <w:lvlJc w:val="left"/>
      <w:pPr>
        <w:ind w:left="2526" w:hanging="420"/>
      </w:pPr>
      <w:rPr>
        <w:rFonts w:hint="default" w:ascii="Cambria" w:hAnsi="Cambria"/>
      </w:rPr>
    </w:lvl>
    <w:lvl w:ilvl="5" w:tentative="0">
      <w:start w:val="1"/>
      <w:numFmt w:val="bullet"/>
      <w:lvlText w:val=""/>
      <w:lvlJc w:val="left"/>
      <w:pPr>
        <w:ind w:left="2946" w:hanging="420"/>
      </w:pPr>
      <w:rPr>
        <w:rFonts w:hint="default" w:ascii="Cambria" w:hAnsi="Cambria"/>
      </w:rPr>
    </w:lvl>
    <w:lvl w:ilvl="6" w:tentative="0">
      <w:start w:val="1"/>
      <w:numFmt w:val="bullet"/>
      <w:lvlText w:val=""/>
      <w:lvlJc w:val="left"/>
      <w:pPr>
        <w:ind w:left="3366" w:hanging="420"/>
      </w:pPr>
      <w:rPr>
        <w:rFonts w:hint="default" w:ascii="Cambria" w:hAnsi="Cambria"/>
      </w:rPr>
    </w:lvl>
    <w:lvl w:ilvl="7" w:tentative="0">
      <w:start w:val="1"/>
      <w:numFmt w:val="bullet"/>
      <w:lvlText w:val=""/>
      <w:lvlJc w:val="left"/>
      <w:pPr>
        <w:ind w:left="3786" w:hanging="420"/>
      </w:pPr>
      <w:rPr>
        <w:rFonts w:hint="default" w:ascii="Cambria" w:hAnsi="Cambria"/>
      </w:rPr>
    </w:lvl>
    <w:lvl w:ilvl="8" w:tentative="0">
      <w:start w:val="1"/>
      <w:numFmt w:val="bullet"/>
      <w:lvlText w:val=""/>
      <w:lvlJc w:val="left"/>
      <w:pPr>
        <w:ind w:left="4206" w:hanging="420"/>
      </w:pPr>
      <w:rPr>
        <w:rFonts w:hint="default" w:ascii="Cambria" w:hAnsi="Cambria"/>
      </w:rPr>
    </w:lvl>
  </w:abstractNum>
  <w:num w:numId="1">
    <w:abstractNumId w:val="4"/>
  </w:num>
  <w:num w:numId="2">
    <w:abstractNumId w:val="9"/>
  </w:num>
  <w:num w:numId="3">
    <w:abstractNumId w:val="6"/>
  </w:num>
  <w:num w:numId="4">
    <w:abstractNumId w:val="5"/>
  </w:num>
  <w:num w:numId="5">
    <w:abstractNumId w:val="8"/>
  </w:num>
  <w:num w:numId="6">
    <w:abstractNumId w:val="2"/>
  </w:num>
  <w:num w:numId="7">
    <w:abstractNumId w:val="3"/>
  </w:num>
  <w:num w:numId="8">
    <w:abstractNumId w:val="19"/>
  </w:num>
  <w:num w:numId="9">
    <w:abstractNumId w:val="22"/>
  </w:num>
  <w:num w:numId="10">
    <w:abstractNumId w:val="15"/>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1"/>
  </w:num>
  <w:num w:numId="14">
    <w:abstractNumId w:val="18"/>
  </w:num>
  <w:num w:numId="15">
    <w:abstractNumId w:val="16"/>
  </w:num>
  <w:num w:numId="16">
    <w:abstractNumId w:val="17"/>
  </w:num>
  <w:num w:numId="17">
    <w:abstractNumId w:val="11"/>
  </w:num>
  <w:num w:numId="18">
    <w:abstractNumId w:val="7"/>
  </w:num>
  <w:num w:numId="19">
    <w:abstractNumId w:val="0"/>
  </w:num>
  <w:num w:numId="20">
    <w:abstractNumId w:val="1"/>
  </w:num>
  <w:num w:numId="21">
    <w:abstractNumId w:val="10"/>
  </w:num>
  <w:num w:numId="22">
    <w:abstractNumId w:val="13"/>
  </w:num>
  <w:num w:numId="23">
    <w:abstractNumId w:val="14"/>
  </w:num>
  <w:num w:numId="24">
    <w:abstractNumId w:val="28"/>
  </w:num>
  <w:num w:numId="25">
    <w:abstractNumId w:val="25"/>
  </w:num>
  <w:num w:numId="26">
    <w:abstractNumId w:val="24"/>
  </w:num>
  <w:num w:numId="27">
    <w:abstractNumId w:val="12"/>
  </w:num>
  <w:num w:numId="28">
    <w:abstractNumId w:val="2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wOWMyYjEzYjIyNDJhYjgwYjE1NzBjMjE4YTFjOWQifQ=="/>
  </w:docVars>
  <w:rsids>
    <w:rsidRoot w:val="00172A27"/>
    <w:rsid w:val="0000276B"/>
    <w:rsid w:val="00022021"/>
    <w:rsid w:val="00022334"/>
    <w:rsid w:val="00101D6B"/>
    <w:rsid w:val="00113E11"/>
    <w:rsid w:val="00140EB6"/>
    <w:rsid w:val="0015531C"/>
    <w:rsid w:val="00172A27"/>
    <w:rsid w:val="00181C3A"/>
    <w:rsid w:val="00194797"/>
    <w:rsid w:val="00197BE9"/>
    <w:rsid w:val="001A706E"/>
    <w:rsid w:val="001A7454"/>
    <w:rsid w:val="001C1ADA"/>
    <w:rsid w:val="00260054"/>
    <w:rsid w:val="002768CF"/>
    <w:rsid w:val="00296CF8"/>
    <w:rsid w:val="002B7B51"/>
    <w:rsid w:val="002C0B6E"/>
    <w:rsid w:val="002D7648"/>
    <w:rsid w:val="002E5831"/>
    <w:rsid w:val="0032092E"/>
    <w:rsid w:val="00344030"/>
    <w:rsid w:val="003C14D0"/>
    <w:rsid w:val="003D61E8"/>
    <w:rsid w:val="003E2EAD"/>
    <w:rsid w:val="00404F3F"/>
    <w:rsid w:val="004076FF"/>
    <w:rsid w:val="004363FC"/>
    <w:rsid w:val="00474F8C"/>
    <w:rsid w:val="004B092D"/>
    <w:rsid w:val="00530391"/>
    <w:rsid w:val="005421F0"/>
    <w:rsid w:val="00545FA3"/>
    <w:rsid w:val="00576B0E"/>
    <w:rsid w:val="00592DEC"/>
    <w:rsid w:val="005B3475"/>
    <w:rsid w:val="005F3D2D"/>
    <w:rsid w:val="006553AD"/>
    <w:rsid w:val="006C482D"/>
    <w:rsid w:val="006E73AF"/>
    <w:rsid w:val="00717D47"/>
    <w:rsid w:val="007B0495"/>
    <w:rsid w:val="007D3867"/>
    <w:rsid w:val="00804563"/>
    <w:rsid w:val="00857BCB"/>
    <w:rsid w:val="0087627E"/>
    <w:rsid w:val="00876572"/>
    <w:rsid w:val="00884E3B"/>
    <w:rsid w:val="00894E33"/>
    <w:rsid w:val="008F042E"/>
    <w:rsid w:val="008F5C39"/>
    <w:rsid w:val="009179D9"/>
    <w:rsid w:val="0096408F"/>
    <w:rsid w:val="009727ED"/>
    <w:rsid w:val="00980925"/>
    <w:rsid w:val="0099712E"/>
    <w:rsid w:val="009A47AC"/>
    <w:rsid w:val="009B3685"/>
    <w:rsid w:val="009E1F28"/>
    <w:rsid w:val="00A4322C"/>
    <w:rsid w:val="00A54A85"/>
    <w:rsid w:val="00A654B4"/>
    <w:rsid w:val="00A80418"/>
    <w:rsid w:val="00B14205"/>
    <w:rsid w:val="00B443D2"/>
    <w:rsid w:val="00B65D33"/>
    <w:rsid w:val="00BB5546"/>
    <w:rsid w:val="00BC3E40"/>
    <w:rsid w:val="00BC799C"/>
    <w:rsid w:val="00BF3B35"/>
    <w:rsid w:val="00BF4636"/>
    <w:rsid w:val="00C1624C"/>
    <w:rsid w:val="00C54470"/>
    <w:rsid w:val="00D264F6"/>
    <w:rsid w:val="00D722E1"/>
    <w:rsid w:val="00DD20EB"/>
    <w:rsid w:val="00DE4FAD"/>
    <w:rsid w:val="00E23268"/>
    <w:rsid w:val="00E45E1A"/>
    <w:rsid w:val="00E53D05"/>
    <w:rsid w:val="00E5668B"/>
    <w:rsid w:val="00E92962"/>
    <w:rsid w:val="00EA45CD"/>
    <w:rsid w:val="00EF4353"/>
    <w:rsid w:val="00F04A83"/>
    <w:rsid w:val="00F33997"/>
    <w:rsid w:val="00F54F03"/>
    <w:rsid w:val="00FC61AD"/>
    <w:rsid w:val="05473817"/>
    <w:rsid w:val="10703CDC"/>
    <w:rsid w:val="1BF32F92"/>
    <w:rsid w:val="1DBB5118"/>
    <w:rsid w:val="1DBC6213"/>
    <w:rsid w:val="3001155D"/>
    <w:rsid w:val="34035A81"/>
    <w:rsid w:val="353F5AA9"/>
    <w:rsid w:val="36545B4F"/>
    <w:rsid w:val="36E5610C"/>
    <w:rsid w:val="389B4685"/>
    <w:rsid w:val="3C1A101E"/>
    <w:rsid w:val="438518DD"/>
    <w:rsid w:val="43DA7070"/>
    <w:rsid w:val="491B70C1"/>
    <w:rsid w:val="553A5B14"/>
    <w:rsid w:val="5B7A7BE7"/>
    <w:rsid w:val="656332F6"/>
    <w:rsid w:val="66861C36"/>
    <w:rsid w:val="67254250"/>
    <w:rsid w:val="67A969DF"/>
    <w:rsid w:val="67EC6B95"/>
    <w:rsid w:val="67ED2632"/>
    <w:rsid w:val="6E97502E"/>
    <w:rsid w:val="706E2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0" w:semiHidden="0" w:name="index 4"/>
    <w:lsdException w:qFormat="1" w:unhideWhenUsed="0" w:uiPriority="0" w:semiHidden="0" w:name="index 5"/>
    <w:lsdException w:uiPriority="99" w:name="index 6"/>
    <w:lsdException w:uiPriority="99" w:name="index 7"/>
    <w:lsdException w:uiPriority="99"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0" w:semiHidden="0" w:name="endnote reference"/>
    <w:lsdException w:qFormat="1" w:unhideWhenUsed="0" w:uiPriority="0" w:semiHidden="0" w:name="endnote text"/>
    <w:lsdException w:uiPriority="99"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qFormat="1"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4"/>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05"/>
    <w:autoRedefine/>
    <w:unhideWhenUsed/>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107"/>
    <w:autoRedefine/>
    <w:unhideWhenUsed/>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108"/>
    <w:unhideWhenUsed/>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109"/>
    <w:unhideWhenUsed/>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110"/>
    <w:unhideWhenUsed/>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111"/>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112"/>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113"/>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86">
    <w:name w:val="Default Paragraph Font"/>
    <w:semiHidden/>
    <w:unhideWhenUsed/>
    <w:uiPriority w:val="1"/>
  </w:style>
  <w:style w:type="table" w:default="1" w:styleId="83">
    <w:name w:val="Normal Table"/>
    <w:semiHidden/>
    <w:unhideWhenUsed/>
    <w:qFormat/>
    <w:uiPriority w:val="99"/>
    <w:tblPr>
      <w:tblCellMar>
        <w:top w:w="0" w:type="dxa"/>
        <w:left w:w="108" w:type="dxa"/>
        <w:bottom w:w="0" w:type="dxa"/>
        <w:right w:w="108" w:type="dxa"/>
      </w:tblCellMar>
    </w:tblPr>
  </w:style>
  <w:style w:type="paragraph" w:styleId="2">
    <w:name w:val="macro"/>
    <w:link w:val="335"/>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6">
    <w:name w:val="Normal Indent"/>
    <w:basedOn w:val="1"/>
    <w:next w:val="7"/>
    <w:link w:val="106"/>
    <w:qFormat/>
    <w:uiPriority w:val="0"/>
    <w:pPr>
      <w:autoSpaceDE w:val="0"/>
      <w:autoSpaceDN w:val="0"/>
      <w:adjustRightInd w:val="0"/>
      <w:ind w:firstLine="420"/>
      <w:jc w:val="left"/>
    </w:pPr>
    <w:rPr>
      <w:rFonts w:ascii="宋体"/>
      <w:sz w:val="24"/>
    </w:rPr>
  </w:style>
  <w:style w:type="paragraph" w:customStyle="1" w:styleId="7">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4">
    <w:name w:val="List 3"/>
    <w:basedOn w:val="1"/>
    <w:autoRedefine/>
    <w:qFormat/>
    <w:uiPriority w:val="0"/>
    <w:pPr>
      <w:spacing w:line="360" w:lineRule="auto"/>
      <w:ind w:left="100" w:leftChars="400" w:hanging="200" w:hangingChars="200"/>
    </w:pPr>
    <w:rPr>
      <w:rFonts w:ascii="Calibri" w:hAnsi="Calibri"/>
      <w:sz w:val="28"/>
    </w:rPr>
  </w:style>
  <w:style w:type="paragraph" w:styleId="15">
    <w:name w:val="toc 7"/>
    <w:basedOn w:val="1"/>
    <w:next w:val="1"/>
    <w:qFormat/>
    <w:uiPriority w:val="39"/>
    <w:pPr>
      <w:ind w:left="2520" w:leftChars="1200"/>
    </w:pPr>
  </w:style>
  <w:style w:type="paragraph" w:styleId="16">
    <w:name w:val="List Number 2"/>
    <w:basedOn w:val="1"/>
    <w:autoRedefine/>
    <w:qFormat/>
    <w:uiPriority w:val="0"/>
    <w:pPr>
      <w:tabs>
        <w:tab w:val="left" w:pos="1320"/>
      </w:tabs>
      <w:spacing w:line="360" w:lineRule="auto"/>
      <w:ind w:left="1320" w:hanging="420" w:firstLineChars="200"/>
    </w:pPr>
    <w:rPr>
      <w:rFonts w:ascii="Arial" w:hAnsi="Arial"/>
      <w:sz w:val="24"/>
    </w:rPr>
  </w:style>
  <w:style w:type="paragraph" w:styleId="17">
    <w:name w:val="Note Heading"/>
    <w:basedOn w:val="1"/>
    <w:next w:val="1"/>
    <w:link w:val="336"/>
    <w:autoRedefine/>
    <w:qFormat/>
    <w:uiPriority w:val="0"/>
    <w:pPr>
      <w:jc w:val="center"/>
    </w:pPr>
  </w:style>
  <w:style w:type="paragraph" w:styleId="18">
    <w:name w:val="List Bullet 4"/>
    <w:basedOn w:val="1"/>
    <w:autoRedefine/>
    <w:qFormat/>
    <w:uiPriority w:val="0"/>
    <w:pPr>
      <w:widowControl/>
      <w:tabs>
        <w:tab w:val="left" w:pos="720"/>
        <w:tab w:val="left" w:pos="1620"/>
      </w:tabs>
      <w:ind w:left="720" w:hanging="720"/>
      <w:jc w:val="left"/>
    </w:pPr>
    <w:rPr>
      <w:rFonts w:ascii="Calibri" w:hAnsi="Calibri"/>
      <w:kern w:val="0"/>
      <w:sz w:val="20"/>
      <w:szCs w:val="20"/>
    </w:rPr>
  </w:style>
  <w:style w:type="paragraph" w:styleId="19">
    <w:name w:val="E-mail Signature"/>
    <w:basedOn w:val="1"/>
    <w:link w:val="338"/>
    <w:autoRedefine/>
    <w:qFormat/>
    <w:uiPriority w:val="0"/>
  </w:style>
  <w:style w:type="paragraph" w:styleId="20">
    <w:name w:val="List Number"/>
    <w:basedOn w:val="1"/>
    <w:autoRedefine/>
    <w:qFormat/>
    <w:uiPriority w:val="0"/>
    <w:pPr>
      <w:tabs>
        <w:tab w:val="left" w:pos="360"/>
      </w:tabs>
      <w:ind w:left="360" w:hanging="360" w:hangingChars="200"/>
    </w:pPr>
  </w:style>
  <w:style w:type="paragraph" w:styleId="21">
    <w:name w:val="caption"/>
    <w:basedOn w:val="1"/>
    <w:next w:val="1"/>
    <w:link w:val="114"/>
    <w:qFormat/>
    <w:uiPriority w:val="0"/>
    <w:pPr>
      <w:spacing w:line="480" w:lineRule="auto"/>
    </w:pPr>
    <w:rPr>
      <w:rFonts w:ascii="华文中宋" w:hAnsi="华文中宋" w:eastAsia="华文中宋"/>
      <w:sz w:val="36"/>
      <w:szCs w:val="20"/>
    </w:rPr>
  </w:style>
  <w:style w:type="paragraph" w:styleId="22">
    <w:name w:val="index 5"/>
    <w:basedOn w:val="1"/>
    <w:next w:val="1"/>
    <w:autoRedefine/>
    <w:qFormat/>
    <w:uiPriority w:val="0"/>
    <w:pPr>
      <w:ind w:left="800" w:leftChars="800"/>
    </w:pPr>
    <w:rPr>
      <w:rFonts w:ascii="Calibri" w:hAnsi="Calibri"/>
    </w:rPr>
  </w:style>
  <w:style w:type="paragraph" w:styleId="23">
    <w:name w:val="List Bullet"/>
    <w:basedOn w:val="1"/>
    <w:autoRedefine/>
    <w:qFormat/>
    <w:uiPriority w:val="0"/>
    <w:pPr>
      <w:tabs>
        <w:tab w:val="left" w:pos="360"/>
        <w:tab w:val="left" w:pos="1865"/>
      </w:tabs>
      <w:ind w:left="420" w:hanging="420"/>
    </w:pPr>
  </w:style>
  <w:style w:type="paragraph" w:styleId="24">
    <w:name w:val="envelope address"/>
    <w:basedOn w:val="1"/>
    <w:autoRedefine/>
    <w:qFormat/>
    <w:uiPriority w:val="0"/>
    <w:pPr>
      <w:framePr w:w="7920" w:h="1980" w:hRule="exact" w:hSpace="180" w:wrap="around" w:vAnchor="margin" w:hAnchor="page" w:xAlign="center" w:yAlign="bottom"/>
      <w:snapToGrid w:val="0"/>
      <w:ind w:left="100" w:leftChars="1400"/>
    </w:pPr>
    <w:rPr>
      <w:rFonts w:ascii="Arial" w:hAnsi="Arial" w:cs="Arial"/>
      <w:sz w:val="24"/>
    </w:rPr>
  </w:style>
  <w:style w:type="paragraph" w:styleId="25">
    <w:name w:val="Document Map"/>
    <w:basedOn w:val="1"/>
    <w:link w:val="115"/>
    <w:qFormat/>
    <w:uiPriority w:val="0"/>
    <w:pPr>
      <w:shd w:val="clear" w:color="auto" w:fill="000080"/>
    </w:pPr>
  </w:style>
  <w:style w:type="paragraph" w:styleId="26">
    <w:name w:val="toa heading"/>
    <w:basedOn w:val="1"/>
    <w:next w:val="1"/>
    <w:autoRedefine/>
    <w:qFormat/>
    <w:uiPriority w:val="0"/>
    <w:pPr>
      <w:spacing w:before="120"/>
    </w:pPr>
    <w:rPr>
      <w:rFonts w:ascii="Arial" w:hAnsi="Arial"/>
      <w:sz w:val="24"/>
    </w:rPr>
  </w:style>
  <w:style w:type="paragraph" w:styleId="27">
    <w:name w:val="annotation text"/>
    <w:basedOn w:val="1"/>
    <w:link w:val="116"/>
    <w:qFormat/>
    <w:uiPriority w:val="99"/>
    <w:pPr>
      <w:jc w:val="left"/>
    </w:pPr>
  </w:style>
  <w:style w:type="paragraph" w:styleId="28">
    <w:name w:val="Salutation"/>
    <w:basedOn w:val="1"/>
    <w:next w:val="1"/>
    <w:link w:val="117"/>
    <w:autoRedefine/>
    <w:qFormat/>
    <w:uiPriority w:val="0"/>
    <w:pPr>
      <w:spacing w:before="100" w:beforeAutospacing="1" w:after="100" w:afterAutospacing="1" w:line="360" w:lineRule="auto"/>
    </w:pPr>
  </w:style>
  <w:style w:type="paragraph" w:styleId="29">
    <w:name w:val="Body Text 3"/>
    <w:basedOn w:val="1"/>
    <w:link w:val="118"/>
    <w:autoRedefine/>
    <w:qFormat/>
    <w:uiPriority w:val="0"/>
    <w:pPr>
      <w:spacing w:after="120"/>
    </w:pPr>
    <w:rPr>
      <w:sz w:val="16"/>
      <w:szCs w:val="16"/>
    </w:rPr>
  </w:style>
  <w:style w:type="paragraph" w:styleId="30">
    <w:name w:val="Closing"/>
    <w:basedOn w:val="1"/>
    <w:link w:val="339"/>
    <w:autoRedefine/>
    <w:qFormat/>
    <w:uiPriority w:val="0"/>
    <w:pPr>
      <w:ind w:left="100" w:leftChars="2100"/>
    </w:pPr>
  </w:style>
  <w:style w:type="paragraph" w:styleId="31">
    <w:name w:val="List Bullet 3"/>
    <w:basedOn w:val="1"/>
    <w:autoRedefine/>
    <w:qFormat/>
    <w:uiPriority w:val="0"/>
    <w:pPr>
      <w:widowControl/>
      <w:tabs>
        <w:tab w:val="left" w:pos="435"/>
      </w:tabs>
      <w:spacing w:after="120" w:line="360" w:lineRule="auto"/>
      <w:ind w:left="435" w:hanging="454"/>
      <w:jc w:val="left"/>
    </w:pPr>
    <w:rPr>
      <w:rFonts w:ascii="Calibri" w:hAnsi="Calibri" w:cs="Arial"/>
      <w:kern w:val="0"/>
      <w:sz w:val="20"/>
      <w:szCs w:val="20"/>
    </w:rPr>
  </w:style>
  <w:style w:type="paragraph" w:styleId="32">
    <w:name w:val="Body Text"/>
    <w:basedOn w:val="1"/>
    <w:link w:val="119"/>
    <w:autoRedefine/>
    <w:qFormat/>
    <w:uiPriority w:val="0"/>
    <w:pPr>
      <w:tabs>
        <w:tab w:val="left" w:pos="567"/>
      </w:tabs>
      <w:spacing w:before="120" w:line="22" w:lineRule="atLeast"/>
    </w:pPr>
    <w:rPr>
      <w:rFonts w:ascii="宋体" w:hAnsi="宋体"/>
      <w:sz w:val="24"/>
    </w:rPr>
  </w:style>
  <w:style w:type="paragraph" w:styleId="33">
    <w:name w:val="Body Text Indent"/>
    <w:basedOn w:val="1"/>
    <w:next w:val="34"/>
    <w:link w:val="120"/>
    <w:autoRedefine/>
    <w:qFormat/>
    <w:uiPriority w:val="0"/>
    <w:pPr>
      <w:spacing w:line="360" w:lineRule="auto"/>
      <w:ind w:firstLine="570"/>
    </w:pPr>
    <w:rPr>
      <w:sz w:val="24"/>
    </w:rPr>
  </w:style>
  <w:style w:type="paragraph" w:styleId="34">
    <w:name w:val="envelope return"/>
    <w:basedOn w:val="1"/>
    <w:autoRedefine/>
    <w:qFormat/>
    <w:uiPriority w:val="0"/>
    <w:pPr>
      <w:snapToGrid w:val="0"/>
    </w:pPr>
    <w:rPr>
      <w:rFonts w:ascii="Arial" w:hAnsi="Arial"/>
    </w:rPr>
  </w:style>
  <w:style w:type="paragraph" w:styleId="35">
    <w:name w:val="List Number 3"/>
    <w:basedOn w:val="1"/>
    <w:autoRedefine/>
    <w:qFormat/>
    <w:uiPriority w:val="0"/>
    <w:pPr>
      <w:tabs>
        <w:tab w:val="left" w:pos="1226"/>
        <w:tab w:val="left" w:pos="1260"/>
      </w:tabs>
      <w:spacing w:line="360" w:lineRule="auto"/>
      <w:ind w:left="1260" w:hanging="840" w:firstLineChars="200"/>
    </w:pPr>
    <w:rPr>
      <w:rFonts w:ascii="Arial" w:hAnsi="Arial"/>
      <w:sz w:val="24"/>
    </w:rPr>
  </w:style>
  <w:style w:type="paragraph" w:styleId="36">
    <w:name w:val="List 2"/>
    <w:basedOn w:val="1"/>
    <w:autoRedefine/>
    <w:qFormat/>
    <w:uiPriority w:val="0"/>
    <w:pPr>
      <w:ind w:left="100" w:leftChars="200" w:hanging="200" w:hangingChars="200"/>
    </w:pPr>
  </w:style>
  <w:style w:type="paragraph" w:styleId="37">
    <w:name w:val="List Continue"/>
    <w:basedOn w:val="1"/>
    <w:autoRedefine/>
    <w:qFormat/>
    <w:uiPriority w:val="0"/>
    <w:pPr>
      <w:spacing w:after="120"/>
      <w:ind w:left="420" w:leftChars="200"/>
    </w:pPr>
    <w:rPr>
      <w:szCs w:val="20"/>
    </w:rPr>
  </w:style>
  <w:style w:type="paragraph" w:styleId="38">
    <w:name w:val="Block Text"/>
    <w:basedOn w:val="1"/>
    <w:autoRedefine/>
    <w:qFormat/>
    <w:uiPriority w:val="0"/>
    <w:pPr>
      <w:widowControl/>
      <w:ind w:left="480" w:right="-341" w:firstLine="513"/>
    </w:pPr>
    <w:rPr>
      <w:kern w:val="0"/>
      <w:sz w:val="24"/>
      <w:szCs w:val="20"/>
    </w:rPr>
  </w:style>
  <w:style w:type="paragraph" w:styleId="39">
    <w:name w:val="List Bullet 2"/>
    <w:basedOn w:val="23"/>
    <w:autoRedefine/>
    <w:qFormat/>
    <w:uiPriority w:val="0"/>
    <w:pPr>
      <w:widowControl/>
      <w:tabs>
        <w:tab w:val="left" w:pos="284"/>
        <w:tab w:val="clear" w:pos="1865"/>
      </w:tabs>
      <w:spacing w:after="220" w:line="220" w:lineRule="atLeast"/>
      <w:ind w:left="2160" w:right="720" w:hanging="284"/>
      <w:jc w:val="left"/>
    </w:pPr>
    <w:rPr>
      <w:kern w:val="0"/>
      <w:szCs w:val="20"/>
    </w:rPr>
  </w:style>
  <w:style w:type="paragraph" w:styleId="40">
    <w:name w:val="HTML Address"/>
    <w:basedOn w:val="1"/>
    <w:link w:val="340"/>
    <w:autoRedefine/>
    <w:qFormat/>
    <w:uiPriority w:val="0"/>
    <w:rPr>
      <w:i/>
      <w:iCs/>
    </w:rPr>
  </w:style>
  <w:style w:type="paragraph" w:styleId="41">
    <w:name w:val="index 4"/>
    <w:basedOn w:val="1"/>
    <w:next w:val="1"/>
    <w:autoRedefine/>
    <w:unhideWhenUsed/>
    <w:qFormat/>
    <w:uiPriority w:val="0"/>
    <w:pPr>
      <w:widowControl/>
      <w:ind w:left="600" w:leftChars="600"/>
    </w:pPr>
    <w:rPr>
      <w:rFonts w:ascii="Calibri" w:hAnsi="Calibri" w:cs="Arial"/>
      <w:kern w:val="0"/>
      <w:sz w:val="24"/>
    </w:rPr>
  </w:style>
  <w:style w:type="paragraph" w:styleId="42">
    <w:name w:val="toc 5"/>
    <w:basedOn w:val="1"/>
    <w:next w:val="1"/>
    <w:autoRedefine/>
    <w:qFormat/>
    <w:uiPriority w:val="39"/>
    <w:pPr>
      <w:ind w:left="1680" w:leftChars="800"/>
    </w:pPr>
  </w:style>
  <w:style w:type="paragraph" w:styleId="43">
    <w:name w:val="toc 3"/>
    <w:basedOn w:val="1"/>
    <w:next w:val="1"/>
    <w:autoRedefine/>
    <w:qFormat/>
    <w:uiPriority w:val="39"/>
    <w:pPr>
      <w:ind w:left="840" w:leftChars="400"/>
    </w:pPr>
  </w:style>
  <w:style w:type="paragraph" w:styleId="44">
    <w:name w:val="Plain Text"/>
    <w:basedOn w:val="1"/>
    <w:link w:val="121"/>
    <w:autoRedefine/>
    <w:qFormat/>
    <w:uiPriority w:val="0"/>
    <w:rPr>
      <w:rFonts w:hint="eastAsia" w:ascii="宋体" w:hAnsi="Courier New"/>
      <w:szCs w:val="20"/>
    </w:rPr>
  </w:style>
  <w:style w:type="paragraph" w:styleId="45">
    <w:name w:val="List Bullet 5"/>
    <w:basedOn w:val="1"/>
    <w:autoRedefine/>
    <w:qFormat/>
    <w:uiPriority w:val="0"/>
    <w:pPr>
      <w:tabs>
        <w:tab w:val="left" w:pos="2040"/>
      </w:tabs>
      <w:ind w:left="2040" w:leftChars="800" w:hanging="360" w:hangingChars="200"/>
    </w:pPr>
  </w:style>
  <w:style w:type="paragraph" w:styleId="46">
    <w:name w:val="List Number 4"/>
    <w:basedOn w:val="1"/>
    <w:autoRedefine/>
    <w:qFormat/>
    <w:uiPriority w:val="0"/>
    <w:pPr>
      <w:tabs>
        <w:tab w:val="left" w:pos="1620"/>
      </w:tabs>
      <w:ind w:left="1620" w:leftChars="600" w:hanging="360" w:hangingChars="200"/>
    </w:pPr>
  </w:style>
  <w:style w:type="paragraph" w:styleId="47">
    <w:name w:val="toc 8"/>
    <w:basedOn w:val="1"/>
    <w:next w:val="1"/>
    <w:autoRedefine/>
    <w:qFormat/>
    <w:uiPriority w:val="39"/>
    <w:pPr>
      <w:ind w:left="2940" w:leftChars="1400"/>
    </w:pPr>
  </w:style>
  <w:style w:type="paragraph" w:styleId="48">
    <w:name w:val="Date"/>
    <w:basedOn w:val="1"/>
    <w:next w:val="1"/>
    <w:link w:val="122"/>
    <w:autoRedefine/>
    <w:qFormat/>
    <w:uiPriority w:val="0"/>
    <w:pPr>
      <w:ind w:left="100" w:leftChars="2500"/>
    </w:pPr>
    <w:rPr>
      <w:rFonts w:ascii="仿宋_GB2312" w:hAnsi="宋体" w:eastAsia="仿宋_GB2312"/>
      <w:color w:val="000000"/>
      <w:sz w:val="24"/>
    </w:rPr>
  </w:style>
  <w:style w:type="paragraph" w:styleId="49">
    <w:name w:val="Body Text Indent 2"/>
    <w:basedOn w:val="1"/>
    <w:link w:val="123"/>
    <w:autoRedefine/>
    <w:qFormat/>
    <w:uiPriority w:val="0"/>
    <w:pPr>
      <w:ind w:firstLine="480" w:firstLineChars="200"/>
    </w:pPr>
    <w:rPr>
      <w:rFonts w:ascii="仿宋_GB2312" w:eastAsia="仿宋_GB2312"/>
      <w:sz w:val="24"/>
    </w:rPr>
  </w:style>
  <w:style w:type="paragraph" w:styleId="50">
    <w:name w:val="endnote text"/>
    <w:basedOn w:val="1"/>
    <w:link w:val="341"/>
    <w:autoRedefine/>
    <w:qFormat/>
    <w:uiPriority w:val="0"/>
    <w:pPr>
      <w:widowControl/>
      <w:snapToGrid w:val="0"/>
      <w:jc w:val="left"/>
    </w:pPr>
    <w:rPr>
      <w:rFonts w:ascii="Calibri" w:hAnsi="Calibri"/>
      <w:kern w:val="0"/>
      <w:sz w:val="20"/>
      <w:szCs w:val="20"/>
    </w:rPr>
  </w:style>
  <w:style w:type="paragraph" w:styleId="51">
    <w:name w:val="List Continue 5"/>
    <w:basedOn w:val="1"/>
    <w:autoRedefine/>
    <w:qFormat/>
    <w:uiPriority w:val="0"/>
    <w:pPr>
      <w:spacing w:after="120" w:line="360" w:lineRule="auto"/>
      <w:ind w:left="2100" w:leftChars="1000"/>
    </w:pPr>
    <w:rPr>
      <w:rFonts w:ascii="Calibri" w:hAnsi="Calibri"/>
      <w:sz w:val="28"/>
    </w:rPr>
  </w:style>
  <w:style w:type="paragraph" w:styleId="52">
    <w:name w:val="Balloon Text"/>
    <w:basedOn w:val="1"/>
    <w:link w:val="124"/>
    <w:autoRedefine/>
    <w:qFormat/>
    <w:uiPriority w:val="0"/>
    <w:rPr>
      <w:sz w:val="18"/>
      <w:szCs w:val="18"/>
    </w:rPr>
  </w:style>
  <w:style w:type="paragraph" w:styleId="53">
    <w:name w:val="footer"/>
    <w:basedOn w:val="1"/>
    <w:link w:val="125"/>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4">
    <w:name w:val="header"/>
    <w:basedOn w:val="1"/>
    <w:link w:val="126"/>
    <w:autoRedefine/>
    <w:qFormat/>
    <w:uiPriority w:val="99"/>
    <w:pPr>
      <w:pBdr>
        <w:bottom w:val="single" w:color="auto" w:sz="6" w:space="1"/>
      </w:pBdr>
      <w:tabs>
        <w:tab w:val="center" w:pos="4153"/>
        <w:tab w:val="right" w:pos="8306"/>
      </w:tabs>
      <w:snapToGrid w:val="0"/>
      <w:jc w:val="center"/>
    </w:pPr>
    <w:rPr>
      <w:sz w:val="18"/>
      <w:szCs w:val="18"/>
    </w:rPr>
  </w:style>
  <w:style w:type="paragraph" w:styleId="55">
    <w:name w:val="Signature"/>
    <w:basedOn w:val="1"/>
    <w:link w:val="343"/>
    <w:autoRedefine/>
    <w:qFormat/>
    <w:uiPriority w:val="0"/>
    <w:pPr>
      <w:adjustRightInd w:val="0"/>
      <w:spacing w:after="600" w:line="312" w:lineRule="atLeast"/>
      <w:jc w:val="center"/>
      <w:textAlignment w:val="baseline"/>
    </w:pPr>
    <w:rPr>
      <w:rFonts w:ascii="Calibri" w:hAnsi="Calibri" w:eastAsia="仿宋_GB2312"/>
      <w:kern w:val="0"/>
      <w:sz w:val="24"/>
      <w:szCs w:val="20"/>
    </w:rPr>
  </w:style>
  <w:style w:type="paragraph" w:styleId="56">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57">
    <w:name w:val="List Continue 4"/>
    <w:basedOn w:val="1"/>
    <w:autoRedefine/>
    <w:qFormat/>
    <w:uiPriority w:val="0"/>
    <w:pPr>
      <w:spacing w:after="120"/>
      <w:ind w:left="1680" w:leftChars="800"/>
    </w:pPr>
  </w:style>
  <w:style w:type="paragraph" w:styleId="58">
    <w:name w:val="toc 4"/>
    <w:basedOn w:val="1"/>
    <w:next w:val="1"/>
    <w:autoRedefine/>
    <w:qFormat/>
    <w:uiPriority w:val="39"/>
    <w:pPr>
      <w:ind w:left="1260" w:leftChars="600"/>
    </w:pPr>
  </w:style>
  <w:style w:type="paragraph" w:styleId="59">
    <w:name w:val="index heading"/>
    <w:basedOn w:val="1"/>
    <w:next w:val="60"/>
    <w:autoRedefine/>
    <w:qFormat/>
    <w:uiPriority w:val="0"/>
    <w:pPr>
      <w:spacing w:line="360" w:lineRule="auto"/>
      <w:ind w:firstLine="200" w:firstLineChars="200"/>
    </w:pPr>
    <w:rPr>
      <w:rFonts w:ascii="Cambria" w:hAnsi="Cambria"/>
      <w:b/>
      <w:bCs/>
      <w:sz w:val="24"/>
    </w:rPr>
  </w:style>
  <w:style w:type="paragraph" w:styleId="60">
    <w:name w:val="index 1"/>
    <w:basedOn w:val="1"/>
    <w:next w:val="1"/>
    <w:autoRedefine/>
    <w:qFormat/>
    <w:uiPriority w:val="0"/>
    <w:rPr>
      <w:szCs w:val="20"/>
    </w:rPr>
  </w:style>
  <w:style w:type="paragraph" w:styleId="61">
    <w:name w:val="Subtitle"/>
    <w:basedOn w:val="1"/>
    <w:next w:val="1"/>
    <w:link w:val="344"/>
    <w:autoRedefine/>
    <w:qFormat/>
    <w:uiPriority w:val="0"/>
    <w:pPr>
      <w:spacing w:before="240" w:after="60" w:line="312" w:lineRule="auto"/>
      <w:jc w:val="center"/>
      <w:outlineLvl w:val="1"/>
    </w:pPr>
    <w:rPr>
      <w:rFonts w:ascii="Cambria" w:hAnsi="Cambria"/>
      <w:b/>
      <w:bCs/>
      <w:kern w:val="28"/>
      <w:sz w:val="32"/>
      <w:szCs w:val="32"/>
    </w:rPr>
  </w:style>
  <w:style w:type="paragraph" w:styleId="62">
    <w:name w:val="List Number 5"/>
    <w:basedOn w:val="1"/>
    <w:autoRedefine/>
    <w:qFormat/>
    <w:uiPriority w:val="0"/>
    <w:pPr>
      <w:tabs>
        <w:tab w:val="left" w:pos="2040"/>
      </w:tabs>
      <w:ind w:left="2040" w:leftChars="800" w:hanging="360" w:hangingChars="200"/>
    </w:pPr>
  </w:style>
  <w:style w:type="paragraph" w:styleId="63">
    <w:name w:val="List"/>
    <w:basedOn w:val="1"/>
    <w:autoRedefine/>
    <w:qFormat/>
    <w:uiPriority w:val="0"/>
    <w:pPr>
      <w:adjustRightInd w:val="0"/>
      <w:spacing w:line="360" w:lineRule="atLeast"/>
      <w:ind w:left="420" w:hanging="420"/>
      <w:jc w:val="left"/>
    </w:pPr>
    <w:rPr>
      <w:rFonts w:hint="eastAsia" w:ascii="宋体" w:hAnsi="Calibri"/>
      <w:kern w:val="0"/>
      <w:sz w:val="24"/>
      <w:szCs w:val="20"/>
    </w:rPr>
  </w:style>
  <w:style w:type="paragraph" w:styleId="64">
    <w:name w:val="footnote text"/>
    <w:basedOn w:val="1"/>
    <w:link w:val="345"/>
    <w:autoRedefine/>
    <w:qFormat/>
    <w:uiPriority w:val="0"/>
    <w:pPr>
      <w:snapToGrid w:val="0"/>
      <w:jc w:val="left"/>
    </w:pPr>
    <w:rPr>
      <w:kern w:val="0"/>
      <w:sz w:val="18"/>
      <w:szCs w:val="18"/>
    </w:rPr>
  </w:style>
  <w:style w:type="paragraph" w:styleId="65">
    <w:name w:val="toc 6"/>
    <w:basedOn w:val="1"/>
    <w:next w:val="1"/>
    <w:autoRedefine/>
    <w:qFormat/>
    <w:uiPriority w:val="39"/>
    <w:pPr>
      <w:ind w:left="2100" w:leftChars="1000"/>
    </w:pPr>
  </w:style>
  <w:style w:type="paragraph" w:styleId="66">
    <w:name w:val="List 5"/>
    <w:basedOn w:val="1"/>
    <w:autoRedefine/>
    <w:qFormat/>
    <w:uiPriority w:val="0"/>
    <w:pPr>
      <w:spacing w:line="360" w:lineRule="auto"/>
      <w:ind w:left="100" w:leftChars="800" w:hanging="200" w:hangingChars="200"/>
    </w:pPr>
    <w:rPr>
      <w:rFonts w:ascii="Calibri" w:hAnsi="Calibri"/>
      <w:sz w:val="28"/>
    </w:rPr>
  </w:style>
  <w:style w:type="paragraph" w:styleId="67">
    <w:name w:val="Body Text Indent 3"/>
    <w:basedOn w:val="1"/>
    <w:link w:val="10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68">
    <w:name w:val="index 9"/>
    <w:basedOn w:val="1"/>
    <w:next w:val="1"/>
    <w:autoRedefine/>
    <w:qFormat/>
    <w:uiPriority w:val="0"/>
    <w:pPr>
      <w:ind w:left="1600" w:leftChars="1600"/>
    </w:pPr>
  </w:style>
  <w:style w:type="paragraph" w:styleId="69">
    <w:name w:val="table of figures"/>
    <w:basedOn w:val="1"/>
    <w:next w:val="1"/>
    <w:autoRedefine/>
    <w:qFormat/>
    <w:uiPriority w:val="0"/>
    <w:pPr>
      <w:ind w:left="200" w:leftChars="200" w:hanging="200" w:hangingChars="200"/>
    </w:pPr>
  </w:style>
  <w:style w:type="paragraph" w:styleId="70">
    <w:name w:val="toc 2"/>
    <w:basedOn w:val="1"/>
    <w:next w:val="1"/>
    <w:autoRedefine/>
    <w:qFormat/>
    <w:uiPriority w:val="39"/>
    <w:pPr>
      <w:tabs>
        <w:tab w:val="right" w:leader="dot" w:pos="8937"/>
      </w:tabs>
      <w:spacing w:line="312" w:lineRule="auto"/>
      <w:ind w:left="420" w:leftChars="200"/>
    </w:pPr>
  </w:style>
  <w:style w:type="paragraph" w:styleId="71">
    <w:name w:val="toc 9"/>
    <w:basedOn w:val="1"/>
    <w:next w:val="1"/>
    <w:qFormat/>
    <w:uiPriority w:val="39"/>
    <w:pPr>
      <w:ind w:left="3360" w:leftChars="1600"/>
    </w:pPr>
  </w:style>
  <w:style w:type="paragraph" w:styleId="72">
    <w:name w:val="Body Text 2"/>
    <w:basedOn w:val="1"/>
    <w:link w:val="127"/>
    <w:autoRedefine/>
    <w:qFormat/>
    <w:uiPriority w:val="0"/>
    <w:pPr>
      <w:spacing w:after="120" w:line="480" w:lineRule="auto"/>
    </w:pPr>
  </w:style>
  <w:style w:type="paragraph" w:styleId="73">
    <w:name w:val="List 4"/>
    <w:basedOn w:val="1"/>
    <w:autoRedefine/>
    <w:qFormat/>
    <w:uiPriority w:val="0"/>
    <w:pPr>
      <w:spacing w:line="360" w:lineRule="auto"/>
      <w:ind w:left="100" w:leftChars="600" w:hanging="200" w:hangingChars="200"/>
    </w:pPr>
    <w:rPr>
      <w:rFonts w:ascii="Calibri" w:hAnsi="Calibri"/>
      <w:sz w:val="28"/>
    </w:rPr>
  </w:style>
  <w:style w:type="paragraph" w:styleId="74">
    <w:name w:val="List Continue 2"/>
    <w:basedOn w:val="1"/>
    <w:autoRedefine/>
    <w:qFormat/>
    <w:uiPriority w:val="0"/>
    <w:pPr>
      <w:spacing w:after="120" w:line="360" w:lineRule="auto"/>
      <w:ind w:left="840" w:leftChars="400"/>
    </w:pPr>
    <w:rPr>
      <w:rFonts w:ascii="Calibri" w:hAnsi="Calibri"/>
      <w:sz w:val="28"/>
    </w:rPr>
  </w:style>
  <w:style w:type="paragraph" w:styleId="75">
    <w:name w:val="Message Header"/>
    <w:basedOn w:val="1"/>
    <w:link w:val="347"/>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76">
    <w:name w:val="HTML Preformatted"/>
    <w:basedOn w:val="1"/>
    <w:link w:val="12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7">
    <w:name w:val="Normal (Web)"/>
    <w:basedOn w:val="1"/>
    <w:link w:val="129"/>
    <w:autoRedefine/>
    <w:qFormat/>
    <w:uiPriority w:val="0"/>
    <w:pPr>
      <w:widowControl/>
      <w:spacing w:before="100" w:beforeAutospacing="1" w:after="100" w:afterAutospacing="1"/>
      <w:jc w:val="left"/>
    </w:pPr>
    <w:rPr>
      <w:rFonts w:ascii="宋体" w:hAnsi="宋体" w:cs="宋体"/>
      <w:kern w:val="0"/>
      <w:sz w:val="24"/>
    </w:rPr>
  </w:style>
  <w:style w:type="paragraph" w:styleId="78">
    <w:name w:val="List Continue 3"/>
    <w:basedOn w:val="1"/>
    <w:autoRedefine/>
    <w:qFormat/>
    <w:uiPriority w:val="0"/>
    <w:pPr>
      <w:spacing w:after="120"/>
      <w:ind w:left="1260" w:leftChars="600"/>
    </w:pPr>
    <w:rPr>
      <w:szCs w:val="20"/>
    </w:rPr>
  </w:style>
  <w:style w:type="paragraph" w:styleId="79">
    <w:name w:val="Title"/>
    <w:basedOn w:val="1"/>
    <w:link w:val="130"/>
    <w:autoRedefine/>
    <w:qFormat/>
    <w:uiPriority w:val="0"/>
    <w:pPr>
      <w:jc w:val="center"/>
      <w:outlineLvl w:val="0"/>
    </w:pPr>
    <w:rPr>
      <w:b/>
      <w:sz w:val="32"/>
      <w:szCs w:val="20"/>
    </w:rPr>
  </w:style>
  <w:style w:type="paragraph" w:styleId="80">
    <w:name w:val="annotation subject"/>
    <w:basedOn w:val="27"/>
    <w:next w:val="27"/>
    <w:link w:val="131"/>
    <w:autoRedefine/>
    <w:qFormat/>
    <w:uiPriority w:val="0"/>
    <w:rPr>
      <w:b/>
      <w:bCs/>
    </w:rPr>
  </w:style>
  <w:style w:type="paragraph" w:styleId="81">
    <w:name w:val="Body Text First Indent"/>
    <w:basedOn w:val="32"/>
    <w:link w:val="132"/>
    <w:autoRedefine/>
    <w:qFormat/>
    <w:uiPriority w:val="0"/>
    <w:pPr>
      <w:ind w:firstLine="420" w:firstLineChars="100"/>
    </w:pPr>
  </w:style>
  <w:style w:type="paragraph" w:styleId="82">
    <w:name w:val="Body Text First Indent 2"/>
    <w:basedOn w:val="33"/>
    <w:next w:val="1"/>
    <w:link w:val="133"/>
    <w:autoRedefine/>
    <w:qFormat/>
    <w:uiPriority w:val="0"/>
    <w:pPr>
      <w:spacing w:after="120" w:line="480" w:lineRule="exact"/>
      <w:ind w:left="420" w:leftChars="200" w:firstLine="420" w:firstLineChars="200"/>
    </w:pPr>
    <w:rPr>
      <w:szCs w:val="20"/>
    </w:rPr>
  </w:style>
  <w:style w:type="table" w:styleId="84">
    <w:name w:val="Table Grid"/>
    <w:basedOn w:val="8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5">
    <w:name w:val="Medium Grid 1 Accent 2"/>
    <w:basedOn w:val="8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87">
    <w:name w:val="Strong"/>
    <w:autoRedefine/>
    <w:qFormat/>
    <w:uiPriority w:val="22"/>
    <w:rPr>
      <w:b/>
      <w:bCs/>
    </w:rPr>
  </w:style>
  <w:style w:type="character" w:styleId="88">
    <w:name w:val="endnote reference"/>
    <w:autoRedefine/>
    <w:unhideWhenUsed/>
    <w:qFormat/>
    <w:uiPriority w:val="0"/>
    <w:rPr>
      <w:vertAlign w:val="superscript"/>
    </w:rPr>
  </w:style>
  <w:style w:type="character" w:styleId="89">
    <w:name w:val="page number"/>
    <w:autoRedefine/>
    <w:qFormat/>
    <w:uiPriority w:val="0"/>
  </w:style>
  <w:style w:type="character" w:styleId="90">
    <w:name w:val="FollowedHyperlink"/>
    <w:autoRedefine/>
    <w:qFormat/>
    <w:uiPriority w:val="99"/>
    <w:rPr>
      <w:color w:val="800080"/>
      <w:u w:val="single"/>
    </w:rPr>
  </w:style>
  <w:style w:type="character" w:styleId="91">
    <w:name w:val="Emphasis"/>
    <w:autoRedefine/>
    <w:qFormat/>
    <w:uiPriority w:val="0"/>
    <w:rPr>
      <w:color w:val="CC0033"/>
    </w:rPr>
  </w:style>
  <w:style w:type="character" w:styleId="92">
    <w:name w:val="HTML Definition"/>
    <w:autoRedefine/>
    <w:unhideWhenUsed/>
    <w:qFormat/>
    <w:uiPriority w:val="99"/>
    <w:rPr>
      <w:bdr w:val="single" w:color="2490F8" w:sz="6" w:space="0"/>
    </w:rPr>
  </w:style>
  <w:style w:type="character" w:styleId="93">
    <w:name w:val="HTML Typewriter"/>
    <w:autoRedefine/>
    <w:qFormat/>
    <w:uiPriority w:val="0"/>
    <w:rPr>
      <w:rFonts w:ascii="宋体" w:hAnsi="宋体" w:eastAsia="宋体" w:cs="Times New Roman"/>
      <w:sz w:val="18"/>
    </w:rPr>
  </w:style>
  <w:style w:type="character" w:styleId="94">
    <w:name w:val="HTML Acronym"/>
    <w:autoRedefine/>
    <w:qFormat/>
    <w:uiPriority w:val="0"/>
  </w:style>
  <w:style w:type="character" w:styleId="95">
    <w:name w:val="HTML Variable"/>
    <w:autoRedefine/>
    <w:unhideWhenUsed/>
    <w:qFormat/>
    <w:uiPriority w:val="0"/>
  </w:style>
  <w:style w:type="character" w:styleId="96">
    <w:name w:val="Hyperlink"/>
    <w:autoRedefine/>
    <w:qFormat/>
    <w:uiPriority w:val="99"/>
    <w:rPr>
      <w:color w:val="0000FF"/>
      <w:u w:val="single"/>
    </w:rPr>
  </w:style>
  <w:style w:type="character" w:styleId="97">
    <w:name w:val="HTML Code"/>
    <w:autoRedefine/>
    <w:unhideWhenUsed/>
    <w:qFormat/>
    <w:uiPriority w:val="99"/>
    <w:rPr>
      <w:rFonts w:ascii="微软雅黑" w:hAnsi="微软雅黑" w:eastAsia="微软雅黑" w:cs="微软雅黑"/>
      <w:sz w:val="20"/>
    </w:rPr>
  </w:style>
  <w:style w:type="character" w:styleId="98">
    <w:name w:val="annotation reference"/>
    <w:autoRedefine/>
    <w:qFormat/>
    <w:uiPriority w:val="0"/>
    <w:rPr>
      <w:sz w:val="21"/>
      <w:szCs w:val="21"/>
    </w:rPr>
  </w:style>
  <w:style w:type="character" w:styleId="99">
    <w:name w:val="HTML Cite"/>
    <w:autoRedefine/>
    <w:qFormat/>
    <w:uiPriority w:val="99"/>
    <w:rPr>
      <w:i/>
      <w:iCs/>
    </w:rPr>
  </w:style>
  <w:style w:type="character" w:styleId="100">
    <w:name w:val="footnote reference"/>
    <w:autoRedefine/>
    <w:qFormat/>
    <w:uiPriority w:val="0"/>
    <w:rPr>
      <w:rFonts w:ascii="Calibri" w:hAnsi="Calibri" w:eastAsia="宋体" w:cs="Times New Roman"/>
      <w:vertAlign w:val="superscript"/>
    </w:rPr>
  </w:style>
  <w:style w:type="character" w:styleId="101">
    <w:name w:val="HTML Keyboard"/>
    <w:autoRedefine/>
    <w:unhideWhenUsed/>
    <w:qFormat/>
    <w:uiPriority w:val="99"/>
    <w:rPr>
      <w:rFonts w:ascii="monospace" w:hAnsi="monospace" w:eastAsia="monospace" w:cs="monospace"/>
      <w:sz w:val="21"/>
      <w:szCs w:val="21"/>
    </w:rPr>
  </w:style>
  <w:style w:type="character" w:styleId="102">
    <w:name w:val="HTML Sample"/>
    <w:autoRedefine/>
    <w:unhideWhenUsed/>
    <w:qFormat/>
    <w:uiPriority w:val="99"/>
    <w:rPr>
      <w:rFonts w:hint="default" w:ascii="monospace" w:hAnsi="monospace" w:eastAsia="monospace" w:cs="monospace"/>
      <w:sz w:val="21"/>
      <w:szCs w:val="21"/>
    </w:rPr>
  </w:style>
  <w:style w:type="character" w:customStyle="1" w:styleId="103">
    <w:name w:val="正文文本缩进 3 字符"/>
    <w:link w:val="67"/>
    <w:autoRedefine/>
    <w:qFormat/>
    <w:uiPriority w:val="0"/>
    <w:rPr>
      <w:rFonts w:ascii="宋体"/>
      <w:sz w:val="24"/>
    </w:rPr>
  </w:style>
  <w:style w:type="character" w:customStyle="1" w:styleId="104">
    <w:name w:val="标题 1 字符"/>
    <w:link w:val="3"/>
    <w:autoRedefine/>
    <w:qFormat/>
    <w:uiPriority w:val="0"/>
    <w:rPr>
      <w:rFonts w:ascii="宋体"/>
      <w:b/>
      <w:kern w:val="44"/>
      <w:sz w:val="32"/>
    </w:rPr>
  </w:style>
  <w:style w:type="character" w:customStyle="1" w:styleId="105">
    <w:name w:val="标题 2 字符"/>
    <w:link w:val="4"/>
    <w:autoRedefine/>
    <w:qFormat/>
    <w:uiPriority w:val="0"/>
    <w:rPr>
      <w:rFonts w:ascii="Arial" w:hAnsi="Arial" w:eastAsia="黑体"/>
      <w:b/>
      <w:sz w:val="30"/>
      <w:lang w:val="en-US" w:eastAsia="zh-CN" w:bidi="ar-SA"/>
    </w:rPr>
  </w:style>
  <w:style w:type="character" w:customStyle="1" w:styleId="106">
    <w:name w:val="正文缩进 字符"/>
    <w:link w:val="6"/>
    <w:autoRedefine/>
    <w:qFormat/>
    <w:uiPriority w:val="0"/>
    <w:rPr>
      <w:rFonts w:ascii="宋体" w:eastAsia="宋体"/>
      <w:kern w:val="2"/>
      <w:sz w:val="24"/>
      <w:szCs w:val="24"/>
      <w:lang w:val="en-US" w:eastAsia="zh-CN" w:bidi="ar-SA"/>
    </w:rPr>
  </w:style>
  <w:style w:type="character" w:customStyle="1" w:styleId="107">
    <w:name w:val="标题 3 字符"/>
    <w:link w:val="5"/>
    <w:autoRedefine/>
    <w:qFormat/>
    <w:uiPriority w:val="0"/>
    <w:rPr>
      <w:rFonts w:ascii="宋体" w:eastAsia="宋体"/>
      <w:b/>
      <w:sz w:val="24"/>
      <w:u w:val="single"/>
      <w:lang w:val="en-US" w:eastAsia="zh-CN" w:bidi="ar-SA"/>
    </w:rPr>
  </w:style>
  <w:style w:type="character" w:customStyle="1" w:styleId="108">
    <w:name w:val="标题 4 字符"/>
    <w:link w:val="8"/>
    <w:autoRedefine/>
    <w:qFormat/>
    <w:uiPriority w:val="0"/>
    <w:rPr>
      <w:rFonts w:ascii="Arial" w:hAnsi="Arial" w:eastAsia="黑体"/>
      <w:b/>
      <w:sz w:val="28"/>
    </w:rPr>
  </w:style>
  <w:style w:type="character" w:customStyle="1" w:styleId="109">
    <w:name w:val="标题 5 字符"/>
    <w:link w:val="9"/>
    <w:autoRedefine/>
    <w:qFormat/>
    <w:uiPriority w:val="0"/>
    <w:rPr>
      <w:b/>
      <w:sz w:val="28"/>
    </w:rPr>
  </w:style>
  <w:style w:type="character" w:customStyle="1" w:styleId="110">
    <w:name w:val="标题 6 字符"/>
    <w:link w:val="10"/>
    <w:autoRedefine/>
    <w:qFormat/>
    <w:uiPriority w:val="0"/>
    <w:rPr>
      <w:rFonts w:ascii="Arial" w:hAnsi="Arial" w:eastAsia="黑体"/>
      <w:b/>
      <w:sz w:val="24"/>
    </w:rPr>
  </w:style>
  <w:style w:type="character" w:customStyle="1" w:styleId="111">
    <w:name w:val="标题 7 字符"/>
    <w:link w:val="11"/>
    <w:autoRedefine/>
    <w:qFormat/>
    <w:uiPriority w:val="0"/>
    <w:rPr>
      <w:b/>
      <w:sz w:val="24"/>
    </w:rPr>
  </w:style>
  <w:style w:type="character" w:customStyle="1" w:styleId="112">
    <w:name w:val="标题 8 字符"/>
    <w:link w:val="12"/>
    <w:autoRedefine/>
    <w:qFormat/>
    <w:uiPriority w:val="0"/>
    <w:rPr>
      <w:rFonts w:ascii="Arial" w:hAnsi="Arial" w:eastAsia="黑体"/>
      <w:sz w:val="24"/>
    </w:rPr>
  </w:style>
  <w:style w:type="character" w:customStyle="1" w:styleId="113">
    <w:name w:val="标题 9 字符"/>
    <w:link w:val="13"/>
    <w:autoRedefine/>
    <w:qFormat/>
    <w:uiPriority w:val="0"/>
    <w:rPr>
      <w:rFonts w:ascii="Arial" w:hAnsi="Arial" w:eastAsia="黑体"/>
      <w:sz w:val="21"/>
    </w:rPr>
  </w:style>
  <w:style w:type="character" w:customStyle="1" w:styleId="114">
    <w:name w:val="题注 字符1"/>
    <w:link w:val="21"/>
    <w:autoRedefine/>
    <w:qFormat/>
    <w:uiPriority w:val="0"/>
    <w:rPr>
      <w:rFonts w:ascii="华文中宋" w:hAnsi="华文中宋" w:eastAsia="华文中宋"/>
      <w:kern w:val="2"/>
      <w:sz w:val="36"/>
    </w:rPr>
  </w:style>
  <w:style w:type="character" w:customStyle="1" w:styleId="115">
    <w:name w:val="文档结构图 字符"/>
    <w:link w:val="25"/>
    <w:autoRedefine/>
    <w:qFormat/>
    <w:uiPriority w:val="0"/>
    <w:rPr>
      <w:kern w:val="2"/>
      <w:sz w:val="21"/>
      <w:szCs w:val="24"/>
      <w:shd w:val="clear" w:color="auto" w:fill="000080"/>
    </w:rPr>
  </w:style>
  <w:style w:type="character" w:customStyle="1" w:styleId="116">
    <w:name w:val="批注文字 字符1"/>
    <w:link w:val="27"/>
    <w:autoRedefine/>
    <w:qFormat/>
    <w:uiPriority w:val="0"/>
    <w:rPr>
      <w:kern w:val="2"/>
      <w:sz w:val="21"/>
      <w:szCs w:val="24"/>
    </w:rPr>
  </w:style>
  <w:style w:type="character" w:customStyle="1" w:styleId="117">
    <w:name w:val="称呼 字符"/>
    <w:link w:val="28"/>
    <w:autoRedefine/>
    <w:qFormat/>
    <w:uiPriority w:val="0"/>
    <w:rPr>
      <w:kern w:val="2"/>
      <w:sz w:val="21"/>
      <w:szCs w:val="24"/>
    </w:rPr>
  </w:style>
  <w:style w:type="character" w:customStyle="1" w:styleId="118">
    <w:name w:val="正文文本 3 字符"/>
    <w:link w:val="29"/>
    <w:autoRedefine/>
    <w:qFormat/>
    <w:uiPriority w:val="0"/>
    <w:rPr>
      <w:kern w:val="2"/>
      <w:sz w:val="16"/>
      <w:szCs w:val="16"/>
    </w:rPr>
  </w:style>
  <w:style w:type="character" w:customStyle="1" w:styleId="119">
    <w:name w:val="正文文本 字符"/>
    <w:link w:val="32"/>
    <w:autoRedefine/>
    <w:qFormat/>
    <w:uiPriority w:val="0"/>
    <w:rPr>
      <w:rFonts w:ascii="宋体" w:hAnsi="宋体"/>
      <w:kern w:val="2"/>
      <w:sz w:val="24"/>
      <w:szCs w:val="24"/>
    </w:rPr>
  </w:style>
  <w:style w:type="character" w:customStyle="1" w:styleId="120">
    <w:name w:val="正文文本缩进 字符"/>
    <w:link w:val="33"/>
    <w:autoRedefine/>
    <w:qFormat/>
    <w:uiPriority w:val="0"/>
    <w:rPr>
      <w:rFonts w:eastAsia="宋体"/>
      <w:kern w:val="2"/>
      <w:sz w:val="24"/>
      <w:szCs w:val="24"/>
      <w:lang w:val="en-US" w:eastAsia="zh-CN" w:bidi="ar-SA"/>
    </w:rPr>
  </w:style>
  <w:style w:type="character" w:customStyle="1" w:styleId="121">
    <w:name w:val="纯文本 字符2"/>
    <w:link w:val="44"/>
    <w:autoRedefine/>
    <w:qFormat/>
    <w:uiPriority w:val="99"/>
    <w:rPr>
      <w:rFonts w:hint="eastAsia" w:ascii="宋体" w:hAnsi="Courier New" w:eastAsia="宋体" w:cs="宋体"/>
      <w:kern w:val="2"/>
      <w:sz w:val="21"/>
    </w:rPr>
  </w:style>
  <w:style w:type="character" w:customStyle="1" w:styleId="122">
    <w:name w:val="日期 字符"/>
    <w:link w:val="48"/>
    <w:autoRedefine/>
    <w:qFormat/>
    <w:uiPriority w:val="0"/>
    <w:rPr>
      <w:rFonts w:ascii="仿宋_GB2312" w:hAnsi="宋体" w:eastAsia="仿宋_GB2312"/>
      <w:color w:val="000000"/>
      <w:kern w:val="2"/>
      <w:sz w:val="24"/>
      <w:szCs w:val="24"/>
    </w:rPr>
  </w:style>
  <w:style w:type="character" w:customStyle="1" w:styleId="123">
    <w:name w:val="正文文本缩进 2 字符"/>
    <w:link w:val="49"/>
    <w:autoRedefine/>
    <w:qFormat/>
    <w:uiPriority w:val="0"/>
    <w:rPr>
      <w:rFonts w:ascii="仿宋_GB2312" w:eastAsia="仿宋_GB2312"/>
      <w:kern w:val="2"/>
      <w:sz w:val="24"/>
      <w:szCs w:val="24"/>
    </w:rPr>
  </w:style>
  <w:style w:type="character" w:customStyle="1" w:styleId="124">
    <w:name w:val="批注框文本 字符"/>
    <w:link w:val="52"/>
    <w:autoRedefine/>
    <w:qFormat/>
    <w:uiPriority w:val="0"/>
    <w:rPr>
      <w:kern w:val="2"/>
      <w:sz w:val="18"/>
      <w:szCs w:val="18"/>
    </w:rPr>
  </w:style>
  <w:style w:type="character" w:customStyle="1" w:styleId="125">
    <w:name w:val="页脚 字符"/>
    <w:link w:val="53"/>
    <w:autoRedefine/>
    <w:qFormat/>
    <w:uiPriority w:val="99"/>
    <w:rPr>
      <w:rFonts w:ascii="宋体" w:eastAsia="宋体"/>
      <w:sz w:val="18"/>
      <w:lang w:val="en-US" w:eastAsia="zh-CN" w:bidi="ar-SA"/>
    </w:rPr>
  </w:style>
  <w:style w:type="character" w:customStyle="1" w:styleId="126">
    <w:name w:val="页眉 字符"/>
    <w:link w:val="54"/>
    <w:autoRedefine/>
    <w:qFormat/>
    <w:uiPriority w:val="99"/>
    <w:rPr>
      <w:rFonts w:eastAsia="宋体"/>
      <w:kern w:val="2"/>
      <w:sz w:val="18"/>
      <w:szCs w:val="18"/>
      <w:lang w:val="en-US" w:eastAsia="zh-CN" w:bidi="ar-SA"/>
    </w:rPr>
  </w:style>
  <w:style w:type="character" w:customStyle="1" w:styleId="127">
    <w:name w:val="正文文本 2 字符2"/>
    <w:link w:val="72"/>
    <w:autoRedefine/>
    <w:qFormat/>
    <w:uiPriority w:val="0"/>
    <w:rPr>
      <w:kern w:val="2"/>
      <w:sz w:val="21"/>
      <w:szCs w:val="24"/>
    </w:rPr>
  </w:style>
  <w:style w:type="character" w:customStyle="1" w:styleId="128">
    <w:name w:val="HTML 预设格式 字符"/>
    <w:link w:val="76"/>
    <w:autoRedefine/>
    <w:qFormat/>
    <w:uiPriority w:val="99"/>
    <w:rPr>
      <w:rFonts w:ascii="宋体" w:hAnsi="宋体" w:cs="宋体"/>
      <w:sz w:val="24"/>
      <w:szCs w:val="24"/>
    </w:rPr>
  </w:style>
  <w:style w:type="character" w:customStyle="1" w:styleId="129">
    <w:name w:val="普通(网站) 字符"/>
    <w:link w:val="77"/>
    <w:autoRedefine/>
    <w:qFormat/>
    <w:uiPriority w:val="0"/>
    <w:rPr>
      <w:rFonts w:ascii="宋体" w:hAnsi="宋体" w:cs="宋体"/>
      <w:sz w:val="24"/>
      <w:szCs w:val="24"/>
    </w:rPr>
  </w:style>
  <w:style w:type="character" w:customStyle="1" w:styleId="130">
    <w:name w:val="标题 字符"/>
    <w:link w:val="79"/>
    <w:autoRedefine/>
    <w:qFormat/>
    <w:uiPriority w:val="0"/>
    <w:rPr>
      <w:b/>
      <w:kern w:val="2"/>
      <w:sz w:val="32"/>
    </w:rPr>
  </w:style>
  <w:style w:type="character" w:customStyle="1" w:styleId="131">
    <w:name w:val="批注主题 字符"/>
    <w:link w:val="80"/>
    <w:autoRedefine/>
    <w:qFormat/>
    <w:uiPriority w:val="0"/>
    <w:rPr>
      <w:rFonts w:ascii="Times New Roman" w:hAnsi="Times New Roman" w:eastAsia="宋体" w:cs="Times New Roman"/>
      <w:b/>
      <w:bCs/>
      <w:kern w:val="2"/>
      <w:sz w:val="21"/>
      <w:szCs w:val="24"/>
      <w:lang w:val="en-US" w:eastAsia="zh-CN" w:bidi="ar-SA"/>
    </w:rPr>
  </w:style>
  <w:style w:type="character" w:customStyle="1" w:styleId="132">
    <w:name w:val="正文文本首行缩进 字符1"/>
    <w:link w:val="81"/>
    <w:autoRedefine/>
    <w:qFormat/>
    <w:uiPriority w:val="0"/>
    <w:rPr>
      <w:rFonts w:ascii="宋体" w:hAnsi="宋体"/>
      <w:kern w:val="2"/>
      <w:sz w:val="24"/>
      <w:szCs w:val="24"/>
    </w:rPr>
  </w:style>
  <w:style w:type="character" w:customStyle="1" w:styleId="133">
    <w:name w:val="正文文本首行缩进 2 字符"/>
    <w:link w:val="82"/>
    <w:autoRedefine/>
    <w:qFormat/>
    <w:uiPriority w:val="0"/>
    <w:rPr>
      <w:rFonts w:eastAsia="宋体"/>
      <w:kern w:val="2"/>
      <w:sz w:val="24"/>
      <w:szCs w:val="24"/>
      <w:lang w:val="en-US" w:eastAsia="zh-CN" w:bidi="ar-SA"/>
    </w:rPr>
  </w:style>
  <w:style w:type="character" w:customStyle="1" w:styleId="134">
    <w:name w:val="Char Char11"/>
    <w:autoRedefine/>
    <w:qFormat/>
    <w:uiPriority w:val="0"/>
    <w:rPr>
      <w:rFonts w:ascii="宋体" w:eastAsia="宋体"/>
      <w:b/>
      <w:sz w:val="24"/>
      <w:u w:val="single"/>
      <w:lang w:val="en-US" w:eastAsia="zh-CN" w:bidi="ar-SA"/>
    </w:rPr>
  </w:style>
  <w:style w:type="character" w:customStyle="1" w:styleId="135">
    <w:name w:val="中等深浅网格 1 - 强调文字颜色 2 Char"/>
    <w:link w:val="136"/>
    <w:autoRedefine/>
    <w:qFormat/>
    <w:uiPriority w:val="0"/>
    <w:rPr>
      <w:kern w:val="2"/>
      <w:sz w:val="21"/>
      <w:szCs w:val="24"/>
      <w:lang w:val="zh-CN" w:eastAsia="zh-CN" w:bidi="ar-SA"/>
    </w:rPr>
  </w:style>
  <w:style w:type="paragraph" w:customStyle="1" w:styleId="136">
    <w:name w:val="1"/>
    <w:link w:val="135"/>
    <w:autoRedefine/>
    <w:qFormat/>
    <w:uiPriority w:val="0"/>
    <w:rPr>
      <w:rFonts w:ascii="Times New Roman" w:hAnsi="Times New Roman" w:eastAsia="宋体" w:cs="Times New Roman"/>
      <w:kern w:val="2"/>
      <w:sz w:val="21"/>
      <w:szCs w:val="24"/>
      <w:lang w:val="zh-CN" w:eastAsia="zh-CN" w:bidi="ar-SA"/>
    </w:rPr>
  </w:style>
  <w:style w:type="character" w:customStyle="1" w:styleId="137">
    <w:name w:val="正文小标题 Char"/>
    <w:link w:val="138"/>
    <w:autoRedefine/>
    <w:qFormat/>
    <w:uiPriority w:val="0"/>
    <w:rPr>
      <w:rFonts w:ascii="宋体" w:hAnsi="宋体"/>
      <w:b/>
      <w:i/>
      <w:color w:val="FF0000"/>
      <w:kern w:val="2"/>
      <w:sz w:val="24"/>
    </w:rPr>
  </w:style>
  <w:style w:type="paragraph" w:customStyle="1" w:styleId="138">
    <w:name w:val="正文小标题"/>
    <w:basedOn w:val="1"/>
    <w:next w:val="6"/>
    <w:link w:val="137"/>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39">
    <w:name w:val="font11"/>
    <w:autoRedefine/>
    <w:qFormat/>
    <w:uiPriority w:val="0"/>
    <w:rPr>
      <w:rFonts w:hint="eastAsia" w:ascii="仿宋" w:hAnsi="仿宋" w:eastAsia="仿宋" w:cs="仿宋"/>
      <w:color w:val="000000"/>
      <w:sz w:val="24"/>
      <w:szCs w:val="24"/>
      <w:u w:val="none"/>
    </w:rPr>
  </w:style>
  <w:style w:type="character" w:customStyle="1" w:styleId="140">
    <w:name w:val="chanpin拷贝"/>
    <w:autoRedefine/>
    <w:qFormat/>
    <w:uiPriority w:val="0"/>
  </w:style>
  <w:style w:type="character" w:customStyle="1" w:styleId="141">
    <w:name w:val="段1 Char"/>
    <w:autoRedefine/>
    <w:qFormat/>
    <w:uiPriority w:val="0"/>
    <w:rPr>
      <w:rFonts w:ascii="宋体" w:eastAsia="宋体"/>
      <w:sz w:val="24"/>
      <w:lang w:val="en-US" w:eastAsia="zh-CN" w:bidi="ar-SA"/>
    </w:rPr>
  </w:style>
  <w:style w:type="character" w:customStyle="1" w:styleId="142">
    <w:name w:val="标题 2 Char"/>
    <w:autoRedefine/>
    <w:qFormat/>
    <w:uiPriority w:val="0"/>
    <w:rPr>
      <w:rFonts w:ascii="Arial" w:hAnsi="Arial" w:eastAsia="黑体"/>
      <w:b/>
      <w:sz w:val="30"/>
      <w:lang w:val="en-US" w:eastAsia="zh-CN" w:bidi="ar-SA"/>
    </w:rPr>
  </w:style>
  <w:style w:type="character" w:customStyle="1" w:styleId="143">
    <w:name w:val="页脚 Char"/>
    <w:autoRedefine/>
    <w:qFormat/>
    <w:uiPriority w:val="99"/>
    <w:rPr>
      <w:rFonts w:ascii="宋体" w:eastAsia="宋体"/>
      <w:sz w:val="18"/>
      <w:lang w:val="en-US" w:eastAsia="zh-CN" w:bidi="ar-SA"/>
    </w:rPr>
  </w:style>
  <w:style w:type="character" w:customStyle="1" w:styleId="144">
    <w:name w:val="bjh-p"/>
    <w:autoRedefine/>
    <w:qFormat/>
    <w:uiPriority w:val="0"/>
  </w:style>
  <w:style w:type="character" w:customStyle="1" w:styleId="145">
    <w:name w:val="title4"/>
    <w:autoRedefine/>
    <w:qFormat/>
    <w:uiPriority w:val="0"/>
    <w:rPr>
      <w:b/>
      <w:bCs/>
      <w:color w:val="1D87B3"/>
      <w:sz w:val="15"/>
      <w:szCs w:val="15"/>
    </w:rPr>
  </w:style>
  <w:style w:type="character" w:customStyle="1" w:styleId="146">
    <w:name w:val="列出段落 Char"/>
    <w:link w:val="147"/>
    <w:autoRedefine/>
    <w:qFormat/>
    <w:uiPriority w:val="34"/>
    <w:rPr>
      <w:rFonts w:ascii="Calibri" w:hAnsi="Calibri" w:eastAsia="宋体"/>
      <w:kern w:val="2"/>
      <w:sz w:val="21"/>
      <w:szCs w:val="22"/>
      <w:lang w:val="en-US" w:eastAsia="zh-CN" w:bidi="ar-SA"/>
    </w:rPr>
  </w:style>
  <w:style w:type="paragraph" w:customStyle="1" w:styleId="147">
    <w:name w:val="_Style 686"/>
    <w:basedOn w:val="1"/>
    <w:next w:val="148"/>
    <w:link w:val="146"/>
    <w:autoRedefine/>
    <w:qFormat/>
    <w:uiPriority w:val="34"/>
    <w:pPr>
      <w:spacing w:line="360" w:lineRule="auto"/>
      <w:ind w:firstLine="420" w:firstLineChars="200"/>
    </w:pPr>
    <w:rPr>
      <w:rFonts w:ascii="Calibri" w:hAnsi="Calibri"/>
      <w:szCs w:val="22"/>
    </w:rPr>
  </w:style>
  <w:style w:type="paragraph" w:styleId="148">
    <w:name w:val="List Paragraph"/>
    <w:basedOn w:val="1"/>
    <w:link w:val="149"/>
    <w:autoRedefine/>
    <w:qFormat/>
    <w:uiPriority w:val="34"/>
    <w:pPr>
      <w:spacing w:line="360" w:lineRule="auto"/>
      <w:ind w:firstLine="420" w:firstLineChars="200"/>
    </w:pPr>
    <w:rPr>
      <w:rFonts w:ascii="Calibri" w:hAnsi="Calibri"/>
      <w:szCs w:val="20"/>
    </w:rPr>
  </w:style>
  <w:style w:type="character" w:customStyle="1" w:styleId="149">
    <w:name w:val="列表段落 字符1"/>
    <w:link w:val="148"/>
    <w:autoRedefine/>
    <w:qFormat/>
    <w:uiPriority w:val="34"/>
    <w:rPr>
      <w:rFonts w:ascii="Calibri" w:hAnsi="Calibri"/>
      <w:kern w:val="2"/>
      <w:sz w:val="21"/>
    </w:rPr>
  </w:style>
  <w:style w:type="character" w:customStyle="1" w:styleId="150">
    <w:name w:val="标题 3 Char"/>
    <w:autoRedefine/>
    <w:qFormat/>
    <w:uiPriority w:val="0"/>
    <w:rPr>
      <w:rFonts w:ascii="宋体" w:eastAsia="宋体"/>
      <w:b/>
      <w:sz w:val="24"/>
      <w:u w:val="single"/>
      <w:lang w:val="en-US" w:eastAsia="zh-CN" w:bidi="ar-SA"/>
    </w:rPr>
  </w:style>
  <w:style w:type="character" w:customStyle="1" w:styleId="151">
    <w:name w:val="标题 Char"/>
    <w:autoRedefine/>
    <w:qFormat/>
    <w:uiPriority w:val="99"/>
    <w:rPr>
      <w:b/>
      <w:kern w:val="2"/>
      <w:sz w:val="32"/>
    </w:rPr>
  </w:style>
  <w:style w:type="character" w:customStyle="1" w:styleId="152">
    <w:name w:val="页眉 Char"/>
    <w:autoRedefine/>
    <w:qFormat/>
    <w:uiPriority w:val="0"/>
    <w:rPr>
      <w:rFonts w:eastAsia="宋体"/>
      <w:kern w:val="2"/>
      <w:sz w:val="18"/>
      <w:szCs w:val="18"/>
      <w:lang w:val="en-US" w:eastAsia="zh-CN" w:bidi="ar-SA"/>
    </w:rPr>
  </w:style>
  <w:style w:type="character" w:customStyle="1" w:styleId="153">
    <w:name w:val="apple-style-span"/>
    <w:autoRedefine/>
    <w:qFormat/>
    <w:uiPriority w:val="0"/>
    <w:rPr>
      <w:rFonts w:cs="Times New Roman"/>
    </w:rPr>
  </w:style>
  <w:style w:type="character" w:customStyle="1" w:styleId="154">
    <w:name w:val="纯文本 字符"/>
    <w:autoRedefine/>
    <w:qFormat/>
    <w:uiPriority w:val="0"/>
    <w:rPr>
      <w:rFonts w:ascii="宋体" w:hAnsi="Courier New" w:eastAsia="宋体" w:cs="Times New Roman"/>
      <w:kern w:val="2"/>
      <w:sz w:val="21"/>
      <w:szCs w:val="21"/>
      <w:lang w:val="en-US" w:eastAsia="zh-CN" w:bidi="ar-SA"/>
    </w:rPr>
  </w:style>
  <w:style w:type="character" w:customStyle="1" w:styleId="155">
    <w:name w:val="列表段落 字符"/>
    <w:link w:val="156"/>
    <w:autoRedefine/>
    <w:qFormat/>
    <w:uiPriority w:val="0"/>
    <w:rPr>
      <w:rFonts w:ascii="Calibri" w:hAnsi="Calibri" w:eastAsia="宋体"/>
      <w:kern w:val="2"/>
      <w:sz w:val="21"/>
      <w:szCs w:val="22"/>
      <w:lang w:val="en-US" w:eastAsia="zh-CN" w:bidi="ar-SA"/>
    </w:rPr>
  </w:style>
  <w:style w:type="paragraph" w:customStyle="1" w:styleId="156">
    <w:name w:val="列表段落1"/>
    <w:basedOn w:val="1"/>
    <w:link w:val="155"/>
    <w:autoRedefine/>
    <w:qFormat/>
    <w:uiPriority w:val="34"/>
    <w:pPr>
      <w:ind w:firstLine="420" w:firstLineChars="200"/>
    </w:pPr>
    <w:rPr>
      <w:rFonts w:ascii="Calibri" w:hAnsi="Calibri"/>
      <w:szCs w:val="22"/>
    </w:rPr>
  </w:style>
  <w:style w:type="character" w:customStyle="1" w:styleId="157">
    <w:name w:val="chanpin1"/>
    <w:autoRedefine/>
    <w:qFormat/>
    <w:uiPriority w:val="0"/>
    <w:rPr>
      <w:rFonts w:hint="default" w:ascii="ˎ̥" w:hAnsi="ˎ̥"/>
      <w:color w:val="000000"/>
      <w:sz w:val="20"/>
      <w:szCs w:val="20"/>
      <w:u w:val="none"/>
    </w:rPr>
  </w:style>
  <w:style w:type="character" w:customStyle="1" w:styleId="158">
    <w:name w:val="txt"/>
    <w:autoRedefine/>
    <w:qFormat/>
    <w:uiPriority w:val="0"/>
  </w:style>
  <w:style w:type="character" w:customStyle="1" w:styleId="159">
    <w:name w:val="批注文字 Char"/>
    <w:autoRedefine/>
    <w:qFormat/>
    <w:uiPriority w:val="0"/>
    <w:rPr>
      <w:kern w:val="2"/>
      <w:sz w:val="21"/>
      <w:szCs w:val="24"/>
    </w:rPr>
  </w:style>
  <w:style w:type="character" w:customStyle="1" w:styleId="160">
    <w:name w:val="标题 2 Char Char"/>
    <w:autoRedefine/>
    <w:qFormat/>
    <w:uiPriority w:val="0"/>
    <w:rPr>
      <w:rFonts w:ascii="Arial" w:hAnsi="Arial" w:eastAsia="黑体"/>
      <w:b/>
      <w:bCs/>
      <w:kern w:val="2"/>
      <w:sz w:val="32"/>
      <w:szCs w:val="32"/>
      <w:lang w:val="en-US" w:eastAsia="zh-CN" w:bidi="ar-SA"/>
    </w:rPr>
  </w:style>
  <w:style w:type="character" w:customStyle="1" w:styleId="161">
    <w:name w:val="标题 3 Char Char"/>
    <w:autoRedefine/>
    <w:qFormat/>
    <w:uiPriority w:val="0"/>
    <w:rPr>
      <w:rFonts w:eastAsia="宋体"/>
      <w:b/>
      <w:bCs/>
      <w:kern w:val="2"/>
      <w:sz w:val="32"/>
      <w:szCs w:val="32"/>
      <w:lang w:val="en-US" w:eastAsia="zh-CN" w:bidi="ar-SA"/>
    </w:rPr>
  </w:style>
  <w:style w:type="character" w:customStyle="1" w:styleId="162">
    <w:name w:val="Char Char111"/>
    <w:qFormat/>
    <w:uiPriority w:val="0"/>
    <w:rPr>
      <w:rFonts w:ascii="宋体" w:eastAsia="宋体"/>
      <w:b/>
      <w:sz w:val="24"/>
      <w:u w:val="single"/>
      <w:lang w:val="en-US" w:eastAsia="zh-CN" w:bidi="ar-SA"/>
    </w:rPr>
  </w:style>
  <w:style w:type="character" w:customStyle="1" w:styleId="163">
    <w:name w:val="正文文本缩进 Char1"/>
    <w:link w:val="164"/>
    <w:autoRedefine/>
    <w:qFormat/>
    <w:uiPriority w:val="99"/>
    <w:rPr>
      <w:rFonts w:ascii="宋体" w:hAnsi="宋体" w:eastAsia="宋体"/>
      <w:sz w:val="24"/>
      <w:szCs w:val="24"/>
      <w:lang w:bidi="ar-SA"/>
    </w:rPr>
  </w:style>
  <w:style w:type="paragraph" w:customStyle="1" w:styleId="164">
    <w:name w:val="正文文本缩进1"/>
    <w:basedOn w:val="1"/>
    <w:link w:val="163"/>
    <w:autoRedefine/>
    <w:qFormat/>
    <w:uiPriority w:val="0"/>
    <w:pPr>
      <w:spacing w:line="480" w:lineRule="exact"/>
      <w:ind w:firstLine="480" w:firstLineChars="200"/>
    </w:pPr>
    <w:rPr>
      <w:rFonts w:ascii="宋体" w:hAnsi="宋体"/>
      <w:kern w:val="0"/>
      <w:sz w:val="24"/>
    </w:rPr>
  </w:style>
  <w:style w:type="character" w:customStyle="1" w:styleId="165">
    <w:name w:val="注释 Char"/>
    <w:link w:val="166"/>
    <w:qFormat/>
    <w:uiPriority w:val="0"/>
    <w:rPr>
      <w:rFonts w:ascii="宋体" w:hAnsi="宋体"/>
      <w:kern w:val="2"/>
      <w:sz w:val="21"/>
      <w:szCs w:val="21"/>
    </w:rPr>
  </w:style>
  <w:style w:type="paragraph" w:customStyle="1" w:styleId="166">
    <w:name w:val="注释"/>
    <w:basedOn w:val="1"/>
    <w:link w:val="165"/>
    <w:autoRedefine/>
    <w:qFormat/>
    <w:uiPriority w:val="0"/>
    <w:pPr>
      <w:adjustRightInd w:val="0"/>
      <w:snapToGrid w:val="0"/>
      <w:ind w:left="420" w:hanging="420" w:hangingChars="200"/>
      <w:jc w:val="left"/>
    </w:pPr>
    <w:rPr>
      <w:rFonts w:ascii="宋体" w:hAnsi="宋体"/>
      <w:szCs w:val="21"/>
    </w:rPr>
  </w:style>
  <w:style w:type="character" w:customStyle="1" w:styleId="167">
    <w:name w:val="正文缩进 Char"/>
    <w:autoRedefine/>
    <w:qFormat/>
    <w:uiPriority w:val="0"/>
    <w:rPr>
      <w:rFonts w:ascii="宋体" w:eastAsia="宋体"/>
      <w:kern w:val="2"/>
      <w:sz w:val="24"/>
      <w:szCs w:val="24"/>
      <w:lang w:val="en-US" w:eastAsia="zh-CN" w:bidi="ar-SA"/>
    </w:rPr>
  </w:style>
  <w:style w:type="character" w:customStyle="1" w:styleId="168">
    <w:name w:val="正文文本缩进 Char"/>
    <w:autoRedefine/>
    <w:qFormat/>
    <w:uiPriority w:val="99"/>
    <w:rPr>
      <w:rFonts w:eastAsia="宋体"/>
      <w:kern w:val="2"/>
      <w:sz w:val="24"/>
      <w:szCs w:val="24"/>
      <w:lang w:val="en-US" w:eastAsia="zh-CN" w:bidi="ar-SA"/>
    </w:rPr>
  </w:style>
  <w:style w:type="character" w:customStyle="1" w:styleId="169">
    <w:name w:val="纯文本 Char1"/>
    <w:qFormat/>
    <w:uiPriority w:val="0"/>
    <w:rPr>
      <w:rFonts w:ascii="宋体" w:hAnsi="Courier New" w:eastAsia="宋体"/>
      <w:kern w:val="2"/>
      <w:sz w:val="21"/>
      <w:lang w:val="en-US" w:eastAsia="zh-CN" w:bidi="ar-SA"/>
    </w:rPr>
  </w:style>
  <w:style w:type="character" w:customStyle="1" w:styleId="170">
    <w:name w:val="正文大标题 Char"/>
    <w:link w:val="171"/>
    <w:autoRedefine/>
    <w:qFormat/>
    <w:uiPriority w:val="0"/>
    <w:rPr>
      <w:rFonts w:ascii="宋体" w:hAnsi="宋体"/>
      <w:b/>
      <w:color w:val="000000"/>
      <w:kern w:val="2"/>
      <w:sz w:val="28"/>
      <w:szCs w:val="21"/>
    </w:rPr>
  </w:style>
  <w:style w:type="paragraph" w:customStyle="1" w:styleId="171">
    <w:name w:val="正文大标题"/>
    <w:basedOn w:val="138"/>
    <w:next w:val="6"/>
    <w:link w:val="170"/>
    <w:autoRedefine/>
    <w:qFormat/>
    <w:uiPriority w:val="0"/>
    <w:pPr>
      <w:jc w:val="center"/>
    </w:pPr>
    <w:rPr>
      <w:i w:val="0"/>
      <w:color w:val="000000"/>
      <w:sz w:val="28"/>
      <w:szCs w:val="21"/>
    </w:rPr>
  </w:style>
  <w:style w:type="character" w:customStyle="1" w:styleId="172">
    <w:name w:val="普通文字1 Char1"/>
    <w:qFormat/>
    <w:uiPriority w:val="0"/>
    <w:rPr>
      <w:rFonts w:ascii="宋体" w:hAnsi="Courier New" w:eastAsia="宋体"/>
      <w:kern w:val="2"/>
      <w:sz w:val="21"/>
      <w:lang w:val="en-US" w:eastAsia="zh-CN" w:bidi="ar-SA"/>
    </w:rPr>
  </w:style>
  <w:style w:type="character" w:customStyle="1" w:styleId="173">
    <w:name w:val="black1"/>
    <w:qFormat/>
    <w:uiPriority w:val="0"/>
    <w:rPr>
      <w:color w:val="000000"/>
    </w:rPr>
  </w:style>
  <w:style w:type="character" w:customStyle="1" w:styleId="174">
    <w:name w:val="纯文本 字符1"/>
    <w:autoRedefine/>
    <w:qFormat/>
    <w:uiPriority w:val="0"/>
    <w:rPr>
      <w:rFonts w:ascii="宋体" w:hAnsi="Courier New"/>
    </w:rPr>
  </w:style>
  <w:style w:type="character" w:customStyle="1" w:styleId="175">
    <w:name w:val="正文重点 Char"/>
    <w:link w:val="176"/>
    <w:autoRedefine/>
    <w:qFormat/>
    <w:uiPriority w:val="0"/>
    <w:rPr>
      <w:b/>
      <w:sz w:val="24"/>
    </w:rPr>
  </w:style>
  <w:style w:type="paragraph" w:customStyle="1" w:styleId="176">
    <w:name w:val="正文重点"/>
    <w:basedOn w:val="1"/>
    <w:link w:val="175"/>
    <w:qFormat/>
    <w:uiPriority w:val="0"/>
    <w:pPr>
      <w:adjustRightInd w:val="0"/>
      <w:spacing w:line="360" w:lineRule="auto"/>
      <w:ind w:firstLine="482" w:firstLineChars="200"/>
      <w:jc w:val="left"/>
      <w:textAlignment w:val="baseline"/>
    </w:pPr>
    <w:rPr>
      <w:b/>
      <w:kern w:val="0"/>
      <w:sz w:val="24"/>
      <w:szCs w:val="20"/>
    </w:rPr>
  </w:style>
  <w:style w:type="character" w:customStyle="1" w:styleId="177">
    <w:name w:val="street-address"/>
    <w:autoRedefine/>
    <w:qFormat/>
    <w:uiPriority w:val="0"/>
  </w:style>
  <w:style w:type="character" w:customStyle="1" w:styleId="178">
    <w:name w:val="正文缩进 Char Char"/>
    <w:link w:val="179"/>
    <w:qFormat/>
    <w:uiPriority w:val="0"/>
    <w:rPr>
      <w:rFonts w:ascii="宋体" w:eastAsia="宋体"/>
      <w:snapToGrid w:val="0"/>
      <w:color w:val="000000"/>
      <w:kern w:val="28"/>
      <w:sz w:val="28"/>
      <w:lang w:bidi="ar-SA"/>
    </w:rPr>
  </w:style>
  <w:style w:type="paragraph" w:customStyle="1" w:styleId="179">
    <w:name w:val="正文缩进1"/>
    <w:basedOn w:val="1"/>
    <w:link w:val="17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80">
    <w:name w:val="正文格式 Char"/>
    <w:link w:val="181"/>
    <w:autoRedefine/>
    <w:qFormat/>
    <w:uiPriority w:val="0"/>
    <w:rPr>
      <w:rFonts w:ascii="宋体" w:hAnsi="宋体"/>
      <w:sz w:val="24"/>
      <w:szCs w:val="24"/>
      <w:lang w:val="en-GB"/>
    </w:rPr>
  </w:style>
  <w:style w:type="paragraph" w:customStyle="1" w:styleId="181">
    <w:name w:val="正文格式"/>
    <w:basedOn w:val="1"/>
    <w:link w:val="180"/>
    <w:autoRedefine/>
    <w:qFormat/>
    <w:uiPriority w:val="0"/>
    <w:pPr>
      <w:spacing w:beforeLines="50" w:line="360" w:lineRule="auto"/>
      <w:ind w:firstLine="480" w:firstLineChars="200"/>
    </w:pPr>
    <w:rPr>
      <w:rFonts w:ascii="宋体" w:hAnsi="宋体"/>
      <w:kern w:val="0"/>
      <w:sz w:val="24"/>
      <w:lang w:val="en-GB"/>
    </w:rPr>
  </w:style>
  <w:style w:type="character" w:customStyle="1" w:styleId="182">
    <w:name w:val="批注文字 字符"/>
    <w:autoRedefine/>
    <w:qFormat/>
    <w:uiPriority w:val="0"/>
    <w:rPr>
      <w:rFonts w:ascii="Times New Roman" w:hAnsi="Times New Roman" w:eastAsia="宋体" w:cs="Times New Roman"/>
      <w:sz w:val="24"/>
      <w:lang w:val="en-US" w:eastAsia="zh-CN" w:bidi="ar-SA"/>
    </w:rPr>
  </w:style>
  <w:style w:type="character" w:customStyle="1" w:styleId="183">
    <w:name w:val="c21"/>
    <w:autoRedefine/>
    <w:qFormat/>
    <w:uiPriority w:val="0"/>
    <w:rPr>
      <w:rFonts w:hint="default" w:ascii="ˎ̥" w:hAnsi="ˎ̥"/>
      <w:color w:val="000000"/>
      <w:sz w:val="20"/>
      <w:szCs w:val="20"/>
      <w:u w:val="none"/>
    </w:rPr>
  </w:style>
  <w:style w:type="character" w:customStyle="1" w:styleId="184">
    <w:name w:val="正文表格 Char"/>
    <w:link w:val="185"/>
    <w:autoRedefine/>
    <w:qFormat/>
    <w:uiPriority w:val="0"/>
    <w:rPr>
      <w:rFonts w:ascii="宋体" w:hAnsi="宋体"/>
      <w:color w:val="000000"/>
      <w:kern w:val="2"/>
      <w:sz w:val="21"/>
      <w:szCs w:val="21"/>
    </w:rPr>
  </w:style>
  <w:style w:type="paragraph" w:customStyle="1" w:styleId="185">
    <w:name w:val="正文表格"/>
    <w:basedOn w:val="1"/>
    <w:link w:val="184"/>
    <w:qFormat/>
    <w:uiPriority w:val="0"/>
    <w:pPr>
      <w:adjustRightInd w:val="0"/>
      <w:snapToGrid w:val="0"/>
      <w:jc w:val="left"/>
    </w:pPr>
    <w:rPr>
      <w:rFonts w:ascii="宋体" w:hAnsi="宋体"/>
      <w:color w:val="000000"/>
      <w:szCs w:val="21"/>
    </w:rPr>
  </w:style>
  <w:style w:type="character" w:customStyle="1" w:styleId="186">
    <w:name w:val="locality"/>
    <w:autoRedefine/>
    <w:qFormat/>
    <w:uiPriority w:val="0"/>
  </w:style>
  <w:style w:type="paragraph" w:customStyle="1" w:styleId="187">
    <w:name w:val="Char2"/>
    <w:basedOn w:val="1"/>
    <w:autoRedefine/>
    <w:qFormat/>
    <w:uiPriority w:val="0"/>
    <w:rPr>
      <w:rFonts w:ascii="Tahoma" w:hAnsi="Tahoma"/>
      <w:sz w:val="24"/>
      <w:szCs w:val="20"/>
    </w:rPr>
  </w:style>
  <w:style w:type="paragraph" w:customStyle="1" w:styleId="188">
    <w:name w:val="Char1 Char Char Char1"/>
    <w:basedOn w:val="1"/>
    <w:autoRedefine/>
    <w:qFormat/>
    <w:uiPriority w:val="0"/>
    <w:rPr>
      <w:rFonts w:ascii="Tahoma" w:hAnsi="Tahoma" w:cs="仿宋_GB2312"/>
      <w:sz w:val="24"/>
      <w:szCs w:val="28"/>
    </w:rPr>
  </w:style>
  <w:style w:type="paragraph" w:customStyle="1" w:styleId="189">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90">
    <w:name w:val="文档正文"/>
    <w:basedOn w:val="1"/>
    <w:qFormat/>
    <w:uiPriority w:val="0"/>
    <w:pPr>
      <w:snapToGrid w:val="0"/>
      <w:spacing w:before="120" w:after="120" w:line="180" w:lineRule="auto"/>
    </w:pPr>
    <w:rPr>
      <w:rFonts w:ascii="Arial" w:hAnsi="Arial"/>
      <w:szCs w:val="20"/>
    </w:rPr>
  </w:style>
  <w:style w:type="paragraph" w:customStyle="1" w:styleId="191">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192">
    <w:name w:val="字元 字元"/>
    <w:basedOn w:val="1"/>
    <w:qFormat/>
    <w:uiPriority w:val="0"/>
    <w:rPr>
      <w:rFonts w:ascii="Tahoma" w:hAnsi="Tahoma"/>
      <w:sz w:val="24"/>
      <w:szCs w:val="20"/>
    </w:rPr>
  </w:style>
  <w:style w:type="paragraph" w:customStyle="1" w:styleId="1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4">
    <w:name w:val="无间隔1"/>
    <w:link w:val="19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5">
    <w:name w:val="No Spacing Char"/>
    <w:link w:val="194"/>
    <w:autoRedefine/>
    <w:qFormat/>
    <w:locked/>
    <w:uiPriority w:val="0"/>
    <w:rPr>
      <w:kern w:val="2"/>
      <w:sz w:val="21"/>
      <w:szCs w:val="24"/>
    </w:rPr>
  </w:style>
  <w:style w:type="paragraph" w:customStyle="1" w:styleId="196">
    <w:name w:val="Char3"/>
    <w:basedOn w:val="1"/>
    <w:autoRedefine/>
    <w:qFormat/>
    <w:uiPriority w:val="0"/>
    <w:pPr>
      <w:tabs>
        <w:tab w:val="left" w:pos="360"/>
      </w:tabs>
    </w:pPr>
    <w:rPr>
      <w:sz w:val="24"/>
    </w:rPr>
  </w:style>
  <w:style w:type="paragraph" w:customStyle="1" w:styleId="197">
    <w:name w:val="Char3 Char Char Char2"/>
    <w:basedOn w:val="1"/>
    <w:autoRedefine/>
    <w:qFormat/>
    <w:uiPriority w:val="0"/>
    <w:rPr>
      <w:rFonts w:ascii="Tahoma" w:hAnsi="Tahoma"/>
      <w:sz w:val="24"/>
      <w:szCs w:val="20"/>
    </w:rPr>
  </w:style>
  <w:style w:type="paragraph" w:customStyle="1" w:styleId="198">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9">
    <w:name w:val="1名"/>
    <w:basedOn w:val="1"/>
    <w:autoRedefine/>
    <w:qFormat/>
    <w:uiPriority w:val="0"/>
    <w:pPr>
      <w:numPr>
        <w:ilvl w:val="0"/>
        <w:numId w:val="1"/>
      </w:numPr>
      <w:spacing w:before="120"/>
    </w:pPr>
    <w:rPr>
      <w:rFonts w:ascii="宋体"/>
      <w:sz w:val="28"/>
      <w:szCs w:val="20"/>
    </w:rPr>
  </w:style>
  <w:style w:type="paragraph" w:customStyle="1" w:styleId="20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01">
    <w:name w:val="正文文本样式"/>
    <w:basedOn w:val="1"/>
    <w:link w:val="202"/>
    <w:autoRedefine/>
    <w:qFormat/>
    <w:uiPriority w:val="0"/>
    <w:pPr>
      <w:spacing w:line="360" w:lineRule="auto"/>
      <w:ind w:firstLine="482"/>
    </w:pPr>
    <w:rPr>
      <w:rFonts w:cs="宋体"/>
      <w:sz w:val="24"/>
      <w:szCs w:val="20"/>
    </w:rPr>
  </w:style>
  <w:style w:type="character" w:customStyle="1" w:styleId="202">
    <w:name w:val="正文文本样式 Char"/>
    <w:link w:val="201"/>
    <w:autoRedefine/>
    <w:qFormat/>
    <w:locked/>
    <w:uiPriority w:val="0"/>
    <w:rPr>
      <w:rFonts w:cs="宋体"/>
      <w:kern w:val="2"/>
      <w:sz w:val="24"/>
    </w:rPr>
  </w:style>
  <w:style w:type="paragraph" w:customStyle="1" w:styleId="203">
    <w:name w:val="正文须知-3级"/>
    <w:basedOn w:val="1"/>
    <w:autoRedefine/>
    <w:qFormat/>
    <w:uiPriority w:val="0"/>
    <w:pPr>
      <w:numPr>
        <w:ilvl w:val="2"/>
        <w:numId w:val="2"/>
      </w:numPr>
      <w:adjustRightInd w:val="0"/>
      <w:snapToGrid w:val="0"/>
      <w:spacing w:line="300" w:lineRule="auto"/>
      <w:ind w:hanging="355" w:hangingChars="355"/>
    </w:pPr>
    <w:rPr>
      <w:rFonts w:ascii="宋体" w:hAnsi="Calibri"/>
      <w:sz w:val="24"/>
      <w:szCs w:val="21"/>
    </w:rPr>
  </w:style>
  <w:style w:type="paragraph" w:customStyle="1" w:styleId="204">
    <w:name w:val="样式 标题 2 + 宋体 五号 行距: 单倍行距"/>
    <w:basedOn w:val="4"/>
    <w:autoRedefine/>
    <w:qFormat/>
    <w:uiPriority w:val="0"/>
    <w:pPr>
      <w:numPr>
        <w:ilvl w:val="1"/>
        <w:numId w:val="3"/>
      </w:numPr>
      <w:autoSpaceDE/>
      <w:autoSpaceDN/>
      <w:spacing w:before="260" w:after="260" w:line="240" w:lineRule="auto"/>
      <w:jc w:val="left"/>
      <w:textAlignment w:val="baseline"/>
    </w:pPr>
    <w:rPr>
      <w:rFonts w:ascii="宋体" w:hAnsi="宋体" w:eastAsia="宋体"/>
      <w:bCs/>
      <w:sz w:val="21"/>
    </w:rPr>
  </w:style>
  <w:style w:type="paragraph" w:customStyle="1" w:styleId="205">
    <w:name w:val="内文"/>
    <w:basedOn w:val="1"/>
    <w:link w:val="206"/>
    <w:qFormat/>
    <w:uiPriority w:val="0"/>
    <w:pPr>
      <w:spacing w:line="560" w:lineRule="exact"/>
      <w:ind w:firstLine="200" w:firstLineChars="200"/>
      <w:jc w:val="left"/>
    </w:pPr>
    <w:rPr>
      <w:rFonts w:ascii="宋体" w:hAnsi="宋体" w:cs="宋体"/>
      <w:sz w:val="24"/>
      <w:szCs w:val="28"/>
    </w:rPr>
  </w:style>
  <w:style w:type="character" w:customStyle="1" w:styleId="206">
    <w:name w:val="内文 Char"/>
    <w:link w:val="205"/>
    <w:autoRedefine/>
    <w:qFormat/>
    <w:uiPriority w:val="0"/>
    <w:rPr>
      <w:rFonts w:ascii="宋体" w:hAnsi="宋体" w:cs="宋体"/>
      <w:kern w:val="2"/>
      <w:sz w:val="24"/>
      <w:szCs w:val="28"/>
    </w:rPr>
  </w:style>
  <w:style w:type="paragraph" w:customStyle="1" w:styleId="2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08">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0">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211">
    <w:name w:val="四级条标题"/>
    <w:basedOn w:val="212"/>
    <w:next w:val="1"/>
    <w:autoRedefine/>
    <w:qFormat/>
    <w:uiPriority w:val="0"/>
    <w:pPr>
      <w:numPr>
        <w:ilvl w:val="4"/>
        <w:numId w:val="0"/>
      </w:numPr>
      <w:tabs>
        <w:tab w:val="left" w:pos="360"/>
        <w:tab w:val="left" w:pos="840"/>
      </w:tabs>
      <w:ind w:hanging="840"/>
      <w:outlineLvl w:val="4"/>
    </w:pPr>
  </w:style>
  <w:style w:type="paragraph" w:customStyle="1" w:styleId="212">
    <w:name w:val="三级条标题"/>
    <w:basedOn w:val="213"/>
    <w:next w:val="1"/>
    <w:autoRedefine/>
    <w:qFormat/>
    <w:uiPriority w:val="0"/>
    <w:pPr>
      <w:numPr>
        <w:ilvl w:val="3"/>
        <w:numId w:val="4"/>
      </w:numPr>
      <w:tabs>
        <w:tab w:val="left" w:pos="360"/>
        <w:tab w:val="left" w:pos="840"/>
      </w:tabs>
      <w:ind w:left="0" w:hanging="840"/>
      <w:outlineLvl w:val="3"/>
    </w:pPr>
  </w:style>
  <w:style w:type="paragraph" w:customStyle="1" w:styleId="213">
    <w:name w:val="二级条标题"/>
    <w:basedOn w:val="214"/>
    <w:next w:val="1"/>
    <w:autoRedefine/>
    <w:qFormat/>
    <w:uiPriority w:val="0"/>
    <w:pPr>
      <w:numPr>
        <w:ilvl w:val="0"/>
      </w:numPr>
      <w:tabs>
        <w:tab w:val="left" w:pos="360"/>
        <w:tab w:val="left" w:pos="840"/>
      </w:tabs>
      <w:ind w:hanging="840"/>
      <w:outlineLvl w:val="2"/>
    </w:pPr>
    <w:rPr>
      <w:rFonts w:ascii="宋体" w:eastAsia="宋体"/>
      <w:b w:val="0"/>
    </w:rPr>
  </w:style>
  <w:style w:type="paragraph" w:customStyle="1" w:styleId="214">
    <w:name w:val="一级条标题"/>
    <w:basedOn w:val="215"/>
    <w:next w:val="1"/>
    <w:autoRedefine/>
    <w:qFormat/>
    <w:uiPriority w:val="0"/>
    <w:pPr>
      <w:numPr>
        <w:ilvl w:val="1"/>
        <w:numId w:val="0"/>
      </w:numPr>
      <w:tabs>
        <w:tab w:val="left" w:pos="360"/>
        <w:tab w:val="left" w:pos="840"/>
      </w:tabs>
      <w:ind w:hanging="840"/>
      <w:outlineLvl w:val="1"/>
    </w:pPr>
  </w:style>
  <w:style w:type="paragraph" w:customStyle="1" w:styleId="215">
    <w:name w:val="章标题"/>
    <w:next w:val="1"/>
    <w:qFormat/>
    <w:uiPriority w:val="0"/>
    <w:pPr>
      <w:numPr>
        <w:ilvl w:val="0"/>
        <w:numId w:val="4"/>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1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17">
    <w:name w:val="Char2 Char Char Char Char Char Char"/>
    <w:basedOn w:val="1"/>
    <w:autoRedefine/>
    <w:qFormat/>
    <w:uiPriority w:val="0"/>
    <w:pPr>
      <w:widowControl/>
      <w:spacing w:line="400" w:lineRule="exact"/>
      <w:jc w:val="center"/>
    </w:pPr>
  </w:style>
  <w:style w:type="paragraph" w:customStyle="1" w:styleId="218">
    <w:name w:val="内加粗"/>
    <w:basedOn w:val="205"/>
    <w:link w:val="219"/>
    <w:autoRedefine/>
    <w:qFormat/>
    <w:uiPriority w:val="0"/>
    <w:pPr>
      <w:ind w:firstLine="482"/>
    </w:pPr>
    <w:rPr>
      <w:b/>
    </w:rPr>
  </w:style>
  <w:style w:type="character" w:customStyle="1" w:styleId="219">
    <w:name w:val="内加粗 Char"/>
    <w:link w:val="218"/>
    <w:autoRedefine/>
    <w:qFormat/>
    <w:uiPriority w:val="0"/>
    <w:rPr>
      <w:rFonts w:ascii="宋体" w:hAnsi="宋体" w:cs="宋体"/>
      <w:b/>
      <w:kern w:val="2"/>
      <w:sz w:val="24"/>
      <w:szCs w:val="28"/>
    </w:rPr>
  </w:style>
  <w:style w:type="paragraph" w:customStyle="1" w:styleId="220">
    <w:name w:val="List Paragraph1"/>
    <w:basedOn w:val="1"/>
    <w:autoRedefine/>
    <w:qFormat/>
    <w:uiPriority w:val="0"/>
    <w:pPr>
      <w:ind w:firstLine="420" w:firstLineChars="200"/>
    </w:pPr>
    <w:rPr>
      <w:rFonts w:ascii="Calibri" w:hAnsi="Calibri"/>
      <w:szCs w:val="22"/>
    </w:rPr>
  </w:style>
  <w:style w:type="paragraph" w:customStyle="1" w:styleId="22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23">
    <w:name w:val="字元 字元1"/>
    <w:basedOn w:val="1"/>
    <w:autoRedefine/>
    <w:qFormat/>
    <w:uiPriority w:val="0"/>
    <w:rPr>
      <w:rFonts w:ascii="Tahoma" w:hAnsi="Tahoma"/>
      <w:sz w:val="24"/>
      <w:szCs w:val="20"/>
    </w:rPr>
  </w:style>
  <w:style w:type="paragraph" w:customStyle="1" w:styleId="224">
    <w:name w:val="五级条标题"/>
    <w:basedOn w:val="211"/>
    <w:next w:val="1"/>
    <w:qFormat/>
    <w:uiPriority w:val="0"/>
    <w:pPr>
      <w:numPr>
        <w:ilvl w:val="5"/>
      </w:numPr>
      <w:ind w:hanging="840"/>
      <w:outlineLvl w:val="5"/>
    </w:pPr>
  </w:style>
  <w:style w:type="paragraph" w:customStyle="1" w:styleId="225">
    <w:name w:val="Char21"/>
    <w:basedOn w:val="1"/>
    <w:qFormat/>
    <w:uiPriority w:val="0"/>
    <w:rPr>
      <w:rFonts w:ascii="Tahoma" w:hAnsi="Tahoma"/>
      <w:sz w:val="24"/>
      <w:szCs w:val="20"/>
    </w:rPr>
  </w:style>
  <w:style w:type="paragraph" w:customStyle="1" w:styleId="22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7">
    <w:name w:val="正文须知-2级"/>
    <w:basedOn w:val="1"/>
    <w:autoRedefine/>
    <w:qFormat/>
    <w:uiPriority w:val="0"/>
    <w:pPr>
      <w:numPr>
        <w:ilvl w:val="1"/>
        <w:numId w:val="2"/>
      </w:numPr>
      <w:adjustRightInd w:val="0"/>
      <w:snapToGrid w:val="0"/>
      <w:spacing w:line="300" w:lineRule="auto"/>
    </w:pPr>
    <w:rPr>
      <w:rFonts w:ascii="宋体" w:hAnsi="Calibri"/>
      <w:sz w:val="24"/>
      <w:szCs w:val="21"/>
    </w:rPr>
  </w:style>
  <w:style w:type="paragraph" w:customStyle="1" w:styleId="228">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9">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30">
    <w:name w:val="项目符号1"/>
    <w:basedOn w:val="201"/>
    <w:autoRedefine/>
    <w:qFormat/>
    <w:uiPriority w:val="0"/>
    <w:pPr>
      <w:ind w:left="-25" w:firstLine="0"/>
    </w:pPr>
  </w:style>
  <w:style w:type="paragraph" w:customStyle="1" w:styleId="231">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32">
    <w:name w:val="样式 标题 3 + (中文) 黑体 小四 非加粗 段前: 7.8 磅 段后: 0 磅 行距: 固定值 20 磅"/>
    <w:basedOn w:val="5"/>
    <w:autoRedefine/>
    <w:qFormat/>
    <w:uiPriority w:val="0"/>
    <w:pPr>
      <w:autoSpaceDE/>
      <w:autoSpaceDN/>
      <w:adjustRightInd/>
      <w:spacing w:before="0" w:after="0" w:line="400" w:lineRule="exact"/>
      <w:jc w:val="both"/>
    </w:pPr>
    <w:rPr>
      <w:rFonts w:eastAsia="黑体"/>
      <w:b w:val="0"/>
      <w:kern w:val="2"/>
      <w:u w:val="none"/>
    </w:rPr>
  </w:style>
  <w:style w:type="paragraph" w:customStyle="1" w:styleId="233">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4">
    <w:name w:val="1 Char Char Char Char"/>
    <w:basedOn w:val="1"/>
    <w:autoRedefine/>
    <w:qFormat/>
    <w:uiPriority w:val="0"/>
    <w:rPr>
      <w:rFonts w:ascii="Tahoma" w:hAnsi="Tahoma"/>
      <w:sz w:val="24"/>
      <w:szCs w:val="20"/>
    </w:rPr>
  </w:style>
  <w:style w:type="paragraph" w:customStyle="1" w:styleId="235">
    <w:name w:val="正文须知-1级"/>
    <w:basedOn w:val="1"/>
    <w:next w:val="1"/>
    <w:autoRedefine/>
    <w:qFormat/>
    <w:uiPriority w:val="0"/>
    <w:pPr>
      <w:numPr>
        <w:ilvl w:val="0"/>
        <w:numId w:val="2"/>
      </w:numPr>
      <w:adjustRightInd w:val="0"/>
      <w:snapToGrid w:val="0"/>
      <w:spacing w:line="300" w:lineRule="auto"/>
    </w:pPr>
    <w:rPr>
      <w:rFonts w:ascii="宋体" w:hAnsi="Calibri"/>
      <w:sz w:val="24"/>
      <w:szCs w:val="21"/>
    </w:rPr>
  </w:style>
  <w:style w:type="paragraph" w:customStyle="1" w:styleId="236">
    <w:name w:val="Body text|1"/>
    <w:basedOn w:val="1"/>
    <w:qFormat/>
    <w:uiPriority w:val="0"/>
    <w:pPr>
      <w:spacing w:after="100" w:line="480" w:lineRule="auto"/>
      <w:ind w:firstLine="400" w:firstLineChars="200"/>
    </w:pPr>
    <w:rPr>
      <w:rFonts w:ascii="宋体" w:hAnsi="宋体" w:cs="宋体"/>
      <w:sz w:val="19"/>
      <w:szCs w:val="19"/>
      <w:lang w:val="zh-TW" w:eastAsia="zh-TW" w:bidi="zh-TW"/>
    </w:rPr>
  </w:style>
  <w:style w:type="paragraph" w:customStyle="1" w:styleId="237">
    <w:name w:val="Char Char Char1 Char2"/>
    <w:basedOn w:val="1"/>
    <w:autoRedefine/>
    <w:qFormat/>
    <w:uiPriority w:val="0"/>
    <w:rPr>
      <w:rFonts w:ascii="Tahoma" w:hAnsi="Tahoma"/>
      <w:sz w:val="24"/>
      <w:szCs w:val="20"/>
    </w:rPr>
  </w:style>
  <w:style w:type="paragraph" w:customStyle="1" w:styleId="238">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paragraph" w:customStyle="1" w:styleId="23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40">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3">
    <w:name w:val="！正文"/>
    <w:basedOn w:val="1"/>
    <w:autoRedefine/>
    <w:qFormat/>
    <w:uiPriority w:val="0"/>
    <w:pPr>
      <w:spacing w:line="360" w:lineRule="auto"/>
      <w:ind w:firstLine="560" w:firstLineChars="200"/>
      <w:jc w:val="left"/>
    </w:pPr>
    <w:rPr>
      <w:rFonts w:ascii="Calibri" w:hAnsi="Calibri" w:eastAsia="仿宋_GB2312" w:cs="仿宋"/>
      <w:kern w:val="0"/>
      <w:sz w:val="28"/>
      <w:szCs w:val="28"/>
    </w:rPr>
  </w:style>
  <w:style w:type="paragraph" w:customStyle="1" w:styleId="24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5">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6">
    <w:name w:val="正文列项_数字"/>
    <w:basedOn w:val="1"/>
    <w:qFormat/>
    <w:uiPriority w:val="0"/>
    <w:pPr>
      <w:numPr>
        <w:ilvl w:val="7"/>
        <w:numId w:val="4"/>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47">
    <w:name w:val="Style1"/>
    <w:basedOn w:val="1"/>
    <w:autoRedefine/>
    <w:qFormat/>
    <w:uiPriority w:val="0"/>
    <w:pPr>
      <w:tabs>
        <w:tab w:val="left" w:pos="-720"/>
      </w:tabs>
      <w:spacing w:after="120"/>
    </w:pPr>
    <w:rPr>
      <w:spacing w:val="-3"/>
      <w:szCs w:val="20"/>
    </w:rPr>
  </w:style>
  <w:style w:type="paragraph" w:customStyle="1" w:styleId="248">
    <w:name w:val="font8"/>
    <w:basedOn w:val="1"/>
    <w:autoRedefine/>
    <w:qFormat/>
    <w:uiPriority w:val="0"/>
    <w:pPr>
      <w:widowControl/>
      <w:spacing w:before="100" w:beforeAutospacing="1" w:after="100" w:afterAutospacing="1"/>
      <w:jc w:val="left"/>
    </w:pPr>
    <w:rPr>
      <w:kern w:val="0"/>
      <w:sz w:val="36"/>
      <w:szCs w:val="36"/>
    </w:rPr>
  </w:style>
  <w:style w:type="paragraph" w:customStyle="1" w:styleId="249">
    <w:name w:val="缺省文本"/>
    <w:basedOn w:val="1"/>
    <w:qFormat/>
    <w:uiPriority w:val="0"/>
    <w:pPr>
      <w:autoSpaceDE w:val="0"/>
      <w:autoSpaceDN w:val="0"/>
      <w:adjustRightInd w:val="0"/>
      <w:jc w:val="left"/>
    </w:pPr>
    <w:rPr>
      <w:kern w:val="0"/>
      <w:sz w:val="24"/>
    </w:rPr>
  </w:style>
  <w:style w:type="paragraph" w:customStyle="1" w:styleId="250">
    <w:name w:val="表格文字"/>
    <w:basedOn w:val="33"/>
    <w:autoRedefine/>
    <w:qFormat/>
    <w:uiPriority w:val="0"/>
    <w:pPr>
      <w:spacing w:before="20" w:after="20" w:line="240" w:lineRule="auto"/>
      <w:ind w:firstLine="0"/>
    </w:pPr>
    <w:rPr>
      <w:rFonts w:ascii="Century Gothic" w:hAnsi="Century Gothic"/>
      <w:sz w:val="20"/>
      <w:szCs w:val="20"/>
    </w:rPr>
  </w:style>
  <w:style w:type="paragraph" w:customStyle="1" w:styleId="251">
    <w:name w:val="_Style 2"/>
    <w:basedOn w:val="1"/>
    <w:next w:val="1"/>
    <w:autoRedefine/>
    <w:qFormat/>
    <w:uiPriority w:val="99"/>
    <w:pPr>
      <w:ind w:firstLine="420" w:firstLineChars="200"/>
    </w:pPr>
  </w:style>
  <w:style w:type="paragraph" w:customStyle="1" w:styleId="252">
    <w:name w:val="正文 + 楷体_GB2312"/>
    <w:basedOn w:val="1"/>
    <w:qFormat/>
    <w:uiPriority w:val="0"/>
    <w:pPr>
      <w:widowControl/>
      <w:jc w:val="left"/>
    </w:pPr>
    <w:rPr>
      <w:rFonts w:ascii="楷体_GB2312" w:eastAsia="楷体_GB2312" w:cs="Arial"/>
      <w:kern w:val="0"/>
      <w:sz w:val="24"/>
    </w:rPr>
  </w:style>
  <w:style w:type="paragraph" w:customStyle="1" w:styleId="253">
    <w:name w:val="font5"/>
    <w:basedOn w:val="1"/>
    <w:link w:val="254"/>
    <w:autoRedefine/>
    <w:qFormat/>
    <w:uiPriority w:val="0"/>
    <w:pPr>
      <w:widowControl/>
      <w:spacing w:before="100" w:beforeAutospacing="1" w:after="100" w:afterAutospacing="1"/>
      <w:jc w:val="left"/>
    </w:pPr>
    <w:rPr>
      <w:rFonts w:ascii="宋体" w:hAnsi="宋体" w:cs="宋体"/>
      <w:kern w:val="0"/>
      <w:sz w:val="18"/>
      <w:szCs w:val="18"/>
    </w:rPr>
  </w:style>
  <w:style w:type="character" w:customStyle="1" w:styleId="254">
    <w:name w:val="font5 Char"/>
    <w:link w:val="253"/>
    <w:autoRedefine/>
    <w:qFormat/>
    <w:uiPriority w:val="0"/>
    <w:rPr>
      <w:rFonts w:ascii="宋体" w:hAnsi="宋体" w:cs="宋体"/>
      <w:sz w:val="18"/>
      <w:szCs w:val="18"/>
    </w:rPr>
  </w:style>
  <w:style w:type="paragraph" w:customStyle="1" w:styleId="255">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256">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57">
    <w:name w:val="图中文字"/>
    <w:basedOn w:val="1"/>
    <w:qFormat/>
    <w:uiPriority w:val="0"/>
    <w:pPr>
      <w:adjustRightInd w:val="0"/>
      <w:snapToGrid w:val="0"/>
      <w:spacing w:line="0" w:lineRule="atLeast"/>
      <w:jc w:val="center"/>
    </w:pPr>
    <w:rPr>
      <w:sz w:val="24"/>
      <w:szCs w:val="20"/>
    </w:rPr>
  </w:style>
  <w:style w:type="paragraph" w:customStyle="1" w:styleId="258">
    <w:name w:val="Char Char41"/>
    <w:basedOn w:val="1"/>
    <w:autoRedefine/>
    <w:qFormat/>
    <w:uiPriority w:val="0"/>
    <w:pPr>
      <w:widowControl/>
      <w:spacing w:line="400" w:lineRule="exact"/>
      <w:jc w:val="center"/>
    </w:pPr>
  </w:style>
  <w:style w:type="paragraph" w:customStyle="1" w:styleId="259">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6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61">
    <w:name w:val="样式2"/>
    <w:basedOn w:val="60"/>
    <w:link w:val="262"/>
    <w:qFormat/>
    <w:uiPriority w:val="0"/>
    <w:pPr>
      <w:spacing w:line="360" w:lineRule="auto"/>
      <w:jc w:val="center"/>
    </w:pPr>
    <w:rPr>
      <w:sz w:val="24"/>
    </w:rPr>
  </w:style>
  <w:style w:type="character" w:customStyle="1" w:styleId="262">
    <w:name w:val="样式2 Char"/>
    <w:link w:val="261"/>
    <w:autoRedefine/>
    <w:qFormat/>
    <w:uiPriority w:val="0"/>
    <w:rPr>
      <w:kern w:val="2"/>
      <w:sz w:val="24"/>
    </w:rPr>
  </w:style>
  <w:style w:type="paragraph" w:customStyle="1" w:styleId="263">
    <w:name w:val="项目编号2"/>
    <w:basedOn w:val="264"/>
    <w:autoRedefine/>
    <w:qFormat/>
    <w:uiPriority w:val="0"/>
    <w:pPr>
      <w:numPr>
        <w:numId w:val="5"/>
      </w:numPr>
    </w:pPr>
  </w:style>
  <w:style w:type="paragraph" w:customStyle="1" w:styleId="264">
    <w:name w:val="项目编号1"/>
    <w:basedOn w:val="1"/>
    <w:qFormat/>
    <w:uiPriority w:val="0"/>
    <w:pPr>
      <w:numPr>
        <w:ilvl w:val="0"/>
        <w:numId w:val="6"/>
      </w:numPr>
      <w:spacing w:before="100" w:beforeAutospacing="1" w:after="100" w:afterAutospacing="1" w:line="360" w:lineRule="auto"/>
    </w:pPr>
    <w:rPr>
      <w:sz w:val="24"/>
    </w:rPr>
  </w:style>
  <w:style w:type="paragraph" w:customStyle="1" w:styleId="265">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6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67">
    <w:name w:val="默认段落字体 Para Char Char Char Char"/>
    <w:basedOn w:val="1"/>
    <w:autoRedefine/>
    <w:qFormat/>
    <w:uiPriority w:val="0"/>
    <w:rPr>
      <w:rFonts w:ascii="Arial" w:hAnsi="Arial" w:cs="Arial"/>
      <w:szCs w:val="21"/>
    </w:rPr>
  </w:style>
  <w:style w:type="paragraph" w:customStyle="1" w:styleId="268">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69">
    <w:name w:val="Char3 Char Char Char1"/>
    <w:basedOn w:val="1"/>
    <w:qFormat/>
    <w:uiPriority w:val="0"/>
    <w:rPr>
      <w:rFonts w:ascii="Tahoma" w:hAnsi="Tahoma"/>
      <w:sz w:val="24"/>
      <w:szCs w:val="20"/>
    </w:rPr>
  </w:style>
  <w:style w:type="paragraph" w:customStyle="1" w:styleId="27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1">
    <w:name w:val="Char Char1"/>
    <w:basedOn w:val="25"/>
    <w:autoRedefine/>
    <w:qFormat/>
    <w:uiPriority w:val="0"/>
    <w:rPr>
      <w:rFonts w:ascii="Tahoma" w:hAnsi="Tahoma"/>
      <w:sz w:val="24"/>
    </w:rPr>
  </w:style>
  <w:style w:type="paragraph" w:customStyle="1" w:styleId="27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73">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274">
    <w:name w:val="列出段落1"/>
    <w:basedOn w:val="1"/>
    <w:link w:val="275"/>
    <w:qFormat/>
    <w:uiPriority w:val="0"/>
    <w:pPr>
      <w:ind w:firstLine="420" w:firstLineChars="200"/>
    </w:pPr>
    <w:rPr>
      <w:rFonts w:ascii="Calibri" w:hAnsi="Calibri"/>
      <w:szCs w:val="22"/>
    </w:rPr>
  </w:style>
  <w:style w:type="character" w:customStyle="1" w:styleId="275">
    <w:name w:val="列出段落 Char1"/>
    <w:link w:val="274"/>
    <w:autoRedefine/>
    <w:qFormat/>
    <w:uiPriority w:val="0"/>
    <w:rPr>
      <w:rFonts w:ascii="Calibri" w:hAnsi="Calibri"/>
      <w:kern w:val="2"/>
      <w:sz w:val="21"/>
      <w:szCs w:val="22"/>
    </w:rPr>
  </w:style>
  <w:style w:type="paragraph" w:customStyle="1" w:styleId="27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77">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78">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79">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8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81">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82">
    <w:name w:val="项目编号3"/>
    <w:basedOn w:val="201"/>
    <w:autoRedefine/>
    <w:qFormat/>
    <w:uiPriority w:val="0"/>
    <w:pPr>
      <w:numPr>
        <w:ilvl w:val="0"/>
        <w:numId w:val="7"/>
      </w:numPr>
    </w:pPr>
  </w:style>
  <w:style w:type="paragraph" w:customStyle="1" w:styleId="283">
    <w:name w:val="图例"/>
    <w:basedOn w:val="1"/>
    <w:autoRedefine/>
    <w:qFormat/>
    <w:uiPriority w:val="0"/>
    <w:pPr>
      <w:spacing w:before="120" w:after="120" w:line="360" w:lineRule="auto"/>
      <w:jc w:val="center"/>
    </w:pPr>
    <w:rPr>
      <w:rFonts w:eastAsia="仿宋_GB2312"/>
      <w:b/>
      <w:sz w:val="24"/>
      <w:szCs w:val="20"/>
    </w:rPr>
  </w:style>
  <w:style w:type="paragraph" w:customStyle="1" w:styleId="284">
    <w:name w:val="Char Char Char Char Char Char Char Char Char Char2"/>
    <w:basedOn w:val="1"/>
    <w:autoRedefine/>
    <w:qFormat/>
    <w:uiPriority w:val="0"/>
    <w:rPr>
      <w:rFonts w:ascii="宋体" w:hAnsi="宋体" w:cs="Courier New"/>
      <w:sz w:val="32"/>
      <w:szCs w:val="32"/>
    </w:rPr>
  </w:style>
  <w:style w:type="paragraph" w:customStyle="1" w:styleId="285">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86">
    <w:name w:val="正文文本样式 加粗"/>
    <w:basedOn w:val="201"/>
    <w:autoRedefine/>
    <w:qFormat/>
    <w:uiPriority w:val="0"/>
    <w:rPr>
      <w:b/>
    </w:rPr>
  </w:style>
  <w:style w:type="paragraph" w:customStyle="1" w:styleId="287">
    <w:name w:val="字元 字元2"/>
    <w:basedOn w:val="1"/>
    <w:autoRedefine/>
    <w:qFormat/>
    <w:uiPriority w:val="0"/>
    <w:rPr>
      <w:rFonts w:ascii="Tahoma" w:hAnsi="Tahoma"/>
      <w:sz w:val="24"/>
      <w:szCs w:val="20"/>
    </w:rPr>
  </w:style>
  <w:style w:type="paragraph" w:customStyle="1" w:styleId="288">
    <w:name w:val="Char Char4"/>
    <w:basedOn w:val="1"/>
    <w:qFormat/>
    <w:uiPriority w:val="0"/>
    <w:pPr>
      <w:widowControl/>
      <w:spacing w:line="400" w:lineRule="exact"/>
      <w:jc w:val="center"/>
    </w:pPr>
  </w:style>
  <w:style w:type="paragraph" w:customStyle="1" w:styleId="28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90">
    <w:name w:val="Char Char Char1 Char"/>
    <w:basedOn w:val="1"/>
    <w:autoRedefine/>
    <w:qFormat/>
    <w:uiPriority w:val="0"/>
    <w:rPr>
      <w:rFonts w:ascii="Tahoma" w:hAnsi="Tahoma"/>
      <w:sz w:val="24"/>
      <w:szCs w:val="20"/>
    </w:rPr>
  </w:style>
  <w:style w:type="paragraph" w:customStyle="1" w:styleId="291">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92">
    <w:name w:val="_Style 231"/>
    <w:autoRedefine/>
    <w:qFormat/>
    <w:uiPriority w:val="99"/>
    <w:rPr>
      <w:rFonts w:ascii="Times New Roman" w:hAnsi="Times New Roman" w:eastAsia="宋体" w:cs="Times New Roman"/>
      <w:kern w:val="2"/>
      <w:sz w:val="21"/>
      <w:szCs w:val="24"/>
      <w:lang w:val="en-US" w:eastAsia="zh-CN" w:bidi="ar-SA"/>
    </w:rPr>
  </w:style>
  <w:style w:type="paragraph" w:customStyle="1" w:styleId="293">
    <w:name w:val="Char Char Char2"/>
    <w:basedOn w:val="1"/>
    <w:autoRedefine/>
    <w:qFormat/>
    <w:uiPriority w:val="0"/>
    <w:rPr>
      <w:rFonts w:ascii="Tahoma" w:hAnsi="Tahoma"/>
      <w:sz w:val="24"/>
      <w:szCs w:val="20"/>
    </w:rPr>
  </w:style>
  <w:style w:type="paragraph" w:customStyle="1" w:styleId="294">
    <w:name w:val="Char Char Char Char Char Char Char Char Char Char1"/>
    <w:basedOn w:val="1"/>
    <w:autoRedefine/>
    <w:qFormat/>
    <w:uiPriority w:val="0"/>
    <w:rPr>
      <w:rFonts w:ascii="宋体" w:hAnsi="宋体" w:cs="Courier New"/>
      <w:sz w:val="32"/>
      <w:szCs w:val="32"/>
    </w:rPr>
  </w:style>
  <w:style w:type="paragraph" w:customStyle="1" w:styleId="295">
    <w:name w:val="Char Char Char Char Char Char Char Char Char Char"/>
    <w:basedOn w:val="1"/>
    <w:autoRedefine/>
    <w:qFormat/>
    <w:uiPriority w:val="0"/>
  </w:style>
  <w:style w:type="paragraph" w:customStyle="1" w:styleId="296">
    <w:name w:val="标题1-附件"/>
    <w:basedOn w:val="3"/>
    <w:autoRedefine/>
    <w:qFormat/>
    <w:uiPriority w:val="0"/>
    <w:pPr>
      <w:jc w:val="left"/>
    </w:pPr>
    <w:rPr>
      <w:sz w:val="24"/>
      <w:szCs w:val="24"/>
    </w:rPr>
  </w:style>
  <w:style w:type="paragraph" w:customStyle="1" w:styleId="297">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98">
    <w:name w:val="Char"/>
    <w:basedOn w:val="1"/>
    <w:autoRedefine/>
    <w:qFormat/>
    <w:uiPriority w:val="0"/>
    <w:pPr>
      <w:tabs>
        <w:tab w:val="left" w:pos="360"/>
      </w:tabs>
    </w:pPr>
    <w:rPr>
      <w:sz w:val="24"/>
    </w:rPr>
  </w:style>
  <w:style w:type="paragraph" w:customStyle="1" w:styleId="299">
    <w:name w:val="Char Char Char1 Char1"/>
    <w:basedOn w:val="1"/>
    <w:autoRedefine/>
    <w:qFormat/>
    <w:uiPriority w:val="0"/>
    <w:rPr>
      <w:rFonts w:ascii="Tahoma" w:hAnsi="Tahoma"/>
      <w:sz w:val="24"/>
      <w:szCs w:val="20"/>
    </w:rPr>
  </w:style>
  <w:style w:type="paragraph" w:customStyle="1" w:styleId="300">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1">
    <w:name w:val="表格1"/>
    <w:basedOn w:val="1"/>
    <w:link w:val="302"/>
    <w:qFormat/>
    <w:uiPriority w:val="0"/>
    <w:pPr>
      <w:ind w:firstLine="480" w:firstLineChars="200"/>
      <w:jc w:val="center"/>
    </w:pPr>
    <w:rPr>
      <w:sz w:val="24"/>
      <w:szCs w:val="20"/>
    </w:rPr>
  </w:style>
  <w:style w:type="character" w:customStyle="1" w:styleId="302">
    <w:name w:val="表格1 Char Char"/>
    <w:link w:val="301"/>
    <w:autoRedefine/>
    <w:qFormat/>
    <w:uiPriority w:val="0"/>
    <w:rPr>
      <w:kern w:val="2"/>
      <w:sz w:val="24"/>
    </w:rPr>
  </w:style>
  <w:style w:type="paragraph" w:customStyle="1" w:styleId="303">
    <w:name w:val="无间隔11"/>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04">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305">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306">
    <w:name w:val="Char Char Char"/>
    <w:basedOn w:val="1"/>
    <w:qFormat/>
    <w:uiPriority w:val="0"/>
    <w:rPr>
      <w:rFonts w:ascii="Tahoma" w:hAnsi="Tahoma"/>
      <w:sz w:val="24"/>
      <w:szCs w:val="20"/>
    </w:rPr>
  </w:style>
  <w:style w:type="paragraph" w:customStyle="1" w:styleId="307">
    <w:name w:val="Char3 Char Char Char"/>
    <w:basedOn w:val="1"/>
    <w:autoRedefine/>
    <w:qFormat/>
    <w:uiPriority w:val="0"/>
    <w:rPr>
      <w:rFonts w:ascii="Tahoma" w:hAnsi="Tahoma"/>
      <w:sz w:val="24"/>
      <w:szCs w:val="20"/>
    </w:rPr>
  </w:style>
  <w:style w:type="paragraph" w:customStyle="1" w:styleId="308">
    <w:name w:val="列出段落2"/>
    <w:basedOn w:val="1"/>
    <w:autoRedefine/>
    <w:qFormat/>
    <w:uiPriority w:val="0"/>
    <w:pPr>
      <w:ind w:firstLine="420" w:firstLineChars="200"/>
    </w:pPr>
    <w:rPr>
      <w:rFonts w:ascii="Calibri" w:hAnsi="Calibri"/>
      <w:szCs w:val="22"/>
    </w:rPr>
  </w:style>
  <w:style w:type="paragraph" w:customStyle="1" w:styleId="309">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310">
    <w:name w:val="Char1"/>
    <w:basedOn w:val="1"/>
    <w:qFormat/>
    <w:uiPriority w:val="0"/>
    <w:pPr>
      <w:tabs>
        <w:tab w:val="left" w:pos="360"/>
      </w:tabs>
    </w:pPr>
    <w:rPr>
      <w:sz w:val="24"/>
    </w:rPr>
  </w:style>
  <w:style w:type="paragraph" w:customStyle="1" w:styleId="311">
    <w:name w:val="正文列项_字母"/>
    <w:basedOn w:val="1"/>
    <w:autoRedefine/>
    <w:qFormat/>
    <w:uiPriority w:val="0"/>
    <w:pPr>
      <w:numPr>
        <w:ilvl w:val="6"/>
        <w:numId w:val="4"/>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312">
    <w:name w:val="样式 样式 样式 标题 2 + 宋体 五号 非加粗 黑色 + 段前: 6 磅 段后: 0 磅 行距: 单倍行距 + 段前: 12..."/>
    <w:basedOn w:val="1"/>
    <w:qFormat/>
    <w:uiPriority w:val="0"/>
    <w:pPr>
      <w:keepNext/>
      <w:keepLines/>
      <w:adjustRightInd w:val="0"/>
      <w:spacing w:before="240"/>
      <w:ind w:left="840"/>
      <w:jc w:val="left"/>
      <w:textAlignment w:val="baseline"/>
      <w:outlineLvl w:val="1"/>
    </w:pPr>
    <w:rPr>
      <w:rFonts w:ascii="宋体" w:hAnsi="宋体" w:cs="宋体"/>
      <w:color w:val="000000"/>
      <w:kern w:val="0"/>
      <w:szCs w:val="20"/>
      <w:lang w:val="zh-CN"/>
    </w:rPr>
  </w:style>
  <w:style w:type="paragraph" w:customStyle="1" w:styleId="313">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314">
    <w:name w:val="大标题"/>
    <w:basedOn w:val="1"/>
    <w:autoRedefine/>
    <w:qFormat/>
    <w:uiPriority w:val="0"/>
    <w:pPr>
      <w:autoSpaceDE w:val="0"/>
      <w:autoSpaceDN w:val="0"/>
      <w:spacing w:before="100" w:beforeAutospacing="1" w:after="100" w:afterAutospacing="1" w:line="360" w:lineRule="auto"/>
      <w:jc w:val="left"/>
    </w:pPr>
    <w:rPr>
      <w:rFonts w:ascii="宋体" w:cs="Arial"/>
      <w:b/>
      <w:sz w:val="32"/>
      <w:szCs w:val="32"/>
    </w:rPr>
  </w:style>
  <w:style w:type="paragraph" w:customStyle="1" w:styleId="31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316">
    <w:name w:val="Char2 Char Char Char Char Char Char1"/>
    <w:basedOn w:val="1"/>
    <w:autoRedefine/>
    <w:qFormat/>
    <w:uiPriority w:val="0"/>
    <w:pPr>
      <w:widowControl/>
      <w:spacing w:line="400" w:lineRule="exact"/>
      <w:jc w:val="center"/>
    </w:pPr>
  </w:style>
  <w:style w:type="paragraph" w:customStyle="1" w:styleId="317">
    <w:name w:val="Char Char Char1"/>
    <w:basedOn w:val="1"/>
    <w:autoRedefine/>
    <w:qFormat/>
    <w:uiPriority w:val="0"/>
    <w:rPr>
      <w:rFonts w:ascii="Tahoma" w:hAnsi="Tahoma"/>
      <w:sz w:val="24"/>
      <w:szCs w:val="20"/>
    </w:rPr>
  </w:style>
  <w:style w:type="paragraph" w:customStyle="1" w:styleId="318">
    <w:name w:val="图文"/>
    <w:basedOn w:val="1"/>
    <w:autoRedefine/>
    <w:qFormat/>
    <w:uiPriority w:val="0"/>
    <w:pPr>
      <w:adjustRightInd w:val="0"/>
      <w:snapToGrid w:val="0"/>
      <w:spacing w:after="50" w:line="360" w:lineRule="auto"/>
    </w:pPr>
    <w:rPr>
      <w:sz w:val="24"/>
    </w:rPr>
  </w:style>
  <w:style w:type="paragraph" w:customStyle="1" w:styleId="31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32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32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32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32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table" w:customStyle="1" w:styleId="324">
    <w:name w:val="Table Normal"/>
    <w:autoRedefine/>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325">
    <w:name w:val="网格型2"/>
    <w:basedOn w:val="83"/>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6">
    <w:name w:val="Table Text"/>
    <w:basedOn w:val="1"/>
    <w:autoRedefine/>
    <w:qFormat/>
    <w:uiPriority w:val="0"/>
    <w:rPr>
      <w:rFonts w:ascii="Arial" w:hAnsi="Arial" w:eastAsia="Arial" w:cs="Arial"/>
      <w:szCs w:val="21"/>
      <w:lang w:eastAsia="en-US"/>
    </w:rPr>
  </w:style>
  <w:style w:type="paragraph" w:customStyle="1" w:styleId="327">
    <w:name w:val="样式 10 磅"/>
    <w:autoRedefine/>
    <w:qFormat/>
    <w:uiPriority w:val="0"/>
    <w:pPr>
      <w:widowControl w:val="0"/>
      <w:jc w:val="both"/>
    </w:pPr>
    <w:rPr>
      <w:rFonts w:ascii="Calibri" w:hAnsi="Calibri" w:eastAsia="黑体" w:cs="Times New Roman"/>
      <w:kern w:val="2"/>
      <w:sz w:val="21"/>
      <w:szCs w:val="24"/>
      <w:lang w:val="en-US" w:eastAsia="zh-CN" w:bidi="ar-SA"/>
    </w:rPr>
  </w:style>
  <w:style w:type="character" w:customStyle="1" w:styleId="328">
    <w:name w:val="正文缩进 字符3"/>
    <w:autoRedefine/>
    <w:qFormat/>
    <w:uiPriority w:val="0"/>
    <w:rPr>
      <w:kern w:val="2"/>
      <w:sz w:val="21"/>
    </w:rPr>
  </w:style>
  <w:style w:type="character" w:customStyle="1" w:styleId="329">
    <w:name w:val="标题 8 字符3"/>
    <w:qFormat/>
    <w:uiPriority w:val="99"/>
    <w:rPr>
      <w:rFonts w:ascii="Arial" w:hAnsi="Arial" w:eastAsia="黑体"/>
      <w:kern w:val="2"/>
      <w:sz w:val="24"/>
    </w:rPr>
  </w:style>
  <w:style w:type="character" w:customStyle="1" w:styleId="330">
    <w:name w:val="批注文字 字符4"/>
    <w:autoRedefine/>
    <w:qFormat/>
    <w:uiPriority w:val="0"/>
    <w:rPr>
      <w:sz w:val="24"/>
    </w:rPr>
  </w:style>
  <w:style w:type="paragraph" w:customStyle="1" w:styleId="331">
    <w:name w:val="市场调研报告正文样式"/>
    <w:basedOn w:val="1"/>
    <w:qFormat/>
    <w:uiPriority w:val="0"/>
    <w:pPr>
      <w:spacing w:after="50" w:afterLines="50" w:line="276" w:lineRule="auto"/>
      <w:ind w:firstLine="200" w:firstLineChars="200"/>
    </w:pPr>
  </w:style>
  <w:style w:type="character" w:customStyle="1" w:styleId="332">
    <w:name w:val="HTML 预设格式 字符2"/>
    <w:autoRedefine/>
    <w:qFormat/>
    <w:uiPriority w:val="0"/>
    <w:rPr>
      <w:rFonts w:ascii="Courier New" w:hAnsi="Courier New"/>
      <w:kern w:val="2"/>
    </w:rPr>
  </w:style>
  <w:style w:type="paragraph" w:customStyle="1" w:styleId="333">
    <w:name w:val="pf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4">
    <w:name w:val="正文 缩进2字符"/>
    <w:basedOn w:val="1"/>
    <w:autoRedefine/>
    <w:qFormat/>
    <w:uiPriority w:val="0"/>
    <w:pPr>
      <w:spacing w:line="288" w:lineRule="auto"/>
    </w:pPr>
    <w:rPr>
      <w:rFonts w:ascii="宋体" w:hAnsi="宋体"/>
      <w:sz w:val="28"/>
      <w:szCs w:val="28"/>
    </w:rPr>
  </w:style>
  <w:style w:type="character" w:customStyle="1" w:styleId="335">
    <w:name w:val="宏文本 字符"/>
    <w:basedOn w:val="86"/>
    <w:link w:val="2"/>
    <w:autoRedefine/>
    <w:qFormat/>
    <w:uiPriority w:val="0"/>
    <w:rPr>
      <w:rFonts w:ascii="Courier New" w:hAnsi="Courier New" w:cs="Courier New"/>
      <w:kern w:val="2"/>
      <w:sz w:val="24"/>
      <w:szCs w:val="24"/>
    </w:rPr>
  </w:style>
  <w:style w:type="character" w:customStyle="1" w:styleId="336">
    <w:name w:val="注释标题 字符2"/>
    <w:link w:val="17"/>
    <w:autoRedefine/>
    <w:qFormat/>
    <w:uiPriority w:val="0"/>
    <w:rPr>
      <w:kern w:val="2"/>
      <w:sz w:val="21"/>
      <w:szCs w:val="24"/>
    </w:rPr>
  </w:style>
  <w:style w:type="character" w:customStyle="1" w:styleId="337">
    <w:name w:val="注释标题 字符"/>
    <w:basedOn w:val="86"/>
    <w:autoRedefine/>
    <w:qFormat/>
    <w:uiPriority w:val="0"/>
    <w:rPr>
      <w:kern w:val="2"/>
      <w:sz w:val="21"/>
      <w:szCs w:val="24"/>
    </w:rPr>
  </w:style>
  <w:style w:type="character" w:customStyle="1" w:styleId="338">
    <w:name w:val="电子邮件签名 字符"/>
    <w:basedOn w:val="86"/>
    <w:link w:val="19"/>
    <w:autoRedefine/>
    <w:qFormat/>
    <w:uiPriority w:val="0"/>
    <w:rPr>
      <w:kern w:val="2"/>
      <w:sz w:val="21"/>
      <w:szCs w:val="24"/>
    </w:rPr>
  </w:style>
  <w:style w:type="character" w:customStyle="1" w:styleId="339">
    <w:name w:val="结束语 字符"/>
    <w:basedOn w:val="86"/>
    <w:link w:val="30"/>
    <w:qFormat/>
    <w:uiPriority w:val="0"/>
    <w:rPr>
      <w:kern w:val="2"/>
      <w:sz w:val="21"/>
      <w:szCs w:val="24"/>
    </w:rPr>
  </w:style>
  <w:style w:type="character" w:customStyle="1" w:styleId="340">
    <w:name w:val="HTML 地址 字符"/>
    <w:basedOn w:val="86"/>
    <w:link w:val="40"/>
    <w:qFormat/>
    <w:uiPriority w:val="0"/>
    <w:rPr>
      <w:i/>
      <w:iCs/>
      <w:kern w:val="2"/>
      <w:sz w:val="21"/>
      <w:szCs w:val="24"/>
    </w:rPr>
  </w:style>
  <w:style w:type="character" w:customStyle="1" w:styleId="341">
    <w:name w:val="尾注文本 字符1"/>
    <w:link w:val="50"/>
    <w:autoRedefine/>
    <w:qFormat/>
    <w:uiPriority w:val="0"/>
    <w:rPr>
      <w:rFonts w:ascii="Calibri" w:hAnsi="Calibri"/>
    </w:rPr>
  </w:style>
  <w:style w:type="character" w:customStyle="1" w:styleId="342">
    <w:name w:val="尾注文本 字符"/>
    <w:basedOn w:val="86"/>
    <w:autoRedefine/>
    <w:qFormat/>
    <w:uiPriority w:val="0"/>
    <w:rPr>
      <w:kern w:val="2"/>
      <w:sz w:val="21"/>
      <w:szCs w:val="24"/>
    </w:rPr>
  </w:style>
  <w:style w:type="character" w:customStyle="1" w:styleId="343">
    <w:name w:val="签名 字符"/>
    <w:basedOn w:val="86"/>
    <w:link w:val="55"/>
    <w:autoRedefine/>
    <w:qFormat/>
    <w:uiPriority w:val="0"/>
    <w:rPr>
      <w:rFonts w:ascii="Calibri" w:hAnsi="Calibri" w:eastAsia="仿宋_GB2312"/>
      <w:sz w:val="24"/>
    </w:rPr>
  </w:style>
  <w:style w:type="character" w:customStyle="1" w:styleId="344">
    <w:name w:val="副标题 字符"/>
    <w:basedOn w:val="86"/>
    <w:link w:val="61"/>
    <w:autoRedefine/>
    <w:qFormat/>
    <w:uiPriority w:val="0"/>
    <w:rPr>
      <w:rFonts w:ascii="Cambria" w:hAnsi="Cambria"/>
      <w:b/>
      <w:bCs/>
      <w:kern w:val="28"/>
      <w:sz w:val="32"/>
      <w:szCs w:val="32"/>
    </w:rPr>
  </w:style>
  <w:style w:type="character" w:customStyle="1" w:styleId="345">
    <w:name w:val="脚注文本 字符1"/>
    <w:link w:val="64"/>
    <w:autoRedefine/>
    <w:qFormat/>
    <w:uiPriority w:val="0"/>
    <w:rPr>
      <w:sz w:val="18"/>
      <w:szCs w:val="18"/>
    </w:rPr>
  </w:style>
  <w:style w:type="character" w:customStyle="1" w:styleId="346">
    <w:name w:val="脚注文本 字符"/>
    <w:basedOn w:val="86"/>
    <w:autoRedefine/>
    <w:qFormat/>
    <w:uiPriority w:val="0"/>
    <w:rPr>
      <w:kern w:val="2"/>
      <w:sz w:val="18"/>
      <w:szCs w:val="18"/>
    </w:rPr>
  </w:style>
  <w:style w:type="character" w:customStyle="1" w:styleId="347">
    <w:name w:val="信息标题 字符"/>
    <w:basedOn w:val="86"/>
    <w:link w:val="75"/>
    <w:autoRedefine/>
    <w:qFormat/>
    <w:uiPriority w:val="0"/>
    <w:rPr>
      <w:rFonts w:ascii="Cambria" w:hAnsi="Cambria"/>
      <w:sz w:val="24"/>
      <w:szCs w:val="24"/>
      <w:shd w:val="pct20" w:color="auto" w:fill="auto"/>
    </w:rPr>
  </w:style>
  <w:style w:type="character" w:customStyle="1" w:styleId="348">
    <w:name w:val="标题 1 字符2"/>
    <w:autoRedefine/>
    <w:qFormat/>
    <w:uiPriority w:val="99"/>
    <w:rPr>
      <w:rFonts w:ascii="宋体"/>
      <w:b/>
      <w:kern w:val="44"/>
      <w:sz w:val="32"/>
    </w:rPr>
  </w:style>
  <w:style w:type="character" w:customStyle="1" w:styleId="349">
    <w:name w:val="标题 2 字符3"/>
    <w:autoRedefine/>
    <w:qFormat/>
    <w:uiPriority w:val="0"/>
    <w:rPr>
      <w:rFonts w:ascii="Arial" w:hAnsi="Arial" w:eastAsia="黑体"/>
      <w:b/>
      <w:sz w:val="30"/>
      <w:lang w:val="en-US" w:eastAsia="zh-CN" w:bidi="ar-SA"/>
    </w:rPr>
  </w:style>
  <w:style w:type="character" w:customStyle="1" w:styleId="350">
    <w:name w:val="正文缩进 字符2"/>
    <w:autoRedefine/>
    <w:qFormat/>
    <w:uiPriority w:val="0"/>
    <w:rPr>
      <w:rFonts w:ascii="宋体" w:eastAsia="宋体"/>
      <w:kern w:val="2"/>
      <w:sz w:val="24"/>
      <w:szCs w:val="24"/>
      <w:lang w:val="en-US" w:eastAsia="zh-CN" w:bidi="ar-SA"/>
    </w:rPr>
  </w:style>
  <w:style w:type="character" w:customStyle="1" w:styleId="351">
    <w:name w:val="标题 3 字符2"/>
    <w:autoRedefine/>
    <w:qFormat/>
    <w:uiPriority w:val="0"/>
    <w:rPr>
      <w:rFonts w:ascii="宋体" w:eastAsia="宋体"/>
      <w:b/>
      <w:sz w:val="24"/>
      <w:u w:val="single"/>
      <w:lang w:val="en-US" w:eastAsia="zh-CN" w:bidi="ar-SA"/>
    </w:rPr>
  </w:style>
  <w:style w:type="character" w:customStyle="1" w:styleId="352">
    <w:name w:val="标题 4 字符3"/>
    <w:autoRedefine/>
    <w:qFormat/>
    <w:uiPriority w:val="99"/>
    <w:rPr>
      <w:rFonts w:ascii="Arial" w:hAnsi="Arial" w:eastAsia="黑体"/>
      <w:b/>
      <w:sz w:val="28"/>
    </w:rPr>
  </w:style>
  <w:style w:type="character" w:customStyle="1" w:styleId="353">
    <w:name w:val="标题 5 字符3"/>
    <w:autoRedefine/>
    <w:qFormat/>
    <w:uiPriority w:val="99"/>
    <w:rPr>
      <w:b/>
      <w:sz w:val="28"/>
    </w:rPr>
  </w:style>
  <w:style w:type="character" w:customStyle="1" w:styleId="354">
    <w:name w:val="标题 6 字符3"/>
    <w:autoRedefine/>
    <w:qFormat/>
    <w:uiPriority w:val="99"/>
    <w:rPr>
      <w:rFonts w:ascii="Arial" w:hAnsi="Arial" w:eastAsia="黑体"/>
      <w:b/>
      <w:sz w:val="24"/>
    </w:rPr>
  </w:style>
  <w:style w:type="character" w:customStyle="1" w:styleId="355">
    <w:name w:val="标题 7 字符3"/>
    <w:autoRedefine/>
    <w:qFormat/>
    <w:uiPriority w:val="99"/>
    <w:rPr>
      <w:b/>
      <w:sz w:val="24"/>
    </w:rPr>
  </w:style>
  <w:style w:type="character" w:customStyle="1" w:styleId="356">
    <w:name w:val="标题 9 字符3"/>
    <w:autoRedefine/>
    <w:qFormat/>
    <w:uiPriority w:val="99"/>
    <w:rPr>
      <w:rFonts w:ascii="Arial" w:hAnsi="Arial" w:eastAsia="黑体"/>
      <w:sz w:val="21"/>
    </w:rPr>
  </w:style>
  <w:style w:type="character" w:customStyle="1" w:styleId="357">
    <w:name w:val="文档结构图 字符3"/>
    <w:autoRedefine/>
    <w:qFormat/>
    <w:uiPriority w:val="99"/>
    <w:rPr>
      <w:kern w:val="2"/>
      <w:sz w:val="21"/>
      <w:szCs w:val="24"/>
      <w:shd w:val="clear" w:color="auto" w:fill="000080"/>
    </w:rPr>
  </w:style>
  <w:style w:type="character" w:customStyle="1" w:styleId="358">
    <w:name w:val="批注文字 字符3"/>
    <w:autoRedefine/>
    <w:qFormat/>
    <w:uiPriority w:val="99"/>
    <w:rPr>
      <w:kern w:val="2"/>
      <w:sz w:val="21"/>
      <w:szCs w:val="24"/>
    </w:rPr>
  </w:style>
  <w:style w:type="character" w:customStyle="1" w:styleId="359">
    <w:name w:val="正文文本 3 字符3"/>
    <w:autoRedefine/>
    <w:qFormat/>
    <w:uiPriority w:val="99"/>
    <w:rPr>
      <w:kern w:val="2"/>
      <w:sz w:val="16"/>
      <w:szCs w:val="16"/>
    </w:rPr>
  </w:style>
  <w:style w:type="character" w:customStyle="1" w:styleId="360">
    <w:name w:val="正文文本 字符2"/>
    <w:autoRedefine/>
    <w:qFormat/>
    <w:uiPriority w:val="99"/>
    <w:rPr>
      <w:rFonts w:ascii="宋体" w:hAnsi="宋体"/>
      <w:kern w:val="2"/>
      <w:sz w:val="24"/>
      <w:szCs w:val="24"/>
    </w:rPr>
  </w:style>
  <w:style w:type="character" w:customStyle="1" w:styleId="361">
    <w:name w:val="正文文本缩进 字符3"/>
    <w:autoRedefine/>
    <w:qFormat/>
    <w:uiPriority w:val="99"/>
    <w:rPr>
      <w:rFonts w:eastAsia="宋体"/>
      <w:kern w:val="2"/>
      <w:sz w:val="24"/>
      <w:szCs w:val="24"/>
      <w:lang w:val="en-US" w:eastAsia="zh-CN" w:bidi="ar-SA"/>
    </w:rPr>
  </w:style>
  <w:style w:type="character" w:customStyle="1" w:styleId="362">
    <w:name w:val="纯文本 字符3"/>
    <w:autoRedefine/>
    <w:qFormat/>
    <w:uiPriority w:val="99"/>
    <w:rPr>
      <w:rFonts w:ascii="宋体" w:hAnsi="宋体"/>
      <w:b/>
      <w:kern w:val="2"/>
      <w:sz w:val="24"/>
      <w:szCs w:val="24"/>
    </w:rPr>
  </w:style>
  <w:style w:type="character" w:customStyle="1" w:styleId="363">
    <w:name w:val="日期 字符3"/>
    <w:autoRedefine/>
    <w:qFormat/>
    <w:uiPriority w:val="0"/>
    <w:rPr>
      <w:rFonts w:ascii="仿宋_GB2312" w:hAnsi="宋体" w:eastAsia="仿宋_GB2312"/>
      <w:color w:val="000000"/>
      <w:kern w:val="2"/>
      <w:sz w:val="24"/>
      <w:szCs w:val="24"/>
    </w:rPr>
  </w:style>
  <w:style w:type="character" w:customStyle="1" w:styleId="364">
    <w:name w:val="正文文本缩进 2 字符3"/>
    <w:autoRedefine/>
    <w:qFormat/>
    <w:uiPriority w:val="0"/>
    <w:rPr>
      <w:rFonts w:ascii="仿宋_GB2312" w:eastAsia="仿宋_GB2312"/>
      <w:kern w:val="2"/>
      <w:sz w:val="24"/>
      <w:szCs w:val="24"/>
    </w:rPr>
  </w:style>
  <w:style w:type="character" w:customStyle="1" w:styleId="365">
    <w:name w:val="批注框文本 字符3"/>
    <w:autoRedefine/>
    <w:qFormat/>
    <w:uiPriority w:val="0"/>
    <w:rPr>
      <w:kern w:val="2"/>
      <w:sz w:val="18"/>
      <w:szCs w:val="18"/>
    </w:rPr>
  </w:style>
  <w:style w:type="character" w:customStyle="1" w:styleId="366">
    <w:name w:val="页脚 字符2"/>
    <w:autoRedefine/>
    <w:qFormat/>
    <w:uiPriority w:val="0"/>
    <w:rPr>
      <w:rFonts w:ascii="宋体" w:eastAsia="宋体"/>
      <w:sz w:val="18"/>
      <w:lang w:val="en-US" w:eastAsia="zh-CN" w:bidi="ar-SA"/>
    </w:rPr>
  </w:style>
  <w:style w:type="character" w:customStyle="1" w:styleId="367">
    <w:name w:val="页眉 字符2"/>
    <w:autoRedefine/>
    <w:qFormat/>
    <w:uiPriority w:val="0"/>
    <w:rPr>
      <w:rFonts w:eastAsia="宋体"/>
      <w:kern w:val="2"/>
      <w:sz w:val="18"/>
      <w:szCs w:val="18"/>
      <w:lang w:val="en-US" w:eastAsia="zh-CN" w:bidi="ar-SA"/>
    </w:rPr>
  </w:style>
  <w:style w:type="character" w:customStyle="1" w:styleId="368">
    <w:name w:val="正文文本缩进 3 字符3"/>
    <w:autoRedefine/>
    <w:qFormat/>
    <w:uiPriority w:val="99"/>
    <w:rPr>
      <w:rFonts w:ascii="宋体"/>
      <w:sz w:val="24"/>
    </w:rPr>
  </w:style>
  <w:style w:type="character" w:customStyle="1" w:styleId="369">
    <w:name w:val="HTML 预设格式 字符3"/>
    <w:autoRedefine/>
    <w:qFormat/>
    <w:uiPriority w:val="99"/>
    <w:rPr>
      <w:rFonts w:ascii="宋体" w:hAnsi="宋体" w:cs="宋体"/>
      <w:sz w:val="24"/>
      <w:szCs w:val="24"/>
    </w:rPr>
  </w:style>
  <w:style w:type="character" w:customStyle="1" w:styleId="370">
    <w:name w:val="标题 字符3"/>
    <w:autoRedefine/>
    <w:qFormat/>
    <w:uiPriority w:val="99"/>
    <w:rPr>
      <w:b/>
      <w:kern w:val="2"/>
      <w:sz w:val="32"/>
    </w:rPr>
  </w:style>
  <w:style w:type="character" w:customStyle="1" w:styleId="371">
    <w:name w:val="批注主题 字符3"/>
    <w:autoRedefine/>
    <w:qFormat/>
    <w:uiPriority w:val="99"/>
    <w:rPr>
      <w:rFonts w:ascii="Times New Roman" w:hAnsi="Times New Roman" w:eastAsia="宋体" w:cs="Times New Roman"/>
      <w:b/>
      <w:bCs/>
      <w:kern w:val="2"/>
      <w:sz w:val="21"/>
      <w:szCs w:val="24"/>
      <w:lang w:val="en-US" w:eastAsia="zh-CN" w:bidi="ar-SA"/>
    </w:rPr>
  </w:style>
  <w:style w:type="character" w:customStyle="1" w:styleId="372">
    <w:name w:val="正文文本首行缩进 2 字符2"/>
    <w:autoRedefine/>
    <w:qFormat/>
    <w:uiPriority w:val="0"/>
    <w:rPr>
      <w:rFonts w:eastAsia="宋体"/>
      <w:kern w:val="2"/>
      <w:sz w:val="24"/>
      <w:szCs w:val="24"/>
      <w:lang w:val="en-US" w:eastAsia="zh-CN" w:bidi="ar-SA"/>
    </w:rPr>
  </w:style>
  <w:style w:type="character" w:customStyle="1" w:styleId="373">
    <w:name w:val="列表段落 字符2"/>
    <w:autoRedefine/>
    <w:qFormat/>
    <w:uiPriority w:val="34"/>
    <w:rPr>
      <w:rFonts w:ascii="Calibri" w:hAnsi="Calibri" w:eastAsia="宋体"/>
      <w:kern w:val="2"/>
      <w:sz w:val="21"/>
      <w:szCs w:val="22"/>
      <w:lang w:val="en-US" w:eastAsia="zh-CN" w:bidi="ar-SA"/>
    </w:rPr>
  </w:style>
  <w:style w:type="paragraph" w:styleId="374">
    <w:name w:val="No Spacing"/>
    <w:link w:val="37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5">
    <w:name w:val="无间隔 字符"/>
    <w:link w:val="374"/>
    <w:autoRedefine/>
    <w:qFormat/>
    <w:uiPriority w:val="0"/>
    <w:rPr>
      <w:kern w:val="2"/>
      <w:sz w:val="21"/>
      <w:szCs w:val="24"/>
    </w:rPr>
  </w:style>
  <w:style w:type="character" w:customStyle="1" w:styleId="376">
    <w:name w:val="标题 2 字符2"/>
    <w:autoRedefine/>
    <w:qFormat/>
    <w:uiPriority w:val="0"/>
    <w:rPr>
      <w:rFonts w:ascii="Arial" w:hAnsi="Arial" w:eastAsia="黑体" w:cs="Times New Roman"/>
      <w:b/>
      <w:kern w:val="0"/>
      <w:sz w:val="30"/>
      <w:szCs w:val="20"/>
    </w:rPr>
  </w:style>
  <w:style w:type="character" w:customStyle="1" w:styleId="377">
    <w:name w:val="正文文本 2 字符"/>
    <w:autoRedefine/>
    <w:qFormat/>
    <w:uiPriority w:val="0"/>
    <w:rPr>
      <w:kern w:val="2"/>
      <w:sz w:val="21"/>
      <w:szCs w:val="24"/>
    </w:rPr>
  </w:style>
  <w:style w:type="character" w:customStyle="1" w:styleId="378">
    <w:name w:val="正文文本首行缩进 字符"/>
    <w:autoRedefine/>
    <w:qFormat/>
    <w:uiPriority w:val="0"/>
    <w:rPr>
      <w:rFonts w:ascii="宋体" w:hAnsi="宋体"/>
      <w:kern w:val="2"/>
      <w:sz w:val="21"/>
      <w:szCs w:val="24"/>
    </w:rPr>
  </w:style>
  <w:style w:type="character" w:customStyle="1" w:styleId="379">
    <w:name w:val="z正文 Char"/>
    <w:link w:val="380"/>
    <w:autoRedefine/>
    <w:qFormat/>
    <w:uiPriority w:val="0"/>
    <w:rPr>
      <w:kern w:val="2"/>
      <w:sz w:val="24"/>
    </w:rPr>
  </w:style>
  <w:style w:type="paragraph" w:customStyle="1" w:styleId="380">
    <w:name w:val="z正文"/>
    <w:basedOn w:val="1"/>
    <w:next w:val="1"/>
    <w:link w:val="379"/>
    <w:autoRedefine/>
    <w:qFormat/>
    <w:uiPriority w:val="0"/>
    <w:pPr>
      <w:spacing w:line="360" w:lineRule="auto"/>
      <w:ind w:firstLine="200" w:firstLineChars="200"/>
    </w:pPr>
    <w:rPr>
      <w:sz w:val="24"/>
      <w:szCs w:val="20"/>
    </w:rPr>
  </w:style>
  <w:style w:type="character" w:customStyle="1" w:styleId="381">
    <w:name w:val="Texte Char Char"/>
    <w:autoRedefine/>
    <w:qFormat/>
    <w:uiPriority w:val="0"/>
    <w:rPr>
      <w:rFonts w:ascii="宋体" w:hAnsi="Courier New" w:eastAsia="宋体" w:cs="Times New Roman"/>
      <w:kern w:val="2"/>
      <w:sz w:val="21"/>
      <w:lang w:val="en-US" w:eastAsia="zh-CN" w:bidi="ar-SA"/>
    </w:rPr>
  </w:style>
  <w:style w:type="character" w:customStyle="1" w:styleId="382">
    <w:name w:val="product_name1"/>
    <w:autoRedefine/>
    <w:qFormat/>
    <w:uiPriority w:val="0"/>
    <w:rPr>
      <w:rFonts w:hint="default" w:ascii="Arial" w:hAnsi="Arial" w:eastAsia="宋体" w:cs="Arial"/>
      <w:b/>
      <w:bCs/>
      <w:sz w:val="24"/>
      <w:szCs w:val="24"/>
    </w:rPr>
  </w:style>
  <w:style w:type="character" w:customStyle="1" w:styleId="383">
    <w:name w:val="正文首行缩进 Char"/>
    <w:autoRedefine/>
    <w:qFormat/>
    <w:uiPriority w:val="0"/>
    <w:rPr>
      <w:rFonts w:ascii="Times New Roman" w:hAnsi="Times New Roman" w:eastAsia="宋体" w:cs="Times New Roman"/>
      <w:sz w:val="24"/>
      <w:szCs w:val="24"/>
    </w:rPr>
  </w:style>
  <w:style w:type="character" w:customStyle="1" w:styleId="384">
    <w:name w:val="段落内容二级列表 Char"/>
    <w:link w:val="385"/>
    <w:autoRedefine/>
    <w:qFormat/>
    <w:uiPriority w:val="0"/>
    <w:rPr>
      <w:rFonts w:ascii="宋体" w:hAnsi="宋体"/>
      <w:sz w:val="24"/>
      <w:szCs w:val="24"/>
      <w:lang w:bidi="en-US"/>
    </w:rPr>
  </w:style>
  <w:style w:type="paragraph" w:customStyle="1" w:styleId="385">
    <w:name w:val="段落内容二级列表"/>
    <w:basedOn w:val="1"/>
    <w:link w:val="384"/>
    <w:autoRedefine/>
    <w:qFormat/>
    <w:uiPriority w:val="0"/>
    <w:pPr>
      <w:numPr>
        <w:ilvl w:val="7"/>
        <w:numId w:val="8"/>
      </w:numPr>
    </w:pPr>
    <w:rPr>
      <w:rFonts w:ascii="宋体" w:hAnsi="宋体"/>
      <w:kern w:val="0"/>
      <w:sz w:val="24"/>
      <w:lang w:bidi="en-US"/>
    </w:rPr>
  </w:style>
  <w:style w:type="character" w:customStyle="1" w:styleId="386">
    <w:name w:val="页眉 字符1"/>
    <w:autoRedefine/>
    <w:qFormat/>
    <w:uiPriority w:val="0"/>
    <w:rPr>
      <w:rFonts w:ascii="Calibri" w:hAnsi="Calibri" w:eastAsia="宋体" w:cs="Times New Roman"/>
      <w:sz w:val="18"/>
      <w:szCs w:val="18"/>
    </w:rPr>
  </w:style>
  <w:style w:type="character" w:customStyle="1" w:styleId="387">
    <w:name w:val="正文文本缩进 3 字符2"/>
    <w:autoRedefine/>
    <w:qFormat/>
    <w:uiPriority w:val="99"/>
    <w:rPr>
      <w:rFonts w:ascii="宋体" w:hAnsi="Times New Roman" w:eastAsia="宋体" w:cs="Times New Roman"/>
      <w:kern w:val="0"/>
      <w:sz w:val="24"/>
      <w:szCs w:val="20"/>
    </w:rPr>
  </w:style>
  <w:style w:type="character" w:customStyle="1" w:styleId="388">
    <w:name w:val="正文段落内容 Char"/>
    <w:link w:val="389"/>
    <w:autoRedefine/>
    <w:qFormat/>
    <w:uiPriority w:val="0"/>
    <w:rPr>
      <w:rFonts w:ascii="宋体" w:hAnsi="宋体"/>
      <w:sz w:val="24"/>
      <w:szCs w:val="24"/>
      <w:lang w:bidi="en-US"/>
    </w:rPr>
  </w:style>
  <w:style w:type="paragraph" w:customStyle="1" w:styleId="389">
    <w:name w:val="正文段落内容"/>
    <w:basedOn w:val="1"/>
    <w:link w:val="388"/>
    <w:autoRedefine/>
    <w:qFormat/>
    <w:uiPriority w:val="0"/>
    <w:pPr>
      <w:ind w:firstLine="425" w:firstLineChars="177"/>
    </w:pPr>
    <w:rPr>
      <w:rFonts w:ascii="宋体" w:hAnsi="宋体"/>
      <w:kern w:val="0"/>
      <w:sz w:val="24"/>
      <w:lang w:bidi="en-US"/>
    </w:rPr>
  </w:style>
  <w:style w:type="character" w:customStyle="1" w:styleId="390">
    <w:name w:val="标题 8 字符2"/>
    <w:autoRedefine/>
    <w:qFormat/>
    <w:uiPriority w:val="99"/>
    <w:rPr>
      <w:rFonts w:ascii="Arial" w:hAnsi="Arial" w:eastAsia="黑体" w:cs="Times New Roman"/>
      <w:sz w:val="24"/>
    </w:rPr>
  </w:style>
  <w:style w:type="character" w:customStyle="1" w:styleId="391">
    <w:name w:val="Char Char Char Char1"/>
    <w:autoRedefine/>
    <w:qFormat/>
    <w:uiPriority w:val="0"/>
    <w:rPr>
      <w:rFonts w:ascii="宋体" w:hAnsi="Calibri" w:eastAsia="宋体" w:cs="Times New Roman"/>
      <w:kern w:val="2"/>
      <w:sz w:val="24"/>
      <w:lang w:val="en-US" w:eastAsia="zh-CN"/>
    </w:rPr>
  </w:style>
  <w:style w:type="character" w:customStyle="1" w:styleId="392">
    <w:name w:val="msonormal"/>
    <w:autoRedefine/>
    <w:qFormat/>
    <w:uiPriority w:val="0"/>
    <w:rPr>
      <w:rFonts w:ascii="Tahoma" w:hAnsi="Tahoma" w:eastAsia="仿宋_GB2312" w:cs="Times New Roman"/>
      <w:kern w:val="2"/>
      <w:sz w:val="24"/>
      <w:lang w:val="en-US" w:eastAsia="ar-SA" w:bidi="ar-SA"/>
    </w:rPr>
  </w:style>
  <w:style w:type="character" w:customStyle="1" w:styleId="393">
    <w:name w:val="正文 xxha Char"/>
    <w:link w:val="394"/>
    <w:autoRedefine/>
    <w:qFormat/>
    <w:uiPriority w:val="0"/>
    <w:rPr>
      <w:kern w:val="2"/>
      <w:sz w:val="24"/>
      <w:szCs w:val="24"/>
    </w:rPr>
  </w:style>
  <w:style w:type="paragraph" w:customStyle="1" w:styleId="394">
    <w:name w:val="正文 xxha"/>
    <w:basedOn w:val="1"/>
    <w:link w:val="393"/>
    <w:autoRedefine/>
    <w:qFormat/>
    <w:uiPriority w:val="0"/>
    <w:pPr>
      <w:snapToGrid w:val="0"/>
      <w:spacing w:line="360" w:lineRule="auto"/>
      <w:ind w:firstLine="200" w:firstLineChars="200"/>
    </w:pPr>
    <w:rPr>
      <w:sz w:val="24"/>
    </w:rPr>
  </w:style>
  <w:style w:type="character" w:customStyle="1" w:styleId="395">
    <w:name w:val="正文文本 2 Char"/>
    <w:autoRedefine/>
    <w:qFormat/>
    <w:uiPriority w:val="99"/>
    <w:rPr>
      <w:rFonts w:ascii="Times New Roman" w:hAnsi="Times New Roman" w:eastAsia="黑体" w:cs="Times New Roman"/>
      <w:bCs/>
      <w:kern w:val="2"/>
      <w:sz w:val="72"/>
      <w:szCs w:val="24"/>
    </w:rPr>
  </w:style>
  <w:style w:type="character" w:customStyle="1" w:styleId="396">
    <w:name w:val="Para head"/>
    <w:autoRedefine/>
    <w:qFormat/>
    <w:uiPriority w:val="0"/>
    <w:rPr>
      <w:rFonts w:ascii="Arial" w:hAnsi="Arial" w:eastAsia="宋体" w:cs="Times New Roman"/>
      <w:sz w:val="20"/>
    </w:rPr>
  </w:style>
  <w:style w:type="character" w:customStyle="1" w:styleId="397">
    <w:name w:val="body1"/>
    <w:autoRedefine/>
    <w:qFormat/>
    <w:uiPriority w:val="0"/>
    <w:rPr>
      <w:rFonts w:ascii="Arial" w:hAnsi="Arial" w:eastAsia="宋体" w:cs="Times New Roman"/>
      <w:color w:val="000000"/>
      <w:sz w:val="20"/>
      <w:u w:val="none"/>
    </w:rPr>
  </w:style>
  <w:style w:type="character" w:customStyle="1" w:styleId="398">
    <w:name w:val="样式 楷体_GB2312"/>
    <w:autoRedefine/>
    <w:qFormat/>
    <w:uiPriority w:val="0"/>
    <w:rPr>
      <w:rFonts w:ascii="楷体_GB2312" w:hAnsi="楷体_GB2312" w:eastAsia="楷体_GB2312" w:cs="Times New Roman"/>
    </w:rPr>
  </w:style>
  <w:style w:type="character" w:customStyle="1" w:styleId="399">
    <w:name w:val="样式 标书正文 + 黑色 Char"/>
    <w:autoRedefine/>
    <w:qFormat/>
    <w:uiPriority w:val="0"/>
    <w:rPr>
      <w:rFonts w:ascii="Calibri" w:hAnsi="Calibri" w:eastAsia="Times New Roman" w:cs="Times New Roman"/>
      <w:color w:val="000000"/>
      <w:kern w:val="2"/>
      <w:sz w:val="28"/>
      <w:lang w:val="en-US" w:eastAsia="zh-CN"/>
    </w:rPr>
  </w:style>
  <w:style w:type="character" w:customStyle="1" w:styleId="400">
    <w:name w:val="MM Topic 1 Char Char"/>
    <w:link w:val="401"/>
    <w:autoRedefine/>
    <w:qFormat/>
    <w:uiPriority w:val="0"/>
    <w:rPr>
      <w:b/>
      <w:bCs/>
      <w:kern w:val="44"/>
      <w:sz w:val="36"/>
      <w:szCs w:val="44"/>
    </w:rPr>
  </w:style>
  <w:style w:type="paragraph" w:customStyle="1" w:styleId="401">
    <w:name w:val="MM Topic 1"/>
    <w:basedOn w:val="3"/>
    <w:link w:val="400"/>
    <w:autoRedefine/>
    <w:qFormat/>
    <w:uiPriority w:val="0"/>
    <w:pPr>
      <w:autoSpaceDE/>
      <w:autoSpaceDN/>
      <w:adjustRightInd/>
      <w:spacing w:before="100" w:beforeAutospacing="1" w:after="100" w:afterAutospacing="1" w:line="576" w:lineRule="auto"/>
      <w:jc w:val="both"/>
    </w:pPr>
    <w:rPr>
      <w:rFonts w:ascii="Times New Roman"/>
      <w:bCs/>
      <w:sz w:val="36"/>
      <w:szCs w:val="44"/>
    </w:rPr>
  </w:style>
  <w:style w:type="character" w:customStyle="1" w:styleId="402">
    <w:name w:val="content1"/>
    <w:autoRedefine/>
    <w:qFormat/>
    <w:uiPriority w:val="0"/>
    <w:rPr>
      <w:rFonts w:ascii="??" w:hAnsi="??" w:eastAsia="宋体" w:cs="Times New Roman"/>
      <w:color w:val="000000"/>
      <w:sz w:val="21"/>
    </w:rPr>
  </w:style>
  <w:style w:type="character" w:customStyle="1" w:styleId="403">
    <w:name w:val="图表编号及题目 Char"/>
    <w:link w:val="404"/>
    <w:autoRedefine/>
    <w:qFormat/>
    <w:uiPriority w:val="99"/>
    <w:rPr>
      <w:rFonts w:ascii="黑体" w:eastAsia="黑体"/>
      <w:b/>
      <w:bCs/>
      <w:sz w:val="21"/>
      <w:szCs w:val="21"/>
    </w:rPr>
  </w:style>
  <w:style w:type="paragraph" w:customStyle="1" w:styleId="404">
    <w:name w:val="图表编号及题目"/>
    <w:basedOn w:val="1"/>
    <w:link w:val="403"/>
    <w:autoRedefine/>
    <w:qFormat/>
    <w:uiPriority w:val="99"/>
    <w:pPr>
      <w:adjustRightInd w:val="0"/>
      <w:snapToGrid w:val="0"/>
      <w:spacing w:before="60" w:after="60" w:line="300" w:lineRule="auto"/>
      <w:ind w:firstLine="420"/>
      <w:jc w:val="center"/>
    </w:pPr>
    <w:rPr>
      <w:rFonts w:ascii="黑体" w:eastAsia="黑体"/>
      <w:b/>
      <w:bCs/>
      <w:kern w:val="0"/>
      <w:szCs w:val="21"/>
    </w:rPr>
  </w:style>
  <w:style w:type="character" w:customStyle="1" w:styleId="405">
    <w:name w:val="日期 字符2"/>
    <w:autoRedefine/>
    <w:qFormat/>
    <w:uiPriority w:val="99"/>
    <w:rPr>
      <w:rFonts w:ascii="仿宋_GB2312" w:hAnsi="宋体" w:eastAsia="仿宋_GB2312" w:cs="Times New Roman"/>
      <w:color w:val="000000"/>
      <w:sz w:val="24"/>
      <w:szCs w:val="24"/>
    </w:rPr>
  </w:style>
  <w:style w:type="character" w:customStyle="1" w:styleId="406">
    <w:name w:val="批注主题 字符2"/>
    <w:autoRedefine/>
    <w:qFormat/>
    <w:uiPriority w:val="99"/>
    <w:rPr>
      <w:rFonts w:ascii="Times New Roman" w:hAnsi="Times New Roman" w:eastAsia="宋体" w:cs="Times New Roman"/>
      <w:b/>
      <w:bCs/>
      <w:szCs w:val="24"/>
    </w:rPr>
  </w:style>
  <w:style w:type="character" w:customStyle="1" w:styleId="407">
    <w:name w:val="WW-Zeilennummer"/>
    <w:autoRedefine/>
    <w:qFormat/>
    <w:uiPriority w:val="0"/>
    <w:rPr>
      <w:rFonts w:ascii="Arial" w:hAnsi="Arial" w:eastAsia="宋体" w:cs="Times New Roman"/>
      <w:sz w:val="18"/>
    </w:rPr>
  </w:style>
  <w:style w:type="character" w:customStyle="1" w:styleId="408">
    <w:name w:val="标题 2 字符1"/>
    <w:autoRedefine/>
    <w:qFormat/>
    <w:uiPriority w:val="0"/>
    <w:rPr>
      <w:rFonts w:ascii="Arial" w:hAnsi="Arial" w:eastAsia="黑体" w:cs="Times New Roman"/>
      <w:b/>
      <w:kern w:val="0"/>
      <w:sz w:val="30"/>
      <w:szCs w:val="20"/>
    </w:rPr>
  </w:style>
  <w:style w:type="character" w:customStyle="1" w:styleId="409">
    <w:name w:val="题注 Char"/>
    <w:autoRedefine/>
    <w:qFormat/>
    <w:uiPriority w:val="0"/>
    <w:rPr>
      <w:rFonts w:ascii="Arial" w:hAnsi="Arial" w:eastAsia="黑体" w:cs="Arial"/>
      <w:kern w:val="2"/>
      <w:lang w:eastAsia="ar-SA"/>
    </w:rPr>
  </w:style>
  <w:style w:type="character" w:customStyle="1" w:styleId="410">
    <w:name w:val="GCY 正文 Char"/>
    <w:link w:val="411"/>
    <w:autoRedefine/>
    <w:qFormat/>
    <w:uiPriority w:val="0"/>
    <w:rPr>
      <w:kern w:val="2"/>
      <w:sz w:val="24"/>
      <w:szCs w:val="24"/>
    </w:rPr>
  </w:style>
  <w:style w:type="paragraph" w:customStyle="1" w:styleId="411">
    <w:name w:val="GCY 正文"/>
    <w:basedOn w:val="1"/>
    <w:next w:val="1"/>
    <w:link w:val="410"/>
    <w:autoRedefine/>
    <w:qFormat/>
    <w:uiPriority w:val="0"/>
    <w:pPr>
      <w:spacing w:beforeLines="20" w:line="360" w:lineRule="auto"/>
      <w:ind w:firstLine="200" w:firstLineChars="200"/>
    </w:pPr>
    <w:rPr>
      <w:sz w:val="24"/>
    </w:rPr>
  </w:style>
  <w:style w:type="character" w:customStyle="1" w:styleId="412">
    <w:name w:val="Char Char5"/>
    <w:autoRedefine/>
    <w:qFormat/>
    <w:uiPriority w:val="0"/>
    <w:rPr>
      <w:rFonts w:ascii="宋体" w:hAnsi="Calibri" w:eastAsia="宋体" w:cs="Times New Roman"/>
      <w:sz w:val="24"/>
      <w:szCs w:val="24"/>
      <w:lang w:val="en-US" w:eastAsia="zh-CN" w:bidi="ar-SA"/>
    </w:rPr>
  </w:style>
  <w:style w:type="character" w:customStyle="1" w:styleId="413">
    <w:name w:val="标题 1 字符1"/>
    <w:autoRedefine/>
    <w:qFormat/>
    <w:uiPriority w:val="0"/>
    <w:rPr>
      <w:rFonts w:ascii="宋体" w:hAnsi="Times New Roman" w:eastAsia="宋体" w:cs="Times New Roman"/>
      <w:b/>
      <w:kern w:val="44"/>
      <w:sz w:val="32"/>
      <w:szCs w:val="20"/>
    </w:rPr>
  </w:style>
  <w:style w:type="character" w:customStyle="1" w:styleId="414">
    <w:name w:val="标题 字符2"/>
    <w:autoRedefine/>
    <w:qFormat/>
    <w:uiPriority w:val="10"/>
    <w:rPr>
      <w:rFonts w:ascii="Cambria" w:hAnsi="Cambria" w:eastAsia="宋体" w:cs="Times New Roman"/>
      <w:b/>
      <w:bCs/>
      <w:sz w:val="32"/>
      <w:szCs w:val="32"/>
    </w:rPr>
  </w:style>
  <w:style w:type="character" w:customStyle="1" w:styleId="415">
    <w:name w:val="Date Char"/>
    <w:autoRedefine/>
    <w:qFormat/>
    <w:uiPriority w:val="0"/>
    <w:rPr>
      <w:rFonts w:ascii="Calibri" w:hAnsi="Calibri" w:eastAsia="宋体" w:cs="Times New Roman"/>
      <w:sz w:val="20"/>
      <w:szCs w:val="20"/>
    </w:rPr>
  </w:style>
  <w:style w:type="character" w:customStyle="1" w:styleId="416">
    <w:name w:val="h6 Char1"/>
    <w:autoRedefine/>
    <w:qFormat/>
    <w:uiPriority w:val="0"/>
    <w:rPr>
      <w:rFonts w:ascii="Cambria" w:hAnsi="Cambria" w:eastAsia="宋体" w:cs="Times New Roman"/>
      <w:b/>
      <w:bCs/>
      <w:kern w:val="2"/>
      <w:sz w:val="24"/>
      <w:szCs w:val="24"/>
      <w:lang w:val="en-US" w:eastAsia="zh-CN" w:bidi="ar-SA"/>
    </w:rPr>
  </w:style>
  <w:style w:type="character" w:customStyle="1" w:styleId="417">
    <w:name w:val="tpccontent"/>
    <w:autoRedefine/>
    <w:qFormat/>
    <w:uiPriority w:val="0"/>
    <w:rPr>
      <w:rFonts w:ascii="Calibri" w:hAnsi="Calibri" w:eastAsia="宋体" w:cs="Times New Roman"/>
    </w:rPr>
  </w:style>
  <w:style w:type="character" w:customStyle="1" w:styleId="418">
    <w:name w:val="标题 7 字符2"/>
    <w:autoRedefine/>
    <w:qFormat/>
    <w:uiPriority w:val="99"/>
    <w:rPr>
      <w:rFonts w:ascii="Times New Roman" w:hAnsi="Times New Roman" w:eastAsia="宋体" w:cs="Times New Roman"/>
      <w:b/>
      <w:bCs/>
      <w:sz w:val="24"/>
      <w:szCs w:val="24"/>
    </w:rPr>
  </w:style>
  <w:style w:type="character" w:customStyle="1" w:styleId="419">
    <w:name w:val="标题 4 字符2"/>
    <w:autoRedefine/>
    <w:qFormat/>
    <w:uiPriority w:val="99"/>
    <w:rPr>
      <w:rFonts w:ascii="Arial" w:hAnsi="Arial" w:eastAsia="黑体" w:cs="Times New Roman"/>
      <w:b/>
      <w:bCs/>
      <w:sz w:val="28"/>
      <w:szCs w:val="28"/>
    </w:rPr>
  </w:style>
  <w:style w:type="character" w:customStyle="1" w:styleId="420">
    <w:name w:val="批注框文本 字符2"/>
    <w:autoRedefine/>
    <w:qFormat/>
    <w:uiPriority w:val="99"/>
    <w:rPr>
      <w:rFonts w:ascii="Times New Roman" w:hAnsi="Times New Roman" w:eastAsia="宋体" w:cs="Times New Roman"/>
      <w:sz w:val="18"/>
      <w:szCs w:val="18"/>
    </w:rPr>
  </w:style>
  <w:style w:type="character" w:customStyle="1" w:styleId="421">
    <w:name w:val="段落内容三级列表 Char"/>
    <w:link w:val="422"/>
    <w:autoRedefine/>
    <w:qFormat/>
    <w:uiPriority w:val="0"/>
    <w:rPr>
      <w:rFonts w:ascii="宋体" w:hAnsi="宋体"/>
      <w:sz w:val="24"/>
      <w:szCs w:val="24"/>
      <w:lang w:bidi="en-US"/>
    </w:rPr>
  </w:style>
  <w:style w:type="paragraph" w:customStyle="1" w:styleId="422">
    <w:name w:val="段落内容三级列表"/>
    <w:link w:val="421"/>
    <w:autoRedefine/>
    <w:qFormat/>
    <w:uiPriority w:val="0"/>
    <w:pPr>
      <w:spacing w:line="360" w:lineRule="auto"/>
    </w:pPr>
    <w:rPr>
      <w:rFonts w:ascii="宋体" w:hAnsi="宋体" w:eastAsia="宋体" w:cs="Times New Roman"/>
      <w:sz w:val="24"/>
      <w:szCs w:val="24"/>
      <w:lang w:val="en-US" w:eastAsia="zh-CN" w:bidi="en-US"/>
    </w:rPr>
  </w:style>
  <w:style w:type="character" w:customStyle="1" w:styleId="423">
    <w:name w:val="投标书正文 Char"/>
    <w:link w:val="424"/>
    <w:autoRedefine/>
    <w:qFormat/>
    <w:uiPriority w:val="0"/>
    <w:rPr>
      <w:sz w:val="24"/>
      <w:szCs w:val="24"/>
    </w:rPr>
  </w:style>
  <w:style w:type="paragraph" w:customStyle="1" w:styleId="424">
    <w:name w:val="投标书正文"/>
    <w:link w:val="423"/>
    <w:autoRedefine/>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425">
    <w:name w:val="段落内容无序列表 Char"/>
    <w:link w:val="426"/>
    <w:autoRedefine/>
    <w:qFormat/>
    <w:uiPriority w:val="0"/>
    <w:rPr>
      <w:rFonts w:ascii="宋体" w:hAnsi="宋体"/>
      <w:sz w:val="24"/>
      <w:szCs w:val="24"/>
      <w:lang w:bidi="en-US"/>
    </w:rPr>
  </w:style>
  <w:style w:type="paragraph" w:customStyle="1" w:styleId="426">
    <w:name w:val="段落内容无序列表"/>
    <w:basedOn w:val="1"/>
    <w:link w:val="425"/>
    <w:autoRedefine/>
    <w:qFormat/>
    <w:uiPriority w:val="0"/>
    <w:pPr>
      <w:widowControl/>
      <w:numPr>
        <w:ilvl w:val="0"/>
        <w:numId w:val="9"/>
      </w:numPr>
      <w:wordWrap w:val="0"/>
      <w:ind w:firstLine="177" w:firstLineChars="177"/>
    </w:pPr>
    <w:rPr>
      <w:rFonts w:ascii="宋体" w:hAnsi="宋体"/>
      <w:kern w:val="0"/>
      <w:sz w:val="24"/>
      <w:lang w:bidi="en-US"/>
    </w:rPr>
  </w:style>
  <w:style w:type="character" w:customStyle="1" w:styleId="427">
    <w:name w:val="Char Char"/>
    <w:autoRedefine/>
    <w:qFormat/>
    <w:uiPriority w:val="0"/>
    <w:rPr>
      <w:rFonts w:ascii="宋体" w:hAnsi="Calibri" w:eastAsia="宋体" w:cs="Times New Roman"/>
      <w:sz w:val="24"/>
      <w:lang w:val="en-US" w:eastAsia="zh-CN"/>
    </w:rPr>
  </w:style>
  <w:style w:type="character" w:customStyle="1" w:styleId="428">
    <w:name w:val="Char Char7"/>
    <w:autoRedefine/>
    <w:qFormat/>
    <w:uiPriority w:val="0"/>
    <w:rPr>
      <w:rFonts w:ascii="宋体" w:hAnsi="宋体" w:eastAsia="宋体" w:cs="Times New Roman"/>
      <w:b/>
      <w:sz w:val="24"/>
      <w:szCs w:val="24"/>
      <w:lang w:val="en-US" w:eastAsia="zh-CN" w:bidi="ar-SA"/>
    </w:rPr>
  </w:style>
  <w:style w:type="character" w:customStyle="1" w:styleId="429">
    <w:name w:val="正文文本 字符1"/>
    <w:autoRedefine/>
    <w:qFormat/>
    <w:uiPriority w:val="0"/>
    <w:rPr>
      <w:rFonts w:ascii="宋体" w:hAnsi="宋体" w:eastAsia="宋体" w:cs="Times New Roman"/>
      <w:sz w:val="24"/>
      <w:szCs w:val="24"/>
    </w:rPr>
  </w:style>
  <w:style w:type="character" w:customStyle="1" w:styleId="430">
    <w:name w:val="页脚 字符1"/>
    <w:autoRedefine/>
    <w:qFormat/>
    <w:uiPriority w:val="0"/>
    <w:rPr>
      <w:rFonts w:ascii="Calibri" w:hAnsi="Calibri" w:eastAsia="宋体" w:cs="Times New Roman"/>
      <w:sz w:val="18"/>
      <w:szCs w:val="18"/>
    </w:rPr>
  </w:style>
  <w:style w:type="character" w:customStyle="1" w:styleId="431">
    <w:name w:val="Char Char12"/>
    <w:autoRedefine/>
    <w:qFormat/>
    <w:uiPriority w:val="99"/>
    <w:rPr>
      <w:rFonts w:eastAsia="宋体"/>
      <w:kern w:val="2"/>
      <w:sz w:val="24"/>
      <w:lang w:val="en-US" w:eastAsia="zh-CN"/>
    </w:rPr>
  </w:style>
  <w:style w:type="character" w:customStyle="1" w:styleId="432">
    <w:name w:val="middle1"/>
    <w:autoRedefine/>
    <w:qFormat/>
    <w:uiPriority w:val="0"/>
    <w:rPr>
      <w:rFonts w:ascii="Calibri" w:hAnsi="Calibri" w:eastAsia="宋体" w:cs="Times New Roman"/>
      <w:sz w:val="21"/>
    </w:rPr>
  </w:style>
  <w:style w:type="character" w:customStyle="1" w:styleId="433">
    <w:name w:val="style11"/>
    <w:autoRedefine/>
    <w:qFormat/>
    <w:uiPriority w:val="0"/>
    <w:rPr>
      <w:color w:val="000000"/>
      <w:sz w:val="18"/>
      <w:szCs w:val="18"/>
    </w:rPr>
  </w:style>
  <w:style w:type="character" w:customStyle="1" w:styleId="434">
    <w:name w:val="正文文本缩进 2 Char1"/>
    <w:autoRedefine/>
    <w:qFormat/>
    <w:uiPriority w:val="0"/>
    <w:rPr>
      <w:rFonts w:ascii="Times New Roman" w:hAnsi="Times New Roman" w:eastAsia="宋体" w:cs="Times New Roman"/>
      <w:kern w:val="2"/>
      <w:sz w:val="21"/>
      <w:szCs w:val="24"/>
    </w:rPr>
  </w:style>
  <w:style w:type="character" w:customStyle="1" w:styleId="435">
    <w:name w:val="Char Char2"/>
    <w:autoRedefine/>
    <w:qFormat/>
    <w:uiPriority w:val="0"/>
    <w:rPr>
      <w:rFonts w:ascii="Arial" w:hAnsi="Arial" w:eastAsia="黑体" w:cs="Times New Roman"/>
      <w:b/>
      <w:bCs/>
      <w:kern w:val="2"/>
      <w:sz w:val="32"/>
      <w:szCs w:val="32"/>
      <w:lang w:val="en-US" w:eastAsia="zh-CN" w:bidi="ar-SA"/>
    </w:rPr>
  </w:style>
  <w:style w:type="character" w:customStyle="1" w:styleId="436">
    <w:name w:val="text11px1"/>
    <w:autoRedefine/>
    <w:qFormat/>
    <w:uiPriority w:val="0"/>
    <w:rPr>
      <w:rFonts w:hint="default" w:ascii="Arial" w:hAnsi="Arial" w:eastAsia="宋体" w:cs="Arial"/>
      <w:color w:val="000000"/>
      <w:sz w:val="17"/>
      <w:szCs w:val="17"/>
    </w:rPr>
  </w:style>
  <w:style w:type="character" w:customStyle="1" w:styleId="437">
    <w:name w:val="text11pxbold1"/>
    <w:autoRedefine/>
    <w:qFormat/>
    <w:uiPriority w:val="0"/>
    <w:rPr>
      <w:rFonts w:hint="default" w:ascii="Arial" w:hAnsi="Arial" w:eastAsia="宋体" w:cs="Arial"/>
      <w:b/>
      <w:bCs/>
      <w:color w:val="000000"/>
      <w:sz w:val="17"/>
      <w:szCs w:val="17"/>
    </w:rPr>
  </w:style>
  <w:style w:type="character" w:customStyle="1" w:styleId="438">
    <w:name w:val="grame"/>
    <w:autoRedefine/>
    <w:qFormat/>
    <w:uiPriority w:val="0"/>
    <w:rPr>
      <w:rFonts w:ascii="Calibri" w:hAnsi="Calibri" w:eastAsia="宋体" w:cs="Times New Roman"/>
    </w:rPr>
  </w:style>
  <w:style w:type="character" w:customStyle="1" w:styleId="439">
    <w:name w:val="表格 Char"/>
    <w:link w:val="440"/>
    <w:autoRedefine/>
    <w:qFormat/>
    <w:uiPriority w:val="0"/>
    <w:rPr>
      <w:rFonts w:ascii="华文细黑" w:hAnsi="华文细黑"/>
      <w:sz w:val="21"/>
    </w:rPr>
  </w:style>
  <w:style w:type="paragraph" w:customStyle="1" w:styleId="440">
    <w:name w:val="表格"/>
    <w:basedOn w:val="1"/>
    <w:link w:val="439"/>
    <w:autoRedefine/>
    <w:qFormat/>
    <w:uiPriority w:val="0"/>
    <w:pPr>
      <w:jc w:val="center"/>
      <w:textAlignment w:val="center"/>
    </w:pPr>
    <w:rPr>
      <w:rFonts w:ascii="华文细黑" w:hAnsi="华文细黑"/>
      <w:kern w:val="0"/>
      <w:szCs w:val="20"/>
    </w:rPr>
  </w:style>
  <w:style w:type="character" w:customStyle="1" w:styleId="441">
    <w:name w:val="MM Topic 3 Char"/>
    <w:link w:val="442"/>
    <w:autoRedefine/>
    <w:qFormat/>
    <w:uiPriority w:val="0"/>
    <w:rPr>
      <w:b/>
      <w:bCs/>
      <w:sz w:val="32"/>
      <w:szCs w:val="32"/>
    </w:rPr>
  </w:style>
  <w:style w:type="paragraph" w:customStyle="1" w:styleId="442">
    <w:name w:val="MM Topic 3"/>
    <w:basedOn w:val="5"/>
    <w:link w:val="441"/>
    <w:autoRedefine/>
    <w:qFormat/>
    <w:uiPriority w:val="0"/>
    <w:pPr>
      <w:widowControl/>
      <w:numPr>
        <w:ilvl w:val="2"/>
        <w:numId w:val="10"/>
      </w:numPr>
      <w:autoSpaceDE/>
      <w:autoSpaceDN/>
      <w:adjustRightInd/>
      <w:spacing w:before="260" w:after="260" w:line="416" w:lineRule="auto"/>
      <w:jc w:val="both"/>
    </w:pPr>
    <w:rPr>
      <w:rFonts w:ascii="Times New Roman"/>
      <w:bCs/>
      <w:sz w:val="32"/>
      <w:szCs w:val="32"/>
      <w:u w:val="none"/>
    </w:rPr>
  </w:style>
  <w:style w:type="character" w:customStyle="1" w:styleId="443">
    <w:name w:val="标题 6 字符2"/>
    <w:autoRedefine/>
    <w:qFormat/>
    <w:uiPriority w:val="99"/>
    <w:rPr>
      <w:rFonts w:ascii="Arial" w:hAnsi="Arial" w:eastAsia="黑体" w:cs="Times New Roman"/>
      <w:b/>
      <w:bCs/>
      <w:sz w:val="24"/>
      <w:szCs w:val="24"/>
    </w:rPr>
  </w:style>
  <w:style w:type="character" w:customStyle="1" w:styleId="444">
    <w:name w:val="标题 9 字符2"/>
    <w:autoRedefine/>
    <w:qFormat/>
    <w:uiPriority w:val="0"/>
    <w:rPr>
      <w:rFonts w:ascii="Arial" w:hAnsi="Arial" w:eastAsia="黑体" w:cs="Times New Roman"/>
      <w:sz w:val="21"/>
    </w:rPr>
  </w:style>
  <w:style w:type="character" w:customStyle="1" w:styleId="445">
    <w:name w:val="脚注文本 Char"/>
    <w:autoRedefine/>
    <w:qFormat/>
    <w:uiPriority w:val="0"/>
    <w:rPr>
      <w:rFonts w:ascii="Times New Roman" w:hAnsi="Times New Roman" w:eastAsia="宋体" w:cs="Times New Roman"/>
      <w:sz w:val="18"/>
      <w:szCs w:val="18"/>
    </w:rPr>
  </w:style>
  <w:style w:type="character" w:customStyle="1" w:styleId="446">
    <w:name w:val="页脚-有边框 Char Char1"/>
    <w:autoRedefine/>
    <w:qFormat/>
    <w:uiPriority w:val="0"/>
    <w:rPr>
      <w:rFonts w:ascii="Calibri" w:hAnsi="Calibri" w:eastAsia="宋体" w:cs="Times New Roman"/>
      <w:kern w:val="2"/>
      <w:sz w:val="18"/>
      <w:szCs w:val="18"/>
      <w:lang w:val="en-US" w:eastAsia="zh-CN" w:bidi="ar-SA"/>
    </w:rPr>
  </w:style>
  <w:style w:type="character" w:customStyle="1" w:styleId="447">
    <w:name w:val="样式 宋体 四号"/>
    <w:autoRedefine/>
    <w:qFormat/>
    <w:uiPriority w:val="0"/>
    <w:rPr>
      <w:rFonts w:ascii="宋体" w:hAnsi="宋体" w:eastAsia="仿宋_GB2312" w:cs="Times New Roman"/>
      <w:sz w:val="28"/>
    </w:rPr>
  </w:style>
  <w:style w:type="character" w:customStyle="1" w:styleId="448">
    <w:name w:val="pd011"/>
    <w:autoRedefine/>
    <w:qFormat/>
    <w:uiPriority w:val="0"/>
    <w:rPr>
      <w:rFonts w:hint="default" w:ascii="Arial" w:hAnsi="Arial" w:eastAsia="宋体" w:cs="Arial"/>
      <w:sz w:val="18"/>
      <w:szCs w:val="18"/>
    </w:rPr>
  </w:style>
  <w:style w:type="character" w:customStyle="1" w:styleId="449">
    <w:name w:val="书籍标题1"/>
    <w:autoRedefine/>
    <w:qFormat/>
    <w:uiPriority w:val="33"/>
    <w:rPr>
      <w:rFonts w:ascii="Calibri" w:hAnsi="Calibri" w:eastAsia="宋体" w:cs="Times New Roman"/>
      <w:b/>
      <w:bCs/>
      <w:smallCaps/>
      <w:spacing w:val="5"/>
    </w:rPr>
  </w:style>
  <w:style w:type="character" w:customStyle="1" w:styleId="450">
    <w:name w:val="样式 标书正文 + 下划线 Char"/>
    <w:autoRedefine/>
    <w:qFormat/>
    <w:uiPriority w:val="0"/>
    <w:rPr>
      <w:rFonts w:ascii="Calibri" w:hAnsi="Calibri" w:eastAsia="Times New Roman" w:cs="Times New Roman"/>
      <w:kern w:val="2"/>
      <w:sz w:val="28"/>
      <w:u w:val="single"/>
      <w:lang w:val="en-US" w:eastAsia="zh-CN"/>
    </w:rPr>
  </w:style>
  <w:style w:type="character" w:customStyle="1" w:styleId="451">
    <w:name w:val="Char Char Char Char Char1"/>
    <w:autoRedefine/>
    <w:qFormat/>
    <w:uiPriority w:val="0"/>
    <w:rPr>
      <w:rFonts w:ascii="宋体" w:hAnsi="Calibri" w:eastAsia="宋体" w:cs="Times New Roman"/>
      <w:kern w:val="2"/>
      <w:sz w:val="24"/>
      <w:lang w:val="en-US" w:eastAsia="zh-CN"/>
    </w:rPr>
  </w:style>
  <w:style w:type="character" w:customStyle="1" w:styleId="452">
    <w:name w:val="my正文 Char"/>
    <w:link w:val="453"/>
    <w:autoRedefine/>
    <w:qFormat/>
    <w:uiPriority w:val="0"/>
    <w:rPr>
      <w:kern w:val="2"/>
      <w:sz w:val="24"/>
      <w:szCs w:val="24"/>
    </w:rPr>
  </w:style>
  <w:style w:type="paragraph" w:customStyle="1" w:styleId="453">
    <w:name w:val="my正文"/>
    <w:basedOn w:val="1"/>
    <w:link w:val="452"/>
    <w:autoRedefine/>
    <w:qFormat/>
    <w:uiPriority w:val="0"/>
    <w:pPr>
      <w:spacing w:line="360" w:lineRule="auto"/>
      <w:ind w:firstLine="480" w:firstLineChars="200"/>
    </w:pPr>
    <w:rPr>
      <w:sz w:val="24"/>
    </w:rPr>
  </w:style>
  <w:style w:type="character" w:customStyle="1" w:styleId="454">
    <w:name w:val="GP正文(首行缩进) Char"/>
    <w:link w:val="455"/>
    <w:autoRedefine/>
    <w:qFormat/>
    <w:uiPriority w:val="0"/>
    <w:rPr>
      <w:rFonts w:ascii="宋体" w:hAnsi="宋体"/>
      <w:sz w:val="24"/>
      <w:szCs w:val="24"/>
    </w:rPr>
  </w:style>
  <w:style w:type="paragraph" w:customStyle="1" w:styleId="455">
    <w:name w:val="GP正文(首行缩进)"/>
    <w:basedOn w:val="1"/>
    <w:link w:val="454"/>
    <w:autoRedefine/>
    <w:qFormat/>
    <w:uiPriority w:val="0"/>
    <w:pPr>
      <w:ind w:firstLine="482"/>
    </w:pPr>
    <w:rPr>
      <w:rFonts w:ascii="宋体" w:hAnsi="宋体"/>
      <w:kern w:val="0"/>
      <w:sz w:val="24"/>
    </w:rPr>
  </w:style>
  <w:style w:type="character" w:customStyle="1" w:styleId="456">
    <w:name w:val="标书突出内容（文字加粗） Char"/>
    <w:link w:val="457"/>
    <w:autoRedefine/>
    <w:qFormat/>
    <w:uiPriority w:val="1"/>
    <w:rPr>
      <w:rFonts w:ascii="宋体" w:hAnsi="宋体"/>
      <w:b/>
      <w:sz w:val="24"/>
      <w:szCs w:val="24"/>
      <w:lang w:bidi="en-US"/>
    </w:rPr>
  </w:style>
  <w:style w:type="paragraph" w:customStyle="1" w:styleId="457">
    <w:name w:val="标书突出内容（文字加粗）"/>
    <w:basedOn w:val="389"/>
    <w:next w:val="389"/>
    <w:link w:val="456"/>
    <w:autoRedefine/>
    <w:qFormat/>
    <w:uiPriority w:val="1"/>
    <w:rPr>
      <w:b/>
    </w:rPr>
  </w:style>
  <w:style w:type="character" w:customStyle="1" w:styleId="458">
    <w:name w:val="正文文本 3 字符2"/>
    <w:autoRedefine/>
    <w:qFormat/>
    <w:uiPriority w:val="99"/>
    <w:rPr>
      <w:rFonts w:ascii="宋体" w:hAnsi="宋体" w:eastAsia="宋体" w:cs="Times New Roman"/>
      <w:b/>
      <w:sz w:val="24"/>
      <w:szCs w:val="24"/>
    </w:rPr>
  </w:style>
  <w:style w:type="character" w:customStyle="1" w:styleId="459">
    <w:name w:val="样式 粉红"/>
    <w:autoRedefine/>
    <w:qFormat/>
    <w:uiPriority w:val="0"/>
    <w:rPr>
      <w:rFonts w:ascii="Calibri" w:hAnsi="Calibri" w:eastAsia="宋体" w:cs="Times New Roman"/>
      <w:color w:val="auto"/>
      <w:u w:val="none"/>
    </w:rPr>
  </w:style>
  <w:style w:type="character" w:customStyle="1" w:styleId="460">
    <w:name w:val="WW-默认段落字体"/>
    <w:autoRedefine/>
    <w:qFormat/>
    <w:uiPriority w:val="0"/>
    <w:rPr>
      <w:rFonts w:ascii="Calibri" w:hAnsi="Calibri" w:eastAsia="宋体" w:cs="Times New Roman"/>
    </w:rPr>
  </w:style>
  <w:style w:type="character" w:customStyle="1" w:styleId="461">
    <w:name w:val="样式 (西文) 仿宋_GB2312 (中文) 仿宋_GB2312 三号"/>
    <w:autoRedefine/>
    <w:qFormat/>
    <w:uiPriority w:val="0"/>
    <w:rPr>
      <w:rFonts w:ascii="仿宋_GB2312" w:hAnsi="仿宋_GB2312" w:eastAsia="仿宋_GB2312" w:cs="Times New Roman"/>
      <w:sz w:val="24"/>
    </w:rPr>
  </w:style>
  <w:style w:type="character" w:customStyle="1" w:styleId="462">
    <w:name w:val="标题正文 Char"/>
    <w:link w:val="463"/>
    <w:autoRedefine/>
    <w:qFormat/>
    <w:uiPriority w:val="0"/>
    <w:rPr>
      <w:rFonts w:ascii="宋体" w:hAnsi="宋体"/>
      <w:spacing w:val="12"/>
      <w:kern w:val="2"/>
      <w:sz w:val="28"/>
      <w:szCs w:val="24"/>
    </w:rPr>
  </w:style>
  <w:style w:type="paragraph" w:customStyle="1" w:styleId="463">
    <w:name w:val="标题正文"/>
    <w:basedOn w:val="1"/>
    <w:link w:val="462"/>
    <w:autoRedefine/>
    <w:qFormat/>
    <w:uiPriority w:val="0"/>
    <w:pPr>
      <w:adjustRightInd w:val="0"/>
      <w:snapToGrid w:val="0"/>
      <w:spacing w:line="360" w:lineRule="auto"/>
      <w:ind w:firstLine="200" w:firstLineChars="200"/>
    </w:pPr>
    <w:rPr>
      <w:rFonts w:ascii="宋体" w:hAnsi="宋体"/>
      <w:spacing w:val="12"/>
      <w:sz w:val="28"/>
    </w:rPr>
  </w:style>
  <w:style w:type="character" w:customStyle="1" w:styleId="464">
    <w:name w:val="正文文本缩进 字符2"/>
    <w:autoRedefine/>
    <w:qFormat/>
    <w:uiPriority w:val="99"/>
    <w:rPr>
      <w:rFonts w:ascii="Times New Roman" w:hAnsi="Times New Roman" w:eastAsia="宋体" w:cs="Times New Roman"/>
      <w:sz w:val="24"/>
      <w:szCs w:val="24"/>
    </w:rPr>
  </w:style>
  <w:style w:type="character" w:customStyle="1" w:styleId="465">
    <w:name w:val="Char Char6"/>
    <w:autoRedefine/>
    <w:qFormat/>
    <w:uiPriority w:val="0"/>
    <w:rPr>
      <w:rFonts w:ascii="Calibri" w:hAnsi="Calibri" w:eastAsia="宋体" w:cs="Times New Roman"/>
      <w:kern w:val="2"/>
      <w:sz w:val="21"/>
      <w:szCs w:val="24"/>
      <w:lang w:val="en-US" w:eastAsia="zh-CN" w:bidi="ar-SA"/>
    </w:rPr>
  </w:style>
  <w:style w:type="character" w:customStyle="1" w:styleId="466">
    <w:name w:val="图片（居中） Char"/>
    <w:link w:val="467"/>
    <w:autoRedefine/>
    <w:qFormat/>
    <w:uiPriority w:val="0"/>
    <w:rPr>
      <w:rFonts w:ascii="宋体" w:hAnsi="宋体"/>
      <w:sz w:val="24"/>
      <w:szCs w:val="24"/>
      <w:lang w:bidi="en-US"/>
    </w:rPr>
  </w:style>
  <w:style w:type="paragraph" w:customStyle="1" w:styleId="467">
    <w:name w:val="图片（居中）"/>
    <w:basedOn w:val="1"/>
    <w:next w:val="389"/>
    <w:link w:val="466"/>
    <w:autoRedefine/>
    <w:qFormat/>
    <w:uiPriority w:val="0"/>
    <w:pPr>
      <w:jc w:val="center"/>
    </w:pPr>
    <w:rPr>
      <w:rFonts w:ascii="宋体" w:hAnsi="宋体"/>
      <w:kern w:val="0"/>
      <w:sz w:val="24"/>
      <w:lang w:bidi="en-US"/>
    </w:rPr>
  </w:style>
  <w:style w:type="character" w:customStyle="1" w:styleId="468">
    <w:name w:val="文档结构图 字符2"/>
    <w:autoRedefine/>
    <w:qFormat/>
    <w:uiPriority w:val="99"/>
    <w:rPr>
      <w:rFonts w:ascii="Times New Roman" w:hAnsi="Times New Roman" w:eastAsia="宋体" w:cs="Times New Roman"/>
      <w:szCs w:val="24"/>
      <w:shd w:val="clear" w:color="auto" w:fill="000080"/>
    </w:rPr>
  </w:style>
  <w:style w:type="character" w:customStyle="1" w:styleId="469">
    <w:name w:val="标题 3 字符1"/>
    <w:autoRedefine/>
    <w:qFormat/>
    <w:uiPriority w:val="0"/>
    <w:rPr>
      <w:rFonts w:ascii="宋体" w:hAnsi="Times New Roman" w:eastAsia="宋体" w:cs="Times New Roman"/>
      <w:b/>
      <w:kern w:val="0"/>
      <w:sz w:val="24"/>
      <w:szCs w:val="20"/>
      <w:u w:val="single"/>
    </w:rPr>
  </w:style>
  <w:style w:type="character" w:customStyle="1" w:styleId="470">
    <w:name w:val="headline-content2"/>
    <w:autoRedefine/>
    <w:qFormat/>
    <w:uiPriority w:val="0"/>
    <w:rPr>
      <w:rFonts w:ascii="Calibri" w:hAnsi="Calibri" w:eastAsia="宋体" w:cs="Times New Roman"/>
    </w:rPr>
  </w:style>
  <w:style w:type="character" w:customStyle="1" w:styleId="471">
    <w:name w:val="Char Char Char Char Char2"/>
    <w:autoRedefine/>
    <w:qFormat/>
    <w:uiPriority w:val="0"/>
    <w:rPr>
      <w:rFonts w:ascii="宋体" w:hAnsi="Calibri" w:eastAsia="宋体" w:cs="Times New Roman"/>
      <w:sz w:val="24"/>
      <w:lang w:val="en-US" w:eastAsia="zh-CN"/>
    </w:rPr>
  </w:style>
  <w:style w:type="character" w:customStyle="1" w:styleId="472">
    <w:name w:val="MM Topic 3 Char Char"/>
    <w:autoRedefine/>
    <w:qFormat/>
    <w:uiPriority w:val="0"/>
    <w:rPr>
      <w:rFonts w:ascii="Calibri" w:hAnsi="Calibri" w:eastAsia="宋体" w:cs="Times New Roman"/>
      <w:b/>
      <w:bCs/>
      <w:sz w:val="30"/>
      <w:szCs w:val="32"/>
    </w:rPr>
  </w:style>
  <w:style w:type="character" w:customStyle="1" w:styleId="473">
    <w:name w:val="BISM正文 Char Char"/>
    <w:link w:val="474"/>
    <w:autoRedefine/>
    <w:qFormat/>
    <w:uiPriority w:val="0"/>
    <w:rPr>
      <w:rFonts w:ascii="宋体" w:hAnsi="宋体"/>
      <w:kern w:val="2"/>
      <w:sz w:val="24"/>
      <w:szCs w:val="24"/>
    </w:rPr>
  </w:style>
  <w:style w:type="paragraph" w:customStyle="1" w:styleId="474">
    <w:name w:val="BISM正文"/>
    <w:basedOn w:val="1"/>
    <w:link w:val="473"/>
    <w:autoRedefine/>
    <w:qFormat/>
    <w:uiPriority w:val="0"/>
    <w:pPr>
      <w:spacing w:line="360" w:lineRule="auto"/>
      <w:ind w:firstLine="200" w:firstLineChars="200"/>
    </w:pPr>
    <w:rPr>
      <w:rFonts w:ascii="宋体" w:hAnsi="宋体"/>
      <w:sz w:val="24"/>
    </w:rPr>
  </w:style>
  <w:style w:type="character" w:customStyle="1" w:styleId="475">
    <w:name w:val="xh"/>
    <w:autoRedefine/>
    <w:qFormat/>
    <w:uiPriority w:val="0"/>
    <w:rPr>
      <w:rFonts w:ascii="Calibri" w:hAnsi="Calibri" w:eastAsia="宋体" w:cs="Times New Roman"/>
    </w:rPr>
  </w:style>
  <w:style w:type="character" w:customStyle="1" w:styleId="476">
    <w:name w:val="font161"/>
    <w:autoRedefine/>
    <w:qFormat/>
    <w:uiPriority w:val="0"/>
    <w:rPr>
      <w:rFonts w:ascii="Calibri" w:hAnsi="Calibri" w:eastAsia="宋体" w:cs="Times New Roman"/>
      <w:b/>
      <w:bCs/>
      <w:sz w:val="32"/>
      <w:szCs w:val="32"/>
    </w:rPr>
  </w:style>
  <w:style w:type="character" w:customStyle="1" w:styleId="477">
    <w:name w:val="日期 Char1"/>
    <w:autoRedefine/>
    <w:qFormat/>
    <w:uiPriority w:val="0"/>
    <w:rPr>
      <w:rFonts w:ascii="Times New Roman" w:hAnsi="Times New Roman" w:eastAsia="宋体" w:cs="Times New Roman"/>
      <w:sz w:val="20"/>
      <w:szCs w:val="20"/>
    </w:rPr>
  </w:style>
  <w:style w:type="character" w:customStyle="1" w:styleId="478">
    <w:name w:val="MM Topic 2 Char Char"/>
    <w:autoRedefine/>
    <w:qFormat/>
    <w:uiPriority w:val="0"/>
    <w:rPr>
      <w:rFonts w:ascii="Cambria" w:hAnsi="Cambria" w:eastAsia="宋体" w:cs="黑体"/>
      <w:b/>
      <w:bCs/>
      <w:sz w:val="32"/>
      <w:szCs w:val="32"/>
    </w:rPr>
  </w:style>
  <w:style w:type="character" w:customStyle="1" w:styleId="479">
    <w:name w:val="Char Char31"/>
    <w:autoRedefine/>
    <w:qFormat/>
    <w:uiPriority w:val="0"/>
    <w:rPr>
      <w:rFonts w:ascii="宋体" w:hAnsi="Calibri" w:eastAsia="宋体" w:cs="Times New Roman"/>
      <w:b/>
      <w:bCs/>
      <w:sz w:val="24"/>
      <w:szCs w:val="24"/>
      <w:lang w:val="en-US" w:eastAsia="zh-CN" w:bidi="ar-SA"/>
    </w:rPr>
  </w:style>
  <w:style w:type="character" w:customStyle="1" w:styleId="480">
    <w:name w:val="合同标题 Char Char"/>
    <w:autoRedefine/>
    <w:qFormat/>
    <w:uiPriority w:val="0"/>
    <w:rPr>
      <w:rFonts w:ascii="黑体" w:hAnsi="Calibri" w:eastAsia="黑体" w:cs="Times New Roman"/>
      <w:b/>
      <w:sz w:val="21"/>
      <w:szCs w:val="24"/>
      <w:lang w:val="en-US" w:eastAsia="zh-CN" w:bidi="ar-SA"/>
    </w:rPr>
  </w:style>
  <w:style w:type="character" w:customStyle="1" w:styleId="481">
    <w:name w:val="正文缩进 字符1"/>
    <w:autoRedefine/>
    <w:qFormat/>
    <w:uiPriority w:val="0"/>
    <w:rPr>
      <w:rFonts w:ascii="宋体" w:hAnsi="Times New Roman" w:eastAsia="宋体" w:cs="Times New Roman"/>
      <w:kern w:val="0"/>
      <w:sz w:val="24"/>
      <w:szCs w:val="20"/>
    </w:rPr>
  </w:style>
  <w:style w:type="character" w:customStyle="1" w:styleId="482">
    <w:name w:val="标题 5 字符2"/>
    <w:autoRedefine/>
    <w:qFormat/>
    <w:uiPriority w:val="99"/>
    <w:rPr>
      <w:b/>
      <w:bCs/>
      <w:sz w:val="28"/>
      <w:szCs w:val="28"/>
      <w:lang w:eastAsia="ar-SA"/>
    </w:rPr>
  </w:style>
  <w:style w:type="character" w:customStyle="1" w:styleId="483">
    <w:name w:val="z21"/>
    <w:autoRedefine/>
    <w:qFormat/>
    <w:uiPriority w:val="0"/>
    <w:rPr>
      <w:rFonts w:ascii="Calibri" w:hAnsi="Calibri" w:eastAsia="宋体" w:cs="Times New Roman"/>
      <w:color w:val="666666"/>
      <w:sz w:val="24"/>
      <w:szCs w:val="24"/>
    </w:rPr>
  </w:style>
  <w:style w:type="character" w:customStyle="1" w:styleId="484">
    <w:name w:val="gray9pt1"/>
    <w:autoRedefine/>
    <w:qFormat/>
    <w:uiPriority w:val="0"/>
    <w:rPr>
      <w:rFonts w:hint="default" w:ascii="Arial" w:hAnsi="Arial" w:eastAsia="宋体" w:cs="Arial"/>
      <w:color w:val="666666"/>
      <w:sz w:val="18"/>
      <w:szCs w:val="18"/>
    </w:rPr>
  </w:style>
  <w:style w:type="character" w:customStyle="1" w:styleId="485">
    <w:name w:val="Char Char3"/>
    <w:autoRedefine/>
    <w:qFormat/>
    <w:uiPriority w:val="0"/>
    <w:rPr>
      <w:rFonts w:ascii="Calibri" w:hAnsi="Calibri" w:eastAsia="宋体" w:cs="Times New Roman"/>
      <w:sz w:val="24"/>
      <w:lang w:val="en-US" w:eastAsia="zh-CN" w:bidi="ar-SA"/>
    </w:rPr>
  </w:style>
  <w:style w:type="character" w:customStyle="1" w:styleId="486">
    <w:name w:val="段落内容一级列表 Char"/>
    <w:link w:val="487"/>
    <w:autoRedefine/>
    <w:qFormat/>
    <w:uiPriority w:val="0"/>
    <w:rPr>
      <w:rFonts w:ascii="宋体" w:hAnsi="宋体"/>
      <w:sz w:val="24"/>
      <w:szCs w:val="24"/>
      <w:lang w:bidi="en-US"/>
    </w:rPr>
  </w:style>
  <w:style w:type="paragraph" w:customStyle="1" w:styleId="487">
    <w:name w:val="段落内容一级列表"/>
    <w:basedOn w:val="1"/>
    <w:link w:val="486"/>
    <w:autoRedefine/>
    <w:qFormat/>
    <w:uiPriority w:val="0"/>
    <w:pPr>
      <w:numPr>
        <w:ilvl w:val="6"/>
        <w:numId w:val="8"/>
      </w:numPr>
      <w:adjustRightInd w:val="0"/>
    </w:pPr>
    <w:rPr>
      <w:rFonts w:ascii="宋体" w:hAnsi="宋体"/>
      <w:kern w:val="0"/>
      <w:sz w:val="24"/>
      <w:lang w:bidi="en-US"/>
    </w:rPr>
  </w:style>
  <w:style w:type="character" w:customStyle="1" w:styleId="488">
    <w:name w:val="biaotizi1"/>
    <w:autoRedefine/>
    <w:qFormat/>
    <w:uiPriority w:val="0"/>
    <w:rPr>
      <w:rFonts w:ascii="Calibri" w:hAnsi="Calibri" w:eastAsia="宋体" w:cs="Times New Roman"/>
      <w:color w:val="0A2656"/>
      <w:sz w:val="18"/>
      <w:szCs w:val="18"/>
      <w:u w:val="none"/>
    </w:rPr>
  </w:style>
  <w:style w:type="character" w:customStyle="1" w:styleId="489">
    <w:name w:val="MM Topic 4 Char Char"/>
    <w:link w:val="490"/>
    <w:autoRedefine/>
    <w:qFormat/>
    <w:uiPriority w:val="0"/>
    <w:rPr>
      <w:rFonts w:ascii="Arial" w:hAnsi="Arial" w:eastAsia="黑体"/>
      <w:b/>
      <w:bCs/>
      <w:sz w:val="28"/>
      <w:szCs w:val="28"/>
    </w:rPr>
  </w:style>
  <w:style w:type="paragraph" w:customStyle="1" w:styleId="490">
    <w:name w:val="MM Topic 4"/>
    <w:basedOn w:val="8"/>
    <w:link w:val="489"/>
    <w:autoRedefine/>
    <w:qFormat/>
    <w:uiPriority w:val="0"/>
    <w:pPr>
      <w:adjustRightInd/>
      <w:spacing w:before="100" w:beforeAutospacing="1" w:after="100" w:afterAutospacing="1" w:line="374" w:lineRule="auto"/>
      <w:textAlignment w:val="auto"/>
    </w:pPr>
    <w:rPr>
      <w:bCs/>
      <w:szCs w:val="28"/>
    </w:rPr>
  </w:style>
  <w:style w:type="character" w:customStyle="1" w:styleId="491">
    <w:name w:val="批注文字 字符2"/>
    <w:autoRedefine/>
    <w:qFormat/>
    <w:uiPriority w:val="99"/>
    <w:rPr>
      <w:rFonts w:ascii="Times New Roman" w:hAnsi="Times New Roman" w:eastAsia="宋体" w:cs="Times New Roman"/>
      <w:szCs w:val="24"/>
    </w:rPr>
  </w:style>
  <w:style w:type="character" w:customStyle="1" w:styleId="492">
    <w:name w:val="正文文本缩进 2 字符2"/>
    <w:autoRedefine/>
    <w:qFormat/>
    <w:uiPriority w:val="99"/>
    <w:rPr>
      <w:rFonts w:ascii="仿宋_GB2312" w:hAnsi="Times New Roman" w:eastAsia="仿宋_GB2312" w:cs="Times New Roman"/>
      <w:sz w:val="24"/>
      <w:szCs w:val="24"/>
    </w:rPr>
  </w:style>
  <w:style w:type="character" w:customStyle="1" w:styleId="493">
    <w:name w:val="正文文本 Char1"/>
    <w:autoRedefine/>
    <w:qFormat/>
    <w:uiPriority w:val="99"/>
    <w:rPr>
      <w:rFonts w:ascii="Times New Roman" w:hAnsi="Times New Roman" w:eastAsia="宋体" w:cs="Times New Roman"/>
      <w:kern w:val="2"/>
      <w:sz w:val="21"/>
      <w:szCs w:val="24"/>
    </w:rPr>
  </w:style>
  <w:style w:type="character" w:customStyle="1" w:styleId="494">
    <w:name w:val="MM Topic 2 Char"/>
    <w:link w:val="495"/>
    <w:autoRedefine/>
    <w:qFormat/>
    <w:uiPriority w:val="0"/>
    <w:rPr>
      <w:rFonts w:ascii="Cambria" w:hAnsi="Cambria"/>
      <w:b/>
      <w:bCs/>
      <w:sz w:val="32"/>
      <w:szCs w:val="32"/>
    </w:rPr>
  </w:style>
  <w:style w:type="paragraph" w:customStyle="1" w:styleId="495">
    <w:name w:val="MM Topic 2"/>
    <w:basedOn w:val="4"/>
    <w:link w:val="494"/>
    <w:autoRedefine/>
    <w:qFormat/>
    <w:uiPriority w:val="0"/>
    <w:pPr>
      <w:widowControl/>
      <w:numPr>
        <w:ilvl w:val="1"/>
        <w:numId w:val="10"/>
      </w:numPr>
      <w:autoSpaceDE/>
      <w:autoSpaceDN/>
      <w:adjustRightInd/>
      <w:spacing w:before="260" w:after="260" w:line="416" w:lineRule="auto"/>
    </w:pPr>
    <w:rPr>
      <w:rFonts w:ascii="Cambria" w:hAnsi="Cambria" w:eastAsia="宋体"/>
      <w:bCs/>
      <w:sz w:val="32"/>
      <w:szCs w:val="32"/>
    </w:rPr>
  </w:style>
  <w:style w:type="paragraph" w:customStyle="1" w:styleId="496">
    <w:name w:val="样式一"/>
    <w:basedOn w:val="1"/>
    <w:autoRedefine/>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497">
    <w:name w:val="标题2"/>
    <w:basedOn w:val="4"/>
    <w:autoRedefine/>
    <w:qFormat/>
    <w:uiPriority w:val="0"/>
    <w:pPr>
      <w:widowControl/>
      <w:autoSpaceDE/>
      <w:autoSpaceDN/>
      <w:adjustRightInd/>
      <w:spacing w:before="260" w:after="260" w:line="360" w:lineRule="auto"/>
      <w:ind w:left="426"/>
    </w:pPr>
    <w:rPr>
      <w:rFonts w:ascii="Times New Roman" w:hAnsi="Times New Roman" w:eastAsia="宋体"/>
      <w:bCs/>
      <w:sz w:val="36"/>
      <w:szCs w:val="36"/>
      <w:lang w:bidi="en-US"/>
    </w:rPr>
  </w:style>
  <w:style w:type="paragraph" w:customStyle="1" w:styleId="498">
    <w:name w:val="简单回函地址"/>
    <w:basedOn w:val="1"/>
    <w:autoRedefine/>
    <w:qFormat/>
    <w:uiPriority w:val="0"/>
    <w:rPr>
      <w:rFonts w:ascii="Calibri" w:hAnsi="Calibri"/>
      <w:szCs w:val="20"/>
    </w:rPr>
  </w:style>
  <w:style w:type="paragraph" w:customStyle="1" w:styleId="499">
    <w:name w:val="font10"/>
    <w:basedOn w:val="1"/>
    <w:autoRedefine/>
    <w:qFormat/>
    <w:uiPriority w:val="0"/>
    <w:pPr>
      <w:widowControl/>
      <w:spacing w:before="100" w:beforeAutospacing="1" w:after="100" w:afterAutospacing="1"/>
      <w:jc w:val="left"/>
    </w:pPr>
    <w:rPr>
      <w:rFonts w:ascii="Calibri" w:hAnsi="Calibri"/>
      <w:kern w:val="0"/>
      <w:sz w:val="20"/>
      <w:szCs w:val="20"/>
    </w:rPr>
  </w:style>
  <w:style w:type="paragraph" w:customStyle="1" w:styleId="500">
    <w:name w:val="Char Char Char Char Char Char Char Char Char2 Char Char Char Char Char Char Char Char Char Char Char Char Char2"/>
    <w:basedOn w:val="1"/>
    <w:autoRedefine/>
    <w:qFormat/>
    <w:uiPriority w:val="0"/>
    <w:rPr>
      <w:rFonts w:ascii="Calibri" w:hAnsi="Calibri"/>
    </w:rPr>
  </w:style>
  <w:style w:type="paragraph" w:customStyle="1" w:styleId="501">
    <w:name w:val="样式 宋体 加粗 首行缩进:  0.74 厘米 行距: 1.5 倍行距"/>
    <w:basedOn w:val="1"/>
    <w:autoRedefine/>
    <w:qFormat/>
    <w:uiPriority w:val="0"/>
    <w:pPr>
      <w:ind w:firstLine="420"/>
    </w:pPr>
    <w:rPr>
      <w:rFonts w:ascii="宋体" w:hAnsi="宋体" w:cs="宋体"/>
      <w:b/>
      <w:bCs/>
      <w:spacing w:val="4"/>
      <w:sz w:val="24"/>
    </w:rPr>
  </w:style>
  <w:style w:type="paragraph" w:customStyle="1" w:styleId="502">
    <w:name w:val="Char Char Char Char Char Char1 Char"/>
    <w:basedOn w:val="1"/>
    <w:autoRedefine/>
    <w:qFormat/>
    <w:uiPriority w:val="0"/>
    <w:pPr>
      <w:widowControl/>
      <w:wordWrap w:val="0"/>
      <w:jc w:val="left"/>
    </w:pPr>
    <w:rPr>
      <w:rFonts w:ascii="Tahoma" w:hAnsi="Tahoma"/>
      <w:sz w:val="24"/>
      <w:szCs w:val="20"/>
    </w:rPr>
  </w:style>
  <w:style w:type="paragraph" w:customStyle="1" w:styleId="503">
    <w:name w:val="合同"/>
    <w:basedOn w:val="1"/>
    <w:autoRedefine/>
    <w:qFormat/>
    <w:uiPriority w:val="0"/>
    <w:pPr>
      <w:widowControl/>
      <w:jc w:val="center"/>
    </w:pPr>
    <w:rPr>
      <w:rFonts w:ascii="宋体" w:hAnsi="宋体" w:cs="宋体"/>
      <w:b/>
      <w:bCs/>
      <w:kern w:val="0"/>
      <w:sz w:val="44"/>
      <w:szCs w:val="44"/>
    </w:rPr>
  </w:style>
  <w:style w:type="paragraph" w:customStyle="1" w:styleId="504">
    <w:name w:val="t"/>
    <w:basedOn w:val="1"/>
    <w:autoRedefine/>
    <w:qFormat/>
    <w:uiPriority w:val="0"/>
    <w:pPr>
      <w:widowControl/>
      <w:tabs>
        <w:tab w:val="left" w:pos="-1440"/>
        <w:tab w:val="left" w:pos="-720"/>
      </w:tabs>
      <w:suppressAutoHyphens/>
    </w:pPr>
    <w:rPr>
      <w:rFonts w:ascii="Arial" w:hAnsi="Arial"/>
      <w:kern w:val="0"/>
      <w:sz w:val="20"/>
      <w:szCs w:val="20"/>
      <w:lang w:eastAsia="en-US"/>
    </w:rPr>
  </w:style>
  <w:style w:type="paragraph" w:customStyle="1" w:styleId="505">
    <w:name w:val="xl62"/>
    <w:basedOn w:val="1"/>
    <w:autoRedefine/>
    <w:qFormat/>
    <w:uiPriority w:val="0"/>
    <w:pPr>
      <w:widowControl/>
      <w:pBdr>
        <w:left w:val="single" w:color="auto" w:sz="4" w:space="0"/>
        <w:bottom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506">
    <w:name w:val="Blockquote"/>
    <w:basedOn w:val="1"/>
    <w:autoRedefine/>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507">
    <w:name w:val="菲页2"/>
    <w:basedOn w:val="5"/>
    <w:autoRedefine/>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508">
    <w:name w:val="Char Char13"/>
    <w:basedOn w:val="25"/>
    <w:autoRedefine/>
    <w:qFormat/>
    <w:uiPriority w:val="0"/>
    <w:rPr>
      <w:rFonts w:ascii="Tahoma" w:hAnsi="Tahoma"/>
      <w:kern w:val="0"/>
      <w:sz w:val="24"/>
    </w:rPr>
  </w:style>
  <w:style w:type="paragraph" w:customStyle="1" w:styleId="509">
    <w:name w:val="样式 正文缩进 + 首行缩进:  2.06 字符"/>
    <w:basedOn w:val="6"/>
    <w:autoRedefine/>
    <w:qFormat/>
    <w:uiPriority w:val="0"/>
    <w:pPr>
      <w:autoSpaceDE/>
      <w:autoSpaceDN/>
      <w:adjustRightInd/>
      <w:spacing w:line="360" w:lineRule="auto"/>
      <w:ind w:right="31" w:rightChars="15" w:firstLine="433" w:firstLineChars="206"/>
      <w:jc w:val="both"/>
    </w:pPr>
    <w:rPr>
      <w:rFonts w:ascii="Calibri" w:hAnsi="宋体" w:cs="宋体"/>
      <w:szCs w:val="20"/>
    </w:rPr>
  </w:style>
  <w:style w:type="paragraph" w:customStyle="1" w:styleId="510">
    <w:name w:val="Pa4"/>
    <w:basedOn w:val="1"/>
    <w:next w:val="1"/>
    <w:autoRedefine/>
    <w:qFormat/>
    <w:uiPriority w:val="0"/>
    <w:pPr>
      <w:autoSpaceDE w:val="0"/>
      <w:autoSpaceDN w:val="0"/>
      <w:adjustRightInd w:val="0"/>
      <w:spacing w:before="80" w:line="140" w:lineRule="auto"/>
      <w:jc w:val="left"/>
    </w:pPr>
    <w:rPr>
      <w:rFonts w:ascii="Helvetica-Condensed-Bold" w:hAnsi="Calibri" w:eastAsia="Helvetica-Condensed-Bold"/>
      <w:kern w:val="0"/>
      <w:sz w:val="20"/>
    </w:rPr>
  </w:style>
  <w:style w:type="paragraph" w:customStyle="1" w:styleId="511">
    <w:name w:val="3 Char Char Char Char Char Char Char"/>
    <w:basedOn w:val="1"/>
    <w:autoRedefine/>
    <w:qFormat/>
    <w:uiPriority w:val="0"/>
    <w:rPr>
      <w:rFonts w:ascii="仿宋_GB2312" w:hAnsi="Calibri" w:eastAsia="仿宋_GB2312"/>
      <w:b/>
      <w:sz w:val="32"/>
      <w:szCs w:val="32"/>
    </w:rPr>
  </w:style>
  <w:style w:type="paragraph" w:customStyle="1" w:styleId="512">
    <w:name w:val="WW-正文文本缩进 3"/>
    <w:basedOn w:val="1"/>
    <w:autoRedefine/>
    <w:qFormat/>
    <w:uiPriority w:val="0"/>
    <w:pPr>
      <w:suppressAutoHyphens/>
      <w:spacing w:line="360" w:lineRule="auto"/>
      <w:ind w:left="2" w:firstLine="482"/>
    </w:pPr>
    <w:rPr>
      <w:rFonts w:hint="eastAsia" w:ascii="宋体" w:hAnsi="宋体"/>
      <w:sz w:val="24"/>
      <w:lang w:val="zh-CN" w:eastAsia="ar-SA"/>
    </w:rPr>
  </w:style>
  <w:style w:type="paragraph" w:customStyle="1" w:styleId="513">
    <w:name w:val="SANGFOR_6_1级编号"/>
    <w:basedOn w:val="1"/>
    <w:autoRedefine/>
    <w:qFormat/>
    <w:uiPriority w:val="0"/>
    <w:pPr>
      <w:tabs>
        <w:tab w:val="left" w:pos="0"/>
      </w:tabs>
    </w:pPr>
    <w:rPr>
      <w:rFonts w:ascii="Calibri" w:hAnsi="Calibri"/>
    </w:rPr>
  </w:style>
  <w:style w:type="paragraph" w:customStyle="1" w:styleId="514">
    <w:name w:val="默认段落字体 Para Char Char Char Char Char Char Char"/>
    <w:basedOn w:val="25"/>
    <w:autoRedefine/>
    <w:qFormat/>
    <w:uiPriority w:val="0"/>
    <w:pPr>
      <w:adjustRightInd w:val="0"/>
      <w:spacing w:line="436" w:lineRule="exact"/>
      <w:ind w:left="357"/>
      <w:jc w:val="left"/>
      <w:outlineLvl w:val="3"/>
    </w:pPr>
    <w:rPr>
      <w:rFonts w:ascii="Calibri" w:hAnsi="Calibri" w:eastAsia="Times New Roman"/>
      <w:kern w:val="0"/>
      <w:sz w:val="20"/>
      <w:szCs w:val="20"/>
    </w:rPr>
  </w:style>
  <w:style w:type="paragraph" w:customStyle="1" w:styleId="515">
    <w:name w:val="列表1"/>
    <w:basedOn w:val="1"/>
    <w:autoRedefine/>
    <w:qFormat/>
    <w:uiPriority w:val="0"/>
    <w:pPr>
      <w:tabs>
        <w:tab w:val="left" w:pos="360"/>
      </w:tabs>
      <w:spacing w:line="328" w:lineRule="auto"/>
      <w:ind w:left="360" w:hanging="360"/>
      <w:jc w:val="center"/>
    </w:pPr>
    <w:rPr>
      <w:rFonts w:ascii="宋体" w:hAnsi="宋体"/>
      <w:sz w:val="24"/>
      <w:szCs w:val="44"/>
    </w:rPr>
  </w:style>
  <w:style w:type="paragraph" w:customStyle="1" w:styleId="516">
    <w:name w:val="Char Char Char Char Char Char Char Char Char Char Char Char Char"/>
    <w:basedOn w:val="1"/>
    <w:autoRedefine/>
    <w:qFormat/>
    <w:uiPriority w:val="0"/>
    <w:rPr>
      <w:rFonts w:ascii="仿宋_GB2312" w:hAnsi="Calibri" w:eastAsia="仿宋_GB2312"/>
      <w:b/>
      <w:sz w:val="32"/>
      <w:szCs w:val="32"/>
    </w:rPr>
  </w:style>
  <w:style w:type="paragraph" w:customStyle="1" w:styleId="517">
    <w:name w:val="正文文本 21"/>
    <w:basedOn w:val="1"/>
    <w:autoRedefine/>
    <w:qFormat/>
    <w:uiPriority w:val="0"/>
    <w:pPr>
      <w:adjustRightInd w:val="0"/>
      <w:spacing w:line="300" w:lineRule="auto"/>
      <w:jc w:val="center"/>
      <w:textAlignment w:val="baseline"/>
    </w:pPr>
    <w:rPr>
      <w:rFonts w:ascii="宋体" w:hAnsi="宋体"/>
      <w:sz w:val="24"/>
    </w:rPr>
  </w:style>
  <w:style w:type="paragraph" w:customStyle="1" w:styleId="518">
    <w:name w:val="样式 标题 2 + (西文) 方正书宋简体 (中文) 方正黑体简体 非加粗 黑色 行距: 固定值 15 磅2"/>
    <w:basedOn w:val="4"/>
    <w:autoRedefine/>
    <w:qFormat/>
    <w:uiPriority w:val="0"/>
    <w:pPr>
      <w:tabs>
        <w:tab w:val="left" w:pos="1418"/>
      </w:tabs>
      <w:autoSpaceDE/>
      <w:autoSpaceDN/>
      <w:adjustRightInd/>
      <w:spacing w:before="0" w:line="300" w:lineRule="exact"/>
      <w:ind w:firstLine="200" w:firstLineChars="200"/>
      <w:jc w:val="left"/>
    </w:pPr>
    <w:rPr>
      <w:rFonts w:ascii="方正书宋简体" w:hAnsi="Calibri" w:eastAsia="方正小标宋简体" w:cs="宋体"/>
      <w:b w:val="0"/>
      <w:color w:val="000000"/>
      <w:kern w:val="2"/>
      <w:sz w:val="21"/>
    </w:rPr>
  </w:style>
  <w:style w:type="paragraph" w:customStyle="1" w:styleId="519">
    <w:name w:val="第一章"/>
    <w:basedOn w:val="1"/>
    <w:autoRedefine/>
    <w:qFormat/>
    <w:uiPriority w:val="0"/>
    <w:pPr>
      <w:pageBreakBefore/>
      <w:spacing w:afterLines="100" w:line="360" w:lineRule="auto"/>
      <w:ind w:firstLine="200" w:firstLineChars="200"/>
      <w:jc w:val="left"/>
    </w:pPr>
    <w:rPr>
      <w:rFonts w:ascii="Calibri" w:hAnsi="Calibri" w:eastAsia="黑体"/>
      <w:b/>
      <w:sz w:val="32"/>
    </w:rPr>
  </w:style>
  <w:style w:type="paragraph" w:customStyle="1" w:styleId="520">
    <w:name w:val="普通(网站)11"/>
    <w:basedOn w:val="1"/>
    <w:autoRedefine/>
    <w:qFormat/>
    <w:uiPriority w:val="0"/>
    <w:pPr>
      <w:widowControl/>
      <w:spacing w:before="100" w:beforeAutospacing="1" w:after="100" w:afterAutospacing="1"/>
      <w:jc w:val="left"/>
    </w:pPr>
    <w:rPr>
      <w:rFonts w:hint="eastAsia" w:ascii="宋体" w:hAnsi="Calibri"/>
      <w:kern w:val="0"/>
      <w:sz w:val="24"/>
    </w:rPr>
  </w:style>
  <w:style w:type="paragraph" w:customStyle="1" w:styleId="521">
    <w:name w:val="表格标题"/>
    <w:basedOn w:val="1"/>
    <w:autoRedefine/>
    <w:qFormat/>
    <w:uiPriority w:val="0"/>
    <w:pPr>
      <w:adjustRightInd w:val="0"/>
      <w:snapToGrid w:val="0"/>
      <w:ind w:left="505" w:leftChars="1" w:right="113" w:hanging="503"/>
      <w:jc w:val="center"/>
    </w:pPr>
    <w:rPr>
      <w:rFonts w:ascii="Ari" w:hAnsi="Calibri" w:eastAsia="Times New Roman"/>
      <w:color w:val="000000"/>
      <w:sz w:val="36"/>
      <w:szCs w:val="36"/>
    </w:rPr>
  </w:style>
  <w:style w:type="paragraph" w:customStyle="1" w:styleId="522">
    <w:name w:val="Normal_0"/>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523">
    <w:name w:val="2"/>
    <w:basedOn w:val="1"/>
    <w:autoRedefine/>
    <w:qFormat/>
    <w:uiPriority w:val="0"/>
    <w:rPr>
      <w:rFonts w:ascii="Calibri" w:hAnsi="Calibri"/>
    </w:rPr>
  </w:style>
  <w:style w:type="paragraph" w:customStyle="1" w:styleId="524">
    <w:name w:val="_Style 24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强调文字"/>
    <w:basedOn w:val="1"/>
    <w:autoRedefine/>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526">
    <w:name w:val="Char Char Char Char Char Char Char Char Char2 Char Char Char Char Char Char Char Char Char Char Char Char Char1"/>
    <w:basedOn w:val="1"/>
    <w:autoRedefine/>
    <w:qFormat/>
    <w:uiPriority w:val="0"/>
    <w:rPr>
      <w:rFonts w:ascii="Calibri" w:hAnsi="Calibri"/>
    </w:rPr>
  </w:style>
  <w:style w:type="paragraph" w:customStyle="1" w:styleId="527">
    <w:name w:val="xl61"/>
    <w:basedOn w:val="1"/>
    <w:autoRedefine/>
    <w:qFormat/>
    <w:uiPriority w:val="0"/>
    <w:pPr>
      <w:widowControl/>
      <w:spacing w:before="100" w:beforeAutospacing="1" w:after="100" w:afterAutospacing="1"/>
      <w:jc w:val="left"/>
      <w:textAlignment w:val="bottom"/>
    </w:pPr>
    <w:rPr>
      <w:rFonts w:ascii="Calibri" w:hAnsi="Calibri"/>
      <w:kern w:val="0"/>
      <w:sz w:val="24"/>
    </w:rPr>
  </w:style>
  <w:style w:type="paragraph" w:customStyle="1" w:styleId="528">
    <w:name w:val="样式 标题 2 + (西文) 方正书宋简体 (中文) 方正黑体简体 非加粗 黑色 行距: 固定值 15 磅1"/>
    <w:basedOn w:val="4"/>
    <w:autoRedefine/>
    <w:qFormat/>
    <w:uiPriority w:val="0"/>
    <w:pPr>
      <w:tabs>
        <w:tab w:val="left" w:pos="1134"/>
      </w:tabs>
      <w:autoSpaceDE/>
      <w:autoSpaceDN/>
      <w:adjustRightInd/>
      <w:spacing w:before="0" w:line="300" w:lineRule="exact"/>
      <w:jc w:val="left"/>
    </w:pPr>
    <w:rPr>
      <w:rFonts w:ascii="方正书宋简体" w:hAnsi="宋体" w:eastAsia="方正小标宋简体" w:cs="宋体"/>
      <w:b w:val="0"/>
      <w:color w:val="000000"/>
      <w:kern w:val="2"/>
      <w:sz w:val="21"/>
    </w:rPr>
  </w:style>
  <w:style w:type="paragraph" w:customStyle="1" w:styleId="529">
    <w:name w:val="正文 + Arial"/>
    <w:basedOn w:val="1"/>
    <w:autoRedefine/>
    <w:qFormat/>
    <w:uiPriority w:val="0"/>
    <w:pPr>
      <w:jc w:val="center"/>
    </w:pPr>
    <w:rPr>
      <w:rFonts w:ascii="宋体" w:hAnsi="宋体" w:cs="Arial"/>
      <w:szCs w:val="21"/>
    </w:rPr>
  </w:style>
  <w:style w:type="paragraph" w:customStyle="1" w:styleId="530">
    <w:name w:val="列出段落11"/>
    <w:basedOn w:val="1"/>
    <w:autoRedefine/>
    <w:qFormat/>
    <w:uiPriority w:val="99"/>
    <w:pPr>
      <w:ind w:firstLine="420" w:firstLineChars="200"/>
    </w:pPr>
    <w:rPr>
      <w:rFonts w:ascii="Calibri" w:hAnsi="Calibri"/>
      <w:szCs w:val="22"/>
    </w:rPr>
  </w:style>
  <w:style w:type="paragraph" w:customStyle="1" w:styleId="531">
    <w:name w:val="普通(网站)1"/>
    <w:basedOn w:val="1"/>
    <w:autoRedefine/>
    <w:qFormat/>
    <w:uiPriority w:val="0"/>
    <w:pPr>
      <w:widowControl/>
      <w:spacing w:before="100" w:beforeAutospacing="1" w:after="100" w:afterAutospacing="1"/>
      <w:jc w:val="left"/>
    </w:pPr>
    <w:rPr>
      <w:rFonts w:hint="eastAsia" w:ascii="宋体" w:hAnsi="Calibri"/>
      <w:kern w:val="0"/>
      <w:sz w:val="24"/>
    </w:rPr>
  </w:style>
  <w:style w:type="paragraph" w:customStyle="1" w:styleId="532">
    <w:name w:val="3 Char Char Char Char Char Char Char Char Char Char Char Char"/>
    <w:basedOn w:val="1"/>
    <w:autoRedefine/>
    <w:qFormat/>
    <w:uiPriority w:val="0"/>
    <w:rPr>
      <w:rFonts w:ascii="仿宋_GB2312" w:hAnsi="Calibri" w:eastAsia="仿宋_GB2312"/>
      <w:b/>
      <w:sz w:val="32"/>
      <w:szCs w:val="32"/>
    </w:rPr>
  </w:style>
  <w:style w:type="paragraph" w:customStyle="1" w:styleId="533">
    <w:name w:val="Char Char Char Char2"/>
    <w:basedOn w:val="1"/>
    <w:autoRedefine/>
    <w:qFormat/>
    <w:uiPriority w:val="99"/>
    <w:rPr>
      <w:rFonts w:ascii="Tahoma" w:hAnsi="Tahoma"/>
      <w:sz w:val="24"/>
      <w:szCs w:val="20"/>
    </w:rPr>
  </w:style>
  <w:style w:type="paragraph" w:customStyle="1" w:styleId="534">
    <w:name w:val="图片"/>
    <w:basedOn w:val="1"/>
    <w:next w:val="389"/>
    <w:autoRedefine/>
    <w:qFormat/>
    <w:uiPriority w:val="0"/>
    <w:pPr>
      <w:jc w:val="center"/>
    </w:pPr>
    <w:rPr>
      <w:rFonts w:ascii="Calibri" w:hAnsi="Calibri" w:cs="宋体"/>
      <w:sz w:val="24"/>
    </w:rPr>
  </w:style>
  <w:style w:type="paragraph" w:customStyle="1" w:styleId="535">
    <w:name w:val="样式 Arial 左侧:  2 字符 行距: 固定值 29 磅"/>
    <w:basedOn w:val="1"/>
    <w:autoRedefine/>
    <w:qFormat/>
    <w:uiPriority w:val="0"/>
    <w:pPr>
      <w:adjustRightInd w:val="0"/>
      <w:spacing w:line="580" w:lineRule="atLeast"/>
    </w:pPr>
    <w:rPr>
      <w:rFonts w:ascii="Arial" w:hAnsi="Arial"/>
      <w:kern w:val="0"/>
      <w:sz w:val="24"/>
      <w:szCs w:val="20"/>
    </w:rPr>
  </w:style>
  <w:style w:type="paragraph" w:customStyle="1" w:styleId="536">
    <w:name w:val="正文1"/>
    <w:link w:val="537"/>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37">
    <w:name w:val="正文1[858D7CFB-ED40-4347-BF05-701D383B685F]"/>
    <w:link w:val="536"/>
    <w:autoRedefine/>
    <w:qFormat/>
    <w:locked/>
    <w:uiPriority w:val="0"/>
    <w:rPr>
      <w:rFonts w:ascii="宋体"/>
      <w:sz w:val="34"/>
    </w:rPr>
  </w:style>
  <w:style w:type="paragraph" w:customStyle="1" w:styleId="538">
    <w:name w:val="Char Char Char Char Char Char Char Char Char2 Char Char Char Char Char Char Char Char Char Char Char Char Char"/>
    <w:basedOn w:val="1"/>
    <w:autoRedefine/>
    <w:qFormat/>
    <w:uiPriority w:val="0"/>
    <w:rPr>
      <w:rFonts w:ascii="仿宋_GB2312" w:hAnsi="Calibri" w:eastAsia="仿宋_GB2312"/>
      <w:b/>
      <w:sz w:val="32"/>
      <w:szCs w:val="32"/>
    </w:rPr>
  </w:style>
  <w:style w:type="paragraph" w:customStyle="1" w:styleId="539">
    <w:name w:val="二级节标题"/>
    <w:next w:val="1"/>
    <w:autoRedefine/>
    <w:qFormat/>
    <w:uiPriority w:val="0"/>
    <w:pPr>
      <w:numPr>
        <w:ilvl w:val="3"/>
        <w:numId w:val="11"/>
      </w:numPr>
      <w:tabs>
        <w:tab w:val="left" w:pos="672"/>
      </w:tabs>
      <w:spacing w:before="240" w:after="240" w:line="400" w:lineRule="atLeast"/>
      <w:outlineLvl w:val="2"/>
    </w:pPr>
    <w:rPr>
      <w:rFonts w:ascii="Arial" w:hAnsi="Arial" w:eastAsia="宋体" w:cs="Times New Roman"/>
      <w:b/>
      <w:sz w:val="30"/>
      <w:szCs w:val="30"/>
      <w:lang w:val="en-US" w:eastAsia="zh-CN" w:bidi="ar-SA"/>
    </w:rPr>
  </w:style>
  <w:style w:type="paragraph" w:customStyle="1" w:styleId="540">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541">
    <w:name w:val="xl54"/>
    <w:basedOn w:val="1"/>
    <w:autoRedefine/>
    <w:qFormat/>
    <w:uiPriority w:val="0"/>
    <w:pPr>
      <w:widowControl/>
      <w:spacing w:before="100" w:beforeAutospacing="1" w:after="100" w:afterAutospacing="1"/>
      <w:jc w:val="left"/>
    </w:pPr>
    <w:rPr>
      <w:rFonts w:ascii="Arial Unicode MS" w:hAnsi="Arial Unicode MS" w:cs="Arial Unicode MS"/>
      <w:kern w:val="0"/>
      <w:sz w:val="24"/>
    </w:rPr>
  </w:style>
  <w:style w:type="paragraph" w:customStyle="1" w:styleId="542">
    <w:name w:val="代码"/>
    <w:basedOn w:val="1"/>
    <w:autoRedefine/>
    <w:qFormat/>
    <w:uiPriority w:val="0"/>
    <w:pPr>
      <w:spacing w:beforeLines="50" w:afterLines="50"/>
      <w:ind w:left="960" w:leftChars="400"/>
    </w:pPr>
    <w:rPr>
      <w:rFonts w:ascii="Courier New" w:hAnsi="Courier New" w:eastAsia="楷体_GB2312"/>
      <w:szCs w:val="21"/>
    </w:rPr>
  </w:style>
  <w:style w:type="paragraph" w:customStyle="1" w:styleId="543">
    <w:name w:val="菲页(卷)"/>
    <w:basedOn w:val="3"/>
    <w:next w:val="544"/>
    <w:autoRedefine/>
    <w:qFormat/>
    <w:uiPriority w:val="0"/>
    <w:pPr>
      <w:widowControl/>
      <w:tabs>
        <w:tab w:val="left" w:pos="435"/>
      </w:tabs>
      <w:autoSpaceDE/>
      <w:autoSpaceDN/>
      <w:adjustRightInd/>
      <w:spacing w:before="0" w:after="0" w:line="240" w:lineRule="auto"/>
      <w:ind w:left="435" w:hanging="454"/>
      <w:outlineLvl w:val="1"/>
    </w:pPr>
    <w:rPr>
      <w:rFonts w:ascii="黑体" w:hAnsi="Calibri" w:eastAsia="黑体"/>
      <w:b w:val="0"/>
      <w:kern w:val="0"/>
      <w:sz w:val="52"/>
    </w:rPr>
  </w:style>
  <w:style w:type="paragraph" w:customStyle="1" w:styleId="544">
    <w:name w:val="正文1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45">
    <w:name w:val="样式 题注 + (西文) 宋体 五号 加粗 段前: 2.4 磅 段后: 2.4 磅 行距: 1.5 倍行距"/>
    <w:basedOn w:val="21"/>
    <w:autoRedefine/>
    <w:qFormat/>
    <w:uiPriority w:val="0"/>
    <w:pPr>
      <w:spacing w:before="48" w:after="48" w:line="360" w:lineRule="auto"/>
    </w:pPr>
    <w:rPr>
      <w:rFonts w:ascii="宋体" w:hAnsi="宋体" w:eastAsia="宋体" w:cs="宋体"/>
      <w:b/>
      <w:bCs/>
      <w:kern w:val="0"/>
      <w:sz w:val="24"/>
      <w:lang w:eastAsia="ar-SA"/>
    </w:rPr>
  </w:style>
  <w:style w:type="paragraph" w:customStyle="1" w:styleId="546">
    <w:name w:val="xl59"/>
    <w:basedOn w:val="1"/>
    <w:autoRedefine/>
    <w:qFormat/>
    <w:uiPriority w:val="0"/>
    <w:pPr>
      <w:widowControl/>
      <w:spacing w:before="100" w:beforeAutospacing="1" w:after="100" w:afterAutospacing="1"/>
      <w:jc w:val="left"/>
      <w:textAlignment w:val="bottom"/>
    </w:pPr>
    <w:rPr>
      <w:rFonts w:ascii="Arial Unicode MS" w:hAnsi="Arial Unicode MS" w:cs="Arial Unicode MS"/>
      <w:kern w:val="0"/>
      <w:sz w:val="24"/>
    </w:rPr>
  </w:style>
  <w:style w:type="paragraph" w:customStyle="1" w:styleId="547">
    <w:name w:val="金安桥正文"/>
    <w:basedOn w:val="33"/>
    <w:autoRedefine/>
    <w:qFormat/>
    <w:uiPriority w:val="0"/>
    <w:pPr>
      <w:adjustRightInd w:val="0"/>
      <w:spacing w:line="300" w:lineRule="auto"/>
      <w:ind w:firstLine="200" w:firstLineChars="200"/>
      <w:jc w:val="left"/>
    </w:pPr>
    <w:rPr>
      <w:rFonts w:ascii="Calibri" w:hAnsi="Calibri"/>
      <w:kern w:val="0"/>
      <w:szCs w:val="20"/>
    </w:rPr>
  </w:style>
  <w:style w:type="paragraph" w:customStyle="1" w:styleId="548">
    <w:name w:val="6'"/>
    <w:basedOn w:val="1"/>
    <w:autoRedefine/>
    <w:qFormat/>
    <w:uiPriority w:val="0"/>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549">
    <w:name w:val="图标"/>
    <w:basedOn w:val="1"/>
    <w:next w:val="1"/>
    <w:autoRedefine/>
    <w:qFormat/>
    <w:uiPriority w:val="0"/>
    <w:pPr>
      <w:numPr>
        <w:ilvl w:val="0"/>
        <w:numId w:val="12"/>
      </w:numPr>
      <w:tabs>
        <w:tab w:val="left" w:pos="567"/>
      </w:tabs>
      <w:autoSpaceDE w:val="0"/>
      <w:autoSpaceDN w:val="0"/>
      <w:adjustRightInd w:val="0"/>
      <w:snapToGrid w:val="0"/>
      <w:spacing w:before="120" w:after="120" w:line="320" w:lineRule="atLeast"/>
      <w:jc w:val="center"/>
      <w:textAlignment w:val="baseline"/>
    </w:pPr>
    <w:rPr>
      <w:rFonts w:ascii="Calibri" w:hAnsi="Calibri" w:eastAsia="仿宋_GB2312"/>
      <w:kern w:val="0"/>
      <w:sz w:val="24"/>
    </w:rPr>
  </w:style>
  <w:style w:type="paragraph" w:customStyle="1" w:styleId="550">
    <w:name w:val="Style Heading 2 + Line spacing:  1.5 lines"/>
    <w:basedOn w:val="4"/>
    <w:autoRedefine/>
    <w:qFormat/>
    <w:uiPriority w:val="0"/>
    <w:pPr>
      <w:numPr>
        <w:ilvl w:val="1"/>
        <w:numId w:val="13"/>
      </w:numPr>
      <w:autoSpaceDE/>
      <w:autoSpaceDN/>
      <w:adjustRightInd/>
      <w:spacing w:after="120" w:line="360" w:lineRule="auto"/>
    </w:pPr>
    <w:rPr>
      <w:rFonts w:ascii="Calibri" w:hAnsi="Calibri" w:eastAsia="宋体"/>
      <w:bCs/>
      <w:kern w:val="2"/>
      <w:sz w:val="32"/>
      <w:szCs w:val="32"/>
    </w:rPr>
  </w:style>
  <w:style w:type="paragraph" w:customStyle="1" w:styleId="551">
    <w:name w:val="Char Char Char Char Char Char Char Char Char Char Char Char Char1"/>
    <w:basedOn w:val="1"/>
    <w:autoRedefine/>
    <w:qFormat/>
    <w:uiPriority w:val="0"/>
    <w:rPr>
      <w:rFonts w:ascii="仿宋_GB2312" w:hAnsi="Calibri" w:eastAsia="仿宋_GB2312"/>
      <w:b/>
      <w:sz w:val="32"/>
      <w:szCs w:val="32"/>
    </w:rPr>
  </w:style>
  <w:style w:type="paragraph" w:customStyle="1" w:styleId="552">
    <w:name w:val="chap"/>
    <w:basedOn w:val="1"/>
    <w:autoRedefine/>
    <w:qFormat/>
    <w:uiPriority w:val="0"/>
    <w:pPr>
      <w:widowControl/>
      <w:ind w:right="-30"/>
    </w:pPr>
    <w:rPr>
      <w:rFonts w:ascii="Arial" w:hAnsi="Arial"/>
      <w:b/>
      <w:caps/>
      <w:kern w:val="0"/>
      <w:sz w:val="24"/>
      <w:szCs w:val="20"/>
      <w:lang w:val="fr-FR" w:eastAsia="fr-FR"/>
    </w:rPr>
  </w:style>
  <w:style w:type="paragraph" w:customStyle="1" w:styleId="553">
    <w:name w:val="正文an"/>
    <w:basedOn w:val="1"/>
    <w:autoRedefine/>
    <w:qFormat/>
    <w:uiPriority w:val="0"/>
    <w:pPr>
      <w:adjustRightInd w:val="0"/>
      <w:snapToGrid w:val="0"/>
      <w:spacing w:line="300" w:lineRule="auto"/>
    </w:pPr>
    <w:rPr>
      <w:rFonts w:ascii="Arial Narrow" w:hAnsi="Arial Narrow" w:eastAsia="楷体_GB2312"/>
      <w:sz w:val="26"/>
    </w:rPr>
  </w:style>
  <w:style w:type="paragraph" w:customStyle="1" w:styleId="554">
    <w:name w:val="菲页1"/>
    <w:basedOn w:val="4"/>
    <w:autoRedefine/>
    <w:qFormat/>
    <w:uiPriority w:val="0"/>
    <w:pPr>
      <w:widowControl/>
      <w:autoSpaceDE/>
      <w:autoSpaceDN/>
      <w:adjustRightInd/>
      <w:spacing w:before="260" w:after="260" w:line="415" w:lineRule="auto"/>
    </w:pPr>
    <w:rPr>
      <w:rFonts w:ascii="黑体" w:hAnsi="宋体" w:eastAsia="宋体"/>
      <w:b w:val="0"/>
      <w:sz w:val="52"/>
    </w:rPr>
  </w:style>
  <w:style w:type="paragraph" w:customStyle="1" w:styleId="555">
    <w:name w:val="Char11"/>
    <w:basedOn w:val="1"/>
    <w:autoRedefine/>
    <w:qFormat/>
    <w:uiPriority w:val="99"/>
    <w:rPr>
      <w:rFonts w:ascii="Tahoma" w:hAnsi="Tahoma"/>
      <w:sz w:val="24"/>
      <w:szCs w:val="20"/>
    </w:rPr>
  </w:style>
  <w:style w:type="paragraph" w:customStyle="1" w:styleId="556">
    <w:name w:val="xl6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557">
    <w:name w:val="xl57"/>
    <w:basedOn w:val="1"/>
    <w:autoRedefine/>
    <w:qFormat/>
    <w:uiPriority w:val="0"/>
    <w:pPr>
      <w:widowControl/>
      <w:pBdr>
        <w:top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558">
    <w:name w:val="TOC 标题1"/>
    <w:basedOn w:val="3"/>
    <w:next w:val="1"/>
    <w:autoRedefine/>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559">
    <w:name w:val="P1"/>
    <w:autoRedefine/>
    <w:qFormat/>
    <w:uiPriority w:val="0"/>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20"/>
      <w:sz w:val="24"/>
      <w:lang w:val="en-US" w:eastAsia="zh-TW" w:bidi="ar-SA"/>
    </w:rPr>
  </w:style>
  <w:style w:type="paragraph" w:customStyle="1" w:styleId="560">
    <w:name w:val="Char Char Char Char Char Char"/>
    <w:basedOn w:val="1"/>
    <w:autoRedefine/>
    <w:qFormat/>
    <w:uiPriority w:val="0"/>
    <w:pPr>
      <w:adjustRightInd w:val="0"/>
      <w:spacing w:line="360" w:lineRule="auto"/>
    </w:pPr>
    <w:rPr>
      <w:rFonts w:ascii="Calibri" w:hAnsi="Calibri"/>
      <w:kern w:val="0"/>
      <w:sz w:val="24"/>
      <w:szCs w:val="20"/>
    </w:rPr>
  </w:style>
  <w:style w:type="paragraph" w:customStyle="1" w:styleId="561">
    <w:name w:val="he"/>
    <w:basedOn w:val="1"/>
    <w:next w:val="1"/>
    <w:autoRedefine/>
    <w:qFormat/>
    <w:uiPriority w:val="0"/>
    <w:pPr>
      <w:keepNext/>
      <w:keepLines/>
      <w:widowControl/>
      <w:numPr>
        <w:ilvl w:val="0"/>
        <w:numId w:val="14"/>
      </w:numPr>
      <w:spacing w:before="340" w:after="330"/>
      <w:jc w:val="center"/>
      <w:outlineLvl w:val="0"/>
    </w:pPr>
    <w:rPr>
      <w:rFonts w:ascii="宋体" w:hAnsi="宋体" w:eastAsia="黑体"/>
      <w:b/>
      <w:bCs/>
      <w:kern w:val="44"/>
      <w:sz w:val="44"/>
      <w:szCs w:val="44"/>
      <w:lang w:bidi="en-US"/>
    </w:rPr>
  </w:style>
  <w:style w:type="paragraph" w:customStyle="1" w:styleId="562">
    <w:name w:val="xl2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563">
    <w:name w:val="首行缩进"/>
    <w:autoRedefine/>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64">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65">
    <w:name w:val="xl5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b/>
      <w:bCs/>
      <w:kern w:val="0"/>
      <w:sz w:val="18"/>
      <w:szCs w:val="18"/>
    </w:rPr>
  </w:style>
  <w:style w:type="paragraph" w:customStyle="1" w:styleId="566">
    <w:name w:val="xl6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Calibri" w:hAnsi="Calibri"/>
      <w:kern w:val="0"/>
      <w:sz w:val="20"/>
      <w:szCs w:val="20"/>
    </w:rPr>
  </w:style>
  <w:style w:type="paragraph" w:customStyle="1" w:styleId="567">
    <w:name w:val="正文首缩两字"/>
    <w:basedOn w:val="1"/>
    <w:link w:val="568"/>
    <w:autoRedefine/>
    <w:qFormat/>
    <w:uiPriority w:val="0"/>
    <w:pPr>
      <w:spacing w:line="360" w:lineRule="auto"/>
      <w:ind w:left="210" w:right="210" w:firstLine="480" w:firstLineChars="200"/>
      <w:jc w:val="left"/>
    </w:pPr>
    <w:rPr>
      <w:rFonts w:ascii="宋体" w:hAnsi="宋体"/>
      <w:color w:val="000000"/>
      <w:sz w:val="24"/>
      <w:szCs w:val="20"/>
    </w:rPr>
  </w:style>
  <w:style w:type="character" w:customStyle="1" w:styleId="568">
    <w:name w:val="正文首缩两字 Char Char"/>
    <w:link w:val="567"/>
    <w:autoRedefine/>
    <w:qFormat/>
    <w:uiPriority w:val="0"/>
    <w:rPr>
      <w:rFonts w:ascii="宋体" w:hAnsi="宋体"/>
      <w:color w:val="000000"/>
      <w:kern w:val="2"/>
      <w:sz w:val="24"/>
    </w:rPr>
  </w:style>
  <w:style w:type="paragraph" w:customStyle="1" w:styleId="569">
    <w:name w:val="fon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70">
    <w:name w:val="1)"/>
    <w:basedOn w:val="1"/>
    <w:autoRedefine/>
    <w:qFormat/>
    <w:uiPriority w:val="0"/>
    <w:pPr>
      <w:tabs>
        <w:tab w:val="left" w:pos="964"/>
      </w:tabs>
      <w:spacing w:line="360" w:lineRule="auto"/>
      <w:ind w:left="964" w:hanging="482"/>
    </w:pPr>
    <w:rPr>
      <w:rFonts w:ascii="Calibri" w:hAnsi="Calibri"/>
      <w:sz w:val="24"/>
    </w:rPr>
  </w:style>
  <w:style w:type="paragraph" w:customStyle="1" w:styleId="57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572">
    <w:name w:val="3 Char Char Char Char"/>
    <w:basedOn w:val="1"/>
    <w:autoRedefine/>
    <w:qFormat/>
    <w:uiPriority w:val="0"/>
    <w:rPr>
      <w:rFonts w:ascii="仿宋_GB2312" w:hAnsi="Calibri" w:eastAsia="仿宋_GB2312"/>
      <w:b/>
      <w:sz w:val="32"/>
      <w:szCs w:val="32"/>
    </w:rPr>
  </w:style>
  <w:style w:type="paragraph" w:customStyle="1" w:styleId="573">
    <w:name w:val="1111 Char Char Char Char"/>
    <w:basedOn w:val="1"/>
    <w:autoRedefine/>
    <w:qFormat/>
    <w:uiPriority w:val="0"/>
    <w:pPr>
      <w:spacing w:line="360" w:lineRule="auto"/>
      <w:ind w:firstLine="560" w:firstLineChars="200"/>
    </w:pPr>
    <w:rPr>
      <w:rFonts w:ascii="Calibri" w:hAnsi="Calibri"/>
      <w:szCs w:val="20"/>
    </w:rPr>
  </w:style>
  <w:style w:type="paragraph" w:customStyle="1" w:styleId="574">
    <w:name w:val="p17"/>
    <w:basedOn w:val="1"/>
    <w:autoRedefine/>
    <w:qFormat/>
    <w:uiPriority w:val="0"/>
    <w:pPr>
      <w:widowControl/>
    </w:pPr>
    <w:rPr>
      <w:rFonts w:ascii="Calibri" w:hAnsi="Calibri"/>
      <w:kern w:val="0"/>
      <w:szCs w:val="21"/>
    </w:rPr>
  </w:style>
  <w:style w:type="paragraph" w:customStyle="1" w:styleId="575">
    <w:name w:val="xl58"/>
    <w:basedOn w:val="1"/>
    <w:autoRedefine/>
    <w:qFormat/>
    <w:uiPriority w:val="0"/>
    <w:pPr>
      <w:widowControl/>
      <w:pBdr>
        <w:lef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576">
    <w:name w:val="底端对齐"/>
    <w:basedOn w:val="1"/>
    <w:next w:val="1"/>
    <w:autoRedefine/>
    <w:qFormat/>
    <w:uiPriority w:val="0"/>
    <w:pPr>
      <w:textAlignment w:val="bottom"/>
    </w:pPr>
    <w:rPr>
      <w:rFonts w:ascii="宋体" w:hAnsi="宋体"/>
      <w:szCs w:val="21"/>
    </w:rPr>
  </w:style>
  <w:style w:type="paragraph" w:customStyle="1" w:styleId="577">
    <w:name w:val="标书正文"/>
    <w:basedOn w:val="1"/>
    <w:autoRedefine/>
    <w:qFormat/>
    <w:uiPriority w:val="0"/>
    <w:pPr>
      <w:tabs>
        <w:tab w:val="left" w:pos="600"/>
      </w:tabs>
      <w:snapToGrid w:val="0"/>
      <w:spacing w:line="480" w:lineRule="atLeast"/>
      <w:jc w:val="center"/>
    </w:pPr>
    <w:rPr>
      <w:rFonts w:ascii="Calibri" w:hAnsi="Calibri" w:eastAsia="黑体"/>
      <w:b/>
      <w:sz w:val="30"/>
      <w:szCs w:val="30"/>
    </w:rPr>
  </w:style>
  <w:style w:type="paragraph" w:customStyle="1" w:styleId="578">
    <w:name w:val="Char Char1 Char Char Char Char Char Char Char"/>
    <w:basedOn w:val="1"/>
    <w:autoRedefine/>
    <w:qFormat/>
    <w:uiPriority w:val="0"/>
    <w:pPr>
      <w:numPr>
        <w:ilvl w:val="0"/>
        <w:numId w:val="15"/>
      </w:numPr>
      <w:tabs>
        <w:tab w:val="clear" w:pos="964"/>
      </w:tabs>
      <w:ind w:left="0" w:firstLine="0"/>
    </w:pPr>
    <w:rPr>
      <w:rFonts w:ascii="Tahoma" w:hAnsi="Tahoma"/>
      <w:sz w:val="24"/>
      <w:szCs w:val="20"/>
    </w:rPr>
  </w:style>
  <w:style w:type="paragraph" w:customStyle="1" w:styleId="579">
    <w:name w:val="FA正文"/>
    <w:basedOn w:val="1"/>
    <w:autoRedefine/>
    <w:qFormat/>
    <w:uiPriority w:val="0"/>
    <w:pPr>
      <w:numPr>
        <w:ilvl w:val="0"/>
        <w:numId w:val="16"/>
      </w:numPr>
      <w:ind w:firstLine="0"/>
    </w:pPr>
    <w:rPr>
      <w:rFonts w:ascii="Calibri" w:hAnsi="宋体" w:cs="宋体"/>
      <w:sz w:val="24"/>
      <w:szCs w:val="21"/>
    </w:rPr>
  </w:style>
  <w:style w:type="paragraph" w:customStyle="1" w:styleId="580">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1">
    <w:name w:val="xl60"/>
    <w:basedOn w:val="1"/>
    <w:autoRedefine/>
    <w:qFormat/>
    <w:uiPriority w:val="0"/>
    <w:pPr>
      <w:widowControl/>
      <w:pBdr>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582">
    <w:name w:val="MM Topic 6"/>
    <w:basedOn w:val="10"/>
    <w:autoRedefine/>
    <w:qFormat/>
    <w:uiPriority w:val="0"/>
    <w:pPr>
      <w:adjustRightInd/>
      <w:spacing w:line="319" w:lineRule="auto"/>
      <w:ind w:firstLine="200" w:firstLineChars="200"/>
      <w:textAlignment w:val="auto"/>
    </w:pPr>
    <w:rPr>
      <w:rFonts w:ascii="Calibri" w:hAnsi="Calibri" w:eastAsia="宋体"/>
      <w:bCs/>
      <w:szCs w:val="24"/>
    </w:rPr>
  </w:style>
  <w:style w:type="paragraph" w:customStyle="1" w:styleId="583">
    <w:name w:val="MM Topic 5"/>
    <w:basedOn w:val="9"/>
    <w:autoRedefine/>
    <w:qFormat/>
    <w:uiPriority w:val="0"/>
    <w:pPr>
      <w:adjustRightInd/>
      <w:spacing w:line="374" w:lineRule="auto"/>
      <w:ind w:firstLine="200" w:firstLineChars="200"/>
      <w:textAlignment w:val="auto"/>
    </w:pPr>
    <w:rPr>
      <w:bCs/>
      <w:szCs w:val="28"/>
      <w:lang w:eastAsia="ar-SA"/>
    </w:rPr>
  </w:style>
  <w:style w:type="paragraph" w:customStyle="1" w:styleId="584">
    <w:name w:val="样式1"/>
    <w:basedOn w:val="44"/>
    <w:link w:val="585"/>
    <w:autoRedefine/>
    <w:qFormat/>
    <w:uiPriority w:val="0"/>
    <w:pPr>
      <w:widowControl/>
      <w:adjustRightInd w:val="0"/>
      <w:snapToGrid w:val="0"/>
      <w:spacing w:before="100" w:beforeAutospacing="1" w:after="100" w:afterAutospacing="1" w:line="0" w:lineRule="atLeast"/>
      <w:ind w:firstLine="480"/>
      <w:jc w:val="center"/>
      <w:outlineLvl w:val="0"/>
    </w:pPr>
    <w:rPr>
      <w:rFonts w:hint="default" w:ascii="黑体" w:hAnsi="宋体" w:eastAsia="黑体"/>
      <w:b/>
      <w:kern w:val="0"/>
      <w:sz w:val="32"/>
      <w:szCs w:val="24"/>
    </w:rPr>
  </w:style>
  <w:style w:type="character" w:customStyle="1" w:styleId="585">
    <w:name w:val="样式1 Char"/>
    <w:link w:val="584"/>
    <w:autoRedefine/>
    <w:qFormat/>
    <w:uiPriority w:val="0"/>
    <w:rPr>
      <w:rFonts w:ascii="黑体" w:hAnsi="宋体" w:eastAsia="黑体"/>
      <w:b/>
      <w:sz w:val="32"/>
      <w:szCs w:val="24"/>
    </w:rPr>
  </w:style>
  <w:style w:type="paragraph" w:customStyle="1" w:styleId="586">
    <w:name w:val="item1.1"/>
    <w:basedOn w:val="1"/>
    <w:autoRedefine/>
    <w:qFormat/>
    <w:uiPriority w:val="0"/>
    <w:pPr>
      <w:tabs>
        <w:tab w:val="left" w:pos="4140"/>
      </w:tabs>
      <w:spacing w:line="700" w:lineRule="exact"/>
    </w:pPr>
    <w:rPr>
      <w:rFonts w:ascii="宋体" w:hAnsi="宋体"/>
      <w:sz w:val="24"/>
    </w:rPr>
  </w:style>
  <w:style w:type="paragraph" w:customStyle="1" w:styleId="587">
    <w:name w:val="1."/>
    <w:basedOn w:val="1"/>
    <w:autoRedefine/>
    <w:qFormat/>
    <w:uiPriority w:val="0"/>
    <w:pPr>
      <w:spacing w:line="360" w:lineRule="auto"/>
    </w:pPr>
    <w:rPr>
      <w:rFonts w:ascii="Calibri" w:hAnsi="Calibri"/>
      <w:sz w:val="24"/>
    </w:rPr>
  </w:style>
  <w:style w:type="paragraph" w:customStyle="1" w:styleId="588">
    <w:name w:val="style4"/>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589">
    <w:name w:val="xl56"/>
    <w:basedOn w:val="1"/>
    <w:autoRedefine/>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cs="Arial Unicode MS"/>
      <w:b/>
      <w:bCs/>
      <w:kern w:val="0"/>
      <w:sz w:val="18"/>
      <w:szCs w:val="18"/>
    </w:rPr>
  </w:style>
  <w:style w:type="paragraph" w:customStyle="1" w:styleId="590">
    <w:name w:val="样式 标题 2 + Times New Roman 四号 非加粗 段前: 5 磅 段后: 0 磅 行距: 固定值 20..."/>
    <w:basedOn w:val="4"/>
    <w:autoRedefine/>
    <w:qFormat/>
    <w:uiPriority w:val="0"/>
    <w:pPr>
      <w:autoSpaceDE/>
      <w:autoSpaceDN/>
      <w:adjustRightInd/>
      <w:spacing w:before="100" w:line="400" w:lineRule="exact"/>
      <w:jc w:val="both"/>
    </w:pPr>
    <w:rPr>
      <w:rFonts w:ascii="Times New Roman" w:hAnsi="Times New Roman" w:eastAsia="宋体" w:cs="宋体"/>
      <w:b w:val="0"/>
      <w:kern w:val="2"/>
      <w:sz w:val="28"/>
    </w:rPr>
  </w:style>
  <w:style w:type="paragraph" w:customStyle="1" w:styleId="591">
    <w:name w:val="xl6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Arial Unicode MS" w:hAnsi="Arial Unicode MS" w:cs="Arial Unicode MS"/>
      <w:kern w:val="0"/>
      <w:sz w:val="20"/>
      <w:szCs w:val="20"/>
    </w:rPr>
  </w:style>
  <w:style w:type="paragraph" w:customStyle="1" w:styleId="592">
    <w:name w:val="Char Char Char Char"/>
    <w:basedOn w:val="1"/>
    <w:autoRedefine/>
    <w:qFormat/>
    <w:uiPriority w:val="0"/>
    <w:pPr>
      <w:widowControl/>
      <w:spacing w:after="160" w:line="240" w:lineRule="exact"/>
      <w:jc w:val="left"/>
    </w:pPr>
    <w:rPr>
      <w:rFonts w:ascii="Calibri" w:hAnsi="Calibri"/>
      <w:szCs w:val="20"/>
    </w:rPr>
  </w:style>
  <w:style w:type="paragraph" w:customStyle="1" w:styleId="593">
    <w:name w:val="强调文字2"/>
    <w:basedOn w:val="525"/>
    <w:autoRedefine/>
    <w:qFormat/>
    <w:uiPriority w:val="0"/>
    <w:rPr>
      <w:rFonts w:ascii="Calibri" w:hAnsi="Calibri" w:eastAsia="宋体" w:cs="Times New Roman"/>
    </w:rPr>
  </w:style>
  <w:style w:type="paragraph" w:customStyle="1" w:styleId="594">
    <w:name w:val="_Style 189"/>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5">
    <w:name w:val="Char Char Char Char3"/>
    <w:basedOn w:val="1"/>
    <w:autoRedefine/>
    <w:qFormat/>
    <w:uiPriority w:val="0"/>
    <w:pPr>
      <w:widowControl/>
      <w:spacing w:after="160" w:line="240" w:lineRule="exact"/>
      <w:jc w:val="left"/>
    </w:pPr>
    <w:rPr>
      <w:rFonts w:ascii="Calibri" w:hAnsi="Calibri"/>
      <w:szCs w:val="20"/>
    </w:rPr>
  </w:style>
  <w:style w:type="paragraph" w:customStyle="1" w:styleId="596">
    <w:name w:val="样式 右侧:  0.05 厘米 段前: 2 磅 段后: 2 磅"/>
    <w:basedOn w:val="1"/>
    <w:autoRedefine/>
    <w:qFormat/>
    <w:uiPriority w:val="0"/>
    <w:pPr>
      <w:ind w:right="28" w:firstLine="420"/>
    </w:pPr>
    <w:rPr>
      <w:rFonts w:ascii="Calibri" w:hAnsi="Calibri"/>
    </w:rPr>
  </w:style>
  <w:style w:type="paragraph" w:customStyle="1" w:styleId="597">
    <w:name w:val="4"/>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98">
    <w:name w:val="3"/>
    <w:basedOn w:val="1"/>
    <w:autoRedefine/>
    <w:qFormat/>
    <w:uiPriority w:val="0"/>
    <w:rPr>
      <w:rFonts w:ascii="Calibri" w:hAnsi="Calibri"/>
      <w:szCs w:val="20"/>
    </w:rPr>
  </w:style>
  <w:style w:type="paragraph" w:customStyle="1" w:styleId="599">
    <w:name w:val="列出段落21"/>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600">
    <w:name w:val="XW正文"/>
    <w:basedOn w:val="33"/>
    <w:autoRedefine/>
    <w:qFormat/>
    <w:uiPriority w:val="0"/>
    <w:pPr>
      <w:adjustRightInd w:val="0"/>
      <w:snapToGrid w:val="0"/>
      <w:spacing w:line="300" w:lineRule="auto"/>
      <w:ind w:firstLine="520" w:firstLineChars="200"/>
      <w:jc w:val="left"/>
    </w:pPr>
    <w:rPr>
      <w:rFonts w:ascii="Calibri" w:hAnsi="Calibri"/>
      <w:kern w:val="0"/>
      <w:sz w:val="21"/>
    </w:rPr>
  </w:style>
  <w:style w:type="paragraph" w:customStyle="1" w:styleId="601">
    <w:name w:val="news"/>
    <w:basedOn w:val="1"/>
    <w:autoRedefine/>
    <w:qFormat/>
    <w:uiPriority w:val="0"/>
    <w:pPr>
      <w:widowControl/>
      <w:spacing w:before="100" w:beforeAutospacing="1" w:after="100" w:afterAutospacing="1"/>
      <w:jc w:val="left"/>
    </w:pPr>
    <w:rPr>
      <w:rFonts w:ascii="宋体" w:hAnsi="宋体"/>
      <w:kern w:val="0"/>
      <w:sz w:val="20"/>
      <w:szCs w:val="20"/>
    </w:rPr>
  </w:style>
  <w:style w:type="paragraph" w:customStyle="1" w:styleId="602">
    <w:name w:val="样式 标题 2 + (西文) 方正书宋简体 (中文) 方正黑体简体 非加粗 黑色 行距: 固定值 15 磅"/>
    <w:basedOn w:val="4"/>
    <w:autoRedefine/>
    <w:qFormat/>
    <w:uiPriority w:val="0"/>
    <w:pPr>
      <w:tabs>
        <w:tab w:val="left" w:pos="1418"/>
      </w:tabs>
      <w:autoSpaceDE/>
      <w:autoSpaceDN/>
      <w:adjustRightInd/>
      <w:spacing w:before="0" w:line="300" w:lineRule="exact"/>
      <w:ind w:firstLine="200" w:firstLineChars="200"/>
      <w:jc w:val="left"/>
    </w:pPr>
    <w:rPr>
      <w:rFonts w:ascii="方正书宋简体" w:hAnsi="宋体" w:eastAsia="方正小标宋简体" w:cs="宋体"/>
      <w:b w:val="0"/>
      <w:color w:val="000000"/>
      <w:kern w:val="2"/>
      <w:sz w:val="21"/>
    </w:rPr>
  </w:style>
  <w:style w:type="paragraph" w:customStyle="1" w:styleId="603">
    <w:name w:val="p0"/>
    <w:basedOn w:val="1"/>
    <w:autoRedefine/>
    <w:qFormat/>
    <w:uiPriority w:val="0"/>
    <w:pPr>
      <w:widowControl/>
    </w:pPr>
    <w:rPr>
      <w:rFonts w:ascii="Calibri" w:hAnsi="Calibri"/>
      <w:kern w:val="0"/>
      <w:szCs w:val="21"/>
    </w:rPr>
  </w:style>
  <w:style w:type="paragraph" w:customStyle="1" w:styleId="604">
    <w:name w:val="纯文本1"/>
    <w:basedOn w:val="1"/>
    <w:autoRedefine/>
    <w:qFormat/>
    <w:uiPriority w:val="0"/>
    <w:rPr>
      <w:rFonts w:ascii="宋体" w:hAnsi="Courier New"/>
      <w:szCs w:val="20"/>
    </w:rPr>
  </w:style>
  <w:style w:type="paragraph" w:customStyle="1" w:styleId="605">
    <w:name w:val="Char1 Char Char"/>
    <w:basedOn w:val="1"/>
    <w:autoRedefine/>
    <w:qFormat/>
    <w:uiPriority w:val="0"/>
    <w:rPr>
      <w:rFonts w:ascii="仿宋_GB2312" w:hAnsi="Calibri" w:eastAsia="仿宋_GB2312"/>
      <w:b/>
      <w:sz w:val="32"/>
      <w:szCs w:val="32"/>
    </w:rPr>
  </w:style>
  <w:style w:type="paragraph" w:customStyle="1" w:styleId="606">
    <w:name w:val="标书正文居左"/>
    <w:basedOn w:val="577"/>
    <w:autoRedefine/>
    <w:qFormat/>
    <w:uiPriority w:val="0"/>
    <w:pPr>
      <w:tabs>
        <w:tab w:val="clear" w:pos="600"/>
      </w:tabs>
      <w:jc w:val="both"/>
    </w:pPr>
    <w:rPr>
      <w:rFonts w:eastAsia="宋体"/>
      <w:b w:val="0"/>
      <w:bCs/>
      <w:color w:val="000000"/>
      <w:sz w:val="24"/>
      <w:szCs w:val="24"/>
      <w:shd w:val="clear" w:color="auto" w:fill="FFFFFF"/>
    </w:rPr>
  </w:style>
  <w:style w:type="paragraph" w:customStyle="1" w:styleId="607">
    <w:name w:val="修订11"/>
    <w:autoRedefine/>
    <w:qFormat/>
    <w:uiPriority w:val="0"/>
    <w:rPr>
      <w:rFonts w:ascii="Times New Roman" w:hAnsi="Times New Roman" w:eastAsia="宋体" w:cs="Times New Roman"/>
      <w:kern w:val="2"/>
      <w:sz w:val="21"/>
      <w:szCs w:val="24"/>
      <w:lang w:val="en-US" w:eastAsia="zh-CN" w:bidi="ar-SA"/>
    </w:rPr>
  </w:style>
  <w:style w:type="paragraph" w:customStyle="1" w:styleId="608">
    <w:name w:val="样式 标题 1 + 黑体 三号 非加粗 居中 段前: 6 磅 段后: 6 磅 行距: 固定值 20 磅"/>
    <w:basedOn w:val="3"/>
    <w:autoRedefine/>
    <w:qFormat/>
    <w:uiPriority w:val="0"/>
    <w:pPr>
      <w:autoSpaceDE/>
      <w:autoSpaceDN/>
      <w:adjustRightInd/>
      <w:spacing w:before="120" w:line="400" w:lineRule="exact"/>
    </w:pPr>
    <w:rPr>
      <w:rFonts w:ascii="黑体" w:hAnsi="黑体" w:eastAsia="黑体" w:cs="宋体"/>
      <w:b w:val="0"/>
    </w:rPr>
  </w:style>
  <w:style w:type="paragraph" w:customStyle="1" w:styleId="609">
    <w:name w:val=".."/>
    <w:basedOn w:val="1"/>
    <w:next w:val="1"/>
    <w:autoRedefine/>
    <w:qFormat/>
    <w:uiPriority w:val="0"/>
    <w:pPr>
      <w:autoSpaceDE w:val="0"/>
      <w:autoSpaceDN w:val="0"/>
      <w:adjustRightInd w:val="0"/>
      <w:jc w:val="left"/>
    </w:pPr>
    <w:rPr>
      <w:rFonts w:ascii="Sim Sun+ 2" w:hAnsi="Calibri" w:eastAsia="Sim Sun+ 2"/>
      <w:kern w:val="0"/>
      <w:sz w:val="20"/>
      <w:lang w:eastAsia="en-US"/>
    </w:rPr>
  </w:style>
  <w:style w:type="paragraph" w:customStyle="1" w:styleId="610">
    <w:name w:val="Char12"/>
    <w:basedOn w:val="1"/>
    <w:autoRedefine/>
    <w:qFormat/>
    <w:uiPriority w:val="99"/>
    <w:rPr>
      <w:rFonts w:ascii="Tahoma" w:hAnsi="Tahoma"/>
      <w:sz w:val="24"/>
      <w:szCs w:val="20"/>
    </w:rPr>
  </w:style>
  <w:style w:type="paragraph" w:customStyle="1" w:styleId="611">
    <w:name w:val="xl63"/>
    <w:basedOn w:val="1"/>
    <w:autoRedefine/>
    <w:qFormat/>
    <w:uiPriority w:val="0"/>
    <w:pPr>
      <w:widowControl/>
      <w:pBdr>
        <w:left w:val="single" w:color="auto" w:sz="4" w:space="0"/>
      </w:pBdr>
      <w:spacing w:before="100" w:beforeAutospacing="1" w:after="100" w:afterAutospacing="1"/>
      <w:jc w:val="left"/>
      <w:textAlignment w:val="bottom"/>
    </w:pPr>
    <w:rPr>
      <w:rFonts w:ascii="Arial Unicode MS" w:hAnsi="Arial Unicode MS" w:cs="Arial Unicode MS"/>
      <w:b/>
      <w:bCs/>
      <w:kern w:val="0"/>
      <w:sz w:val="24"/>
    </w:rPr>
  </w:style>
  <w:style w:type="paragraph" w:customStyle="1" w:styleId="612">
    <w:name w:val="Char Char Char Char4"/>
    <w:basedOn w:val="1"/>
    <w:autoRedefine/>
    <w:qFormat/>
    <w:uiPriority w:val="0"/>
    <w:pPr>
      <w:widowControl/>
      <w:spacing w:after="160" w:line="240" w:lineRule="exact"/>
      <w:jc w:val="left"/>
    </w:pPr>
    <w:rPr>
      <w:szCs w:val="20"/>
    </w:rPr>
  </w:style>
  <w:style w:type="paragraph" w:customStyle="1" w:styleId="613">
    <w:name w:val="样式 标题 2 + (西文) 方正书宋简体 (中文) 方正黑体简体 非加粗 黑色 段前: 0 磅 段后: 0 磅 行..."/>
    <w:basedOn w:val="4"/>
    <w:autoRedefine/>
    <w:qFormat/>
    <w:uiPriority w:val="0"/>
    <w:pPr>
      <w:tabs>
        <w:tab w:val="left" w:pos="1134"/>
      </w:tabs>
      <w:autoSpaceDE/>
      <w:autoSpaceDN/>
      <w:adjustRightInd/>
      <w:spacing w:before="0" w:line="300" w:lineRule="exact"/>
      <w:jc w:val="left"/>
    </w:pPr>
    <w:rPr>
      <w:rFonts w:ascii="方正书宋简体" w:hAnsi="宋体" w:eastAsia="方正小标宋简体" w:cs="宋体"/>
      <w:b w:val="0"/>
      <w:color w:val="000000"/>
      <w:kern w:val="2"/>
      <w:sz w:val="21"/>
    </w:rPr>
  </w:style>
  <w:style w:type="paragraph" w:customStyle="1" w:styleId="614">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15">
    <w:name w:val="Char13"/>
    <w:basedOn w:val="1"/>
    <w:autoRedefine/>
    <w:qFormat/>
    <w:uiPriority w:val="0"/>
    <w:rPr>
      <w:rFonts w:ascii="Tahoma" w:hAnsi="Tahoma"/>
      <w:sz w:val="24"/>
      <w:szCs w:val="20"/>
    </w:rPr>
  </w:style>
  <w:style w:type="paragraph" w:customStyle="1" w:styleId="616">
    <w:name w:val="项目符号A"/>
    <w:basedOn w:val="1"/>
    <w:autoRedefine/>
    <w:qFormat/>
    <w:uiPriority w:val="0"/>
    <w:pPr>
      <w:tabs>
        <w:tab w:val="left" w:pos="1936"/>
      </w:tabs>
      <w:spacing w:line="360" w:lineRule="auto"/>
      <w:ind w:left="420"/>
      <w:jc w:val="left"/>
    </w:pPr>
    <w:rPr>
      <w:rFonts w:ascii="Arial" w:hAnsi="Arial"/>
      <w:b/>
      <w:bCs/>
      <w:color w:val="000000"/>
      <w:sz w:val="24"/>
    </w:rPr>
  </w:style>
  <w:style w:type="character" w:customStyle="1" w:styleId="617">
    <w:name w:val="Char Char8"/>
    <w:autoRedefine/>
    <w:qFormat/>
    <w:uiPriority w:val="0"/>
    <w:rPr>
      <w:rFonts w:ascii="宋体" w:hAnsi="Calibri" w:eastAsia="宋体" w:cs="Times New Roman"/>
      <w:b/>
      <w:bCs/>
      <w:sz w:val="24"/>
      <w:szCs w:val="24"/>
      <w:lang w:val="en-US" w:eastAsia="zh-CN" w:bidi="ar-SA"/>
    </w:rPr>
  </w:style>
  <w:style w:type="character" w:customStyle="1" w:styleId="618">
    <w:name w:val="Char Char61"/>
    <w:autoRedefine/>
    <w:qFormat/>
    <w:uiPriority w:val="0"/>
    <w:rPr>
      <w:rFonts w:ascii="Calibri" w:hAnsi="Calibri" w:eastAsia="宋体" w:cs="Times New Roman"/>
      <w:kern w:val="2"/>
      <w:sz w:val="21"/>
      <w:szCs w:val="24"/>
      <w:lang w:val="en-US" w:eastAsia="zh-CN" w:bidi="ar-SA"/>
    </w:rPr>
  </w:style>
  <w:style w:type="character" w:customStyle="1" w:styleId="619">
    <w:name w:val="Char Char71"/>
    <w:autoRedefine/>
    <w:qFormat/>
    <w:uiPriority w:val="0"/>
    <w:rPr>
      <w:rFonts w:ascii="宋体" w:hAnsi="宋体" w:eastAsia="宋体" w:cs="Times New Roman"/>
      <w:b/>
      <w:sz w:val="24"/>
      <w:szCs w:val="24"/>
      <w:lang w:val="en-US" w:eastAsia="zh-CN" w:bidi="ar-SA"/>
    </w:rPr>
  </w:style>
  <w:style w:type="character" w:customStyle="1" w:styleId="620">
    <w:name w:val="Char Char112"/>
    <w:autoRedefine/>
    <w:qFormat/>
    <w:uiPriority w:val="0"/>
    <w:rPr>
      <w:rFonts w:ascii="宋体" w:hAnsi="Calibri" w:eastAsia="宋体" w:cs="Times New Roman"/>
      <w:sz w:val="24"/>
      <w:szCs w:val="24"/>
      <w:lang w:val="en-US" w:eastAsia="zh-CN" w:bidi="ar-SA"/>
    </w:rPr>
  </w:style>
  <w:style w:type="character" w:customStyle="1" w:styleId="621">
    <w:name w:val="Char Char51"/>
    <w:autoRedefine/>
    <w:qFormat/>
    <w:uiPriority w:val="0"/>
    <w:rPr>
      <w:rFonts w:ascii="宋体" w:hAnsi="Calibri" w:eastAsia="宋体" w:cs="Times New Roman"/>
      <w:sz w:val="24"/>
      <w:szCs w:val="24"/>
      <w:lang w:val="en-US" w:eastAsia="zh-CN" w:bidi="ar-SA"/>
    </w:rPr>
  </w:style>
  <w:style w:type="character" w:customStyle="1" w:styleId="622">
    <w:name w:val="Char Char32"/>
    <w:autoRedefine/>
    <w:qFormat/>
    <w:uiPriority w:val="0"/>
    <w:rPr>
      <w:rFonts w:ascii="Calibri" w:hAnsi="Calibri" w:eastAsia="宋体" w:cs="Times New Roman"/>
      <w:sz w:val="24"/>
      <w:lang w:val="en-US" w:eastAsia="zh-CN" w:bidi="ar-SA"/>
    </w:rPr>
  </w:style>
  <w:style w:type="character" w:customStyle="1" w:styleId="623">
    <w:name w:val="题注 字符"/>
    <w:autoRedefine/>
    <w:qFormat/>
    <w:uiPriority w:val="0"/>
    <w:rPr>
      <w:rFonts w:ascii="Arial" w:hAnsi="Arial" w:eastAsia="黑体" w:cs="Arial"/>
      <w:kern w:val="2"/>
      <w:lang w:eastAsia="ar-SA"/>
    </w:rPr>
  </w:style>
  <w:style w:type="character" w:customStyle="1" w:styleId="624">
    <w:name w:val="Char Char14"/>
    <w:autoRedefine/>
    <w:qFormat/>
    <w:uiPriority w:val="0"/>
    <w:rPr>
      <w:rFonts w:ascii="Calibri" w:hAnsi="Calibri" w:eastAsia="宋体" w:cs="Times New Roman"/>
      <w:kern w:val="2"/>
      <w:sz w:val="24"/>
      <w:lang w:val="en-US" w:eastAsia="zh-CN" w:bidi="ar-SA"/>
    </w:rPr>
  </w:style>
  <w:style w:type="character" w:customStyle="1" w:styleId="625">
    <w:name w:val="书籍标题2"/>
    <w:autoRedefine/>
    <w:qFormat/>
    <w:uiPriority w:val="0"/>
    <w:rPr>
      <w:rFonts w:ascii="Calibri" w:hAnsi="Calibri" w:eastAsia="宋体" w:cs="Times New Roman"/>
      <w:b/>
      <w:bCs/>
      <w:smallCaps/>
      <w:spacing w:val="5"/>
    </w:rPr>
  </w:style>
  <w:style w:type="paragraph" w:customStyle="1" w:styleId="626">
    <w:name w:val="Char14"/>
    <w:basedOn w:val="1"/>
    <w:autoRedefine/>
    <w:qFormat/>
    <w:uiPriority w:val="0"/>
    <w:rPr>
      <w:rFonts w:ascii="Tahoma" w:hAnsi="Tahoma"/>
      <w:sz w:val="24"/>
      <w:szCs w:val="20"/>
    </w:rPr>
  </w:style>
  <w:style w:type="paragraph" w:customStyle="1" w:styleId="627">
    <w:name w:val="修订2"/>
    <w:autoRedefine/>
    <w:qFormat/>
    <w:uiPriority w:val="99"/>
    <w:rPr>
      <w:rFonts w:ascii="Times New Roman" w:hAnsi="Times New Roman" w:eastAsia="宋体" w:cs="Times New Roman"/>
      <w:kern w:val="2"/>
      <w:sz w:val="21"/>
      <w:szCs w:val="24"/>
      <w:lang w:val="en-US" w:eastAsia="zh-CN" w:bidi="ar-SA"/>
    </w:rPr>
  </w:style>
  <w:style w:type="paragraph" w:customStyle="1" w:styleId="628">
    <w:name w:val="TOC 标题2"/>
    <w:basedOn w:val="3"/>
    <w:next w:val="1"/>
    <w:autoRedefine/>
    <w:qFormat/>
    <w:uiPriority w:val="0"/>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629">
    <w:name w:val="Char Char Char Char5"/>
    <w:basedOn w:val="1"/>
    <w:autoRedefine/>
    <w:qFormat/>
    <w:uiPriority w:val="0"/>
    <w:pPr>
      <w:widowControl/>
      <w:spacing w:after="160" w:line="240" w:lineRule="exact"/>
      <w:jc w:val="left"/>
    </w:pPr>
    <w:rPr>
      <w:rFonts w:ascii="Calibri" w:hAnsi="Calibri"/>
      <w:szCs w:val="20"/>
    </w:rPr>
  </w:style>
  <w:style w:type="paragraph" w:customStyle="1" w:styleId="630">
    <w:name w:val="Char4"/>
    <w:basedOn w:val="1"/>
    <w:autoRedefine/>
    <w:qFormat/>
    <w:uiPriority w:val="0"/>
    <w:rPr>
      <w:rFonts w:ascii="Tahoma" w:hAnsi="Tahoma"/>
      <w:sz w:val="24"/>
      <w:szCs w:val="20"/>
    </w:rPr>
  </w:style>
  <w:style w:type="paragraph" w:customStyle="1" w:styleId="631">
    <w:name w:val="Char Char Char Char Char Char Char Char Char Char Char Char Char2"/>
    <w:basedOn w:val="1"/>
    <w:autoRedefine/>
    <w:qFormat/>
    <w:uiPriority w:val="0"/>
    <w:rPr>
      <w:rFonts w:ascii="仿宋_GB2312" w:hAnsi="Calibri" w:eastAsia="仿宋_GB2312"/>
      <w:b/>
      <w:sz w:val="32"/>
      <w:szCs w:val="32"/>
    </w:rPr>
  </w:style>
  <w:style w:type="paragraph" w:customStyle="1" w:styleId="632">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33">
    <w:name w:val="列出段落3"/>
    <w:autoRedefine/>
    <w:qFormat/>
    <w:uiPriority w:val="34"/>
    <w:pPr>
      <w:ind w:firstLine="420" w:firstLineChars="200"/>
    </w:pPr>
    <w:rPr>
      <w:rFonts w:ascii="Times New Roman" w:hAnsi="Times New Roman" w:eastAsia="宋体" w:cs="Times New Roman"/>
      <w:lang w:val="en-US" w:eastAsia="zh-CN" w:bidi="ar-SA"/>
    </w:rPr>
  </w:style>
  <w:style w:type="character" w:customStyle="1" w:styleId="634">
    <w:name w:val="Char Char62"/>
    <w:autoRedefine/>
    <w:qFormat/>
    <w:uiPriority w:val="0"/>
    <w:rPr>
      <w:rFonts w:ascii="Calibri" w:hAnsi="Calibri" w:eastAsia="宋体" w:cs="Times New Roman"/>
      <w:kern w:val="2"/>
      <w:sz w:val="21"/>
      <w:szCs w:val="24"/>
      <w:lang w:val="en-US" w:eastAsia="zh-CN" w:bidi="ar-SA"/>
    </w:rPr>
  </w:style>
  <w:style w:type="character" w:customStyle="1" w:styleId="635">
    <w:name w:val="Char Char15"/>
    <w:autoRedefine/>
    <w:qFormat/>
    <w:uiPriority w:val="0"/>
    <w:rPr>
      <w:rFonts w:ascii="Calibri" w:hAnsi="Calibri" w:eastAsia="宋体" w:cs="Times New Roman"/>
      <w:kern w:val="2"/>
      <w:sz w:val="24"/>
      <w:lang w:val="en-US" w:eastAsia="zh-CN" w:bidi="ar-SA"/>
    </w:rPr>
  </w:style>
  <w:style w:type="character" w:customStyle="1" w:styleId="636">
    <w:name w:val="Char Char42"/>
    <w:autoRedefine/>
    <w:qFormat/>
    <w:uiPriority w:val="0"/>
    <w:rPr>
      <w:rFonts w:ascii="华文细黑" w:hAnsi="华文细黑" w:eastAsia="华文细黑" w:cs="Arial"/>
      <w:b/>
      <w:bCs/>
      <w:color w:val="000000"/>
      <w:sz w:val="52"/>
      <w:szCs w:val="32"/>
      <w:lang w:val="en-US" w:eastAsia="zh-CN" w:bidi="ar-SA"/>
    </w:rPr>
  </w:style>
  <w:style w:type="character" w:customStyle="1" w:styleId="637">
    <w:name w:val="Char Char33"/>
    <w:autoRedefine/>
    <w:qFormat/>
    <w:uiPriority w:val="0"/>
    <w:rPr>
      <w:rFonts w:ascii="Calibri" w:hAnsi="Calibri" w:eastAsia="宋体" w:cs="Times New Roman"/>
      <w:sz w:val="24"/>
      <w:lang w:val="en-US" w:eastAsia="zh-CN" w:bidi="ar-SA"/>
    </w:rPr>
  </w:style>
  <w:style w:type="character" w:customStyle="1" w:styleId="638">
    <w:name w:val="正文3"/>
    <w:autoRedefine/>
    <w:qFormat/>
    <w:uiPriority w:val="0"/>
    <w:rPr>
      <w:rFonts w:cs="Times New Roman"/>
    </w:rPr>
  </w:style>
  <w:style w:type="character" w:customStyle="1" w:styleId="639">
    <w:name w:val="Char Char52"/>
    <w:autoRedefine/>
    <w:qFormat/>
    <w:uiPriority w:val="0"/>
    <w:rPr>
      <w:rFonts w:ascii="宋体" w:hAnsi="Calibri" w:eastAsia="宋体" w:cs="Times New Roman"/>
      <w:sz w:val="24"/>
      <w:szCs w:val="24"/>
      <w:lang w:val="en-US" w:eastAsia="zh-CN" w:bidi="ar-SA"/>
    </w:rPr>
  </w:style>
  <w:style w:type="character" w:customStyle="1" w:styleId="640">
    <w:name w:val="Char Char9"/>
    <w:autoRedefine/>
    <w:qFormat/>
    <w:uiPriority w:val="0"/>
    <w:rPr>
      <w:rFonts w:ascii="宋体" w:hAnsi="Calibri" w:eastAsia="宋体" w:cs="Times New Roman"/>
      <w:b/>
      <w:bCs/>
      <w:sz w:val="24"/>
      <w:szCs w:val="24"/>
      <w:lang w:val="en-US" w:eastAsia="zh-CN" w:bidi="ar-SA"/>
    </w:rPr>
  </w:style>
  <w:style w:type="character" w:customStyle="1" w:styleId="641">
    <w:name w:val="Char Char72"/>
    <w:autoRedefine/>
    <w:qFormat/>
    <w:uiPriority w:val="0"/>
    <w:rPr>
      <w:rFonts w:ascii="宋体" w:hAnsi="宋体" w:eastAsia="宋体" w:cs="Times New Roman"/>
      <w:b/>
      <w:sz w:val="24"/>
      <w:szCs w:val="24"/>
      <w:lang w:val="en-US" w:eastAsia="zh-CN" w:bidi="ar-SA"/>
    </w:rPr>
  </w:style>
  <w:style w:type="character" w:customStyle="1" w:styleId="642">
    <w:name w:val="Char Char113"/>
    <w:autoRedefine/>
    <w:qFormat/>
    <w:uiPriority w:val="0"/>
    <w:rPr>
      <w:rFonts w:ascii="宋体" w:hAnsi="Calibri" w:eastAsia="宋体" w:cs="Times New Roman"/>
      <w:sz w:val="24"/>
      <w:szCs w:val="24"/>
      <w:lang w:val="en-US" w:eastAsia="zh-CN" w:bidi="ar-SA"/>
    </w:rPr>
  </w:style>
  <w:style w:type="paragraph" w:customStyle="1" w:styleId="643">
    <w:name w:val="样式 首行缩进:  2 字符"/>
    <w:basedOn w:val="1"/>
    <w:link w:val="644"/>
    <w:autoRedefine/>
    <w:qFormat/>
    <w:uiPriority w:val="0"/>
    <w:pPr>
      <w:spacing w:line="360" w:lineRule="auto"/>
      <w:ind w:firstLine="480" w:firstLineChars="200"/>
    </w:pPr>
    <w:rPr>
      <w:rFonts w:ascii="宋体" w:cs="宋体"/>
      <w:sz w:val="24"/>
    </w:rPr>
  </w:style>
  <w:style w:type="character" w:customStyle="1" w:styleId="644">
    <w:name w:val="样式 首行缩进:  2 字符 Char"/>
    <w:link w:val="643"/>
    <w:autoRedefine/>
    <w:qFormat/>
    <w:uiPriority w:val="0"/>
    <w:rPr>
      <w:rFonts w:ascii="宋体" w:cs="宋体"/>
      <w:kern w:val="2"/>
      <w:sz w:val="24"/>
      <w:szCs w:val="24"/>
    </w:rPr>
  </w:style>
  <w:style w:type="paragraph" w:customStyle="1" w:styleId="645">
    <w:name w:val="_Style 234"/>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6">
    <w:name w:val="TOC 标题21"/>
    <w:basedOn w:val="3"/>
    <w:next w:val="1"/>
    <w:autoRedefine/>
    <w:qFormat/>
    <w:uiPriority w:val="39"/>
    <w:pPr>
      <w:widowControl/>
      <w:tabs>
        <w:tab w:val="left" w:pos="432"/>
      </w:tabs>
      <w:autoSpaceDE/>
      <w:autoSpaceDN/>
      <w:adjustRightInd/>
      <w:spacing w:before="480" w:after="0" w:line="276" w:lineRule="auto"/>
      <w:jc w:val="left"/>
      <w:outlineLvl w:val="9"/>
    </w:pPr>
    <w:rPr>
      <w:rFonts w:ascii="Cambria" w:hAnsi="Cambria"/>
      <w:bCs/>
      <w:color w:val="365F91"/>
      <w:sz w:val="28"/>
      <w:szCs w:val="28"/>
    </w:rPr>
  </w:style>
  <w:style w:type="paragraph" w:customStyle="1" w:styleId="647">
    <w:name w:val="Char5"/>
    <w:basedOn w:val="1"/>
    <w:autoRedefine/>
    <w:qFormat/>
    <w:uiPriority w:val="0"/>
    <w:rPr>
      <w:rFonts w:ascii="Tahoma" w:hAnsi="Tahoma"/>
      <w:sz w:val="24"/>
      <w:szCs w:val="20"/>
    </w:rPr>
  </w:style>
  <w:style w:type="paragraph" w:customStyle="1" w:styleId="648">
    <w:name w:val="正文4"/>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49">
    <w:name w:val="列出段落4"/>
    <w:basedOn w:val="1"/>
    <w:autoRedefine/>
    <w:qFormat/>
    <w:uiPriority w:val="0"/>
    <w:pPr>
      <w:ind w:firstLine="420" w:firstLineChars="200"/>
    </w:pPr>
  </w:style>
  <w:style w:type="paragraph" w:customStyle="1" w:styleId="650">
    <w:name w:val="表内居中"/>
    <w:basedOn w:val="1"/>
    <w:autoRedefine/>
    <w:qFormat/>
    <w:uiPriority w:val="0"/>
    <w:pPr>
      <w:textAlignment w:val="center"/>
    </w:pPr>
    <w:rPr>
      <w:rFonts w:ascii="宋体" w:hAnsi="宋体"/>
      <w:b/>
      <w:sz w:val="24"/>
      <w:szCs w:val="21"/>
    </w:rPr>
  </w:style>
  <w:style w:type="paragraph" w:customStyle="1" w:styleId="651">
    <w:name w:val="Char15"/>
    <w:basedOn w:val="1"/>
    <w:autoRedefine/>
    <w:qFormat/>
    <w:uiPriority w:val="0"/>
    <w:rPr>
      <w:rFonts w:ascii="Tahoma" w:hAnsi="Tahoma"/>
      <w:sz w:val="24"/>
      <w:szCs w:val="20"/>
    </w:rPr>
  </w:style>
  <w:style w:type="paragraph" w:customStyle="1" w:styleId="652">
    <w:name w:val="_Style 241"/>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3">
    <w:name w:val="Char Char Char Char Char Char11"/>
    <w:basedOn w:val="1"/>
    <w:autoRedefine/>
    <w:qFormat/>
    <w:uiPriority w:val="0"/>
    <w:rPr>
      <w:rFonts w:ascii="Tahoma" w:hAnsi="Tahoma"/>
      <w:sz w:val="24"/>
      <w:szCs w:val="20"/>
    </w:rPr>
  </w:style>
  <w:style w:type="paragraph" w:customStyle="1" w:styleId="654">
    <w:name w:val="Char Char Char Char Char Char Char Char Char Char Char Char Char3"/>
    <w:basedOn w:val="1"/>
    <w:autoRedefine/>
    <w:qFormat/>
    <w:uiPriority w:val="0"/>
    <w:rPr>
      <w:rFonts w:ascii="仿宋_GB2312" w:hAnsi="Calibri" w:eastAsia="仿宋_GB2312"/>
      <w:b/>
      <w:sz w:val="32"/>
      <w:szCs w:val="32"/>
    </w:rPr>
  </w:style>
  <w:style w:type="character" w:customStyle="1" w:styleId="655">
    <w:name w:val="正文格式 Char1"/>
    <w:autoRedefine/>
    <w:qFormat/>
    <w:uiPriority w:val="0"/>
    <w:rPr>
      <w:kern w:val="2"/>
      <w:sz w:val="21"/>
      <w:szCs w:val="24"/>
    </w:rPr>
  </w:style>
  <w:style w:type="paragraph" w:customStyle="1" w:styleId="656">
    <w:name w:val="Char Char Char Char6"/>
    <w:basedOn w:val="1"/>
    <w:autoRedefine/>
    <w:qFormat/>
    <w:uiPriority w:val="0"/>
    <w:pPr>
      <w:widowControl/>
      <w:spacing w:after="160" w:line="240" w:lineRule="exact"/>
      <w:jc w:val="left"/>
    </w:pPr>
    <w:rPr>
      <w:rFonts w:ascii="Calibri" w:hAnsi="Calibri"/>
      <w:szCs w:val="20"/>
    </w:rPr>
  </w:style>
  <w:style w:type="character" w:customStyle="1" w:styleId="657">
    <w:name w:val="列出段落 字符"/>
    <w:autoRedefine/>
    <w:qFormat/>
    <w:uiPriority w:val="1"/>
    <w:rPr>
      <w:kern w:val="2"/>
      <w:sz w:val="21"/>
      <w:szCs w:val="22"/>
    </w:rPr>
  </w:style>
  <w:style w:type="character" w:customStyle="1" w:styleId="658">
    <w:name w:val="未处理的提及1"/>
    <w:autoRedefine/>
    <w:unhideWhenUsed/>
    <w:qFormat/>
    <w:uiPriority w:val="99"/>
    <w:rPr>
      <w:rFonts w:ascii="Calibri" w:hAnsi="Calibri" w:eastAsia="宋体" w:cs="Times New Roman"/>
      <w:color w:val="808080"/>
      <w:shd w:val="clear" w:color="auto" w:fill="E6E6E6"/>
    </w:rPr>
  </w:style>
  <w:style w:type="character" w:customStyle="1" w:styleId="659">
    <w:name w:val="标题 6 字符1"/>
    <w:autoRedefine/>
    <w:qFormat/>
    <w:uiPriority w:val="0"/>
    <w:rPr>
      <w:rFonts w:ascii="Cambria" w:hAnsi="Cambria" w:eastAsia="宋体" w:cs="Times New Roman"/>
      <w:b/>
      <w:bCs/>
      <w:kern w:val="2"/>
      <w:sz w:val="24"/>
      <w:szCs w:val="24"/>
    </w:rPr>
  </w:style>
  <w:style w:type="character" w:customStyle="1" w:styleId="660">
    <w:name w:val="文档结构图 字符1"/>
    <w:autoRedefine/>
    <w:qFormat/>
    <w:locked/>
    <w:uiPriority w:val="0"/>
    <w:rPr>
      <w:rFonts w:ascii="宋体" w:eastAsia="宋体"/>
      <w:kern w:val="2"/>
      <w:sz w:val="18"/>
      <w:lang w:eastAsia="zh-CN"/>
    </w:rPr>
  </w:style>
  <w:style w:type="character" w:customStyle="1" w:styleId="661">
    <w:name w:val="标题 9 字符1"/>
    <w:autoRedefine/>
    <w:qFormat/>
    <w:uiPriority w:val="0"/>
    <w:rPr>
      <w:rFonts w:ascii="Cambria" w:hAnsi="Cambria" w:eastAsia="宋体" w:cs="Times New Roman"/>
      <w:kern w:val="2"/>
      <w:sz w:val="21"/>
      <w:szCs w:val="21"/>
    </w:rPr>
  </w:style>
  <w:style w:type="character" w:customStyle="1" w:styleId="662">
    <w:name w:val="日期 字符1"/>
    <w:autoRedefine/>
    <w:qFormat/>
    <w:uiPriority w:val="0"/>
    <w:rPr>
      <w:kern w:val="2"/>
      <w:sz w:val="21"/>
      <w:szCs w:val="24"/>
    </w:rPr>
  </w:style>
  <w:style w:type="character" w:customStyle="1" w:styleId="663">
    <w:name w:val="标题 8 字符1"/>
    <w:autoRedefine/>
    <w:qFormat/>
    <w:uiPriority w:val="0"/>
    <w:rPr>
      <w:rFonts w:ascii="Cambria" w:hAnsi="Cambria" w:eastAsia="宋体" w:cs="Times New Roman"/>
      <w:kern w:val="2"/>
      <w:sz w:val="24"/>
      <w:szCs w:val="24"/>
    </w:rPr>
  </w:style>
  <w:style w:type="character" w:customStyle="1" w:styleId="664">
    <w:name w:val="标题 4 字符1"/>
    <w:autoRedefine/>
    <w:qFormat/>
    <w:uiPriority w:val="0"/>
    <w:rPr>
      <w:rFonts w:ascii="Cambria" w:hAnsi="Cambria" w:eastAsia="宋体" w:cs="Times New Roman"/>
      <w:b/>
      <w:bCs/>
      <w:kern w:val="2"/>
      <w:sz w:val="28"/>
      <w:szCs w:val="28"/>
    </w:rPr>
  </w:style>
  <w:style w:type="character" w:customStyle="1" w:styleId="665">
    <w:name w:val="标题 5 字符1"/>
    <w:autoRedefine/>
    <w:qFormat/>
    <w:uiPriority w:val="0"/>
    <w:rPr>
      <w:rFonts w:ascii="Times New Roman" w:hAnsi="Times New Roman" w:eastAsia="宋体" w:cs="Times New Roman"/>
      <w:b/>
      <w:bCs/>
      <w:kern w:val="2"/>
      <w:sz w:val="28"/>
      <w:szCs w:val="28"/>
    </w:rPr>
  </w:style>
  <w:style w:type="character" w:customStyle="1" w:styleId="666">
    <w:name w:val="标题 字符1"/>
    <w:autoRedefine/>
    <w:qFormat/>
    <w:locked/>
    <w:uiPriority w:val="0"/>
    <w:rPr>
      <w:rFonts w:ascii="Cambria" w:hAnsi="Cambria" w:eastAsia="宋体"/>
      <w:b/>
      <w:kern w:val="2"/>
      <w:sz w:val="32"/>
      <w:lang w:eastAsia="zh-CN"/>
    </w:rPr>
  </w:style>
  <w:style w:type="character" w:customStyle="1" w:styleId="667">
    <w:name w:val="正文文本 3 字符1"/>
    <w:autoRedefine/>
    <w:qFormat/>
    <w:uiPriority w:val="0"/>
    <w:rPr>
      <w:kern w:val="2"/>
      <w:sz w:val="16"/>
      <w:szCs w:val="16"/>
    </w:rPr>
  </w:style>
  <w:style w:type="character" w:customStyle="1" w:styleId="668">
    <w:name w:val="标题 7 字符1"/>
    <w:autoRedefine/>
    <w:qFormat/>
    <w:uiPriority w:val="0"/>
    <w:rPr>
      <w:rFonts w:ascii="Times New Roman" w:hAnsi="Times New Roman" w:eastAsia="宋体" w:cs="Times New Roman"/>
      <w:b/>
      <w:bCs/>
      <w:kern w:val="2"/>
      <w:sz w:val="24"/>
      <w:szCs w:val="24"/>
    </w:rPr>
  </w:style>
  <w:style w:type="character" w:customStyle="1" w:styleId="669">
    <w:name w:val="正文文本缩进 2 字符1"/>
    <w:autoRedefine/>
    <w:qFormat/>
    <w:locked/>
    <w:uiPriority w:val="0"/>
    <w:rPr>
      <w:kern w:val="2"/>
      <w:sz w:val="24"/>
    </w:rPr>
  </w:style>
  <w:style w:type="character" w:customStyle="1" w:styleId="670">
    <w:name w:val="正文文本缩进 字符1"/>
    <w:autoRedefine/>
    <w:qFormat/>
    <w:locked/>
    <w:uiPriority w:val="0"/>
    <w:rPr>
      <w:rFonts w:ascii="宋体" w:eastAsia="宋体"/>
      <w:kern w:val="2"/>
      <w:sz w:val="28"/>
    </w:rPr>
  </w:style>
  <w:style w:type="character" w:customStyle="1" w:styleId="671">
    <w:name w:val="正文文本 2 字符1"/>
    <w:autoRedefine/>
    <w:qFormat/>
    <w:uiPriority w:val="0"/>
    <w:rPr>
      <w:kern w:val="2"/>
      <w:sz w:val="21"/>
      <w:szCs w:val="24"/>
    </w:rPr>
  </w:style>
  <w:style w:type="character" w:customStyle="1" w:styleId="672">
    <w:name w:val="批注框文本 字符1"/>
    <w:autoRedefine/>
    <w:qFormat/>
    <w:locked/>
    <w:uiPriority w:val="0"/>
    <w:rPr>
      <w:kern w:val="2"/>
      <w:sz w:val="18"/>
    </w:rPr>
  </w:style>
  <w:style w:type="character" w:customStyle="1" w:styleId="673">
    <w:name w:val="批注主题 字符1"/>
    <w:autoRedefine/>
    <w:qFormat/>
    <w:locked/>
    <w:uiPriority w:val="0"/>
    <w:rPr>
      <w:rFonts w:cs="Times New Roman"/>
      <w:sz w:val="24"/>
    </w:rPr>
  </w:style>
  <w:style w:type="character" w:customStyle="1" w:styleId="674">
    <w:name w:val="HTML 预设格式 字符1"/>
    <w:autoRedefine/>
    <w:qFormat/>
    <w:uiPriority w:val="0"/>
    <w:rPr>
      <w:rFonts w:ascii="宋体" w:hAnsi="宋体" w:eastAsia="宋体" w:cs="Times New Roman"/>
      <w:sz w:val="24"/>
      <w:szCs w:val="24"/>
    </w:rPr>
  </w:style>
  <w:style w:type="character" w:customStyle="1" w:styleId="675">
    <w:name w:val="正文文本缩进 3 字符1"/>
    <w:autoRedefine/>
    <w:qFormat/>
    <w:uiPriority w:val="0"/>
    <w:rPr>
      <w:rFonts w:ascii="Times New Roman" w:hAnsi="Times New Roman" w:eastAsia="宋体" w:cs="Times New Roman"/>
      <w:kern w:val="2"/>
      <w:sz w:val="16"/>
      <w:szCs w:val="16"/>
    </w:rPr>
  </w:style>
  <w:style w:type="paragraph" w:customStyle="1" w:styleId="676">
    <w:name w:val="_Style 14"/>
    <w:basedOn w:val="1"/>
    <w:next w:val="44"/>
    <w:autoRedefine/>
    <w:qFormat/>
    <w:uiPriority w:val="0"/>
    <w:rPr>
      <w:rFonts w:hint="eastAsia" w:ascii="宋体" w:hAnsi="Courier New"/>
      <w:szCs w:val="21"/>
    </w:rPr>
  </w:style>
  <w:style w:type="character" w:customStyle="1" w:styleId="677">
    <w:name w:val="未处理的提及2"/>
    <w:autoRedefine/>
    <w:unhideWhenUsed/>
    <w:qFormat/>
    <w:uiPriority w:val="99"/>
    <w:rPr>
      <w:color w:val="605E5C"/>
      <w:shd w:val="clear" w:color="auto" w:fill="E1DFDD"/>
    </w:rPr>
  </w:style>
  <w:style w:type="paragraph" w:customStyle="1" w:styleId="678">
    <w:name w:val="彩色列表 - 强调文字颜色 11"/>
    <w:basedOn w:val="1"/>
    <w:autoRedefine/>
    <w:qFormat/>
    <w:uiPriority w:val="0"/>
    <w:pPr>
      <w:ind w:firstLine="420" w:firstLineChars="200"/>
    </w:pPr>
  </w:style>
  <w:style w:type="paragraph" w:customStyle="1" w:styleId="679">
    <w:name w:val="彩色列表 - 着色 11"/>
    <w:basedOn w:val="1"/>
    <w:autoRedefine/>
    <w:qFormat/>
    <w:uiPriority w:val="99"/>
    <w:pPr>
      <w:ind w:firstLine="420" w:firstLineChars="200"/>
    </w:pPr>
  </w:style>
  <w:style w:type="paragraph" w:customStyle="1" w:styleId="680">
    <w:name w:val="网格表 31"/>
    <w:basedOn w:val="3"/>
    <w:next w:val="1"/>
    <w:autoRedefine/>
    <w:qFormat/>
    <w:uiPriority w:val="9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681">
    <w:name w:val="_Style 43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2">
    <w:name w:val="9-121"/>
    <w:autoRedefine/>
    <w:qFormat/>
    <w:uiPriority w:val="0"/>
    <w:rPr>
      <w:sz w:val="18"/>
    </w:rPr>
  </w:style>
  <w:style w:type="character" w:customStyle="1" w:styleId="683">
    <w:name w:val="font31"/>
    <w:autoRedefine/>
    <w:qFormat/>
    <w:uiPriority w:val="0"/>
    <w:rPr>
      <w:rFonts w:hint="eastAsia" w:ascii="宋体" w:hAnsi="宋体" w:eastAsia="宋体" w:cs="宋体"/>
      <w:color w:val="000000"/>
      <w:sz w:val="18"/>
      <w:szCs w:val="18"/>
      <w:u w:val="none"/>
    </w:rPr>
  </w:style>
  <w:style w:type="character" w:customStyle="1" w:styleId="684">
    <w:name w:val="apple-converted-space"/>
    <w:autoRedefine/>
    <w:qFormat/>
    <w:uiPriority w:val="0"/>
  </w:style>
  <w:style w:type="character" w:customStyle="1" w:styleId="685">
    <w:name w:val="标题 Char2"/>
    <w:autoRedefine/>
    <w:qFormat/>
    <w:uiPriority w:val="10"/>
    <w:rPr>
      <w:rFonts w:ascii="Cambria" w:hAnsi="Cambria" w:eastAsia="宋体" w:cs="Times New Roman"/>
      <w:b/>
      <w:bCs/>
      <w:sz w:val="32"/>
      <w:szCs w:val="32"/>
    </w:rPr>
  </w:style>
  <w:style w:type="character" w:customStyle="1" w:styleId="686">
    <w:name w:val="标准正文 Char"/>
    <w:link w:val="687"/>
    <w:autoRedefine/>
    <w:qFormat/>
    <w:uiPriority w:val="0"/>
    <w:rPr>
      <w:sz w:val="24"/>
    </w:rPr>
  </w:style>
  <w:style w:type="paragraph" w:customStyle="1" w:styleId="687">
    <w:name w:val="标准正文"/>
    <w:basedOn w:val="33"/>
    <w:link w:val="686"/>
    <w:autoRedefine/>
    <w:qFormat/>
    <w:uiPriority w:val="0"/>
    <w:pPr>
      <w:spacing w:before="60" w:after="60"/>
      <w:ind w:firstLine="482"/>
    </w:pPr>
    <w:rPr>
      <w:kern w:val="0"/>
      <w:szCs w:val="20"/>
    </w:rPr>
  </w:style>
  <w:style w:type="character" w:customStyle="1" w:styleId="688">
    <w:name w:val="font01"/>
    <w:autoRedefine/>
    <w:qFormat/>
    <w:uiPriority w:val="0"/>
    <w:rPr>
      <w:rFonts w:ascii="Palatino Linotype" w:hAnsi="Palatino Linotype" w:eastAsia="Palatino Linotype" w:cs="Palatino Linotype"/>
      <w:color w:val="000000"/>
      <w:sz w:val="18"/>
      <w:szCs w:val="18"/>
      <w:u w:val="none"/>
    </w:rPr>
  </w:style>
  <w:style w:type="character" w:customStyle="1" w:styleId="689">
    <w:name w:val="标准文本 Char"/>
    <w:link w:val="690"/>
    <w:autoRedefine/>
    <w:qFormat/>
    <w:uiPriority w:val="0"/>
    <w:rPr>
      <w:rFonts w:cs="宋体"/>
      <w:sz w:val="24"/>
    </w:rPr>
  </w:style>
  <w:style w:type="paragraph" w:customStyle="1" w:styleId="690">
    <w:name w:val="标准文本"/>
    <w:basedOn w:val="1"/>
    <w:link w:val="689"/>
    <w:autoRedefine/>
    <w:qFormat/>
    <w:uiPriority w:val="0"/>
    <w:pPr>
      <w:spacing w:line="360" w:lineRule="auto"/>
      <w:ind w:firstLine="480" w:firstLineChars="200"/>
    </w:pPr>
    <w:rPr>
      <w:rFonts w:cs="宋体"/>
      <w:kern w:val="0"/>
      <w:sz w:val="24"/>
      <w:szCs w:val="20"/>
    </w:rPr>
  </w:style>
  <w:style w:type="character" w:customStyle="1" w:styleId="691">
    <w:name w:val="font21"/>
    <w:autoRedefine/>
    <w:qFormat/>
    <w:uiPriority w:val="0"/>
    <w:rPr>
      <w:rFonts w:hint="eastAsia" w:ascii="宋体" w:hAnsi="宋体" w:eastAsia="宋体" w:cs="宋体"/>
      <w:color w:val="000000"/>
      <w:sz w:val="18"/>
      <w:szCs w:val="18"/>
      <w:u w:val="none"/>
    </w:rPr>
  </w:style>
  <w:style w:type="character" w:customStyle="1" w:styleId="692">
    <w:name w:val="彩色列表 - 着色 1 Char"/>
    <w:autoRedefine/>
    <w:qFormat/>
    <w:uiPriority w:val="34"/>
    <w:rPr>
      <w:kern w:val="2"/>
      <w:sz w:val="21"/>
      <w:szCs w:val="22"/>
    </w:rPr>
  </w:style>
  <w:style w:type="character" w:customStyle="1" w:styleId="693">
    <w:name w:val="页码1"/>
    <w:autoRedefine/>
    <w:qFormat/>
    <w:uiPriority w:val="99"/>
  </w:style>
  <w:style w:type="character" w:customStyle="1" w:styleId="694">
    <w:name w:val="样式 首行缩进:  2 字符 + 宋体 Char"/>
    <w:link w:val="695"/>
    <w:autoRedefine/>
    <w:qFormat/>
    <w:uiPriority w:val="0"/>
    <w:rPr>
      <w:rFonts w:ascii="宋体" w:hAnsi="宋体" w:cs="宋体"/>
      <w:sz w:val="24"/>
    </w:rPr>
  </w:style>
  <w:style w:type="paragraph" w:customStyle="1" w:styleId="695">
    <w:name w:val="样式 首行缩进:  2 字符 + 宋体"/>
    <w:basedOn w:val="1"/>
    <w:link w:val="694"/>
    <w:autoRedefine/>
    <w:qFormat/>
    <w:uiPriority w:val="0"/>
    <w:pPr>
      <w:spacing w:line="360" w:lineRule="auto"/>
      <w:ind w:firstLine="200" w:firstLineChars="200"/>
    </w:pPr>
    <w:rPr>
      <w:rFonts w:ascii="宋体" w:hAnsi="宋体" w:cs="宋体"/>
      <w:kern w:val="0"/>
      <w:sz w:val="24"/>
      <w:szCs w:val="20"/>
    </w:rPr>
  </w:style>
  <w:style w:type="character" w:customStyle="1" w:styleId="696">
    <w:name w:val="word331"/>
    <w:autoRedefine/>
    <w:qFormat/>
    <w:uiPriority w:val="0"/>
    <w:rPr>
      <w:b/>
      <w:bCs/>
      <w:color w:val="002A4E"/>
      <w:sz w:val="20"/>
      <w:szCs w:val="20"/>
    </w:rPr>
  </w:style>
  <w:style w:type="paragraph" w:customStyle="1" w:styleId="697">
    <w:name w:val="标题三"/>
    <w:basedOn w:val="5"/>
    <w:next w:val="8"/>
    <w:autoRedefine/>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698">
    <w:name w:val="普通 (Web)"/>
    <w:basedOn w:val="1"/>
    <w:autoRedefine/>
    <w:qFormat/>
    <w:uiPriority w:val="0"/>
    <w:pPr>
      <w:widowControl/>
      <w:spacing w:before="100" w:after="100" w:line="360" w:lineRule="auto"/>
      <w:jc w:val="left"/>
    </w:pPr>
    <w:rPr>
      <w:rFonts w:ascii="宋体" w:hAnsi="宋体"/>
      <w:color w:val="FFFFFF"/>
      <w:kern w:val="0"/>
      <w:sz w:val="24"/>
      <w:szCs w:val="20"/>
    </w:rPr>
  </w:style>
  <w:style w:type="paragraph" w:customStyle="1" w:styleId="699">
    <w:name w:val="Normal Bullets"/>
    <w:basedOn w:val="1"/>
    <w:autoRedefine/>
    <w:qFormat/>
    <w:uiPriority w:val="0"/>
    <w:pPr>
      <w:widowControl/>
      <w:tabs>
        <w:tab w:val="left" w:pos="3240"/>
      </w:tabs>
      <w:spacing w:after="120"/>
      <w:ind w:left="3240" w:hanging="360"/>
      <w:jc w:val="left"/>
    </w:pPr>
    <w:rPr>
      <w:rFonts w:ascii="Palatino Linotype" w:hAnsi="Palatino Linotype"/>
      <w:kern w:val="0"/>
      <w:sz w:val="20"/>
      <w:szCs w:val="20"/>
      <w:lang w:eastAsia="en-US"/>
    </w:rPr>
  </w:style>
  <w:style w:type="paragraph" w:customStyle="1" w:styleId="700">
    <w:name w:val="列出段落41"/>
    <w:basedOn w:val="1"/>
    <w:autoRedefine/>
    <w:qFormat/>
    <w:uiPriority w:val="99"/>
    <w:pPr>
      <w:ind w:firstLine="420" w:firstLineChars="200"/>
    </w:pPr>
    <w:rPr>
      <w:szCs w:val="20"/>
    </w:rPr>
  </w:style>
  <w:style w:type="paragraph" w:customStyle="1" w:styleId="701">
    <w:name w:val="索引 11"/>
    <w:basedOn w:val="1"/>
    <w:next w:val="1"/>
    <w:autoRedefine/>
    <w:qFormat/>
    <w:uiPriority w:val="0"/>
    <w:rPr>
      <w:szCs w:val="20"/>
    </w:rPr>
  </w:style>
  <w:style w:type="paragraph" w:customStyle="1" w:styleId="702">
    <w:name w:val="Sub Bullets"/>
    <w:basedOn w:val="699"/>
    <w:autoRedefine/>
    <w:qFormat/>
    <w:uiPriority w:val="0"/>
  </w:style>
  <w:style w:type="paragraph" w:customStyle="1" w:styleId="703">
    <w:name w:val="Char Char Char1 Char Char Char Char"/>
    <w:basedOn w:val="1"/>
    <w:autoRedefine/>
    <w:qFormat/>
    <w:uiPriority w:val="0"/>
    <w:rPr>
      <w:rFonts w:ascii="Tahoma" w:hAnsi="Tahoma"/>
      <w:sz w:val="24"/>
      <w:szCs w:val="20"/>
    </w:rPr>
  </w:style>
  <w:style w:type="paragraph" w:customStyle="1" w:styleId="704">
    <w:name w:val="标题8"/>
    <w:basedOn w:val="5"/>
    <w:autoRedefine/>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705">
    <w:name w:val="Char1 Char Char Char Char Char Char"/>
    <w:basedOn w:val="1"/>
    <w:autoRedefine/>
    <w:qFormat/>
    <w:uiPriority w:val="0"/>
    <w:rPr>
      <w:rFonts w:ascii="Tahoma" w:hAnsi="Tahoma"/>
      <w:sz w:val="24"/>
      <w:szCs w:val="20"/>
    </w:rPr>
  </w:style>
  <w:style w:type="paragraph" w:customStyle="1" w:styleId="706">
    <w:name w:val="正文文本缩进 31"/>
    <w:basedOn w:val="1"/>
    <w:autoRedefine/>
    <w:qFormat/>
    <w:uiPriority w:val="0"/>
    <w:pPr>
      <w:autoSpaceDE w:val="0"/>
      <w:autoSpaceDN w:val="0"/>
      <w:adjustRightInd w:val="0"/>
      <w:spacing w:before="120" w:line="22" w:lineRule="atLeast"/>
      <w:ind w:left="720" w:firstLine="480"/>
      <w:jc w:val="left"/>
    </w:pPr>
    <w:rPr>
      <w:sz w:val="16"/>
      <w:szCs w:val="16"/>
    </w:rPr>
  </w:style>
  <w:style w:type="paragraph" w:customStyle="1" w:styleId="707">
    <w:name w:val="jin normal"/>
    <w:basedOn w:val="1"/>
    <w:autoRedefine/>
    <w:qFormat/>
    <w:uiPriority w:val="0"/>
    <w:pPr>
      <w:spacing w:before="120" w:after="120" w:line="360" w:lineRule="auto"/>
      <w:ind w:firstLine="432"/>
    </w:pPr>
    <w:rPr>
      <w:rFonts w:eastAsia="楷体"/>
      <w:snapToGrid w:val="0"/>
      <w:sz w:val="24"/>
      <w:szCs w:val="20"/>
      <w:lang w:eastAsia="en-US"/>
    </w:rPr>
  </w:style>
  <w:style w:type="paragraph" w:customStyle="1" w:styleId="708">
    <w:name w:val="标题5"/>
    <w:basedOn w:val="5"/>
    <w:next w:val="8"/>
    <w:link w:val="709"/>
    <w:autoRedefine/>
    <w:qFormat/>
    <w:uiPriority w:val="0"/>
    <w:pPr>
      <w:tabs>
        <w:tab w:val="left" w:pos="720"/>
        <w:tab w:val="left" w:pos="1107"/>
      </w:tabs>
      <w:spacing w:before="120" w:line="380" w:lineRule="exact"/>
    </w:pPr>
    <w:rPr>
      <w:rFonts w:cs="宋体"/>
      <w:color w:val="000000"/>
      <w:sz w:val="21"/>
      <w:szCs w:val="21"/>
      <w:u w:val="none"/>
      <w:lang w:val="zh-CN"/>
    </w:rPr>
  </w:style>
  <w:style w:type="character" w:customStyle="1" w:styleId="709">
    <w:name w:val="标题5 Char"/>
    <w:link w:val="708"/>
    <w:autoRedefine/>
    <w:qFormat/>
    <w:uiPriority w:val="0"/>
    <w:rPr>
      <w:rFonts w:ascii="宋体" w:cs="宋体"/>
      <w:b/>
      <w:color w:val="000000"/>
      <w:sz w:val="21"/>
      <w:szCs w:val="21"/>
      <w:lang w:val="zh-CN"/>
    </w:rPr>
  </w:style>
  <w:style w:type="paragraph" w:customStyle="1" w:styleId="710">
    <w:name w:val="段"/>
    <w:link w:val="71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11">
    <w:name w:val="段 Char"/>
    <w:link w:val="710"/>
    <w:autoRedefine/>
    <w:qFormat/>
    <w:uiPriority w:val="0"/>
    <w:rPr>
      <w:rFonts w:ascii="宋体"/>
      <w:sz w:val="21"/>
    </w:rPr>
  </w:style>
  <w:style w:type="paragraph" w:customStyle="1" w:styleId="712">
    <w:name w:val="样式7"/>
    <w:basedOn w:val="79"/>
    <w:link w:val="713"/>
    <w:autoRedefine/>
    <w:qFormat/>
    <w:uiPriority w:val="0"/>
    <w:pPr>
      <w:spacing w:before="240" w:after="60"/>
    </w:pPr>
    <w:rPr>
      <w:rFonts w:ascii="Cambria" w:hAnsi="Cambria"/>
      <w:bCs/>
      <w:kern w:val="0"/>
      <w:szCs w:val="32"/>
    </w:rPr>
  </w:style>
  <w:style w:type="character" w:customStyle="1" w:styleId="713">
    <w:name w:val="样式7 Char"/>
    <w:link w:val="712"/>
    <w:autoRedefine/>
    <w:qFormat/>
    <w:uiPriority w:val="0"/>
    <w:rPr>
      <w:rFonts w:ascii="Cambria" w:hAnsi="Cambria"/>
      <w:b/>
      <w:bCs/>
      <w:sz w:val="32"/>
      <w:szCs w:val="32"/>
    </w:rPr>
  </w:style>
  <w:style w:type="paragraph" w:customStyle="1" w:styleId="714">
    <w:name w:val="标题3"/>
    <w:basedOn w:val="5"/>
    <w:next w:val="8"/>
    <w:link w:val="715"/>
    <w:autoRedefine/>
    <w:qFormat/>
    <w:uiPriority w:val="0"/>
    <w:pPr>
      <w:tabs>
        <w:tab w:val="left" w:pos="735"/>
      </w:tabs>
      <w:autoSpaceDE/>
      <w:autoSpaceDN/>
      <w:adjustRightInd/>
      <w:spacing w:before="120" w:after="260" w:afterLines="50" w:line="380" w:lineRule="exact"/>
    </w:pPr>
    <w:rPr>
      <w:rFonts w:ascii="Times New Roman"/>
      <w:bCs/>
      <w:kern w:val="2"/>
      <w:sz w:val="21"/>
      <w:szCs w:val="32"/>
      <w:u w:val="none"/>
    </w:rPr>
  </w:style>
  <w:style w:type="character" w:customStyle="1" w:styleId="715">
    <w:name w:val="标题3 Char"/>
    <w:link w:val="714"/>
    <w:autoRedefine/>
    <w:qFormat/>
    <w:uiPriority w:val="0"/>
    <w:rPr>
      <w:b/>
      <w:bCs/>
      <w:kern w:val="2"/>
      <w:sz w:val="21"/>
      <w:szCs w:val="32"/>
    </w:rPr>
  </w:style>
  <w:style w:type="paragraph" w:customStyle="1" w:styleId="716">
    <w:name w:val="正文 + 小四"/>
    <w:basedOn w:val="1"/>
    <w:autoRedefine/>
    <w:qFormat/>
    <w:uiPriority w:val="0"/>
    <w:pPr>
      <w:spacing w:line="360" w:lineRule="auto"/>
      <w:ind w:firstLine="480" w:firstLineChars="200"/>
    </w:pPr>
    <w:rPr>
      <w:sz w:val="24"/>
    </w:rPr>
  </w:style>
  <w:style w:type="paragraph" w:customStyle="1" w:styleId="717">
    <w:name w:val="Table"/>
    <w:autoRedefine/>
    <w:qFormat/>
    <w:uiPriority w:val="0"/>
    <w:rPr>
      <w:rFonts w:ascii="Times New Roman" w:hAnsi="Times New Roman" w:eastAsia="宋体" w:cs="Times New Roman"/>
      <w:sz w:val="21"/>
      <w:lang w:val="en-US" w:eastAsia="en-US" w:bidi="ar-SA"/>
    </w:rPr>
  </w:style>
  <w:style w:type="paragraph" w:customStyle="1" w:styleId="718">
    <w:name w:val="正文缩排"/>
    <w:basedOn w:val="1"/>
    <w:autoRedefine/>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719">
    <w:name w:val="小标题"/>
    <w:basedOn w:val="1"/>
    <w:autoRedefine/>
    <w:qFormat/>
    <w:uiPriority w:val="0"/>
    <w:pPr>
      <w:spacing w:line="380" w:lineRule="exact"/>
      <w:ind w:right="18"/>
      <w:jc w:val="left"/>
    </w:pPr>
    <w:rPr>
      <w:rFonts w:ascii="宋体" w:cs="宋体"/>
      <w:b/>
      <w:color w:val="000000"/>
      <w:kern w:val="0"/>
      <w:szCs w:val="20"/>
    </w:rPr>
  </w:style>
  <w:style w:type="paragraph" w:customStyle="1" w:styleId="720">
    <w:name w:val="wellhope正文"/>
    <w:basedOn w:val="1"/>
    <w:autoRedefine/>
    <w:qFormat/>
    <w:uiPriority w:val="0"/>
    <w:pPr>
      <w:spacing w:before="60" w:after="60" w:line="360" w:lineRule="auto"/>
      <w:ind w:firstLine="200" w:firstLineChars="200"/>
    </w:pPr>
    <w:rPr>
      <w:sz w:val="24"/>
      <w:szCs w:val="20"/>
    </w:rPr>
  </w:style>
  <w:style w:type="paragraph" w:customStyle="1" w:styleId="721">
    <w:name w:val="默认段落字体 Para Char"/>
    <w:basedOn w:val="1"/>
    <w:autoRedefine/>
    <w:qFormat/>
    <w:uiPriority w:val="0"/>
    <w:pPr>
      <w:adjustRightInd w:val="0"/>
      <w:spacing w:line="360" w:lineRule="auto"/>
    </w:pPr>
    <w:rPr>
      <w:kern w:val="0"/>
      <w:sz w:val="24"/>
      <w:szCs w:val="20"/>
    </w:rPr>
  </w:style>
  <w:style w:type="paragraph" w:customStyle="1" w:styleId="722">
    <w:name w:val="Char1 Char Char Char"/>
    <w:basedOn w:val="1"/>
    <w:autoRedefine/>
    <w:qFormat/>
    <w:uiPriority w:val="0"/>
    <w:rPr>
      <w:rFonts w:ascii="Tahoma" w:hAnsi="Tahoma"/>
      <w:sz w:val="24"/>
      <w:szCs w:val="20"/>
    </w:rPr>
  </w:style>
  <w:style w:type="paragraph" w:customStyle="1" w:styleId="723">
    <w:name w:val="样式 样式1 + 首行缩进:  2 字符"/>
    <w:basedOn w:val="1"/>
    <w:autoRedefine/>
    <w:qFormat/>
    <w:uiPriority w:val="0"/>
    <w:pPr>
      <w:ind w:firstLine="640" w:firstLineChars="200"/>
    </w:pPr>
    <w:rPr>
      <w:rFonts w:ascii="仿宋_GB2312" w:eastAsia="仿宋_GB2312"/>
      <w:sz w:val="28"/>
      <w:szCs w:val="20"/>
    </w:rPr>
  </w:style>
  <w:style w:type="paragraph" w:customStyle="1" w:styleId="724">
    <w:name w:val="空行"/>
    <w:basedOn w:val="1"/>
    <w:next w:val="1"/>
    <w:autoRedefine/>
    <w:qFormat/>
    <w:uiPriority w:val="0"/>
    <w:pPr>
      <w:spacing w:beforeLines="100" w:afterLines="100" w:line="360" w:lineRule="auto"/>
      <w:jc w:val="center"/>
    </w:pPr>
    <w:rPr>
      <w:spacing w:val="20"/>
      <w:sz w:val="24"/>
      <w:szCs w:val="20"/>
    </w:rPr>
  </w:style>
  <w:style w:type="paragraph" w:customStyle="1" w:styleId="725">
    <w:name w:val="Char Char1 Char Char Char Char Char Char Char Char Char Char Char Char Char Char Char"/>
    <w:basedOn w:val="1"/>
    <w:autoRedefine/>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726">
    <w:name w:val="Char Char Char Char Char Char Char Char Char Char Char Char Char Char Char Char Char Char Char"/>
    <w:basedOn w:val="1"/>
    <w:autoRedefine/>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727">
    <w:name w:val="标题1"/>
    <w:basedOn w:val="3"/>
    <w:next w:val="4"/>
    <w:autoRedefine/>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728">
    <w:name w:val="content"/>
    <w:basedOn w:val="1"/>
    <w:autoRedefine/>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729">
    <w:name w:val="正文文字缩进 2"/>
    <w:basedOn w:val="1"/>
    <w:autoRedefine/>
    <w:qFormat/>
    <w:uiPriority w:val="0"/>
    <w:pPr>
      <w:widowControl/>
      <w:spacing w:line="351" w:lineRule="atLeast"/>
      <w:ind w:firstLine="481"/>
      <w:textAlignment w:val="baseline"/>
    </w:pPr>
    <w:rPr>
      <w:rFonts w:ascii="仿宋_GB2312" w:eastAsia="仿宋_GB2312"/>
      <w:color w:val="000000"/>
      <w:kern w:val="0"/>
      <w:sz w:val="24"/>
      <w:szCs w:val="20"/>
    </w:rPr>
  </w:style>
  <w:style w:type="paragraph" w:customStyle="1" w:styleId="730">
    <w:name w:val="WW-正文（首行缩进两字）"/>
    <w:basedOn w:val="1"/>
    <w:autoRedefine/>
    <w:qFormat/>
    <w:uiPriority w:val="0"/>
    <w:pPr>
      <w:tabs>
        <w:tab w:val="left" w:pos="0"/>
        <w:tab w:val="left" w:pos="600"/>
        <w:tab w:val="left" w:pos="1865"/>
      </w:tabs>
      <w:suppressAutoHyphens/>
      <w:snapToGrid w:val="0"/>
      <w:spacing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731">
    <w:name w:val="Char Char 字元 字元 字元 Char Char Char Char"/>
    <w:basedOn w:val="1"/>
    <w:autoRedefine/>
    <w:qFormat/>
    <w:uiPriority w:val="0"/>
    <w:pPr>
      <w:adjustRightInd w:val="0"/>
      <w:spacing w:line="360" w:lineRule="auto"/>
    </w:pPr>
    <w:rPr>
      <w:kern w:val="0"/>
      <w:sz w:val="24"/>
      <w:szCs w:val="20"/>
    </w:rPr>
  </w:style>
  <w:style w:type="paragraph" w:customStyle="1" w:styleId="732">
    <w:name w:val="Normal (Web)2"/>
    <w:basedOn w:val="1"/>
    <w:autoRedefine/>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733">
    <w:name w:val="标题一"/>
    <w:basedOn w:val="3"/>
    <w:next w:val="734"/>
    <w:autoRedefine/>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734">
    <w:name w:val="标题二"/>
    <w:basedOn w:val="4"/>
    <w:next w:val="1"/>
    <w:autoRedefine/>
    <w:qFormat/>
    <w:uiPriority w:val="0"/>
    <w:pPr>
      <w:tabs>
        <w:tab w:val="left" w:pos="720"/>
        <w:tab w:val="left" w:pos="1342"/>
      </w:tabs>
      <w:spacing w:after="120" w:line="380" w:lineRule="exact"/>
      <w:ind w:left="839" w:right="227" w:hanging="612"/>
      <w:jc w:val="left"/>
    </w:pPr>
    <w:rPr>
      <w:rFonts w:ascii="宋体" w:eastAsia="宋体" w:cs="宋体"/>
      <w:bCs/>
      <w:color w:val="000000"/>
      <w:sz w:val="21"/>
      <w:szCs w:val="21"/>
      <w:lang w:val="zh-CN"/>
    </w:rPr>
  </w:style>
  <w:style w:type="character" w:customStyle="1" w:styleId="735">
    <w:name w:val="正文4 字符"/>
    <w:link w:val="736"/>
    <w:autoRedefine/>
    <w:qFormat/>
    <w:locked/>
    <w:uiPriority w:val="0"/>
    <w:rPr>
      <w:rFonts w:ascii="宋体" w:hAnsi="宋体"/>
      <w:sz w:val="24"/>
      <w:szCs w:val="24"/>
    </w:rPr>
  </w:style>
  <w:style w:type="paragraph" w:customStyle="1" w:styleId="736">
    <w:name w:val="正文41"/>
    <w:basedOn w:val="1"/>
    <w:link w:val="735"/>
    <w:autoRedefine/>
    <w:qFormat/>
    <w:uiPriority w:val="0"/>
    <w:pPr>
      <w:spacing w:line="360" w:lineRule="auto"/>
      <w:ind w:left="420" w:firstLine="482" w:firstLineChars="200"/>
    </w:pPr>
    <w:rPr>
      <w:rFonts w:ascii="宋体" w:hAnsi="宋体"/>
      <w:kern w:val="0"/>
      <w:sz w:val="24"/>
    </w:rPr>
  </w:style>
  <w:style w:type="character" w:customStyle="1" w:styleId="737">
    <w:name w:val="_Style 6 字符"/>
    <w:link w:val="738"/>
    <w:autoRedefine/>
    <w:qFormat/>
    <w:locked/>
    <w:uiPriority w:val="34"/>
  </w:style>
  <w:style w:type="paragraph" w:customStyle="1" w:styleId="738">
    <w:name w:val="_Style 6"/>
    <w:basedOn w:val="1"/>
    <w:link w:val="737"/>
    <w:autoRedefine/>
    <w:qFormat/>
    <w:uiPriority w:val="34"/>
    <w:pPr>
      <w:spacing w:line="360" w:lineRule="auto"/>
      <w:ind w:firstLine="420" w:firstLineChars="200"/>
    </w:pPr>
    <w:rPr>
      <w:kern w:val="0"/>
      <w:sz w:val="20"/>
      <w:szCs w:val="20"/>
    </w:rPr>
  </w:style>
  <w:style w:type="character" w:customStyle="1" w:styleId="739">
    <w:name w:val="表格 字符"/>
    <w:autoRedefine/>
    <w:qFormat/>
    <w:locked/>
    <w:uiPriority w:val="0"/>
    <w:rPr>
      <w:rFonts w:ascii="华文细黑" w:hAnsi="华文细黑"/>
      <w:sz w:val="21"/>
    </w:rPr>
  </w:style>
  <w:style w:type="character" w:customStyle="1" w:styleId="740">
    <w:name w:val="正文2 字符"/>
    <w:autoRedefine/>
    <w:qFormat/>
    <w:locked/>
    <w:uiPriority w:val="0"/>
    <w:rPr>
      <w:kern w:val="2"/>
      <w:sz w:val="24"/>
    </w:rPr>
  </w:style>
  <w:style w:type="character" w:customStyle="1" w:styleId="741">
    <w:name w:val="未处理的提及11"/>
    <w:autoRedefine/>
    <w:unhideWhenUsed/>
    <w:qFormat/>
    <w:uiPriority w:val="99"/>
    <w:rPr>
      <w:color w:val="605E5C"/>
      <w:shd w:val="clear" w:color="auto" w:fill="E1DFDD"/>
    </w:rPr>
  </w:style>
  <w:style w:type="paragraph" w:customStyle="1" w:styleId="742">
    <w:name w:val="_Style 19"/>
    <w:basedOn w:val="1"/>
    <w:next w:val="148"/>
    <w:autoRedefine/>
    <w:qFormat/>
    <w:uiPriority w:val="34"/>
    <w:pPr>
      <w:ind w:firstLine="420" w:firstLineChars="200"/>
    </w:pPr>
    <w:rPr>
      <w:rFonts w:ascii="Calibri" w:hAnsi="Calibri"/>
      <w:szCs w:val="20"/>
    </w:rPr>
  </w:style>
  <w:style w:type="paragraph" w:customStyle="1" w:styleId="743">
    <w:name w:val="正文部分"/>
    <w:basedOn w:val="32"/>
    <w:autoRedefine/>
    <w:qFormat/>
    <w:uiPriority w:val="0"/>
    <w:pPr>
      <w:tabs>
        <w:tab w:val="clear" w:pos="567"/>
      </w:tabs>
      <w:adjustRightInd w:val="0"/>
      <w:snapToGrid w:val="0"/>
      <w:spacing w:before="0" w:after="120" w:line="240" w:lineRule="auto"/>
      <w:ind w:firstLine="200" w:firstLineChars="200"/>
      <w:textAlignment w:val="baseline"/>
    </w:pPr>
    <w:rPr>
      <w:rFonts w:hAnsi="Calibri"/>
    </w:rPr>
  </w:style>
  <w:style w:type="character" w:customStyle="1" w:styleId="744">
    <w:name w:val="fontstyle01"/>
    <w:autoRedefine/>
    <w:qFormat/>
    <w:uiPriority w:val="0"/>
    <w:rPr>
      <w:rFonts w:hint="eastAsia" w:ascii="微软雅黑" w:hAnsi="微软雅黑" w:eastAsia="微软雅黑"/>
      <w:b/>
      <w:bCs/>
      <w:color w:val="000000"/>
      <w:sz w:val="24"/>
      <w:szCs w:val="24"/>
    </w:rPr>
  </w:style>
  <w:style w:type="character" w:customStyle="1" w:styleId="745">
    <w:name w:val="fontstyle11"/>
    <w:autoRedefine/>
    <w:qFormat/>
    <w:uiPriority w:val="0"/>
    <w:rPr>
      <w:rFonts w:hint="default" w:ascii="Wingdings" w:hAnsi="Wingdings"/>
      <w:color w:val="000000"/>
      <w:sz w:val="24"/>
      <w:szCs w:val="24"/>
    </w:rPr>
  </w:style>
  <w:style w:type="character" w:customStyle="1" w:styleId="746">
    <w:name w:val="fontstyle31"/>
    <w:autoRedefine/>
    <w:qFormat/>
    <w:uiPriority w:val="0"/>
    <w:rPr>
      <w:rFonts w:hint="eastAsia" w:ascii="微软雅黑" w:hAnsi="微软雅黑" w:eastAsia="微软雅黑"/>
      <w:color w:val="000000"/>
      <w:sz w:val="24"/>
      <w:szCs w:val="24"/>
    </w:rPr>
  </w:style>
  <w:style w:type="character" w:customStyle="1" w:styleId="747">
    <w:name w:val="fontstyle21"/>
    <w:autoRedefine/>
    <w:qFormat/>
    <w:uiPriority w:val="0"/>
    <w:rPr>
      <w:rFonts w:hint="eastAsia" w:ascii="微软雅黑" w:hAnsi="微软雅黑" w:eastAsia="微软雅黑"/>
      <w:color w:val="000000"/>
      <w:sz w:val="24"/>
      <w:szCs w:val="24"/>
    </w:rPr>
  </w:style>
  <w:style w:type="paragraph" w:customStyle="1" w:styleId="748">
    <w:name w:val="字母编号列项（一级）"/>
    <w:autoRedefine/>
    <w:qFormat/>
    <w:uiPriority w:val="0"/>
    <w:pPr>
      <w:numPr>
        <w:ilvl w:val="0"/>
        <w:numId w:val="17"/>
      </w:numPr>
      <w:tabs>
        <w:tab w:val="left" w:pos="840"/>
      </w:tabs>
      <w:jc w:val="both"/>
    </w:pPr>
    <w:rPr>
      <w:rFonts w:ascii="宋体" w:hAnsi="Times New Roman" w:eastAsia="宋体" w:cs="Times New Roman"/>
      <w:sz w:val="21"/>
      <w:lang w:val="en-US" w:eastAsia="zh-CN" w:bidi="ar-SA"/>
    </w:rPr>
  </w:style>
  <w:style w:type="paragraph" w:customStyle="1" w:styleId="749">
    <w:name w:val="Body Text Indent 21"/>
    <w:basedOn w:val="1"/>
    <w:autoRedefine/>
    <w:qFormat/>
    <w:uiPriority w:val="0"/>
    <w:pPr>
      <w:spacing w:after="120" w:line="480" w:lineRule="auto"/>
      <w:ind w:left="420" w:leftChars="200"/>
    </w:pPr>
    <w:rPr>
      <w:szCs w:val="21"/>
    </w:rPr>
  </w:style>
  <w:style w:type="character" w:customStyle="1" w:styleId="750">
    <w:name w:val="font101"/>
    <w:autoRedefine/>
    <w:qFormat/>
    <w:uiPriority w:val="0"/>
    <w:rPr>
      <w:rFonts w:hint="eastAsia" w:ascii="宋体" w:hAnsi="宋体" w:eastAsia="宋体" w:cs="宋体"/>
      <w:color w:val="000000"/>
      <w:sz w:val="20"/>
      <w:szCs w:val="20"/>
      <w:u w:val="none"/>
    </w:rPr>
  </w:style>
  <w:style w:type="character" w:customStyle="1" w:styleId="751">
    <w:name w:val="font91"/>
    <w:autoRedefine/>
    <w:qFormat/>
    <w:uiPriority w:val="0"/>
    <w:rPr>
      <w:rFonts w:hint="eastAsia" w:ascii="宋体" w:hAnsi="宋体" w:eastAsia="宋体" w:cs="宋体"/>
      <w:b/>
      <w:color w:val="000000"/>
      <w:sz w:val="20"/>
      <w:szCs w:val="20"/>
      <w:u w:val="none"/>
    </w:rPr>
  </w:style>
  <w:style w:type="character" w:customStyle="1" w:styleId="752">
    <w:name w:val="font51"/>
    <w:autoRedefine/>
    <w:qFormat/>
    <w:uiPriority w:val="0"/>
    <w:rPr>
      <w:rFonts w:hint="eastAsia" w:ascii="宋体" w:hAnsi="宋体" w:eastAsia="宋体" w:cs="宋体"/>
      <w:color w:val="FF0000"/>
      <w:sz w:val="20"/>
      <w:szCs w:val="20"/>
      <w:u w:val="none"/>
    </w:rPr>
  </w:style>
  <w:style w:type="paragraph" w:customStyle="1" w:styleId="753">
    <w:name w:val="无间距"/>
    <w:autoRedefine/>
    <w:qFormat/>
    <w:uiPriority w:val="1"/>
    <w:pPr>
      <w:widowControl w:val="0"/>
      <w:jc w:val="both"/>
    </w:pPr>
    <w:rPr>
      <w:rFonts w:ascii="Book Antiqua" w:hAnsi="Book Antiqua" w:eastAsia="宋体" w:cs="Times New Roman"/>
      <w:b/>
      <w:bCs/>
      <w:kern w:val="2"/>
      <w:sz w:val="32"/>
      <w:szCs w:val="24"/>
      <w:lang w:val="en-US" w:eastAsia="zh-CN" w:bidi="ar-SA"/>
    </w:rPr>
  </w:style>
  <w:style w:type="paragraph" w:customStyle="1" w:styleId="754">
    <w:name w:val="样式 小四"/>
    <w:basedOn w:val="1"/>
    <w:autoRedefine/>
    <w:qFormat/>
    <w:uiPriority w:val="0"/>
    <w:pPr>
      <w:widowControl/>
      <w:adjustRightInd w:val="0"/>
      <w:snapToGrid w:val="0"/>
      <w:spacing w:line="440" w:lineRule="exact"/>
      <w:ind w:firstLine="200" w:firstLineChars="200"/>
      <w:jc w:val="center"/>
    </w:pPr>
    <w:rPr>
      <w:rFonts w:ascii="Calibri" w:hAnsi="Calibri"/>
      <w:sz w:val="24"/>
      <w:szCs w:val="20"/>
    </w:rPr>
  </w:style>
  <w:style w:type="paragraph" w:customStyle="1" w:styleId="755">
    <w:name w:val="上标"/>
    <w:basedOn w:val="1"/>
    <w:autoRedefine/>
    <w:qFormat/>
    <w:uiPriority w:val="0"/>
    <w:pPr>
      <w:spacing w:line="400" w:lineRule="exact"/>
    </w:pPr>
    <w:rPr>
      <w:rFonts w:ascii="Arial" w:hAnsi="Arial"/>
      <w:vertAlign w:val="superscript"/>
    </w:rPr>
  </w:style>
  <w:style w:type="character" w:customStyle="1" w:styleId="756">
    <w:name w:val="副标题 Char1"/>
    <w:autoRedefine/>
    <w:qFormat/>
    <w:locked/>
    <w:uiPriority w:val="11"/>
    <w:rPr>
      <w:rFonts w:ascii="Cambria" w:hAnsi="Cambria"/>
      <w:b/>
      <w:bCs/>
      <w:kern w:val="28"/>
      <w:sz w:val="32"/>
      <w:szCs w:val="32"/>
    </w:rPr>
  </w:style>
  <w:style w:type="character" w:customStyle="1" w:styleId="757">
    <w:name w:val="样式6 Char"/>
    <w:link w:val="758"/>
    <w:autoRedefine/>
    <w:qFormat/>
    <w:uiPriority w:val="0"/>
    <w:rPr>
      <w:rFonts w:ascii="Arial" w:hAnsi="Arial" w:eastAsia="黑体"/>
      <w:b/>
      <w:sz w:val="28"/>
    </w:rPr>
  </w:style>
  <w:style w:type="paragraph" w:customStyle="1" w:styleId="758">
    <w:name w:val="样式6"/>
    <w:basedOn w:val="4"/>
    <w:next w:val="261"/>
    <w:link w:val="757"/>
    <w:autoRedefine/>
    <w:qFormat/>
    <w:uiPriority w:val="0"/>
    <w:pPr>
      <w:widowControl/>
      <w:spacing w:before="0" w:line="440" w:lineRule="exact"/>
      <w:ind w:firstLine="1687"/>
    </w:pPr>
    <w:rPr>
      <w:sz w:val="28"/>
    </w:rPr>
  </w:style>
  <w:style w:type="character" w:customStyle="1" w:styleId="759">
    <w:name w:val="样式5 Char"/>
    <w:link w:val="760"/>
    <w:autoRedefine/>
    <w:qFormat/>
    <w:uiPriority w:val="0"/>
    <w:rPr>
      <w:rFonts w:ascii="Arial" w:hAnsi="Arial" w:eastAsia="黑体"/>
      <w:b/>
      <w:sz w:val="24"/>
    </w:rPr>
  </w:style>
  <w:style w:type="paragraph" w:customStyle="1" w:styleId="760">
    <w:name w:val="样式5"/>
    <w:basedOn w:val="4"/>
    <w:next w:val="261"/>
    <w:link w:val="759"/>
    <w:autoRedefine/>
    <w:qFormat/>
    <w:uiPriority w:val="0"/>
    <w:pPr>
      <w:widowControl/>
      <w:spacing w:before="100" w:beforeAutospacing="1" w:after="100" w:afterAutospacing="1" w:line="440" w:lineRule="exact"/>
      <w:ind w:firstLine="1680" w:firstLineChars="700"/>
      <w:jc w:val="both"/>
    </w:pPr>
    <w:rPr>
      <w:sz w:val="24"/>
    </w:rPr>
  </w:style>
  <w:style w:type="character" w:customStyle="1" w:styleId="761">
    <w:name w:val="正文缩进 Char2"/>
    <w:autoRedefine/>
    <w:qFormat/>
    <w:uiPriority w:val="0"/>
    <w:rPr>
      <w:rFonts w:ascii="宋体"/>
      <w:sz w:val="24"/>
    </w:rPr>
  </w:style>
  <w:style w:type="character" w:customStyle="1" w:styleId="762">
    <w:name w:val="报告-正文段落 Char"/>
    <w:link w:val="763"/>
    <w:autoRedefine/>
    <w:qFormat/>
    <w:uiPriority w:val="0"/>
    <w:rPr>
      <w:rFonts w:eastAsia="仿宋_GB2312"/>
      <w:kern w:val="24"/>
      <w:sz w:val="24"/>
      <w:szCs w:val="24"/>
    </w:rPr>
  </w:style>
  <w:style w:type="paragraph" w:customStyle="1" w:styleId="763">
    <w:name w:val="报告-正文段落"/>
    <w:basedOn w:val="1"/>
    <w:link w:val="762"/>
    <w:autoRedefine/>
    <w:qFormat/>
    <w:uiPriority w:val="0"/>
    <w:pPr>
      <w:widowControl/>
      <w:spacing w:line="360" w:lineRule="auto"/>
      <w:ind w:firstLine="200" w:firstLineChars="200"/>
      <w:jc w:val="left"/>
    </w:pPr>
    <w:rPr>
      <w:rFonts w:eastAsia="仿宋_GB2312"/>
      <w:kern w:val="24"/>
      <w:sz w:val="24"/>
    </w:rPr>
  </w:style>
  <w:style w:type="character" w:customStyle="1" w:styleId="764">
    <w:name w:val="样式8 Char"/>
    <w:link w:val="765"/>
    <w:autoRedefine/>
    <w:qFormat/>
    <w:uiPriority w:val="0"/>
    <w:rPr>
      <w:rFonts w:ascii="华文楷体" w:hAnsi="华文楷体" w:eastAsia="华文楷体"/>
      <w:b/>
      <w:kern w:val="44"/>
      <w:sz w:val="24"/>
    </w:rPr>
  </w:style>
  <w:style w:type="paragraph" w:customStyle="1" w:styleId="765">
    <w:name w:val="样式8"/>
    <w:basedOn w:val="3"/>
    <w:next w:val="584"/>
    <w:link w:val="764"/>
    <w:autoRedefine/>
    <w:qFormat/>
    <w:uiPriority w:val="0"/>
    <w:pPr>
      <w:autoSpaceDE/>
      <w:autoSpaceDN/>
      <w:adjustRightInd/>
      <w:spacing w:before="100" w:beforeAutospacing="1" w:after="100" w:afterAutospacing="1" w:line="360" w:lineRule="auto"/>
      <w:jc w:val="left"/>
    </w:pPr>
    <w:rPr>
      <w:rFonts w:ascii="华文楷体" w:hAnsi="华文楷体" w:eastAsia="华文楷体"/>
      <w:sz w:val="24"/>
    </w:rPr>
  </w:style>
  <w:style w:type="character" w:customStyle="1" w:styleId="766">
    <w:name w:val="bulletintext1"/>
    <w:autoRedefine/>
    <w:qFormat/>
    <w:uiPriority w:val="0"/>
    <w:rPr>
      <w:color w:val="000000"/>
      <w:sz w:val="18"/>
    </w:rPr>
  </w:style>
  <w:style w:type="character" w:customStyle="1" w:styleId="767">
    <w:name w:val="emtidy-1"/>
    <w:autoRedefine/>
    <w:qFormat/>
    <w:uiPriority w:val="0"/>
  </w:style>
  <w:style w:type="character" w:customStyle="1" w:styleId="768">
    <w:name w:val="样式4 Char"/>
    <w:link w:val="769"/>
    <w:autoRedefine/>
    <w:qFormat/>
    <w:uiPriority w:val="0"/>
    <w:rPr>
      <w:rFonts w:ascii="Arial" w:hAnsi="Arial" w:eastAsia="黑体"/>
      <w:b/>
      <w:sz w:val="28"/>
    </w:rPr>
  </w:style>
  <w:style w:type="paragraph" w:customStyle="1" w:styleId="769">
    <w:name w:val="样式4"/>
    <w:basedOn w:val="4"/>
    <w:next w:val="261"/>
    <w:link w:val="768"/>
    <w:autoRedefine/>
    <w:qFormat/>
    <w:uiPriority w:val="0"/>
    <w:pPr>
      <w:widowControl/>
      <w:spacing w:before="0" w:line="440" w:lineRule="exact"/>
    </w:pPr>
    <w:rPr>
      <w:sz w:val="28"/>
    </w:rPr>
  </w:style>
  <w:style w:type="character" w:customStyle="1" w:styleId="770">
    <w:name w:val="a14px1"/>
    <w:autoRedefine/>
    <w:qFormat/>
    <w:uiPriority w:val="0"/>
    <w:rPr>
      <w:rFonts w:hint="default" w:ascii="Arial" w:hAnsi="Arial"/>
      <w:sz w:val="21"/>
    </w:rPr>
  </w:style>
  <w:style w:type="character" w:customStyle="1" w:styleId="771">
    <w:name w:val="样式3 Char"/>
    <w:link w:val="772"/>
    <w:autoRedefine/>
    <w:qFormat/>
    <w:uiPriority w:val="0"/>
    <w:rPr>
      <w:rFonts w:ascii="Arial" w:hAnsi="Arial" w:eastAsia="黑体"/>
      <w:b/>
      <w:sz w:val="28"/>
    </w:rPr>
  </w:style>
  <w:style w:type="paragraph" w:customStyle="1" w:styleId="772">
    <w:name w:val="样式3"/>
    <w:basedOn w:val="4"/>
    <w:next w:val="261"/>
    <w:link w:val="771"/>
    <w:autoRedefine/>
    <w:qFormat/>
    <w:uiPriority w:val="0"/>
    <w:pPr>
      <w:widowControl/>
      <w:spacing w:before="0" w:line="440" w:lineRule="exact"/>
    </w:pPr>
    <w:rPr>
      <w:sz w:val="28"/>
    </w:rPr>
  </w:style>
  <w:style w:type="paragraph" w:customStyle="1" w:styleId="773">
    <w:name w:val="默认 A"/>
    <w:autoRedefine/>
    <w:qFormat/>
    <w:uiPriority w:val="0"/>
    <w:rPr>
      <w:rFonts w:hint="eastAsia" w:ascii="Arial Unicode MS" w:hAnsi="Arial Unicode MS" w:eastAsia="Arial Unicode MS" w:cs="Arial Unicode MS"/>
      <w:color w:val="000000"/>
      <w:sz w:val="22"/>
      <w:szCs w:val="22"/>
      <w:lang w:val="zh-TW" w:eastAsia="zh-TW" w:bidi="ar-SA"/>
    </w:rPr>
  </w:style>
  <w:style w:type="paragraph" w:customStyle="1" w:styleId="774">
    <w:name w:val="点序列"/>
    <w:basedOn w:val="1"/>
    <w:autoRedefine/>
    <w:qFormat/>
    <w:uiPriority w:val="0"/>
    <w:pPr>
      <w:widowControl/>
      <w:tabs>
        <w:tab w:val="left" w:pos="0"/>
        <w:tab w:val="left" w:pos="1412"/>
      </w:tabs>
      <w:spacing w:line="400" w:lineRule="atLeast"/>
      <w:ind w:left="1412"/>
      <w:jc w:val="left"/>
    </w:pPr>
    <w:rPr>
      <w:kern w:val="0"/>
      <w:sz w:val="24"/>
    </w:rPr>
  </w:style>
  <w:style w:type="paragraph" w:customStyle="1" w:styleId="775">
    <w:name w:val="样式-篇"/>
    <w:basedOn w:val="3"/>
    <w:autoRedefine/>
    <w:qFormat/>
    <w:uiPriority w:val="0"/>
    <w:pPr>
      <w:numPr>
        <w:ilvl w:val="0"/>
        <w:numId w:val="11"/>
      </w:numPr>
      <w:tabs>
        <w:tab w:val="left" w:pos="360"/>
      </w:tabs>
      <w:autoSpaceDE/>
      <w:autoSpaceDN/>
      <w:adjustRightInd/>
      <w:spacing w:before="0" w:after="0" w:line="240" w:lineRule="auto"/>
      <w:ind w:left="0" w:firstLine="0"/>
      <w:jc w:val="left"/>
    </w:pPr>
    <w:rPr>
      <w:rFonts w:ascii="Times New Roman" w:eastAsia="仿宋_GB2312"/>
      <w:kern w:val="32"/>
      <w:szCs w:val="44"/>
    </w:rPr>
  </w:style>
  <w:style w:type="paragraph" w:customStyle="1" w:styleId="776">
    <w:name w:val="Char Char Char Char Char Char1 Char Char Char Char Char Char1 Char Char Char Char Char Char Char"/>
    <w:basedOn w:val="1"/>
    <w:autoRedefine/>
    <w:qFormat/>
    <w:uiPriority w:val="0"/>
    <w:rPr>
      <w:rFonts w:ascii="Tahoma" w:hAnsi="Tahoma"/>
      <w:sz w:val="24"/>
      <w:szCs w:val="20"/>
    </w:rPr>
  </w:style>
  <w:style w:type="paragraph" w:customStyle="1" w:styleId="777">
    <w:name w:val="Normal New New New New New"/>
    <w:autoRedefine/>
    <w:qFormat/>
    <w:uiPriority w:val="0"/>
    <w:pPr>
      <w:widowControl w:val="0"/>
      <w:jc w:val="both"/>
    </w:pPr>
    <w:rPr>
      <w:rFonts w:hint="eastAsia" w:ascii="Times New Roman" w:hAnsi="Times New Roman" w:eastAsia="仿宋_GB2312" w:cs="Times New Roman"/>
      <w:kern w:val="2"/>
      <w:sz w:val="32"/>
      <w:lang w:val="en-US" w:eastAsia="zh-CN" w:bidi="ar-SA"/>
    </w:rPr>
  </w:style>
  <w:style w:type="paragraph" w:customStyle="1" w:styleId="778">
    <w:name w:val="Char Char Char Char Char Char1"/>
    <w:basedOn w:val="1"/>
    <w:autoRedefine/>
    <w:qFormat/>
    <w:uiPriority w:val="0"/>
    <w:rPr>
      <w:rFonts w:ascii="Tahoma" w:hAnsi="Tahoma"/>
      <w:sz w:val="24"/>
      <w:szCs w:val="20"/>
    </w:rPr>
  </w:style>
  <w:style w:type="paragraph" w:customStyle="1" w:styleId="779">
    <w:name w:val="样式-篇-章-节-第四级"/>
    <w:basedOn w:val="8"/>
    <w:autoRedefine/>
    <w:qFormat/>
    <w:uiPriority w:val="0"/>
    <w:pPr>
      <w:tabs>
        <w:tab w:val="left" w:pos="1191"/>
        <w:tab w:val="left" w:pos="1995"/>
      </w:tabs>
      <w:adjustRightInd/>
      <w:spacing w:before="0" w:after="0" w:line="240" w:lineRule="auto"/>
      <w:ind w:left="851" w:hanging="851"/>
      <w:jc w:val="left"/>
      <w:textAlignment w:val="auto"/>
    </w:pPr>
    <w:rPr>
      <w:rFonts w:ascii="Times New Roman" w:hAnsi="Times New Roman" w:eastAsia="仿宋_GB2312"/>
      <w:bCs/>
      <w:kern w:val="28"/>
      <w:szCs w:val="28"/>
    </w:rPr>
  </w:style>
  <w:style w:type="paragraph" w:customStyle="1" w:styleId="780">
    <w:name w:val="Char Char Char Char Char Char1 Char Char Char Char Char Char Char Char Char Char"/>
    <w:basedOn w:val="1"/>
    <w:autoRedefine/>
    <w:qFormat/>
    <w:uiPriority w:val="0"/>
    <w:rPr>
      <w:rFonts w:ascii="Tahoma" w:hAnsi="Tahoma"/>
      <w:sz w:val="24"/>
      <w:szCs w:val="20"/>
    </w:rPr>
  </w:style>
  <w:style w:type="paragraph" w:customStyle="1" w:styleId="781">
    <w:name w:val="正文 A"/>
    <w:autoRedefine/>
    <w:qFormat/>
    <w:uiPriority w:val="0"/>
    <w:rPr>
      <w:rFonts w:ascii="Times New Roman" w:hAnsi="Times New Roman" w:eastAsia="Arial Unicode MS" w:cs="Arial Unicode MS"/>
      <w:color w:val="000000"/>
      <w:sz w:val="24"/>
      <w:szCs w:val="24"/>
      <w:lang w:val="en-US" w:eastAsia="zh-CN" w:bidi="ar-SA"/>
    </w:rPr>
  </w:style>
  <w:style w:type="paragraph" w:customStyle="1" w:styleId="782">
    <w:name w:val="Char Char Char Char Char Char1 Char Char Char Char Char Char1"/>
    <w:basedOn w:val="1"/>
    <w:autoRedefine/>
    <w:qFormat/>
    <w:uiPriority w:val="0"/>
    <w:rPr>
      <w:rFonts w:ascii="Tahoma" w:hAnsi="Tahoma"/>
      <w:sz w:val="24"/>
      <w:szCs w:val="20"/>
    </w:rPr>
  </w:style>
  <w:style w:type="paragraph" w:customStyle="1" w:styleId="783">
    <w:name w:val="Char Char Char Char Char Char1 Char Char Char Char Char Char1 Char Char Char"/>
    <w:basedOn w:val="1"/>
    <w:autoRedefine/>
    <w:qFormat/>
    <w:uiPriority w:val="0"/>
    <w:rPr>
      <w:rFonts w:ascii="Tahoma" w:hAnsi="Tahoma"/>
      <w:sz w:val="24"/>
      <w:szCs w:val="20"/>
    </w:rPr>
  </w:style>
  <w:style w:type="paragraph" w:customStyle="1" w:styleId="784">
    <w:name w:val="Default Text"/>
    <w:basedOn w:val="1"/>
    <w:autoRedefine/>
    <w:qFormat/>
    <w:uiPriority w:val="0"/>
    <w:pPr>
      <w:widowControl/>
      <w:overflowPunct w:val="0"/>
      <w:autoSpaceDE w:val="0"/>
      <w:autoSpaceDN w:val="0"/>
      <w:adjustRightInd w:val="0"/>
      <w:jc w:val="left"/>
    </w:pPr>
    <w:rPr>
      <w:kern w:val="0"/>
      <w:sz w:val="24"/>
      <w:szCs w:val="20"/>
    </w:rPr>
  </w:style>
  <w:style w:type="paragraph" w:customStyle="1" w:styleId="785">
    <w:name w:val="Char Char Char11"/>
    <w:basedOn w:val="1"/>
    <w:autoRedefine/>
    <w:qFormat/>
    <w:uiPriority w:val="0"/>
    <w:rPr>
      <w:rFonts w:ascii="宋体" w:hAnsi="宋体" w:cs="Courier New"/>
      <w:sz w:val="32"/>
      <w:szCs w:val="32"/>
    </w:rPr>
  </w:style>
  <w:style w:type="paragraph" w:customStyle="1" w:styleId="786">
    <w:name w:val="Char Char Char21"/>
    <w:basedOn w:val="1"/>
    <w:autoRedefine/>
    <w:qFormat/>
    <w:uiPriority w:val="0"/>
    <w:pPr>
      <w:jc w:val="left"/>
    </w:pPr>
    <w:rPr>
      <w:rFonts w:ascii="宋体" w:hAnsi="宋体"/>
      <w:sz w:val="28"/>
      <w:szCs w:val="20"/>
    </w:rPr>
  </w:style>
  <w:style w:type="paragraph" w:customStyle="1" w:styleId="787">
    <w:name w:val="Char Char Char Char Char Char1 Char Char Char1 Char Char Char Char"/>
    <w:basedOn w:val="1"/>
    <w:autoRedefine/>
    <w:qFormat/>
    <w:uiPriority w:val="0"/>
    <w:rPr>
      <w:rFonts w:ascii="Tahoma" w:hAnsi="Tahoma"/>
      <w:sz w:val="24"/>
      <w:szCs w:val="20"/>
    </w:rPr>
  </w:style>
  <w:style w:type="paragraph" w:customStyle="1" w:styleId="788">
    <w:name w:val="Char Char Char Char Char Char Char Char Char Char Char Char"/>
    <w:basedOn w:val="1"/>
    <w:autoRedefine/>
    <w:qFormat/>
    <w:uiPriority w:val="0"/>
    <w:rPr>
      <w:rFonts w:ascii="仿宋_GB2312" w:eastAsia="仿宋_GB2312"/>
      <w:b/>
      <w:sz w:val="32"/>
      <w:szCs w:val="20"/>
    </w:rPr>
  </w:style>
  <w:style w:type="paragraph" w:customStyle="1" w:styleId="789">
    <w:name w:val="Normal New"/>
    <w:autoRedefine/>
    <w:qFormat/>
    <w:uiPriority w:val="0"/>
    <w:pPr>
      <w:widowControl w:val="0"/>
      <w:jc w:val="both"/>
    </w:pPr>
    <w:rPr>
      <w:rFonts w:hint="eastAsia" w:ascii="Calibri" w:hAnsi="Calibri" w:eastAsia="宋体" w:cs="Times New Roman"/>
      <w:kern w:val="2"/>
      <w:sz w:val="21"/>
      <w:lang w:val="en-US" w:eastAsia="zh-CN" w:bidi="ar-SA"/>
    </w:rPr>
  </w:style>
  <w:style w:type="paragraph" w:customStyle="1" w:styleId="790">
    <w:name w:val="无缩进"/>
    <w:basedOn w:val="1"/>
    <w:link w:val="791"/>
    <w:autoRedefine/>
    <w:qFormat/>
    <w:uiPriority w:val="0"/>
    <w:pPr>
      <w:spacing w:line="620" w:lineRule="exact"/>
    </w:pPr>
    <w:rPr>
      <w:rFonts w:eastAsia="仿宋"/>
      <w:sz w:val="32"/>
      <w:szCs w:val="20"/>
    </w:rPr>
  </w:style>
  <w:style w:type="character" w:customStyle="1" w:styleId="791">
    <w:name w:val="无缩进 字符"/>
    <w:link w:val="790"/>
    <w:autoRedefine/>
    <w:qFormat/>
    <w:uiPriority w:val="0"/>
    <w:rPr>
      <w:rFonts w:eastAsia="仿宋"/>
      <w:kern w:val="2"/>
      <w:sz w:val="32"/>
    </w:rPr>
  </w:style>
  <w:style w:type="paragraph" w:customStyle="1" w:styleId="792">
    <w:name w:val="_Style 173"/>
    <w:autoRedefine/>
    <w:unhideWhenUsed/>
    <w:qFormat/>
    <w:uiPriority w:val="99"/>
    <w:rPr>
      <w:rFonts w:ascii="Times New Roman" w:hAnsi="Times New Roman" w:eastAsia="宋体" w:cs="Times New Roman"/>
      <w:kern w:val="2"/>
      <w:sz w:val="21"/>
      <w:lang w:val="en-US" w:eastAsia="zh-CN" w:bidi="ar-SA"/>
    </w:rPr>
  </w:style>
  <w:style w:type="paragraph" w:customStyle="1" w:styleId="793">
    <w:name w:val="zhang"/>
    <w:basedOn w:val="1"/>
    <w:autoRedefine/>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794">
    <w:name w:val="15"/>
    <w:autoRedefine/>
    <w:qFormat/>
    <w:uiPriority w:val="0"/>
    <w:rPr>
      <w:rFonts w:hint="default" w:ascii="Times New Roman" w:hAnsi="Times New Roman" w:cs="Times New Roman"/>
      <w:color w:val="464445"/>
      <w:u w:val="none"/>
    </w:rPr>
  </w:style>
  <w:style w:type="paragraph" w:customStyle="1" w:styleId="795">
    <w:name w:val="表格样式 2"/>
    <w:autoRedefine/>
    <w:qFormat/>
    <w:uiPriority w:val="0"/>
    <w:rPr>
      <w:rFonts w:ascii="Helvetica Neue" w:hAnsi="Helvetica Neue" w:eastAsia="Arial Unicode MS" w:cs="Arial Unicode MS"/>
      <w:color w:val="000000"/>
      <w:lang w:val="en-US" w:eastAsia="zh-CN" w:bidi="ar-SA"/>
    </w:rPr>
  </w:style>
  <w:style w:type="paragraph" w:customStyle="1" w:styleId="796">
    <w:name w:val="样式14"/>
    <w:basedOn w:val="148"/>
    <w:link w:val="797"/>
    <w:autoRedefine/>
    <w:qFormat/>
    <w:uiPriority w:val="0"/>
    <w:pPr>
      <w:spacing w:line="240" w:lineRule="auto"/>
      <w:ind w:left="1305" w:firstLine="0" w:firstLineChars="0"/>
      <w:jc w:val="center"/>
    </w:pPr>
    <w:rPr>
      <w:rFonts w:ascii="宋体" w:hAnsi="宋体"/>
      <w:b/>
      <w:sz w:val="32"/>
      <w:szCs w:val="24"/>
    </w:rPr>
  </w:style>
  <w:style w:type="character" w:customStyle="1" w:styleId="797">
    <w:name w:val="样式14 Char"/>
    <w:link w:val="796"/>
    <w:autoRedefine/>
    <w:qFormat/>
    <w:locked/>
    <w:uiPriority w:val="0"/>
    <w:rPr>
      <w:rFonts w:ascii="宋体" w:hAnsi="宋体"/>
      <w:b/>
      <w:kern w:val="2"/>
      <w:sz w:val="32"/>
      <w:szCs w:val="24"/>
    </w:rPr>
  </w:style>
  <w:style w:type="character" w:customStyle="1" w:styleId="798">
    <w:name w:val="style71"/>
    <w:autoRedefine/>
    <w:qFormat/>
    <w:uiPriority w:val="0"/>
    <w:rPr>
      <w:b/>
      <w:color w:val="FF6600"/>
    </w:rPr>
  </w:style>
  <w:style w:type="character" w:customStyle="1" w:styleId="799">
    <w:name w:val="批注框文本 Char1"/>
    <w:autoRedefine/>
    <w:qFormat/>
    <w:uiPriority w:val="99"/>
    <w:rPr>
      <w:rFonts w:ascii="Times New Roman" w:hAnsi="Times New Roman" w:eastAsia="宋体" w:cs="Times New Roman"/>
      <w:sz w:val="18"/>
      <w:szCs w:val="18"/>
    </w:rPr>
  </w:style>
  <w:style w:type="paragraph" w:customStyle="1" w:styleId="800">
    <w:name w:val="修订3"/>
    <w:autoRedefine/>
    <w:qFormat/>
    <w:uiPriority w:val="0"/>
    <w:rPr>
      <w:rFonts w:ascii="Times New Roman" w:hAnsi="Times New Roman" w:eastAsia="宋体" w:cs="Times New Roman"/>
      <w:kern w:val="2"/>
      <w:sz w:val="21"/>
      <w:szCs w:val="24"/>
      <w:lang w:val="en-US" w:eastAsia="zh-CN" w:bidi="ar-SA"/>
    </w:rPr>
  </w:style>
  <w:style w:type="paragraph" w:customStyle="1" w:styleId="801">
    <w:name w:val="TOC 标题3"/>
    <w:basedOn w:val="3"/>
    <w:next w:val="1"/>
    <w:autoRedefine/>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802">
    <w:name w:val="目录 21"/>
    <w:basedOn w:val="1"/>
    <w:next w:val="1"/>
    <w:autoRedefine/>
    <w:qFormat/>
    <w:uiPriority w:val="39"/>
    <w:pPr>
      <w:spacing w:before="240"/>
      <w:jc w:val="left"/>
    </w:pPr>
    <w:rPr>
      <w:rFonts w:ascii="Calibri" w:hAnsi="Calibri"/>
      <w:b/>
      <w:bCs/>
      <w:sz w:val="20"/>
      <w:szCs w:val="20"/>
    </w:rPr>
  </w:style>
  <w:style w:type="paragraph" w:customStyle="1" w:styleId="803">
    <w:name w:val="目录 31"/>
    <w:basedOn w:val="1"/>
    <w:next w:val="1"/>
    <w:autoRedefine/>
    <w:qFormat/>
    <w:uiPriority w:val="39"/>
    <w:pPr>
      <w:tabs>
        <w:tab w:val="right" w:leader="dot" w:pos="8302"/>
      </w:tabs>
      <w:jc w:val="left"/>
    </w:pPr>
    <w:rPr>
      <w:rFonts w:ascii="Calibri" w:hAnsi="Calibri"/>
      <w:sz w:val="20"/>
      <w:szCs w:val="20"/>
    </w:rPr>
  </w:style>
  <w:style w:type="paragraph" w:customStyle="1" w:styleId="804">
    <w:name w:val="目录 41"/>
    <w:basedOn w:val="1"/>
    <w:next w:val="1"/>
    <w:autoRedefine/>
    <w:qFormat/>
    <w:uiPriority w:val="39"/>
    <w:pPr>
      <w:ind w:left="420"/>
      <w:jc w:val="left"/>
    </w:pPr>
    <w:rPr>
      <w:rFonts w:ascii="Calibri" w:hAnsi="Calibri"/>
      <w:sz w:val="20"/>
      <w:szCs w:val="20"/>
    </w:rPr>
  </w:style>
  <w:style w:type="paragraph" w:customStyle="1" w:styleId="805">
    <w:name w:val="目录 51"/>
    <w:basedOn w:val="1"/>
    <w:next w:val="1"/>
    <w:autoRedefine/>
    <w:qFormat/>
    <w:uiPriority w:val="39"/>
    <w:pPr>
      <w:ind w:left="630"/>
      <w:jc w:val="left"/>
    </w:pPr>
    <w:rPr>
      <w:rFonts w:ascii="Calibri" w:hAnsi="Calibri"/>
      <w:sz w:val="20"/>
      <w:szCs w:val="20"/>
    </w:rPr>
  </w:style>
  <w:style w:type="paragraph" w:customStyle="1" w:styleId="806">
    <w:name w:val="目录 61"/>
    <w:basedOn w:val="1"/>
    <w:next w:val="1"/>
    <w:autoRedefine/>
    <w:unhideWhenUsed/>
    <w:qFormat/>
    <w:uiPriority w:val="39"/>
    <w:pPr>
      <w:ind w:left="840"/>
      <w:jc w:val="left"/>
    </w:pPr>
    <w:rPr>
      <w:rFonts w:ascii="Calibri" w:hAnsi="Calibri"/>
      <w:sz w:val="20"/>
      <w:szCs w:val="20"/>
    </w:rPr>
  </w:style>
  <w:style w:type="paragraph" w:customStyle="1" w:styleId="807">
    <w:name w:val="目录 71"/>
    <w:basedOn w:val="1"/>
    <w:next w:val="1"/>
    <w:autoRedefine/>
    <w:unhideWhenUsed/>
    <w:qFormat/>
    <w:uiPriority w:val="39"/>
    <w:pPr>
      <w:ind w:left="1050"/>
      <w:jc w:val="left"/>
    </w:pPr>
    <w:rPr>
      <w:rFonts w:ascii="Calibri" w:hAnsi="Calibri"/>
      <w:sz w:val="20"/>
      <w:szCs w:val="20"/>
    </w:rPr>
  </w:style>
  <w:style w:type="paragraph" w:customStyle="1" w:styleId="808">
    <w:name w:val="目录 81"/>
    <w:basedOn w:val="1"/>
    <w:next w:val="1"/>
    <w:autoRedefine/>
    <w:unhideWhenUsed/>
    <w:qFormat/>
    <w:uiPriority w:val="39"/>
    <w:pPr>
      <w:ind w:left="1260"/>
      <w:jc w:val="left"/>
    </w:pPr>
    <w:rPr>
      <w:rFonts w:ascii="Calibri" w:hAnsi="Calibri"/>
      <w:sz w:val="20"/>
      <w:szCs w:val="20"/>
    </w:rPr>
  </w:style>
  <w:style w:type="paragraph" w:customStyle="1" w:styleId="809">
    <w:name w:val="目录 91"/>
    <w:basedOn w:val="1"/>
    <w:next w:val="1"/>
    <w:autoRedefine/>
    <w:unhideWhenUsed/>
    <w:qFormat/>
    <w:uiPriority w:val="39"/>
    <w:pPr>
      <w:ind w:left="1470"/>
      <w:jc w:val="left"/>
    </w:pPr>
    <w:rPr>
      <w:rFonts w:ascii="Calibri" w:hAnsi="Calibri"/>
      <w:sz w:val="20"/>
      <w:szCs w:val="20"/>
    </w:rPr>
  </w:style>
  <w:style w:type="paragraph" w:customStyle="1" w:styleId="810">
    <w:name w:val="正文_4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3">
    <w:name w:val="普通(网站) Char"/>
    <w:autoRedefine/>
    <w:qFormat/>
    <w:uiPriority w:val="99"/>
    <w:rPr>
      <w:kern w:val="2"/>
      <w:sz w:val="24"/>
      <w:szCs w:val="24"/>
    </w:rPr>
  </w:style>
  <w:style w:type="character" w:customStyle="1" w:styleId="814">
    <w:name w:val="未处理的提及3"/>
    <w:autoRedefine/>
    <w:unhideWhenUsed/>
    <w:qFormat/>
    <w:uiPriority w:val="99"/>
    <w:rPr>
      <w:color w:val="605E5C"/>
      <w:shd w:val="clear" w:color="auto" w:fill="E1DFDD"/>
    </w:rPr>
  </w:style>
  <w:style w:type="character" w:customStyle="1" w:styleId="815">
    <w:name w:val="纯文本 Char2"/>
    <w:autoRedefine/>
    <w:qFormat/>
    <w:uiPriority w:val="0"/>
    <w:rPr>
      <w:rFonts w:ascii="宋体" w:hAnsi="Courier New" w:eastAsia="宋体" w:cs="Times New Roman"/>
      <w:szCs w:val="20"/>
    </w:rPr>
  </w:style>
  <w:style w:type="character" w:customStyle="1" w:styleId="816">
    <w:name w:val="10"/>
    <w:autoRedefine/>
    <w:qFormat/>
    <w:uiPriority w:val="0"/>
    <w:rPr>
      <w:rFonts w:hint="default" w:ascii="仿宋_GB2312" w:hAnsi="Times New Roman" w:eastAsia="仿宋_GB2312" w:cs="仿宋_GB2312"/>
    </w:rPr>
  </w:style>
  <w:style w:type="character" w:customStyle="1" w:styleId="817">
    <w:name w:val="Char Char63"/>
    <w:autoRedefine/>
    <w:qFormat/>
    <w:uiPriority w:val="0"/>
    <w:rPr>
      <w:rFonts w:ascii="Calibri" w:hAnsi="Calibri" w:eastAsia="宋体" w:cs="Times New Roman"/>
      <w:kern w:val="2"/>
      <w:sz w:val="21"/>
      <w:szCs w:val="24"/>
      <w:lang w:val="en-US" w:eastAsia="zh-CN" w:bidi="ar-SA"/>
    </w:rPr>
  </w:style>
  <w:style w:type="character" w:customStyle="1" w:styleId="818">
    <w:name w:val="hps"/>
    <w:autoRedefine/>
    <w:qFormat/>
    <w:uiPriority w:val="0"/>
    <w:rPr>
      <w:rFonts w:ascii="Times New Roman" w:hAnsi="Times New Roman" w:eastAsia="宋体" w:cs="Times New Roman"/>
    </w:rPr>
  </w:style>
  <w:style w:type="character" w:customStyle="1" w:styleId="819">
    <w:name w:val="Char Char34"/>
    <w:autoRedefine/>
    <w:qFormat/>
    <w:uiPriority w:val="0"/>
    <w:rPr>
      <w:rFonts w:ascii="Calibri" w:hAnsi="Calibri" w:eastAsia="宋体" w:cs="Times New Roman"/>
      <w:sz w:val="24"/>
      <w:lang w:val="en-US" w:eastAsia="zh-CN" w:bidi="ar-SA"/>
    </w:rPr>
  </w:style>
  <w:style w:type="character" w:customStyle="1" w:styleId="820">
    <w:name w:val="Char Char Char3"/>
    <w:autoRedefine/>
    <w:qFormat/>
    <w:uiPriority w:val="0"/>
    <w:rPr>
      <w:rFonts w:ascii="Arial" w:hAnsi="Arial" w:eastAsia="黑体"/>
      <w:b/>
      <w:bCs/>
      <w:kern w:val="2"/>
      <w:sz w:val="32"/>
      <w:szCs w:val="32"/>
      <w:lang w:val="en-US" w:eastAsia="zh-CN" w:bidi="ar-SA"/>
    </w:rPr>
  </w:style>
  <w:style w:type="character" w:customStyle="1" w:styleId="821">
    <w:name w:val="书籍标题3"/>
    <w:autoRedefine/>
    <w:qFormat/>
    <w:uiPriority w:val="33"/>
    <w:rPr>
      <w:b/>
      <w:bCs/>
      <w:smallCaps/>
      <w:spacing w:val="5"/>
    </w:rPr>
  </w:style>
  <w:style w:type="character" w:customStyle="1" w:styleId="822">
    <w:name w:val="font61"/>
    <w:autoRedefine/>
    <w:qFormat/>
    <w:uiPriority w:val="0"/>
    <w:rPr>
      <w:rFonts w:hint="eastAsia" w:ascii="微软雅黑" w:hAnsi="微软雅黑" w:eastAsia="微软雅黑" w:cs="微软雅黑"/>
      <w:b/>
      <w:color w:val="333333"/>
      <w:sz w:val="20"/>
      <w:szCs w:val="20"/>
      <w:u w:val="none"/>
    </w:rPr>
  </w:style>
  <w:style w:type="character" w:customStyle="1" w:styleId="823">
    <w:name w:val="Char Char10"/>
    <w:autoRedefine/>
    <w:qFormat/>
    <w:uiPriority w:val="0"/>
    <w:rPr>
      <w:rFonts w:ascii="Arial" w:hAnsi="Arial" w:eastAsia="黑体"/>
      <w:b/>
      <w:bCs/>
      <w:kern w:val="2"/>
      <w:sz w:val="32"/>
      <w:szCs w:val="32"/>
      <w:lang w:val="en-US" w:eastAsia="zh-CN" w:bidi="ar-SA"/>
    </w:rPr>
  </w:style>
  <w:style w:type="character" w:customStyle="1" w:styleId="824">
    <w:name w:val="正文文本 3 Char1"/>
    <w:autoRedefine/>
    <w:qFormat/>
    <w:uiPriority w:val="99"/>
    <w:rPr>
      <w:rFonts w:ascii="Times New Roman" w:hAnsi="Times New Roman" w:eastAsia="宋体" w:cs="Times New Roman"/>
      <w:kern w:val="2"/>
      <w:sz w:val="16"/>
      <w:szCs w:val="16"/>
    </w:rPr>
  </w:style>
  <w:style w:type="character" w:customStyle="1" w:styleId="825">
    <w:name w:val="Char Char43"/>
    <w:autoRedefine/>
    <w:qFormat/>
    <w:uiPriority w:val="0"/>
    <w:rPr>
      <w:rFonts w:ascii="华文细黑" w:hAnsi="华文细黑" w:eastAsia="华文细黑" w:cs="Arial"/>
      <w:b/>
      <w:bCs/>
      <w:color w:val="000000"/>
      <w:sz w:val="52"/>
      <w:szCs w:val="32"/>
      <w:lang w:val="en-US" w:eastAsia="zh-CN" w:bidi="ar-SA"/>
    </w:rPr>
  </w:style>
  <w:style w:type="character" w:customStyle="1" w:styleId="826">
    <w:name w:val="正文加重首行缩进2字 Char"/>
    <w:link w:val="827"/>
    <w:autoRedefine/>
    <w:qFormat/>
    <w:uiPriority w:val="0"/>
    <w:rPr>
      <w:rFonts w:eastAsia="楷体_GB2312"/>
      <w:b/>
      <w:bCs/>
      <w:sz w:val="28"/>
      <w:szCs w:val="24"/>
    </w:rPr>
  </w:style>
  <w:style w:type="paragraph" w:customStyle="1" w:styleId="827">
    <w:name w:val="正文加重首行缩进2字"/>
    <w:basedOn w:val="1"/>
    <w:link w:val="826"/>
    <w:autoRedefine/>
    <w:qFormat/>
    <w:uiPriority w:val="0"/>
    <w:pPr>
      <w:ind w:firstLine="560" w:firstLineChars="200"/>
    </w:pPr>
    <w:rPr>
      <w:rFonts w:eastAsia="楷体_GB2312"/>
      <w:b/>
      <w:bCs/>
      <w:kern w:val="0"/>
      <w:sz w:val="28"/>
    </w:rPr>
  </w:style>
  <w:style w:type="character" w:customStyle="1" w:styleId="828">
    <w:name w:val="正文文本 2 Char1"/>
    <w:autoRedefine/>
    <w:qFormat/>
    <w:uiPriority w:val="99"/>
    <w:rPr>
      <w:rFonts w:ascii="Times New Roman" w:hAnsi="Times New Roman" w:eastAsia="宋体" w:cs="Times New Roman"/>
      <w:kern w:val="2"/>
      <w:sz w:val="21"/>
      <w:szCs w:val="24"/>
    </w:rPr>
  </w:style>
  <w:style w:type="character" w:customStyle="1" w:styleId="829">
    <w:name w:val="Char Char114"/>
    <w:autoRedefine/>
    <w:qFormat/>
    <w:uiPriority w:val="0"/>
    <w:rPr>
      <w:rFonts w:ascii="宋体" w:hAnsi="Calibri" w:eastAsia="宋体" w:cs="Times New Roman"/>
      <w:sz w:val="24"/>
      <w:szCs w:val="24"/>
      <w:lang w:val="en-US" w:eastAsia="zh-CN" w:bidi="ar-SA"/>
    </w:rPr>
  </w:style>
  <w:style w:type="character" w:customStyle="1" w:styleId="830">
    <w:name w:val="Char Char73"/>
    <w:autoRedefine/>
    <w:qFormat/>
    <w:uiPriority w:val="0"/>
    <w:rPr>
      <w:rFonts w:ascii="宋体" w:hAnsi="宋体" w:eastAsia="宋体" w:cs="Times New Roman"/>
      <w:b/>
      <w:sz w:val="24"/>
      <w:szCs w:val="24"/>
      <w:lang w:val="en-US" w:eastAsia="zh-CN" w:bidi="ar-SA"/>
    </w:rPr>
  </w:style>
  <w:style w:type="character" w:customStyle="1" w:styleId="831">
    <w:name w:val="Char Char53"/>
    <w:autoRedefine/>
    <w:qFormat/>
    <w:uiPriority w:val="0"/>
    <w:rPr>
      <w:rFonts w:ascii="宋体" w:hAnsi="Calibri" w:eastAsia="宋体" w:cs="Times New Roman"/>
      <w:sz w:val="24"/>
      <w:szCs w:val="24"/>
      <w:lang w:val="en-US" w:eastAsia="zh-CN" w:bidi="ar-SA"/>
    </w:rPr>
  </w:style>
  <w:style w:type="paragraph" w:customStyle="1" w:styleId="832">
    <w:name w:val="Char Char1 Char Char Char Char Char Char Char1"/>
    <w:basedOn w:val="1"/>
    <w:autoRedefine/>
    <w:qFormat/>
    <w:uiPriority w:val="0"/>
    <w:rPr>
      <w:rFonts w:ascii="Tahoma" w:hAnsi="Tahoma"/>
      <w:kern w:val="0"/>
      <w:sz w:val="24"/>
      <w:szCs w:val="20"/>
    </w:rPr>
  </w:style>
  <w:style w:type="paragraph" w:customStyle="1" w:styleId="833">
    <w:name w:val="Char Char16"/>
    <w:basedOn w:val="25"/>
    <w:autoRedefine/>
    <w:qFormat/>
    <w:uiPriority w:val="0"/>
    <w:rPr>
      <w:rFonts w:ascii="Tahoma" w:hAnsi="Tahoma"/>
      <w:kern w:val="0"/>
      <w:sz w:val="24"/>
      <w:szCs w:val="20"/>
    </w:rPr>
  </w:style>
  <w:style w:type="paragraph" w:customStyle="1" w:styleId="834">
    <w:name w:val="修订4"/>
    <w:autoRedefine/>
    <w:qFormat/>
    <w:uiPriority w:val="99"/>
    <w:rPr>
      <w:rFonts w:ascii="Times New Roman" w:hAnsi="Times New Roman" w:eastAsia="宋体" w:cs="Times New Roman"/>
      <w:kern w:val="2"/>
      <w:sz w:val="21"/>
      <w:szCs w:val="24"/>
      <w:lang w:val="en-US" w:eastAsia="zh-CN" w:bidi="ar-SA"/>
    </w:rPr>
  </w:style>
  <w:style w:type="paragraph" w:customStyle="1" w:styleId="835">
    <w:name w:val="TOC 标题4"/>
    <w:basedOn w:val="3"/>
    <w:next w:val="1"/>
    <w:autoRedefine/>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836">
    <w:name w:val="中等深浅网格 1 - 强调文字颜色 21"/>
    <w:basedOn w:val="1"/>
    <w:autoRedefine/>
    <w:qFormat/>
    <w:uiPriority w:val="0"/>
    <w:pPr>
      <w:spacing w:line="360" w:lineRule="auto"/>
      <w:ind w:firstLine="420" w:firstLineChars="200"/>
    </w:pPr>
    <w:rPr>
      <w:rFonts w:ascii="宋体"/>
      <w:kern w:val="0"/>
      <w:sz w:val="24"/>
      <w:szCs w:val="20"/>
    </w:rPr>
  </w:style>
  <w:style w:type="paragraph" w:customStyle="1" w:styleId="837">
    <w:name w:val="正文5"/>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38">
    <w:name w:val="Char16"/>
    <w:basedOn w:val="1"/>
    <w:autoRedefine/>
    <w:qFormat/>
    <w:uiPriority w:val="0"/>
    <w:rPr>
      <w:rFonts w:ascii="Tahoma" w:hAnsi="Tahoma"/>
      <w:kern w:val="0"/>
      <w:sz w:val="24"/>
      <w:szCs w:val="20"/>
    </w:rPr>
  </w:style>
  <w:style w:type="paragraph" w:customStyle="1" w:styleId="839">
    <w:name w:val="Char Char Char Char7"/>
    <w:basedOn w:val="1"/>
    <w:autoRedefine/>
    <w:qFormat/>
    <w:uiPriority w:val="0"/>
    <w:pPr>
      <w:widowControl/>
      <w:spacing w:after="160" w:line="240" w:lineRule="exact"/>
      <w:jc w:val="left"/>
    </w:pPr>
    <w:rPr>
      <w:rFonts w:ascii="宋体"/>
      <w:kern w:val="0"/>
      <w:sz w:val="34"/>
      <w:szCs w:val="20"/>
    </w:rPr>
  </w:style>
  <w:style w:type="paragraph" w:customStyle="1" w:styleId="840">
    <w:name w:val="Char Char Char Char Char Char1 Char1"/>
    <w:basedOn w:val="1"/>
    <w:autoRedefine/>
    <w:qFormat/>
    <w:uiPriority w:val="0"/>
    <w:pPr>
      <w:widowControl/>
      <w:wordWrap w:val="0"/>
      <w:jc w:val="left"/>
    </w:pPr>
    <w:rPr>
      <w:rFonts w:ascii="Tahoma" w:hAnsi="Tahoma"/>
      <w:kern w:val="0"/>
      <w:sz w:val="24"/>
      <w:szCs w:val="20"/>
    </w:rPr>
  </w:style>
  <w:style w:type="paragraph" w:customStyle="1" w:styleId="841">
    <w:name w:val="标题2 alt+2"/>
    <w:basedOn w:val="1"/>
    <w:next w:val="6"/>
    <w:autoRedefine/>
    <w:qFormat/>
    <w:uiPriority w:val="0"/>
    <w:pPr>
      <w:spacing w:beforeLines="50"/>
      <w:jc w:val="left"/>
      <w:outlineLvl w:val="1"/>
    </w:pPr>
    <w:rPr>
      <w:rFonts w:eastAsia="黑体"/>
      <w:b/>
      <w:bCs/>
      <w:kern w:val="0"/>
      <w:sz w:val="28"/>
      <w:szCs w:val="28"/>
    </w:rPr>
  </w:style>
  <w:style w:type="paragraph" w:customStyle="1" w:styleId="842">
    <w:name w:val="Char Char Char Char Char Char2"/>
    <w:basedOn w:val="1"/>
    <w:autoRedefine/>
    <w:qFormat/>
    <w:uiPriority w:val="0"/>
    <w:pPr>
      <w:adjustRightInd w:val="0"/>
      <w:spacing w:line="360" w:lineRule="auto"/>
    </w:pPr>
    <w:rPr>
      <w:kern w:val="0"/>
      <w:sz w:val="24"/>
      <w:szCs w:val="20"/>
    </w:rPr>
  </w:style>
  <w:style w:type="paragraph" w:customStyle="1" w:styleId="843">
    <w:name w:val="Char Char Char Char Char Char Char Char Char Char Char Char Char4"/>
    <w:basedOn w:val="1"/>
    <w:autoRedefine/>
    <w:qFormat/>
    <w:uiPriority w:val="0"/>
    <w:rPr>
      <w:rFonts w:ascii="仿宋_GB2312" w:hAnsi="Calibri" w:eastAsia="仿宋_GB2312"/>
      <w:b/>
      <w:kern w:val="0"/>
      <w:sz w:val="32"/>
      <w:szCs w:val="32"/>
    </w:rPr>
  </w:style>
  <w:style w:type="paragraph" w:customStyle="1" w:styleId="844">
    <w:name w:val="Char6"/>
    <w:basedOn w:val="1"/>
    <w:next w:val="1"/>
    <w:autoRedefine/>
    <w:qFormat/>
    <w:uiPriority w:val="0"/>
    <w:pPr>
      <w:widowControl/>
      <w:spacing w:after="160" w:line="240" w:lineRule="exact"/>
      <w:jc w:val="left"/>
    </w:pPr>
    <w:rPr>
      <w:rFonts w:ascii="Verdana" w:hAnsi="Verdana" w:eastAsia="仿宋_GB2312"/>
      <w:kern w:val="0"/>
      <w:sz w:val="20"/>
      <w:szCs w:val="20"/>
      <w:lang w:eastAsia="en-US"/>
    </w:rPr>
  </w:style>
  <w:style w:type="character" w:customStyle="1" w:styleId="845">
    <w:name w:val="标题 1 Char1"/>
    <w:autoRedefine/>
    <w:qFormat/>
    <w:uiPriority w:val="0"/>
    <w:rPr>
      <w:b/>
      <w:bCs/>
      <w:kern w:val="44"/>
      <w:sz w:val="44"/>
      <w:szCs w:val="44"/>
    </w:rPr>
  </w:style>
  <w:style w:type="character" w:customStyle="1" w:styleId="846">
    <w:name w:val="标题 2 Char2"/>
    <w:autoRedefine/>
    <w:qFormat/>
    <w:uiPriority w:val="0"/>
    <w:rPr>
      <w:rFonts w:ascii="Cambria" w:hAnsi="Cambria"/>
      <w:b/>
      <w:bCs/>
      <w:kern w:val="2"/>
      <w:sz w:val="32"/>
      <w:szCs w:val="32"/>
    </w:rPr>
  </w:style>
  <w:style w:type="character" w:customStyle="1" w:styleId="847">
    <w:name w:val="标题 4 Char1"/>
    <w:autoRedefine/>
    <w:qFormat/>
    <w:uiPriority w:val="0"/>
    <w:rPr>
      <w:rFonts w:ascii="Arial" w:hAnsi="Arial" w:eastAsia="黑体"/>
      <w:b/>
    </w:rPr>
  </w:style>
  <w:style w:type="character" w:customStyle="1" w:styleId="848">
    <w:name w:val="标题 5 Char1"/>
    <w:autoRedefine/>
    <w:qFormat/>
    <w:uiPriority w:val="0"/>
    <w:rPr>
      <w:b/>
    </w:rPr>
  </w:style>
  <w:style w:type="character" w:customStyle="1" w:styleId="849">
    <w:name w:val="标题 6 Char1"/>
    <w:autoRedefine/>
    <w:qFormat/>
    <w:uiPriority w:val="0"/>
    <w:rPr>
      <w:rFonts w:ascii="Arial" w:hAnsi="Arial" w:eastAsia="黑体"/>
      <w:b/>
    </w:rPr>
  </w:style>
  <w:style w:type="character" w:customStyle="1" w:styleId="850">
    <w:name w:val="标题 7 Char1"/>
    <w:autoRedefine/>
    <w:qFormat/>
    <w:uiPriority w:val="0"/>
    <w:rPr>
      <w:b/>
    </w:rPr>
  </w:style>
  <w:style w:type="character" w:customStyle="1" w:styleId="851">
    <w:name w:val="标题 8 Char1"/>
    <w:autoRedefine/>
    <w:qFormat/>
    <w:uiPriority w:val="0"/>
    <w:rPr>
      <w:rFonts w:ascii="Arial" w:hAnsi="Arial" w:eastAsia="黑体"/>
    </w:rPr>
  </w:style>
  <w:style w:type="character" w:customStyle="1" w:styleId="852">
    <w:name w:val="标题 9 Char1"/>
    <w:autoRedefine/>
    <w:qFormat/>
    <w:uiPriority w:val="0"/>
    <w:rPr>
      <w:rFonts w:ascii="Arial" w:hAnsi="Arial" w:eastAsia="黑体"/>
    </w:rPr>
  </w:style>
  <w:style w:type="character" w:customStyle="1" w:styleId="853">
    <w:name w:val="文档结构图 Char1"/>
    <w:autoRedefine/>
    <w:qFormat/>
    <w:uiPriority w:val="0"/>
    <w:rPr>
      <w:rFonts w:ascii="宋体"/>
      <w:sz w:val="18"/>
      <w:szCs w:val="18"/>
    </w:rPr>
  </w:style>
  <w:style w:type="character" w:customStyle="1" w:styleId="854">
    <w:name w:val="批注文字 Char2"/>
    <w:autoRedefine/>
    <w:qFormat/>
    <w:uiPriority w:val="0"/>
  </w:style>
  <w:style w:type="character" w:customStyle="1" w:styleId="855">
    <w:name w:val="副标题 Char"/>
    <w:autoRedefine/>
    <w:qFormat/>
    <w:uiPriority w:val="0"/>
    <w:rPr>
      <w:rFonts w:ascii="Cambria" w:hAnsi="Cambria" w:eastAsia="黑体"/>
      <w:bCs/>
      <w:kern w:val="28"/>
      <w:sz w:val="24"/>
      <w:szCs w:val="32"/>
    </w:rPr>
  </w:style>
  <w:style w:type="character" w:customStyle="1" w:styleId="856">
    <w:name w:val="正文文本缩进 3 Char1"/>
    <w:autoRedefine/>
    <w:qFormat/>
    <w:uiPriority w:val="99"/>
    <w:rPr>
      <w:sz w:val="16"/>
      <w:szCs w:val="16"/>
    </w:rPr>
  </w:style>
  <w:style w:type="character" w:customStyle="1" w:styleId="857">
    <w:name w:val="批注主题 Char1"/>
    <w:autoRedefine/>
    <w:qFormat/>
    <w:uiPriority w:val="99"/>
    <w:rPr>
      <w:b/>
      <w:bCs/>
    </w:rPr>
  </w:style>
  <w:style w:type="character" w:customStyle="1" w:styleId="858">
    <w:name w:val="GP正文(首行缩进) Char Char"/>
    <w:autoRedefine/>
    <w:qFormat/>
    <w:locked/>
    <w:uiPriority w:val="0"/>
    <w:rPr>
      <w:szCs w:val="21"/>
    </w:rPr>
  </w:style>
  <w:style w:type="character" w:customStyle="1" w:styleId="859">
    <w:name w:val="样式13 Char"/>
    <w:link w:val="860"/>
    <w:autoRedefine/>
    <w:qFormat/>
    <w:locked/>
    <w:uiPriority w:val="0"/>
    <w:rPr>
      <w:kern w:val="2"/>
      <w:sz w:val="21"/>
      <w:szCs w:val="24"/>
    </w:rPr>
  </w:style>
  <w:style w:type="paragraph" w:customStyle="1" w:styleId="860">
    <w:name w:val="样式13"/>
    <w:basedOn w:val="1"/>
    <w:next w:val="1"/>
    <w:link w:val="859"/>
    <w:autoRedefine/>
    <w:qFormat/>
    <w:uiPriority w:val="0"/>
  </w:style>
  <w:style w:type="character" w:customStyle="1" w:styleId="861">
    <w:name w:val="样式12 Char"/>
    <w:link w:val="862"/>
    <w:autoRedefine/>
    <w:qFormat/>
    <w:locked/>
    <w:uiPriority w:val="0"/>
    <w:rPr>
      <w:sz w:val="21"/>
      <w:szCs w:val="24"/>
    </w:rPr>
  </w:style>
  <w:style w:type="paragraph" w:customStyle="1" w:styleId="862">
    <w:name w:val="样式12"/>
    <w:basedOn w:val="1"/>
    <w:next w:val="1"/>
    <w:link w:val="861"/>
    <w:autoRedefine/>
    <w:qFormat/>
    <w:uiPriority w:val="0"/>
    <w:rPr>
      <w:kern w:val="0"/>
    </w:rPr>
  </w:style>
  <w:style w:type="character" w:customStyle="1" w:styleId="863">
    <w:name w:val="样式9 Char"/>
    <w:link w:val="864"/>
    <w:autoRedefine/>
    <w:qFormat/>
    <w:locked/>
    <w:uiPriority w:val="0"/>
    <w:rPr>
      <w:kern w:val="2"/>
      <w:sz w:val="21"/>
      <w:szCs w:val="24"/>
    </w:rPr>
  </w:style>
  <w:style w:type="paragraph" w:customStyle="1" w:styleId="864">
    <w:name w:val="样式9"/>
    <w:basedOn w:val="1"/>
    <w:next w:val="1"/>
    <w:link w:val="863"/>
    <w:autoRedefine/>
    <w:qFormat/>
    <w:uiPriority w:val="0"/>
  </w:style>
  <w:style w:type="character" w:customStyle="1" w:styleId="865">
    <w:name w:val="样式18 Char"/>
    <w:link w:val="866"/>
    <w:autoRedefine/>
    <w:qFormat/>
    <w:locked/>
    <w:uiPriority w:val="0"/>
    <w:rPr>
      <w:kern w:val="2"/>
      <w:sz w:val="21"/>
      <w:szCs w:val="24"/>
    </w:rPr>
  </w:style>
  <w:style w:type="paragraph" w:customStyle="1" w:styleId="866">
    <w:name w:val="样式18"/>
    <w:basedOn w:val="1"/>
    <w:next w:val="1"/>
    <w:link w:val="865"/>
    <w:autoRedefine/>
    <w:qFormat/>
    <w:uiPriority w:val="0"/>
  </w:style>
  <w:style w:type="character" w:customStyle="1" w:styleId="867">
    <w:name w:val="样式17 Char"/>
    <w:link w:val="868"/>
    <w:autoRedefine/>
    <w:qFormat/>
    <w:locked/>
    <w:uiPriority w:val="0"/>
    <w:rPr>
      <w:kern w:val="2"/>
      <w:sz w:val="21"/>
      <w:szCs w:val="24"/>
    </w:rPr>
  </w:style>
  <w:style w:type="paragraph" w:customStyle="1" w:styleId="868">
    <w:name w:val="样式17"/>
    <w:basedOn w:val="1"/>
    <w:next w:val="1"/>
    <w:link w:val="867"/>
    <w:autoRedefine/>
    <w:qFormat/>
    <w:uiPriority w:val="0"/>
  </w:style>
  <w:style w:type="character" w:customStyle="1" w:styleId="869">
    <w:name w:val="样式10 Char"/>
    <w:link w:val="870"/>
    <w:autoRedefine/>
    <w:qFormat/>
    <w:locked/>
    <w:uiPriority w:val="0"/>
    <w:rPr>
      <w:sz w:val="21"/>
      <w:szCs w:val="24"/>
    </w:rPr>
  </w:style>
  <w:style w:type="paragraph" w:customStyle="1" w:styleId="870">
    <w:name w:val="样式10"/>
    <w:basedOn w:val="1"/>
    <w:next w:val="1"/>
    <w:link w:val="869"/>
    <w:autoRedefine/>
    <w:qFormat/>
    <w:uiPriority w:val="0"/>
    <w:rPr>
      <w:kern w:val="0"/>
    </w:rPr>
  </w:style>
  <w:style w:type="character" w:customStyle="1" w:styleId="871">
    <w:name w:val="样式11 Char"/>
    <w:link w:val="872"/>
    <w:autoRedefine/>
    <w:qFormat/>
    <w:locked/>
    <w:uiPriority w:val="0"/>
    <w:rPr>
      <w:kern w:val="2"/>
      <w:sz w:val="21"/>
      <w:szCs w:val="24"/>
    </w:rPr>
  </w:style>
  <w:style w:type="paragraph" w:customStyle="1" w:styleId="872">
    <w:name w:val="样式11"/>
    <w:basedOn w:val="1"/>
    <w:next w:val="1"/>
    <w:link w:val="871"/>
    <w:autoRedefine/>
    <w:qFormat/>
    <w:uiPriority w:val="0"/>
  </w:style>
  <w:style w:type="character" w:customStyle="1" w:styleId="873">
    <w:name w:val="样式19 Char"/>
    <w:link w:val="874"/>
    <w:autoRedefine/>
    <w:qFormat/>
    <w:locked/>
    <w:uiPriority w:val="0"/>
    <w:rPr>
      <w:kern w:val="2"/>
      <w:sz w:val="21"/>
      <w:szCs w:val="24"/>
    </w:rPr>
  </w:style>
  <w:style w:type="paragraph" w:customStyle="1" w:styleId="874">
    <w:name w:val="样式19"/>
    <w:basedOn w:val="1"/>
    <w:next w:val="1"/>
    <w:link w:val="873"/>
    <w:autoRedefine/>
    <w:qFormat/>
    <w:uiPriority w:val="0"/>
  </w:style>
  <w:style w:type="character" w:customStyle="1" w:styleId="875">
    <w:name w:val="样式16 Char"/>
    <w:link w:val="876"/>
    <w:autoRedefine/>
    <w:qFormat/>
    <w:locked/>
    <w:uiPriority w:val="0"/>
    <w:rPr>
      <w:sz w:val="21"/>
      <w:szCs w:val="24"/>
    </w:rPr>
  </w:style>
  <w:style w:type="paragraph" w:customStyle="1" w:styleId="876">
    <w:name w:val="样式16"/>
    <w:basedOn w:val="1"/>
    <w:next w:val="1"/>
    <w:link w:val="875"/>
    <w:autoRedefine/>
    <w:qFormat/>
    <w:uiPriority w:val="0"/>
    <w:rPr>
      <w:kern w:val="0"/>
    </w:rPr>
  </w:style>
  <w:style w:type="character" w:customStyle="1" w:styleId="877">
    <w:name w:val="样式15 Char"/>
    <w:link w:val="878"/>
    <w:autoRedefine/>
    <w:qFormat/>
    <w:locked/>
    <w:uiPriority w:val="0"/>
    <w:rPr>
      <w:kern w:val="2"/>
      <w:sz w:val="21"/>
      <w:szCs w:val="24"/>
    </w:rPr>
  </w:style>
  <w:style w:type="paragraph" w:customStyle="1" w:styleId="878">
    <w:name w:val="样式15"/>
    <w:basedOn w:val="1"/>
    <w:next w:val="1"/>
    <w:link w:val="877"/>
    <w:autoRedefine/>
    <w:qFormat/>
    <w:uiPriority w:val="0"/>
  </w:style>
  <w:style w:type="paragraph" w:customStyle="1" w:styleId="879">
    <w:name w:val="TOC 标题41"/>
    <w:basedOn w:val="3"/>
    <w:next w:val="1"/>
    <w:autoRedefine/>
    <w:qFormat/>
    <w:uiPriority w:val="9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880">
    <w:name w:val="正文111 Char"/>
    <w:link w:val="881"/>
    <w:autoRedefine/>
    <w:qFormat/>
    <w:locked/>
    <w:uiPriority w:val="0"/>
    <w:rPr>
      <w:rFonts w:ascii="宋体" w:hAnsi="宋体"/>
      <w:kern w:val="2"/>
      <w:sz w:val="24"/>
      <w:szCs w:val="30"/>
    </w:rPr>
  </w:style>
  <w:style w:type="paragraph" w:customStyle="1" w:styleId="881">
    <w:name w:val="正文111"/>
    <w:basedOn w:val="44"/>
    <w:link w:val="880"/>
    <w:autoRedefine/>
    <w:qFormat/>
    <w:uiPriority w:val="0"/>
    <w:pPr>
      <w:tabs>
        <w:tab w:val="left" w:pos="5580"/>
      </w:tabs>
      <w:adjustRightInd w:val="0"/>
      <w:snapToGrid w:val="0"/>
      <w:spacing w:beforeLines="50" w:line="360" w:lineRule="auto"/>
      <w:ind w:firstLine="480" w:firstLineChars="200"/>
    </w:pPr>
    <w:rPr>
      <w:rFonts w:hint="default" w:hAnsi="宋体"/>
      <w:sz w:val="24"/>
      <w:szCs w:val="30"/>
    </w:rPr>
  </w:style>
  <w:style w:type="character" w:customStyle="1" w:styleId="882">
    <w:name w:val="明显参考1"/>
    <w:autoRedefine/>
    <w:qFormat/>
    <w:uiPriority w:val="0"/>
    <w:rPr>
      <w:b/>
      <w:bCs/>
      <w:smallCaps/>
      <w:color w:val="C0504D"/>
      <w:spacing w:val="5"/>
      <w:u w:val="single"/>
    </w:rPr>
  </w:style>
  <w:style w:type="character" w:customStyle="1" w:styleId="883">
    <w:name w:val="明显强调1"/>
    <w:autoRedefine/>
    <w:qFormat/>
    <w:uiPriority w:val="0"/>
    <w:rPr>
      <w:b/>
      <w:bCs/>
      <w:i/>
      <w:iCs/>
      <w:color w:val="4F81BD"/>
    </w:rPr>
  </w:style>
  <w:style w:type="character" w:customStyle="1" w:styleId="884">
    <w:name w:val="明显参考11"/>
    <w:autoRedefine/>
    <w:qFormat/>
    <w:uiPriority w:val="32"/>
    <w:rPr>
      <w:b/>
      <w:bCs/>
      <w:smallCaps/>
      <w:color w:val="C0504D"/>
      <w:spacing w:val="5"/>
      <w:u w:val="single"/>
    </w:rPr>
  </w:style>
  <w:style w:type="character" w:customStyle="1" w:styleId="885">
    <w:name w:val="日期 Char Char"/>
    <w:autoRedefine/>
    <w:qFormat/>
    <w:uiPriority w:val="99"/>
    <w:rPr>
      <w:rFonts w:ascii="宋体"/>
      <w:sz w:val="24"/>
    </w:rPr>
  </w:style>
  <w:style w:type="character" w:customStyle="1" w:styleId="886">
    <w:name w:val="页脚 Char Char"/>
    <w:autoRedefine/>
    <w:qFormat/>
    <w:uiPriority w:val="0"/>
    <w:rPr>
      <w:rFonts w:ascii="MingLiU" w:eastAsia="MingLiU"/>
      <w:sz w:val="18"/>
      <w:szCs w:val="18"/>
      <w:lang w:eastAsia="zh-TW"/>
    </w:rPr>
  </w:style>
  <w:style w:type="paragraph" w:customStyle="1" w:styleId="887">
    <w:name w:val="样式 标题 3标题 3 Char + 行距: 固定值 22 磅"/>
    <w:basedOn w:val="5"/>
    <w:autoRedefine/>
    <w:qFormat/>
    <w:uiPriority w:val="0"/>
    <w:pPr>
      <w:keepNext w:val="0"/>
      <w:keepLines w:val="0"/>
      <w:numPr>
        <w:ilvl w:val="2"/>
        <w:numId w:val="8"/>
      </w:numPr>
      <w:tabs>
        <w:tab w:val="left" w:pos="720"/>
        <w:tab w:val="left" w:pos="1260"/>
        <w:tab w:val="left" w:pos="1560"/>
      </w:tabs>
      <w:spacing w:before="0" w:after="0" w:line="440" w:lineRule="exact"/>
      <w:ind w:firstLine="564" w:firstLineChars="200"/>
    </w:pPr>
    <w:rPr>
      <w:rFonts w:hAnsi="宋体" w:cs="宋体"/>
      <w:b w:val="0"/>
      <w:bCs/>
      <w:snapToGrid w:val="0"/>
      <w:kern w:val="2"/>
      <w:sz w:val="32"/>
      <w:u w:val="none"/>
    </w:rPr>
  </w:style>
  <w:style w:type="paragraph" w:customStyle="1" w:styleId="888">
    <w:name w:val="_Style 65"/>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9">
    <w:name w:val="_Style 59"/>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0">
    <w:name w:val="明显强调11"/>
    <w:autoRedefine/>
    <w:qFormat/>
    <w:uiPriority w:val="21"/>
    <w:rPr>
      <w:b/>
      <w:bCs/>
      <w:i/>
      <w:iCs/>
      <w:color w:val="4F81BD"/>
    </w:rPr>
  </w:style>
  <w:style w:type="paragraph" w:customStyle="1" w:styleId="891">
    <w:name w:val="_Style 89"/>
    <w:basedOn w:val="1"/>
    <w:next w:val="148"/>
    <w:autoRedefine/>
    <w:qFormat/>
    <w:uiPriority w:val="99"/>
    <w:pPr>
      <w:ind w:firstLine="420" w:firstLineChars="200"/>
    </w:pPr>
  </w:style>
  <w:style w:type="character" w:customStyle="1" w:styleId="892">
    <w:name w:val="Char Char81"/>
    <w:autoRedefine/>
    <w:qFormat/>
    <w:uiPriority w:val="0"/>
    <w:rPr>
      <w:rFonts w:ascii="Arial" w:hAnsi="Arial" w:eastAsia="黑体"/>
      <w:b/>
      <w:bCs/>
      <w:kern w:val="2"/>
      <w:sz w:val="32"/>
      <w:szCs w:val="32"/>
      <w:lang w:val="en-US" w:eastAsia="zh-CN" w:bidi="ar-SA"/>
    </w:rPr>
  </w:style>
  <w:style w:type="character" w:customStyle="1" w:styleId="893">
    <w:name w:val="副标题 字符1"/>
    <w:autoRedefine/>
    <w:qFormat/>
    <w:uiPriority w:val="11"/>
    <w:rPr>
      <w:rFonts w:ascii="等线 Light" w:hAnsi="等线 Light" w:cs="Times New Roman"/>
      <w:b/>
      <w:bCs/>
      <w:kern w:val="28"/>
      <w:sz w:val="32"/>
      <w:szCs w:val="32"/>
    </w:rPr>
  </w:style>
  <w:style w:type="character" w:customStyle="1" w:styleId="894">
    <w:name w:val="页脚 字符1_0"/>
    <w:link w:val="895"/>
    <w:autoRedefine/>
    <w:qFormat/>
    <w:uiPriority w:val="99"/>
    <w:rPr>
      <w:sz w:val="18"/>
      <w:szCs w:val="18"/>
    </w:rPr>
  </w:style>
  <w:style w:type="paragraph" w:customStyle="1" w:styleId="895">
    <w:name w:val="Footer_0"/>
    <w:basedOn w:val="896"/>
    <w:link w:val="894"/>
    <w:autoRedefine/>
    <w:qFormat/>
    <w:uiPriority w:val="99"/>
    <w:pPr>
      <w:tabs>
        <w:tab w:val="center" w:pos="4153"/>
        <w:tab w:val="right" w:pos="8306"/>
      </w:tabs>
      <w:snapToGrid w:val="0"/>
      <w:jc w:val="left"/>
    </w:pPr>
    <w:rPr>
      <w:sz w:val="18"/>
      <w:szCs w:val="18"/>
    </w:rPr>
  </w:style>
  <w:style w:type="paragraph" w:customStyle="1" w:styleId="896">
    <w:name w:val="Normal_1"/>
    <w:autoRedefine/>
    <w:qFormat/>
    <w:uiPriority w:val="0"/>
    <w:pPr>
      <w:widowControl w:val="0"/>
      <w:jc w:val="both"/>
    </w:pPr>
    <w:rPr>
      <w:rFonts w:ascii="Times New Roman" w:hAnsi="Times New Roman" w:eastAsia="宋体" w:cs="Times New Roman"/>
      <w:lang w:val="en-US" w:eastAsia="zh-CN" w:bidi="ar-SA"/>
    </w:rPr>
  </w:style>
  <w:style w:type="character" w:customStyle="1" w:styleId="897">
    <w:name w:val="正文文本首行缩进 2 字符1"/>
    <w:autoRedefine/>
    <w:qFormat/>
    <w:uiPriority w:val="0"/>
  </w:style>
  <w:style w:type="character" w:customStyle="1" w:styleId="898">
    <w:name w:val="注释标题 字符1"/>
    <w:autoRedefine/>
    <w:qFormat/>
    <w:uiPriority w:val="0"/>
  </w:style>
  <w:style w:type="character" w:customStyle="1" w:styleId="899">
    <w:name w:val="z-窗体底端 字符2"/>
    <w:link w:val="900"/>
    <w:autoRedefine/>
    <w:qFormat/>
    <w:uiPriority w:val="0"/>
    <w:rPr>
      <w:rFonts w:ascii="Arial" w:hAnsi="Arial" w:cs="Arial"/>
      <w:vanish/>
      <w:sz w:val="16"/>
      <w:szCs w:val="16"/>
    </w:rPr>
  </w:style>
  <w:style w:type="paragraph" w:customStyle="1" w:styleId="900">
    <w:name w:val="z-窗体底端1"/>
    <w:basedOn w:val="1"/>
    <w:next w:val="1"/>
    <w:link w:val="899"/>
    <w:autoRedefine/>
    <w:qFormat/>
    <w:uiPriority w:val="0"/>
    <w:pPr>
      <w:widowControl/>
      <w:pBdr>
        <w:top w:val="single" w:color="auto" w:sz="6" w:space="1"/>
      </w:pBdr>
      <w:jc w:val="center"/>
    </w:pPr>
    <w:rPr>
      <w:rFonts w:ascii="Arial" w:hAnsi="Arial" w:cs="Arial"/>
      <w:vanish/>
      <w:kern w:val="0"/>
      <w:sz w:val="16"/>
      <w:szCs w:val="16"/>
    </w:rPr>
  </w:style>
  <w:style w:type="character" w:customStyle="1" w:styleId="901">
    <w:name w:val="z-窗体底端 字符1"/>
    <w:autoRedefine/>
    <w:qFormat/>
    <w:uiPriority w:val="0"/>
    <w:rPr>
      <w:rFonts w:ascii="Arial" w:hAnsi="Arial" w:cs="Arial"/>
      <w:vanish/>
      <w:sz w:val="16"/>
      <w:szCs w:val="16"/>
    </w:rPr>
  </w:style>
  <w:style w:type="character" w:customStyle="1" w:styleId="902">
    <w:name w:val="Char Char21"/>
    <w:autoRedefine/>
    <w:qFormat/>
    <w:uiPriority w:val="99"/>
    <w:rPr>
      <w:rFonts w:eastAsia="宋体"/>
      <w:kern w:val="2"/>
      <w:sz w:val="21"/>
      <w:szCs w:val="24"/>
      <w:lang w:val="en-US" w:eastAsia="zh-CN" w:bidi="ar-SA"/>
    </w:rPr>
  </w:style>
  <w:style w:type="character" w:customStyle="1" w:styleId="903">
    <w:name w:val="Blockquote Char Char"/>
    <w:link w:val="904"/>
    <w:autoRedefine/>
    <w:qFormat/>
    <w:uiPriority w:val="0"/>
    <w:rPr>
      <w:kern w:val="2"/>
      <w:sz w:val="24"/>
      <w:szCs w:val="24"/>
    </w:rPr>
  </w:style>
  <w:style w:type="paragraph" w:customStyle="1" w:styleId="904">
    <w:name w:val="Blockquote Char"/>
    <w:basedOn w:val="1"/>
    <w:link w:val="903"/>
    <w:autoRedefine/>
    <w:qFormat/>
    <w:uiPriority w:val="0"/>
    <w:pPr>
      <w:autoSpaceDE w:val="0"/>
      <w:autoSpaceDN w:val="0"/>
      <w:adjustRightInd w:val="0"/>
      <w:spacing w:before="100" w:after="100"/>
      <w:ind w:left="360" w:right="360"/>
      <w:jc w:val="left"/>
    </w:pPr>
    <w:rPr>
      <w:sz w:val="24"/>
    </w:rPr>
  </w:style>
  <w:style w:type="paragraph" w:customStyle="1" w:styleId="905">
    <w:name w:val="xl76"/>
    <w:basedOn w:val="1"/>
    <w:autoRedefine/>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906">
    <w:name w:val="表格2"/>
    <w:basedOn w:val="1"/>
    <w:autoRedefine/>
    <w:qFormat/>
    <w:uiPriority w:val="0"/>
    <w:pPr>
      <w:adjustRightInd w:val="0"/>
      <w:spacing w:before="60" w:after="60"/>
      <w:jc w:val="center"/>
    </w:pPr>
    <w:rPr>
      <w:rFonts w:ascii="宋体"/>
      <w:color w:val="000000"/>
      <w:kern w:val="0"/>
      <w:sz w:val="24"/>
      <w:szCs w:val="20"/>
    </w:rPr>
  </w:style>
  <w:style w:type="paragraph" w:customStyle="1" w:styleId="907">
    <w:name w:val="xl79"/>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908">
    <w:name w:val="xl84"/>
    <w:basedOn w:val="1"/>
    <w:autoRedefine/>
    <w:qFormat/>
    <w:uiPriority w:val="0"/>
    <w:pPr>
      <w:widowControl/>
      <w:shd w:val="clear" w:color="FFFFFF" w:fill="FFFFFF"/>
      <w:spacing w:before="100" w:beforeAutospacing="1" w:after="100" w:afterAutospacing="1"/>
      <w:jc w:val="left"/>
      <w:textAlignment w:val="center"/>
    </w:pPr>
    <w:rPr>
      <w:rFonts w:ascii="黑体" w:hAnsi="黑体" w:eastAsia="黑体" w:cs="宋体"/>
      <w:kern w:val="0"/>
      <w:sz w:val="20"/>
      <w:szCs w:val="20"/>
    </w:rPr>
  </w:style>
  <w:style w:type="paragraph" w:customStyle="1" w:styleId="909">
    <w:name w:val="xl72"/>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910">
    <w:name w:val="xl80"/>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911">
    <w:name w:val="xl74"/>
    <w:basedOn w:val="1"/>
    <w:autoRedefine/>
    <w:qFormat/>
    <w:uiPriority w:val="0"/>
    <w:pPr>
      <w:widowControl/>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912">
    <w:name w:val="xl75"/>
    <w:basedOn w:val="1"/>
    <w:autoRedefine/>
    <w:qFormat/>
    <w:uiPriority w:val="0"/>
    <w:pPr>
      <w:widowControl/>
      <w:shd w:val="clear" w:color="FFFFFF" w:fill="FFFFFF"/>
      <w:spacing w:before="100" w:beforeAutospacing="1" w:after="100" w:afterAutospacing="1"/>
      <w:jc w:val="center"/>
      <w:textAlignment w:val="center"/>
    </w:pPr>
    <w:rPr>
      <w:rFonts w:ascii="黑体" w:hAnsi="黑体" w:eastAsia="黑体" w:cs="宋体"/>
      <w:kern w:val="0"/>
      <w:sz w:val="32"/>
      <w:szCs w:val="32"/>
    </w:rPr>
  </w:style>
  <w:style w:type="paragraph" w:customStyle="1" w:styleId="913">
    <w:name w:val="xl73"/>
    <w:basedOn w:val="1"/>
    <w:autoRedefine/>
    <w:qFormat/>
    <w:uiPriority w:val="0"/>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914">
    <w:name w:val="xl83"/>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915">
    <w:name w:val="Char Char121"/>
    <w:basedOn w:val="1"/>
    <w:autoRedefine/>
    <w:qFormat/>
    <w:uiPriority w:val="0"/>
    <w:rPr>
      <w:rFonts w:ascii="Tahoma" w:hAnsi="Tahoma"/>
      <w:sz w:val="24"/>
      <w:szCs w:val="20"/>
    </w:rPr>
  </w:style>
  <w:style w:type="paragraph" w:customStyle="1" w:styleId="916">
    <w:name w:val="xl70"/>
    <w:basedOn w:val="1"/>
    <w:link w:val="917"/>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4"/>
    </w:rPr>
  </w:style>
  <w:style w:type="character" w:customStyle="1" w:styleId="917">
    <w:name w:val="xl70 Char"/>
    <w:link w:val="916"/>
    <w:autoRedefine/>
    <w:qFormat/>
    <w:uiPriority w:val="0"/>
    <w:rPr>
      <w:rFonts w:ascii="宋体" w:hAnsi="宋体" w:cs="宋体"/>
      <w:sz w:val="24"/>
      <w:szCs w:val="24"/>
      <w:shd w:val="clear" w:color="FFFFFF" w:fill="FFFFFF"/>
    </w:rPr>
  </w:style>
  <w:style w:type="paragraph" w:customStyle="1" w:styleId="918">
    <w:name w:val="xl6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919">
    <w:name w:val="_Style 44"/>
    <w:basedOn w:val="1"/>
    <w:next w:val="1"/>
    <w:autoRedefine/>
    <w:qFormat/>
    <w:uiPriority w:val="0"/>
    <w:pPr>
      <w:widowControl/>
      <w:pBdr>
        <w:top w:val="single" w:color="auto" w:sz="6" w:space="1"/>
      </w:pBdr>
      <w:jc w:val="center"/>
    </w:pPr>
    <w:rPr>
      <w:rFonts w:ascii="Arial" w:hAnsi="Arial" w:cs="Arial"/>
      <w:vanish/>
      <w:kern w:val="0"/>
      <w:sz w:val="16"/>
      <w:szCs w:val="16"/>
    </w:rPr>
  </w:style>
  <w:style w:type="paragraph" w:customStyle="1" w:styleId="920">
    <w:name w:val="xl67"/>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921">
    <w:name w:val="xl6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922">
    <w:name w:val="xl77"/>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923">
    <w:name w:val="xl81"/>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924">
    <w:name w:val="xl78"/>
    <w:basedOn w:val="1"/>
    <w:autoRedefine/>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925">
    <w:name w:val="xl71"/>
    <w:basedOn w:val="1"/>
    <w:link w:val="926"/>
    <w:autoRedefine/>
    <w:qFormat/>
    <w:uiPriority w:val="0"/>
    <w:pPr>
      <w:widowControl/>
      <w:shd w:val="clear" w:color="FFFFFF" w:fill="FFFFFF"/>
      <w:spacing w:before="100" w:beforeAutospacing="1" w:after="100" w:afterAutospacing="1"/>
      <w:jc w:val="left"/>
      <w:textAlignment w:val="center"/>
    </w:pPr>
    <w:rPr>
      <w:rFonts w:ascii="宋体" w:hAnsi="宋体" w:cs="宋体"/>
      <w:kern w:val="0"/>
      <w:sz w:val="24"/>
    </w:rPr>
  </w:style>
  <w:style w:type="character" w:customStyle="1" w:styleId="926">
    <w:name w:val="xl71 Char Char"/>
    <w:link w:val="925"/>
    <w:autoRedefine/>
    <w:qFormat/>
    <w:locked/>
    <w:uiPriority w:val="0"/>
    <w:rPr>
      <w:rFonts w:ascii="宋体" w:hAnsi="宋体" w:cs="宋体"/>
      <w:sz w:val="24"/>
      <w:szCs w:val="24"/>
      <w:shd w:val="clear" w:color="FFFFFF" w:fill="FFFFFF"/>
    </w:rPr>
  </w:style>
  <w:style w:type="paragraph" w:customStyle="1" w:styleId="927">
    <w:name w:val="列表段落11"/>
    <w:basedOn w:val="1"/>
    <w:autoRedefine/>
    <w:qFormat/>
    <w:uiPriority w:val="34"/>
    <w:pPr>
      <w:ind w:firstLine="420" w:firstLineChars="200"/>
    </w:pPr>
    <w:rPr>
      <w:rFonts w:ascii="Calibri" w:hAnsi="Calibri"/>
      <w:szCs w:val="22"/>
    </w:rPr>
  </w:style>
  <w:style w:type="paragraph" w:customStyle="1" w:styleId="928">
    <w:name w:val="xl82"/>
    <w:basedOn w:val="1"/>
    <w:autoRedefine/>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929">
    <w:name w:val="_Style 291"/>
    <w:basedOn w:val="33"/>
    <w:next w:val="82"/>
    <w:link w:val="930"/>
    <w:autoRedefine/>
    <w:qFormat/>
    <w:uiPriority w:val="0"/>
    <w:pPr>
      <w:spacing w:after="120" w:line="240" w:lineRule="auto"/>
      <w:ind w:left="420" w:leftChars="200" w:firstLine="420" w:firstLineChars="200"/>
    </w:pPr>
    <w:rPr>
      <w:sz w:val="21"/>
    </w:rPr>
  </w:style>
  <w:style w:type="character" w:customStyle="1" w:styleId="930">
    <w:name w:val="正文首行缩进 2 字符"/>
    <w:link w:val="929"/>
    <w:autoRedefine/>
    <w:qFormat/>
    <w:uiPriority w:val="0"/>
    <w:rPr>
      <w:kern w:val="2"/>
      <w:sz w:val="21"/>
      <w:szCs w:val="24"/>
    </w:rPr>
  </w:style>
  <w:style w:type="paragraph" w:customStyle="1" w:styleId="931">
    <w:name w:val="样式 小四 行距: 1.5 倍行距"/>
    <w:basedOn w:val="1"/>
    <w:autoRedefine/>
    <w:qFormat/>
    <w:uiPriority w:val="0"/>
    <w:pPr>
      <w:ind w:firstLine="480"/>
    </w:pPr>
    <w:rPr>
      <w:rFonts w:cs="宋体"/>
      <w:szCs w:val="20"/>
    </w:rPr>
  </w:style>
  <w:style w:type="paragraph" w:customStyle="1" w:styleId="932">
    <w:name w:val="修订5"/>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933">
    <w:name w:val="日期 Char"/>
    <w:autoRedefine/>
    <w:qFormat/>
    <w:uiPriority w:val="0"/>
    <w:rPr>
      <w:rFonts w:ascii="仿宋_GB2312" w:hAnsi="宋体" w:eastAsia="仿宋_GB2312" w:cs="Times New Roman"/>
      <w:color w:val="000000"/>
      <w:sz w:val="24"/>
      <w:szCs w:val="24"/>
    </w:rPr>
  </w:style>
  <w:style w:type="character" w:customStyle="1" w:styleId="934">
    <w:name w:val="纯文本 Char"/>
    <w:autoRedefine/>
    <w:qFormat/>
    <w:uiPriority w:val="99"/>
    <w:rPr>
      <w:rFonts w:ascii="宋体" w:hAnsi="Courier New" w:eastAsia="宋体" w:cs="Courier New"/>
      <w:szCs w:val="21"/>
    </w:rPr>
  </w:style>
  <w:style w:type="character" w:customStyle="1" w:styleId="935">
    <w:name w:val="标题 1 Char"/>
    <w:autoRedefine/>
    <w:qFormat/>
    <w:uiPriority w:val="99"/>
    <w:rPr>
      <w:rFonts w:ascii="宋体" w:hAnsi="Times New Roman" w:eastAsia="宋体" w:cs="Times New Roman"/>
      <w:b/>
      <w:kern w:val="44"/>
      <w:sz w:val="32"/>
      <w:szCs w:val="20"/>
    </w:rPr>
  </w:style>
  <w:style w:type="character" w:customStyle="1" w:styleId="936">
    <w:name w:val="正文文本 3 Char"/>
    <w:autoRedefine/>
    <w:qFormat/>
    <w:uiPriority w:val="99"/>
    <w:rPr>
      <w:rFonts w:ascii="宋体" w:hAnsi="宋体" w:eastAsia="宋体" w:cs="Times New Roman"/>
      <w:b/>
      <w:sz w:val="24"/>
      <w:szCs w:val="24"/>
    </w:rPr>
  </w:style>
  <w:style w:type="character" w:customStyle="1" w:styleId="937">
    <w:name w:val="正文文本 Char"/>
    <w:autoRedefine/>
    <w:qFormat/>
    <w:uiPriority w:val="99"/>
    <w:rPr>
      <w:rFonts w:ascii="宋体" w:hAnsi="宋体" w:eastAsia="宋体" w:cs="Times New Roman"/>
      <w:sz w:val="24"/>
      <w:szCs w:val="24"/>
    </w:rPr>
  </w:style>
  <w:style w:type="character" w:customStyle="1" w:styleId="938">
    <w:name w:val="页脚 Char1"/>
    <w:autoRedefine/>
    <w:qFormat/>
    <w:uiPriority w:val="99"/>
    <w:rPr>
      <w:rFonts w:ascii="Times New Roman" w:hAnsi="Times New Roman" w:eastAsia="宋体" w:cs="Times New Roman"/>
      <w:kern w:val="2"/>
      <w:sz w:val="18"/>
      <w:szCs w:val="18"/>
    </w:rPr>
  </w:style>
  <w:style w:type="character" w:customStyle="1" w:styleId="939">
    <w:name w:val="标题 8 Char"/>
    <w:autoRedefine/>
    <w:qFormat/>
    <w:uiPriority w:val="99"/>
    <w:rPr>
      <w:rFonts w:ascii="Arial" w:hAnsi="Arial" w:eastAsia="黑体" w:cs="Times New Roman"/>
      <w:sz w:val="24"/>
    </w:rPr>
  </w:style>
  <w:style w:type="character" w:customStyle="1" w:styleId="940">
    <w:name w:val="标题 3 Char1"/>
    <w:autoRedefine/>
    <w:qFormat/>
    <w:uiPriority w:val="0"/>
    <w:rPr>
      <w:rFonts w:ascii="黑体" w:hAnsi="Calibri" w:eastAsia="黑体" w:cs="Times New Roman"/>
      <w:sz w:val="28"/>
      <w:szCs w:val="24"/>
      <w:lang w:val="en-US" w:eastAsia="zh-CN" w:bidi="ar-SA"/>
    </w:rPr>
  </w:style>
  <w:style w:type="character" w:customStyle="1" w:styleId="941">
    <w:name w:val="标题 5 Char"/>
    <w:autoRedefine/>
    <w:qFormat/>
    <w:uiPriority w:val="99"/>
    <w:rPr>
      <w:b/>
      <w:bCs/>
      <w:sz w:val="28"/>
      <w:szCs w:val="28"/>
      <w:lang w:eastAsia="ar-SA"/>
    </w:rPr>
  </w:style>
  <w:style w:type="character" w:customStyle="1" w:styleId="942">
    <w:name w:val="标题 4 Char"/>
    <w:autoRedefine/>
    <w:qFormat/>
    <w:uiPriority w:val="99"/>
    <w:rPr>
      <w:rFonts w:ascii="Arial" w:hAnsi="Arial" w:eastAsia="黑体" w:cs="Times New Roman"/>
      <w:b/>
      <w:bCs/>
      <w:sz w:val="28"/>
      <w:szCs w:val="28"/>
    </w:rPr>
  </w:style>
  <w:style w:type="character" w:customStyle="1" w:styleId="943">
    <w:name w:val="标题 6 Char"/>
    <w:autoRedefine/>
    <w:qFormat/>
    <w:uiPriority w:val="99"/>
    <w:rPr>
      <w:rFonts w:ascii="Arial" w:hAnsi="Arial" w:eastAsia="黑体" w:cs="Times New Roman"/>
      <w:b/>
      <w:bCs/>
      <w:sz w:val="24"/>
      <w:szCs w:val="24"/>
    </w:rPr>
  </w:style>
  <w:style w:type="character" w:customStyle="1" w:styleId="944">
    <w:name w:val="正文文本缩进 2 Char"/>
    <w:autoRedefine/>
    <w:qFormat/>
    <w:uiPriority w:val="0"/>
    <w:rPr>
      <w:rFonts w:ascii="仿宋_GB2312" w:hAnsi="Times New Roman" w:eastAsia="仿宋_GB2312" w:cs="Times New Roman"/>
      <w:sz w:val="24"/>
      <w:szCs w:val="24"/>
    </w:rPr>
  </w:style>
  <w:style w:type="character" w:customStyle="1" w:styleId="945">
    <w:name w:val="标题 9 Char"/>
    <w:autoRedefine/>
    <w:qFormat/>
    <w:uiPriority w:val="0"/>
    <w:rPr>
      <w:rFonts w:ascii="Arial" w:hAnsi="Arial" w:eastAsia="黑体" w:cs="Times New Roman"/>
      <w:sz w:val="21"/>
    </w:rPr>
  </w:style>
  <w:style w:type="character" w:customStyle="1" w:styleId="946">
    <w:name w:val="批注框文本 Char"/>
    <w:autoRedefine/>
    <w:qFormat/>
    <w:uiPriority w:val="0"/>
    <w:rPr>
      <w:rFonts w:ascii="Times New Roman" w:hAnsi="Times New Roman" w:eastAsia="宋体" w:cs="Times New Roman"/>
      <w:sz w:val="18"/>
      <w:szCs w:val="18"/>
    </w:rPr>
  </w:style>
  <w:style w:type="character" w:customStyle="1" w:styleId="947">
    <w:name w:val="批注主题 Char"/>
    <w:autoRedefine/>
    <w:qFormat/>
    <w:uiPriority w:val="99"/>
    <w:rPr>
      <w:rFonts w:ascii="Times New Roman" w:hAnsi="Times New Roman" w:eastAsia="宋体" w:cs="Times New Roman"/>
      <w:b/>
      <w:bCs/>
      <w:szCs w:val="24"/>
    </w:rPr>
  </w:style>
  <w:style w:type="character" w:customStyle="1" w:styleId="948">
    <w:name w:val="HTML 预设格式 Char"/>
    <w:autoRedefine/>
    <w:qFormat/>
    <w:uiPriority w:val="0"/>
    <w:rPr>
      <w:rFonts w:ascii="宋体" w:hAnsi="宋体" w:eastAsia="宋体" w:cs="宋体"/>
      <w:kern w:val="0"/>
      <w:sz w:val="24"/>
      <w:szCs w:val="24"/>
    </w:rPr>
  </w:style>
  <w:style w:type="character" w:customStyle="1" w:styleId="949">
    <w:name w:val="标题 7 Char"/>
    <w:autoRedefine/>
    <w:qFormat/>
    <w:uiPriority w:val="99"/>
    <w:rPr>
      <w:rFonts w:ascii="Times New Roman" w:hAnsi="Times New Roman" w:eastAsia="宋体" w:cs="Times New Roman"/>
      <w:b/>
      <w:bCs/>
      <w:sz w:val="24"/>
      <w:szCs w:val="24"/>
    </w:rPr>
  </w:style>
  <w:style w:type="character" w:customStyle="1" w:styleId="950">
    <w:name w:val="文档结构图 Char"/>
    <w:autoRedefine/>
    <w:qFormat/>
    <w:uiPriority w:val="99"/>
    <w:rPr>
      <w:rFonts w:ascii="Times New Roman" w:hAnsi="Times New Roman" w:eastAsia="宋体" w:cs="Times New Roman"/>
      <w:szCs w:val="24"/>
      <w:shd w:val="clear" w:color="auto" w:fill="000080"/>
    </w:rPr>
  </w:style>
  <w:style w:type="character" w:customStyle="1" w:styleId="951">
    <w:name w:val="页眉 Char1"/>
    <w:autoRedefine/>
    <w:qFormat/>
    <w:uiPriority w:val="0"/>
    <w:rPr>
      <w:rFonts w:ascii="Times New Roman" w:hAnsi="Times New Roman" w:eastAsia="宋体" w:cs="Times New Roman"/>
      <w:kern w:val="2"/>
      <w:sz w:val="18"/>
      <w:szCs w:val="18"/>
    </w:rPr>
  </w:style>
  <w:style w:type="character" w:customStyle="1" w:styleId="952">
    <w:name w:val="正文文本缩进 3 Char"/>
    <w:autoRedefine/>
    <w:qFormat/>
    <w:uiPriority w:val="99"/>
    <w:rPr>
      <w:rFonts w:ascii="宋体" w:hAnsi="Times New Roman" w:eastAsia="宋体" w:cs="Times New Roman"/>
      <w:kern w:val="0"/>
      <w:sz w:val="24"/>
      <w:szCs w:val="20"/>
    </w:rPr>
  </w:style>
  <w:style w:type="paragraph" w:customStyle="1" w:styleId="953">
    <w:name w:val="修订6"/>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54">
    <w:name w:val="修订7"/>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955">
    <w:name w:val="未处理的提及4"/>
    <w:basedOn w:val="86"/>
    <w:autoRedefine/>
    <w:unhideWhenUsed/>
    <w:qFormat/>
    <w:uiPriority w:val="99"/>
    <w:rPr>
      <w:color w:val="605E5C"/>
      <w:shd w:val="clear" w:color="auto" w:fill="E1DFDD"/>
    </w:rPr>
  </w:style>
  <w:style w:type="character" w:customStyle="1" w:styleId="956">
    <w:name w:val="题注 字符2"/>
    <w:autoRedefine/>
    <w:qFormat/>
    <w:uiPriority w:val="0"/>
    <w:rPr>
      <w:rFonts w:ascii="Arial" w:hAnsi="Arial" w:eastAsia="黑体" w:cs="Arial"/>
      <w:kern w:val="2"/>
      <w:lang w:eastAsia="ar-SA"/>
    </w:rPr>
  </w:style>
  <w:style w:type="character" w:customStyle="1" w:styleId="957">
    <w:name w:val="正文文本 字符3"/>
    <w:autoRedefine/>
    <w:qFormat/>
    <w:uiPriority w:val="99"/>
    <w:rPr>
      <w:rFonts w:ascii="宋体" w:hAnsi="宋体" w:eastAsia="宋体" w:cs="Times New Roman"/>
      <w:sz w:val="24"/>
      <w:szCs w:val="24"/>
    </w:rPr>
  </w:style>
  <w:style w:type="character" w:customStyle="1" w:styleId="958">
    <w:name w:val="称呼 字符1"/>
    <w:autoRedefine/>
    <w:qFormat/>
    <w:uiPriority w:val="0"/>
    <w:rPr>
      <w:rFonts w:ascii="..ì." w:hAnsi="Calibri" w:eastAsia="..ì."/>
      <w:sz w:val="24"/>
    </w:rPr>
  </w:style>
  <w:style w:type="character" w:customStyle="1" w:styleId="959">
    <w:name w:val="页脚 字符3"/>
    <w:autoRedefine/>
    <w:qFormat/>
    <w:uiPriority w:val="99"/>
    <w:rPr>
      <w:rFonts w:ascii="Calibri" w:hAnsi="Calibri" w:eastAsia="宋体" w:cs="Times New Roman"/>
      <w:sz w:val="18"/>
      <w:szCs w:val="18"/>
    </w:rPr>
  </w:style>
  <w:style w:type="character" w:customStyle="1" w:styleId="960">
    <w:name w:val="页眉 字符3"/>
    <w:autoRedefine/>
    <w:qFormat/>
    <w:uiPriority w:val="0"/>
    <w:rPr>
      <w:rFonts w:ascii="Calibri" w:hAnsi="Calibri" w:eastAsia="宋体" w:cs="Times New Roman"/>
      <w:sz w:val="18"/>
      <w:szCs w:val="18"/>
    </w:rPr>
  </w:style>
  <w:style w:type="character" w:customStyle="1" w:styleId="961">
    <w:name w:val="签名 字符1"/>
    <w:autoRedefine/>
    <w:qFormat/>
    <w:uiPriority w:val="0"/>
  </w:style>
  <w:style w:type="character" w:customStyle="1" w:styleId="962">
    <w:name w:val="脚注文本 字符2"/>
    <w:autoRedefine/>
    <w:qFormat/>
    <w:uiPriority w:val="0"/>
    <w:rPr>
      <w:rFonts w:ascii="Times New Roman" w:hAnsi="Times New Roman" w:eastAsia="宋体" w:cs="Times New Roman"/>
      <w:sz w:val="18"/>
      <w:szCs w:val="18"/>
    </w:rPr>
  </w:style>
  <w:style w:type="character" w:customStyle="1" w:styleId="963">
    <w:name w:val="正文文本 2 字符3"/>
    <w:autoRedefine/>
    <w:qFormat/>
    <w:uiPriority w:val="99"/>
    <w:rPr>
      <w:rFonts w:ascii="Times New Roman" w:hAnsi="Times New Roman" w:eastAsia="黑体" w:cs="Times New Roman"/>
      <w:bCs/>
      <w:kern w:val="2"/>
      <w:sz w:val="72"/>
      <w:szCs w:val="24"/>
    </w:rPr>
  </w:style>
  <w:style w:type="character" w:customStyle="1" w:styleId="964">
    <w:name w:val="普通(网站) 字符1"/>
    <w:autoRedefine/>
    <w:qFormat/>
    <w:uiPriority w:val="0"/>
    <w:rPr>
      <w:kern w:val="2"/>
      <w:sz w:val="24"/>
      <w:szCs w:val="24"/>
    </w:rPr>
  </w:style>
  <w:style w:type="character" w:customStyle="1" w:styleId="965">
    <w:name w:val="正文文本首行缩进 字符3"/>
    <w:autoRedefine/>
    <w:qFormat/>
    <w:uiPriority w:val="0"/>
    <w:rPr>
      <w:rFonts w:ascii="Times New Roman" w:hAnsi="Times New Roman" w:eastAsia="宋体" w:cs="Times New Roman"/>
      <w:sz w:val="24"/>
      <w:szCs w:val="24"/>
    </w:rPr>
  </w:style>
  <w:style w:type="character" w:customStyle="1" w:styleId="966">
    <w:name w:val="Char Char64"/>
    <w:autoRedefine/>
    <w:qFormat/>
    <w:uiPriority w:val="0"/>
    <w:rPr>
      <w:rFonts w:ascii="Calibri" w:hAnsi="Calibri" w:eastAsia="宋体" w:cs="Times New Roman"/>
      <w:kern w:val="2"/>
      <w:sz w:val="21"/>
      <w:szCs w:val="24"/>
      <w:lang w:val="en-US" w:eastAsia="zh-CN" w:bidi="ar-SA"/>
    </w:rPr>
  </w:style>
  <w:style w:type="paragraph" w:customStyle="1" w:styleId="967">
    <w:name w:val="无间隔2"/>
    <w:autoRedefine/>
    <w:qFormat/>
    <w:uiPriority w:val="0"/>
    <w:rPr>
      <w:rFonts w:ascii="Times New Roman" w:hAnsi="Times New Roman" w:eastAsia="宋体" w:cs="Times New Roman"/>
      <w:sz w:val="22"/>
      <w:lang w:val="en-US" w:eastAsia="zh-CN" w:bidi="ar-SA"/>
    </w:rPr>
  </w:style>
  <w:style w:type="character" w:customStyle="1" w:styleId="968">
    <w:name w:val="Char Char17"/>
    <w:autoRedefine/>
    <w:qFormat/>
    <w:uiPriority w:val="0"/>
    <w:rPr>
      <w:rFonts w:ascii="Calibri" w:hAnsi="Calibri" w:eastAsia="宋体" w:cs="Times New Roman"/>
      <w:kern w:val="2"/>
      <w:sz w:val="24"/>
      <w:lang w:val="en-US" w:eastAsia="zh-CN" w:bidi="ar-SA"/>
    </w:rPr>
  </w:style>
  <w:style w:type="character" w:customStyle="1" w:styleId="969">
    <w:name w:val="Char Char44"/>
    <w:autoRedefine/>
    <w:qFormat/>
    <w:uiPriority w:val="0"/>
    <w:rPr>
      <w:rFonts w:ascii="华文细黑" w:hAnsi="华文细黑" w:eastAsia="华文细黑" w:cs="Arial"/>
      <w:b/>
      <w:bCs/>
      <w:color w:val="000000"/>
      <w:sz w:val="52"/>
      <w:szCs w:val="32"/>
      <w:lang w:val="en-US" w:eastAsia="zh-CN" w:bidi="ar-SA"/>
    </w:rPr>
  </w:style>
  <w:style w:type="character" w:customStyle="1" w:styleId="970">
    <w:name w:val="Char Char35"/>
    <w:autoRedefine/>
    <w:qFormat/>
    <w:uiPriority w:val="0"/>
    <w:rPr>
      <w:rFonts w:ascii="Calibri" w:hAnsi="Calibri" w:eastAsia="宋体" w:cs="Times New Roman"/>
      <w:sz w:val="24"/>
      <w:lang w:val="en-US" w:eastAsia="zh-CN" w:bidi="ar-SA"/>
    </w:rPr>
  </w:style>
  <w:style w:type="character" w:customStyle="1" w:styleId="971">
    <w:name w:val="正文6"/>
    <w:autoRedefine/>
    <w:qFormat/>
    <w:uiPriority w:val="0"/>
    <w:rPr>
      <w:rFonts w:cs="Times New Roman"/>
    </w:rPr>
  </w:style>
  <w:style w:type="character" w:customStyle="1" w:styleId="972">
    <w:name w:val="Char Char54"/>
    <w:autoRedefine/>
    <w:qFormat/>
    <w:uiPriority w:val="0"/>
    <w:rPr>
      <w:rFonts w:ascii="宋体" w:hAnsi="Calibri" w:eastAsia="宋体" w:cs="Times New Roman"/>
      <w:sz w:val="24"/>
      <w:szCs w:val="24"/>
      <w:lang w:val="en-US" w:eastAsia="zh-CN" w:bidi="ar-SA"/>
    </w:rPr>
  </w:style>
  <w:style w:type="character" w:customStyle="1" w:styleId="973">
    <w:name w:val="Char Char18"/>
    <w:autoRedefine/>
    <w:qFormat/>
    <w:uiPriority w:val="0"/>
    <w:rPr>
      <w:rFonts w:ascii="宋体" w:hAnsi="Calibri" w:eastAsia="宋体" w:cs="Times New Roman"/>
      <w:b/>
      <w:bCs/>
      <w:sz w:val="24"/>
      <w:szCs w:val="24"/>
      <w:lang w:val="en-US" w:eastAsia="zh-CN" w:bidi="ar-SA"/>
    </w:rPr>
  </w:style>
  <w:style w:type="character" w:customStyle="1" w:styleId="974">
    <w:name w:val="Char Char74"/>
    <w:autoRedefine/>
    <w:qFormat/>
    <w:uiPriority w:val="0"/>
    <w:rPr>
      <w:rFonts w:ascii="宋体" w:hAnsi="宋体" w:eastAsia="宋体" w:cs="Times New Roman"/>
      <w:b/>
      <w:sz w:val="24"/>
      <w:szCs w:val="24"/>
      <w:lang w:val="en-US" w:eastAsia="zh-CN" w:bidi="ar-SA"/>
    </w:rPr>
  </w:style>
  <w:style w:type="character" w:customStyle="1" w:styleId="975">
    <w:name w:val="标题 3 Char2"/>
    <w:autoRedefine/>
    <w:qFormat/>
    <w:uiPriority w:val="0"/>
    <w:rPr>
      <w:rFonts w:ascii="宋体" w:hAnsi="Times New Roman" w:eastAsia="宋体" w:cs="Times New Roman"/>
      <w:b/>
      <w:kern w:val="0"/>
      <w:sz w:val="24"/>
      <w:szCs w:val="20"/>
      <w:u w:val="single"/>
    </w:rPr>
  </w:style>
  <w:style w:type="character" w:customStyle="1" w:styleId="976">
    <w:name w:val="Char Char115"/>
    <w:autoRedefine/>
    <w:qFormat/>
    <w:uiPriority w:val="0"/>
    <w:rPr>
      <w:rFonts w:ascii="宋体" w:hAnsi="Calibri" w:eastAsia="宋体" w:cs="Times New Roman"/>
      <w:sz w:val="24"/>
      <w:szCs w:val="24"/>
      <w:lang w:val="en-US" w:eastAsia="zh-CN" w:bidi="ar-SA"/>
    </w:rPr>
  </w:style>
  <w:style w:type="character" w:customStyle="1" w:styleId="977">
    <w:name w:val="书籍标题4"/>
    <w:autoRedefine/>
    <w:qFormat/>
    <w:uiPriority w:val="0"/>
    <w:rPr>
      <w:rFonts w:ascii="Calibri" w:hAnsi="Calibri" w:eastAsia="宋体" w:cs="Times New Roman"/>
      <w:b/>
      <w:bCs/>
      <w:smallCaps/>
      <w:spacing w:val="5"/>
    </w:rPr>
  </w:style>
  <w:style w:type="paragraph" w:customStyle="1" w:styleId="978">
    <w:name w:val="TOC 标题5"/>
    <w:basedOn w:val="3"/>
    <w:next w:val="1"/>
    <w:autoRedefine/>
    <w:qFormat/>
    <w:uiPriority w:val="39"/>
    <w:pPr>
      <w:widowControl/>
      <w:tabs>
        <w:tab w:val="left" w:pos="432"/>
      </w:tabs>
      <w:autoSpaceDE/>
      <w:autoSpaceDN/>
      <w:adjustRightInd/>
      <w:spacing w:before="480" w:after="0" w:line="276" w:lineRule="auto"/>
      <w:jc w:val="left"/>
      <w:outlineLvl w:val="9"/>
    </w:pPr>
    <w:rPr>
      <w:rFonts w:ascii="Cambria" w:hAnsi="Cambria"/>
      <w:bCs/>
      <w:color w:val="365F91"/>
      <w:sz w:val="28"/>
      <w:szCs w:val="28"/>
    </w:rPr>
  </w:style>
  <w:style w:type="paragraph" w:customStyle="1" w:styleId="979">
    <w:name w:val="Char7"/>
    <w:basedOn w:val="1"/>
    <w:autoRedefine/>
    <w:qFormat/>
    <w:uiPriority w:val="0"/>
    <w:rPr>
      <w:rFonts w:ascii="Tahoma" w:hAnsi="Tahoma"/>
      <w:sz w:val="24"/>
      <w:szCs w:val="20"/>
    </w:rPr>
  </w:style>
  <w:style w:type="paragraph" w:customStyle="1" w:styleId="980">
    <w:name w:val="正文7"/>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81">
    <w:name w:val="列表段落2"/>
    <w:basedOn w:val="1"/>
    <w:autoRedefine/>
    <w:qFormat/>
    <w:uiPriority w:val="34"/>
    <w:pPr>
      <w:ind w:firstLine="420" w:firstLineChars="200"/>
    </w:pPr>
  </w:style>
  <w:style w:type="paragraph" w:customStyle="1" w:styleId="982">
    <w:name w:val="Char17"/>
    <w:basedOn w:val="1"/>
    <w:autoRedefine/>
    <w:qFormat/>
    <w:uiPriority w:val="0"/>
    <w:rPr>
      <w:rFonts w:ascii="Tahoma" w:hAnsi="Tahoma"/>
      <w:sz w:val="24"/>
      <w:szCs w:val="20"/>
    </w:rPr>
  </w:style>
  <w:style w:type="paragraph" w:customStyle="1" w:styleId="983">
    <w:name w:val="Char Char Char Char Char Char3"/>
    <w:basedOn w:val="1"/>
    <w:autoRedefine/>
    <w:qFormat/>
    <w:uiPriority w:val="0"/>
    <w:rPr>
      <w:rFonts w:ascii="Tahoma" w:hAnsi="Tahoma"/>
      <w:sz w:val="24"/>
      <w:szCs w:val="20"/>
    </w:rPr>
  </w:style>
  <w:style w:type="paragraph" w:customStyle="1" w:styleId="984">
    <w:name w:val="Char Char Char Char Char Char Char Char Char Char Char Char Char5"/>
    <w:basedOn w:val="1"/>
    <w:autoRedefine/>
    <w:qFormat/>
    <w:uiPriority w:val="0"/>
    <w:rPr>
      <w:rFonts w:ascii="仿宋_GB2312" w:hAnsi="Calibri" w:eastAsia="仿宋_GB2312"/>
      <w:b/>
      <w:sz w:val="32"/>
      <w:szCs w:val="32"/>
    </w:rPr>
  </w:style>
  <w:style w:type="paragraph" w:customStyle="1" w:styleId="985">
    <w:name w:val="TOC 标题6"/>
    <w:basedOn w:val="3"/>
    <w:next w:val="1"/>
    <w:autoRedefine/>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986">
    <w:name w:val="Char Char Char Char8"/>
    <w:basedOn w:val="1"/>
    <w:autoRedefine/>
    <w:qFormat/>
    <w:uiPriority w:val="0"/>
    <w:pPr>
      <w:widowControl/>
      <w:spacing w:after="160" w:line="240" w:lineRule="exact"/>
      <w:jc w:val="left"/>
    </w:pPr>
    <w:rPr>
      <w:rFonts w:ascii="Calibri" w:hAnsi="Calibri"/>
      <w:szCs w:val="20"/>
    </w:rPr>
  </w:style>
  <w:style w:type="paragraph" w:customStyle="1" w:styleId="987">
    <w:name w:val="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8">
    <w:name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9">
    <w:name w:val="未处理的提及41"/>
    <w:autoRedefine/>
    <w:unhideWhenUsed/>
    <w:qFormat/>
    <w:uiPriority w:val="99"/>
    <w:rPr>
      <w:rFonts w:ascii="Calibri" w:hAnsi="Calibri" w:eastAsia="宋体" w:cs="Times New Roman"/>
      <w:color w:val="808080"/>
      <w:shd w:val="clear" w:color="auto" w:fill="E6E6E6"/>
    </w:rPr>
  </w:style>
  <w:style w:type="paragraph" w:customStyle="1" w:styleId="990">
    <w:name w:val="7"/>
    <w:basedOn w:val="1"/>
    <w:next w:val="148"/>
    <w:autoRedefine/>
    <w:qFormat/>
    <w:uiPriority w:val="99"/>
    <w:pPr>
      <w:ind w:firstLine="420" w:firstLineChars="200"/>
    </w:pPr>
  </w:style>
  <w:style w:type="character" w:customStyle="1" w:styleId="991">
    <w:name w:val="标题 2 Char1"/>
    <w:autoRedefine/>
    <w:qFormat/>
    <w:uiPriority w:val="0"/>
    <w:rPr>
      <w:rFonts w:ascii="Arial" w:hAnsi="Arial" w:eastAsia="黑体" w:cs="Times New Roman"/>
      <w:b/>
      <w:kern w:val="0"/>
      <w:sz w:val="30"/>
      <w:szCs w:val="20"/>
    </w:rPr>
  </w:style>
  <w:style w:type="character" w:customStyle="1" w:styleId="992">
    <w:name w:val="页眉 Char2"/>
    <w:autoRedefine/>
    <w:qFormat/>
    <w:uiPriority w:val="0"/>
    <w:rPr>
      <w:rFonts w:ascii="Calibri" w:hAnsi="Calibri" w:eastAsia="宋体" w:cs="Times New Roman"/>
      <w:sz w:val="18"/>
      <w:szCs w:val="18"/>
    </w:rPr>
  </w:style>
  <w:style w:type="character" w:customStyle="1" w:styleId="993">
    <w:name w:val="题注 Char1"/>
    <w:autoRedefine/>
    <w:qFormat/>
    <w:uiPriority w:val="0"/>
    <w:rPr>
      <w:rFonts w:ascii="Arial" w:hAnsi="Arial" w:eastAsia="黑体" w:cs="Arial"/>
      <w:kern w:val="2"/>
      <w:lang w:eastAsia="ar-SA"/>
    </w:rPr>
  </w:style>
  <w:style w:type="character" w:customStyle="1" w:styleId="994">
    <w:name w:val="日期 Char2"/>
    <w:autoRedefine/>
    <w:qFormat/>
    <w:uiPriority w:val="0"/>
    <w:rPr>
      <w:rFonts w:ascii="仿宋_GB2312" w:hAnsi="宋体" w:eastAsia="仿宋_GB2312" w:cs="Times New Roman"/>
      <w:color w:val="000000"/>
      <w:sz w:val="24"/>
      <w:szCs w:val="24"/>
    </w:rPr>
  </w:style>
  <w:style w:type="character" w:customStyle="1" w:styleId="995">
    <w:name w:val="标题 Char1"/>
    <w:autoRedefine/>
    <w:qFormat/>
    <w:uiPriority w:val="0"/>
    <w:rPr>
      <w:rFonts w:ascii="Cambria" w:hAnsi="Cambria" w:eastAsia="宋体" w:cs="Times New Roman"/>
      <w:b/>
      <w:bCs/>
      <w:sz w:val="32"/>
      <w:szCs w:val="32"/>
    </w:rPr>
  </w:style>
  <w:style w:type="character" w:customStyle="1" w:styleId="996">
    <w:name w:val="正文文本 Char2"/>
    <w:autoRedefine/>
    <w:qFormat/>
    <w:uiPriority w:val="0"/>
    <w:rPr>
      <w:rFonts w:ascii="宋体" w:hAnsi="宋体" w:eastAsia="宋体" w:cs="Times New Roman"/>
      <w:sz w:val="24"/>
      <w:szCs w:val="24"/>
    </w:rPr>
  </w:style>
  <w:style w:type="character" w:customStyle="1" w:styleId="997">
    <w:name w:val="页脚 Char2"/>
    <w:autoRedefine/>
    <w:qFormat/>
    <w:uiPriority w:val="0"/>
    <w:rPr>
      <w:rFonts w:ascii="Calibri" w:hAnsi="Calibri" w:eastAsia="宋体" w:cs="Times New Roman"/>
      <w:sz w:val="18"/>
      <w:szCs w:val="18"/>
    </w:rPr>
  </w:style>
  <w:style w:type="character" w:customStyle="1" w:styleId="998">
    <w:name w:val="正文文本缩进 Char2"/>
    <w:autoRedefine/>
    <w:qFormat/>
    <w:uiPriority w:val="0"/>
    <w:rPr>
      <w:rFonts w:ascii="Times New Roman" w:hAnsi="Times New Roman" w:eastAsia="宋体" w:cs="Times New Roman"/>
      <w:sz w:val="24"/>
      <w:szCs w:val="24"/>
    </w:rPr>
  </w:style>
  <w:style w:type="character" w:customStyle="1" w:styleId="999">
    <w:name w:val="正文首行缩进 Char1"/>
    <w:autoRedefine/>
    <w:qFormat/>
    <w:uiPriority w:val="99"/>
    <w:rPr>
      <w:rFonts w:ascii="Times New Roman" w:hAnsi="Times New Roman" w:eastAsia="宋体" w:cs="Times New Roman"/>
      <w:sz w:val="24"/>
      <w:szCs w:val="24"/>
    </w:rPr>
  </w:style>
  <w:style w:type="character" w:customStyle="1" w:styleId="1000">
    <w:name w:val="脚注文本 Char1"/>
    <w:autoRedefine/>
    <w:qFormat/>
    <w:uiPriority w:val="0"/>
    <w:rPr>
      <w:rFonts w:ascii="Times New Roman" w:hAnsi="Times New Roman" w:eastAsia="宋体" w:cs="Times New Roman"/>
      <w:sz w:val="18"/>
      <w:szCs w:val="18"/>
    </w:rPr>
  </w:style>
  <w:style w:type="character" w:customStyle="1" w:styleId="1001">
    <w:name w:val="HTML 预设格式 Char1"/>
    <w:autoRedefine/>
    <w:qFormat/>
    <w:uiPriority w:val="0"/>
    <w:rPr>
      <w:rFonts w:ascii="宋体" w:hAnsi="宋体" w:eastAsia="宋体" w:cs="宋体"/>
      <w:kern w:val="0"/>
      <w:sz w:val="24"/>
      <w:szCs w:val="24"/>
    </w:rPr>
  </w:style>
  <w:style w:type="character" w:customStyle="1" w:styleId="1002">
    <w:name w:val="正文缩进 Char1"/>
    <w:autoRedefine/>
    <w:qFormat/>
    <w:uiPriority w:val="0"/>
    <w:rPr>
      <w:rFonts w:ascii="宋体" w:hAnsi="Times New Roman" w:eastAsia="宋体" w:cs="Times New Roman"/>
      <w:kern w:val="0"/>
      <w:sz w:val="24"/>
      <w:szCs w:val="20"/>
    </w:rPr>
  </w:style>
  <w:style w:type="character" w:customStyle="1" w:styleId="1003">
    <w:name w:val="正文文本缩进 2 Char2"/>
    <w:autoRedefine/>
    <w:qFormat/>
    <w:uiPriority w:val="0"/>
    <w:rPr>
      <w:rFonts w:ascii="仿宋_GB2312" w:hAnsi="Times New Roman" w:eastAsia="仿宋_GB2312" w:cs="Times New Roman"/>
      <w:sz w:val="24"/>
      <w:szCs w:val="24"/>
    </w:rPr>
  </w:style>
  <w:style w:type="character" w:customStyle="1" w:styleId="1004">
    <w:name w:val="批注文字 Char3"/>
    <w:autoRedefine/>
    <w:qFormat/>
    <w:uiPriority w:val="99"/>
    <w:rPr>
      <w:kern w:val="2"/>
      <w:sz w:val="21"/>
      <w:szCs w:val="24"/>
    </w:rPr>
  </w:style>
  <w:style w:type="character" w:customStyle="1" w:styleId="1005">
    <w:name w:val="纯文本 Char3"/>
    <w:autoRedefine/>
    <w:qFormat/>
    <w:uiPriority w:val="99"/>
    <w:rPr>
      <w:rFonts w:ascii="宋体" w:hAnsi="Courier New" w:cs="Courier New"/>
      <w:kern w:val="2"/>
      <w:sz w:val="21"/>
      <w:szCs w:val="21"/>
    </w:rPr>
  </w:style>
  <w:style w:type="character" w:customStyle="1" w:styleId="1006">
    <w:name w:val="标准文本 Char Char"/>
    <w:autoRedefine/>
    <w:qFormat/>
    <w:uiPriority w:val="0"/>
    <w:rPr>
      <w:rFonts w:cs="宋体"/>
      <w:kern w:val="2"/>
      <w:sz w:val="24"/>
    </w:rPr>
  </w:style>
  <w:style w:type="character" w:customStyle="1" w:styleId="1007">
    <w:name w:val="msoins"/>
    <w:autoRedefine/>
    <w:qFormat/>
    <w:uiPriority w:val="0"/>
  </w:style>
  <w:style w:type="character" w:customStyle="1" w:styleId="1008">
    <w:name w:val="left2"/>
    <w:autoRedefine/>
    <w:qFormat/>
    <w:uiPriority w:val="99"/>
    <w:rPr>
      <w:rFonts w:cs="Times New Roman"/>
    </w:rPr>
  </w:style>
  <w:style w:type="character" w:customStyle="1" w:styleId="1009">
    <w:name w:val="H1 Char1"/>
    <w:autoRedefine/>
    <w:qFormat/>
    <w:uiPriority w:val="0"/>
    <w:rPr>
      <w:rFonts w:cs="Times New Roman"/>
      <w:b/>
      <w:bCs/>
      <w:kern w:val="44"/>
      <w:sz w:val="44"/>
      <w:szCs w:val="44"/>
    </w:rPr>
  </w:style>
  <w:style w:type="character" w:customStyle="1" w:styleId="1010">
    <w:name w:val="标题2 Char"/>
    <w:autoRedefine/>
    <w:qFormat/>
    <w:uiPriority w:val="0"/>
    <w:rPr>
      <w:rFonts w:ascii="Arial" w:hAnsi="Arial" w:eastAsia="黑体" w:cs="Times New Roman"/>
      <w:b/>
      <w:kern w:val="0"/>
      <w:sz w:val="30"/>
      <w:szCs w:val="20"/>
    </w:rPr>
  </w:style>
  <w:style w:type="character" w:customStyle="1" w:styleId="1011">
    <w:name w:val="highlight1"/>
    <w:autoRedefine/>
    <w:qFormat/>
    <w:uiPriority w:val="0"/>
    <w:rPr>
      <w:shd w:val="clear" w:color="auto" w:fill="FFFF00"/>
    </w:rPr>
  </w:style>
  <w:style w:type="character" w:customStyle="1" w:styleId="1012">
    <w:name w:val="样式 标题 1 + 加粗 Char"/>
    <w:link w:val="1013"/>
    <w:autoRedefine/>
    <w:qFormat/>
    <w:uiPriority w:val="0"/>
    <w:rPr>
      <w:b/>
      <w:bCs/>
      <w:sz w:val="36"/>
      <w:szCs w:val="24"/>
    </w:rPr>
  </w:style>
  <w:style w:type="paragraph" w:customStyle="1" w:styleId="1013">
    <w:name w:val="样式 标题 1 + 加粗"/>
    <w:basedOn w:val="3"/>
    <w:link w:val="1012"/>
    <w:autoRedefine/>
    <w:qFormat/>
    <w:uiPriority w:val="0"/>
    <w:pPr>
      <w:keepLines w:val="0"/>
      <w:autoSpaceDE/>
      <w:autoSpaceDN/>
      <w:adjustRightInd/>
      <w:spacing w:before="0" w:after="0" w:line="240" w:lineRule="auto"/>
    </w:pPr>
    <w:rPr>
      <w:rFonts w:ascii="Times New Roman"/>
      <w:bCs/>
      <w:kern w:val="0"/>
      <w:sz w:val="36"/>
      <w:szCs w:val="24"/>
    </w:rPr>
  </w:style>
  <w:style w:type="character" w:customStyle="1" w:styleId="1014">
    <w:name w:val="样式 标题 2 + 宋体 小三 Char"/>
    <w:link w:val="1015"/>
    <w:autoRedefine/>
    <w:qFormat/>
    <w:uiPriority w:val="0"/>
    <w:rPr>
      <w:rFonts w:ascii="宋体" w:hAnsi="宋体"/>
      <w:b/>
      <w:bCs/>
      <w:sz w:val="24"/>
      <w:szCs w:val="32"/>
    </w:rPr>
  </w:style>
  <w:style w:type="paragraph" w:customStyle="1" w:styleId="1015">
    <w:name w:val="样式 标题 2 + 宋体 小三"/>
    <w:basedOn w:val="4"/>
    <w:link w:val="1014"/>
    <w:autoRedefine/>
    <w:qFormat/>
    <w:uiPriority w:val="0"/>
    <w:pPr>
      <w:autoSpaceDE/>
      <w:autoSpaceDN/>
      <w:adjustRightInd/>
      <w:spacing w:before="260" w:after="260" w:line="415" w:lineRule="auto"/>
    </w:pPr>
    <w:rPr>
      <w:rFonts w:ascii="宋体" w:hAnsi="宋体" w:eastAsia="宋体"/>
      <w:bCs/>
      <w:sz w:val="24"/>
      <w:szCs w:val="32"/>
    </w:rPr>
  </w:style>
  <w:style w:type="character" w:customStyle="1" w:styleId="1016">
    <w:name w:val="普通文字1 Char Char"/>
    <w:autoRedefine/>
    <w:qFormat/>
    <w:uiPriority w:val="0"/>
    <w:rPr>
      <w:rFonts w:ascii="宋体" w:hAnsi="Courier New" w:eastAsia="宋体"/>
      <w:kern w:val="2"/>
      <w:sz w:val="21"/>
      <w:lang w:val="en-US" w:eastAsia="zh-CN" w:bidi="ar-SA"/>
    </w:rPr>
  </w:style>
  <w:style w:type="character" w:customStyle="1" w:styleId="1017">
    <w:name w:val="normal1"/>
    <w:autoRedefine/>
    <w:qFormat/>
    <w:uiPriority w:val="0"/>
    <w:rPr>
      <w:rFonts w:hint="default" w:ascii="Tahoma" w:hAnsi="Tahoma" w:cs="Tahoma"/>
      <w:sz w:val="18"/>
      <w:szCs w:val="18"/>
    </w:rPr>
  </w:style>
  <w:style w:type="character" w:customStyle="1" w:styleId="1018">
    <w:name w:val="H1 Char"/>
    <w:autoRedefine/>
    <w:qFormat/>
    <w:uiPriority w:val="0"/>
    <w:rPr>
      <w:rFonts w:ascii="宋体" w:hAnsi="Times New Roman" w:eastAsia="宋体" w:cs="Times New Roman"/>
      <w:b/>
      <w:kern w:val="44"/>
      <w:sz w:val="32"/>
      <w:szCs w:val="20"/>
    </w:rPr>
  </w:style>
  <w:style w:type="character" w:customStyle="1" w:styleId="1019">
    <w:name w:val="尾注文本 Char1"/>
    <w:autoRedefine/>
    <w:qFormat/>
    <w:uiPriority w:val="0"/>
    <w:rPr>
      <w:kern w:val="2"/>
      <w:sz w:val="21"/>
      <w:szCs w:val="24"/>
    </w:rPr>
  </w:style>
  <w:style w:type="paragraph" w:customStyle="1" w:styleId="1020">
    <w:name w:val="样式 样式 标题 3X + 段前: 0.5 行 段后: 0.5 行"/>
    <w:basedOn w:val="1021"/>
    <w:autoRedefine/>
    <w:qFormat/>
    <w:uiPriority w:val="0"/>
    <w:rPr>
      <w:szCs w:val="20"/>
    </w:rPr>
  </w:style>
  <w:style w:type="paragraph" w:customStyle="1" w:styleId="1021">
    <w:name w:val="样式 标题 3X"/>
    <w:basedOn w:val="1"/>
    <w:next w:val="1"/>
    <w:autoRedefine/>
    <w:qFormat/>
    <w:uiPriority w:val="0"/>
    <w:pPr>
      <w:spacing w:beforeLines="50" w:afterLines="50" w:line="360" w:lineRule="auto"/>
      <w:ind w:firstLine="482" w:firstLineChars="200"/>
      <w:jc w:val="left"/>
    </w:pPr>
    <w:rPr>
      <w:rFonts w:ascii="宋体" w:hAnsi="宋体" w:cs="宋体"/>
      <w:bCs/>
      <w:color w:val="000000"/>
      <w:sz w:val="30"/>
      <w:szCs w:val="30"/>
    </w:rPr>
  </w:style>
  <w:style w:type="paragraph" w:customStyle="1" w:styleId="1022">
    <w:name w:val="样式 标题 3"/>
    <w:basedOn w:val="1"/>
    <w:next w:val="1"/>
    <w:autoRedefine/>
    <w:qFormat/>
    <w:uiPriority w:val="0"/>
    <w:pPr>
      <w:spacing w:beforeLines="100" w:afterLines="100" w:line="360" w:lineRule="auto"/>
      <w:ind w:firstLine="482" w:firstLineChars="200"/>
      <w:jc w:val="left"/>
    </w:pPr>
    <w:rPr>
      <w:rFonts w:ascii="宋体" w:hAnsi="宋体" w:cs="宋体"/>
      <w:bCs/>
      <w:color w:val="000000"/>
      <w:sz w:val="30"/>
      <w:szCs w:val="30"/>
    </w:rPr>
  </w:style>
  <w:style w:type="paragraph" w:customStyle="1" w:styleId="1023">
    <w:name w:val="样式 样式 标题 2 + 行距: 单倍行距 + 华文仿宋 加粗 行距: 固定值 18 磅"/>
    <w:basedOn w:val="5"/>
    <w:autoRedefine/>
    <w:qFormat/>
    <w:uiPriority w:val="0"/>
    <w:pPr>
      <w:widowControl/>
      <w:autoSpaceDE/>
      <w:autoSpaceDN/>
      <w:adjustRightInd/>
      <w:spacing w:before="120" w:line="360" w:lineRule="exact"/>
      <w:ind w:left="720" w:hanging="720"/>
    </w:pPr>
    <w:rPr>
      <w:rFonts w:ascii="华文仿宋" w:hAnsi="华文仿宋" w:eastAsia="华文仿宋"/>
      <w:b w:val="0"/>
      <w:bCs/>
      <w:color w:val="000000"/>
      <w:sz w:val="30"/>
      <w:szCs w:val="28"/>
      <w:u w:val="none"/>
    </w:rPr>
  </w:style>
  <w:style w:type="paragraph" w:customStyle="1" w:styleId="1024">
    <w:name w:val="样式 样式 标题 3 + 段前: 1 行 段后: 1 行"/>
    <w:basedOn w:val="1022"/>
    <w:autoRedefine/>
    <w:qFormat/>
    <w:uiPriority w:val="0"/>
    <w:rPr>
      <w:szCs w:val="20"/>
    </w:rPr>
  </w:style>
  <w:style w:type="paragraph" w:customStyle="1" w:styleId="1025">
    <w:name w:val="文章标题"/>
    <w:basedOn w:val="79"/>
    <w:next w:val="79"/>
    <w:autoRedefine/>
    <w:qFormat/>
    <w:uiPriority w:val="0"/>
    <w:pPr>
      <w:widowControl/>
      <w:tabs>
        <w:tab w:val="left" w:pos="0"/>
      </w:tabs>
      <w:spacing w:before="240" w:after="60"/>
    </w:pPr>
    <w:rPr>
      <w:rFonts w:ascii="宋体" w:hAnsi="宋体" w:cs="Arial"/>
      <w:bCs/>
      <w:kern w:val="0"/>
      <w:szCs w:val="32"/>
    </w:rPr>
  </w:style>
  <w:style w:type="paragraph" w:customStyle="1" w:styleId="1026">
    <w:name w:val="Char Char Char1 Char Char Char Char1"/>
    <w:basedOn w:val="1"/>
    <w:autoRedefine/>
    <w:qFormat/>
    <w:uiPriority w:val="0"/>
    <w:rPr>
      <w:rFonts w:ascii="Tahoma" w:hAnsi="Tahoma"/>
      <w:sz w:val="24"/>
      <w:szCs w:val="20"/>
    </w:rPr>
  </w:style>
  <w:style w:type="paragraph" w:customStyle="1" w:styleId="1027">
    <w:name w:val="样式 标题 2 + 左"/>
    <w:basedOn w:val="4"/>
    <w:autoRedefine/>
    <w:qFormat/>
    <w:uiPriority w:val="0"/>
    <w:pPr>
      <w:widowControl/>
      <w:tabs>
        <w:tab w:val="left" w:pos="498"/>
      </w:tabs>
      <w:autoSpaceDE/>
      <w:autoSpaceDN/>
      <w:adjustRightInd/>
      <w:snapToGrid w:val="0"/>
      <w:spacing w:before="260" w:beforeLines="100" w:after="260" w:afterLines="100" w:line="360" w:lineRule="auto"/>
      <w:ind w:left="200" w:leftChars="100" w:right="100" w:rightChars="100"/>
      <w:jc w:val="left"/>
    </w:pPr>
    <w:rPr>
      <w:rFonts w:ascii="宋体" w:hAnsi="宋体" w:eastAsia="宋体"/>
      <w:bCs/>
      <w:sz w:val="28"/>
      <w:szCs w:val="28"/>
    </w:rPr>
  </w:style>
  <w:style w:type="paragraph" w:customStyle="1" w:styleId="1028">
    <w:name w:val="TEXT"/>
    <w:basedOn w:val="1"/>
    <w:autoRedefine/>
    <w:qFormat/>
    <w:uiPriority w:val="0"/>
    <w:pPr>
      <w:widowControl/>
      <w:tabs>
        <w:tab w:val="left" w:pos="360"/>
      </w:tabs>
      <w:spacing w:line="360" w:lineRule="auto"/>
      <w:ind w:firstLine="480"/>
      <w:jc w:val="left"/>
    </w:pPr>
    <w:rPr>
      <w:rFonts w:ascii="Calibri" w:hAnsi="Calibri"/>
      <w:kern w:val="0"/>
      <w:sz w:val="24"/>
    </w:rPr>
  </w:style>
  <w:style w:type="paragraph" w:customStyle="1" w:styleId="1029">
    <w:name w:val="font12"/>
    <w:basedOn w:val="1"/>
    <w:autoRedefine/>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1030">
    <w:name w:val="中等深浅网格 2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31">
    <w:name w:val="中等深浅列表 2 - 着色 2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032">
    <w:name w:val="Normal (Web)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33">
    <w:name w:val="样式 标题 2 + 行距: 单倍行距"/>
    <w:basedOn w:val="4"/>
    <w:autoRedefine/>
    <w:qFormat/>
    <w:uiPriority w:val="0"/>
    <w:pPr>
      <w:widowControl/>
      <w:autoSpaceDE/>
      <w:autoSpaceDN/>
      <w:adjustRightInd/>
      <w:snapToGrid w:val="0"/>
      <w:spacing w:before="260" w:beforeLines="100" w:after="260" w:afterLines="100" w:line="240" w:lineRule="auto"/>
    </w:pPr>
    <w:rPr>
      <w:rFonts w:ascii="宋体" w:hAnsi="宋体" w:eastAsia="宋体"/>
      <w:sz w:val="28"/>
      <w:szCs w:val="28"/>
    </w:rPr>
  </w:style>
  <w:style w:type="paragraph" w:customStyle="1" w:styleId="1034">
    <w:name w:val="_Style 85"/>
    <w:basedOn w:val="1"/>
    <w:next w:val="6"/>
    <w:autoRedefine/>
    <w:qFormat/>
    <w:uiPriority w:val="0"/>
    <w:pPr>
      <w:ind w:firstLine="420" w:firstLineChars="200"/>
    </w:pPr>
    <w:rPr>
      <w:rFonts w:ascii="Calibri" w:hAnsi="Calibri"/>
      <w:szCs w:val="20"/>
    </w:rPr>
  </w:style>
  <w:style w:type="paragraph" w:customStyle="1" w:styleId="1035">
    <w:name w:val="USE 1"/>
    <w:basedOn w:val="1"/>
    <w:autoRedefine/>
    <w:qFormat/>
    <w:uiPriority w:val="0"/>
    <w:pPr>
      <w:spacing w:line="200" w:lineRule="atLeast"/>
      <w:jc w:val="left"/>
    </w:pPr>
    <w:rPr>
      <w:rFonts w:ascii="宋体" w:hAnsi="宋体"/>
      <w:b/>
      <w:sz w:val="24"/>
      <w:szCs w:val="20"/>
    </w:rPr>
  </w:style>
  <w:style w:type="paragraph" w:customStyle="1" w:styleId="1036">
    <w:name w:val="目录"/>
    <w:basedOn w:val="1"/>
    <w:autoRedefine/>
    <w:qFormat/>
    <w:uiPriority w:val="0"/>
    <w:pPr>
      <w:widowControl/>
      <w:jc w:val="center"/>
    </w:pPr>
    <w:rPr>
      <w:rFonts w:ascii="宋体" w:hAnsi="Calibri"/>
      <w:b/>
      <w:kern w:val="0"/>
      <w:sz w:val="36"/>
      <w:szCs w:val="20"/>
    </w:rPr>
  </w:style>
  <w:style w:type="paragraph" w:customStyle="1" w:styleId="1037">
    <w:name w:val="批注主题 Char Char"/>
    <w:basedOn w:val="27"/>
    <w:next w:val="27"/>
    <w:autoRedefine/>
    <w:qFormat/>
    <w:uiPriority w:val="0"/>
    <w:rPr>
      <w:rFonts w:ascii="Calibri" w:hAnsi="Calibri"/>
      <w:b/>
      <w:kern w:val="0"/>
      <w:sz w:val="20"/>
    </w:rPr>
  </w:style>
  <w:style w:type="paragraph" w:customStyle="1" w:styleId="1038">
    <w:name w:val="样式 标题 2 + 左侧:  0 厘米 首行缩进:  0 厘米"/>
    <w:basedOn w:val="1039"/>
    <w:autoRedefine/>
    <w:qFormat/>
    <w:uiPriority w:val="0"/>
    <w:pPr>
      <w:tabs>
        <w:tab w:val="left" w:pos="851"/>
      </w:tabs>
    </w:pPr>
  </w:style>
  <w:style w:type="paragraph" w:customStyle="1" w:styleId="1039">
    <w:name w:val="标题 21"/>
    <w:basedOn w:val="1"/>
    <w:next w:val="6"/>
    <w:autoRedefine/>
    <w:qFormat/>
    <w:uiPriority w:val="0"/>
    <w:pPr>
      <w:tabs>
        <w:tab w:val="left" w:pos="851"/>
      </w:tabs>
      <w:spacing w:line="360" w:lineRule="auto"/>
      <w:ind w:left="851" w:hanging="851"/>
      <w:jc w:val="left"/>
      <w:outlineLvl w:val="1"/>
    </w:pPr>
    <w:rPr>
      <w:rFonts w:ascii="宋体" w:hAnsi="宋体"/>
      <w:kern w:val="0"/>
      <w:sz w:val="24"/>
    </w:rPr>
  </w:style>
  <w:style w:type="paragraph" w:customStyle="1" w:styleId="1040">
    <w:name w:val="样式 标题 2 + 宋体 两端对齐 段前: 0 磅 行距: 1.5 倍行距"/>
    <w:basedOn w:val="4"/>
    <w:next w:val="1"/>
    <w:autoRedefine/>
    <w:qFormat/>
    <w:uiPriority w:val="0"/>
    <w:pPr>
      <w:tabs>
        <w:tab w:val="left" w:pos="-2415"/>
      </w:tabs>
      <w:spacing w:before="260" w:beforeLines="50" w:after="260" w:afterLines="50" w:line="360" w:lineRule="auto"/>
      <w:ind w:firstLine="482" w:firstLineChars="200"/>
    </w:pPr>
    <w:rPr>
      <w:rFonts w:ascii="Times New Roman" w:hAnsi="Times New Roman" w:eastAsia="宋体" w:cs="宋体"/>
      <w:bCs/>
      <w:color w:val="000000"/>
      <w:szCs w:val="30"/>
    </w:rPr>
  </w:style>
  <w:style w:type="paragraph" w:customStyle="1" w:styleId="1041">
    <w:name w:val="样式 楷体_GB2312 小四 首行缩进:  0.8 厘米 行距: 固定值 28 磅"/>
    <w:basedOn w:val="1"/>
    <w:autoRedefine/>
    <w:qFormat/>
    <w:uiPriority w:val="0"/>
    <w:pPr>
      <w:spacing w:line="360" w:lineRule="auto"/>
      <w:jc w:val="center"/>
    </w:pPr>
    <w:rPr>
      <w:rFonts w:ascii="Calibri" w:hAnsi="Calibri" w:eastAsia="仿宋_GB2312"/>
      <w:b/>
      <w:bCs/>
      <w:sz w:val="32"/>
    </w:rPr>
  </w:style>
  <w:style w:type="paragraph" w:customStyle="1" w:styleId="1042">
    <w:name w:val="中等深浅网格 1 - 着色 21"/>
    <w:basedOn w:val="1"/>
    <w:autoRedefine/>
    <w:qFormat/>
    <w:uiPriority w:val="99"/>
    <w:pPr>
      <w:ind w:firstLine="420" w:firstLineChars="200"/>
    </w:pPr>
    <w:rPr>
      <w:rFonts w:ascii="Calibri" w:hAnsi="Calibri"/>
    </w:rPr>
  </w:style>
  <w:style w:type="paragraph" w:customStyle="1" w:styleId="1043">
    <w:name w:val="2级列表"/>
    <w:basedOn w:val="1"/>
    <w:autoRedefine/>
    <w:qFormat/>
    <w:uiPriority w:val="0"/>
    <w:pPr>
      <w:spacing w:beforeLines="50"/>
    </w:pPr>
    <w:rPr>
      <w:rFonts w:ascii="Calibri" w:hAnsi="Calibri" w:eastAsia="楷体_GB2312"/>
      <w:sz w:val="24"/>
    </w:rPr>
  </w:style>
  <w:style w:type="paragraph" w:customStyle="1" w:styleId="1044">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1045">
    <w:name w:val="产品特点"/>
    <w:basedOn w:val="1"/>
    <w:autoRedefine/>
    <w:qFormat/>
    <w:uiPriority w:val="0"/>
    <w:pPr>
      <w:tabs>
        <w:tab w:val="left" w:pos="420"/>
      </w:tabs>
      <w:spacing w:line="120" w:lineRule="atLeast"/>
      <w:ind w:left="420" w:hanging="420"/>
      <w:jc w:val="left"/>
    </w:pPr>
    <w:rPr>
      <w:rFonts w:ascii="Calibri" w:hAnsi="Calibri" w:eastAsia="微软雅黑" w:cs="宋体"/>
      <w:szCs w:val="20"/>
    </w:rPr>
  </w:style>
  <w:style w:type="paragraph" w:customStyle="1" w:styleId="1046">
    <w:name w:val="样式 样式 标题 2 + 左 + 右侧:  2.49字符"/>
    <w:basedOn w:val="1027"/>
    <w:autoRedefine/>
    <w:qFormat/>
    <w:uiPriority w:val="0"/>
    <w:pPr>
      <w:ind w:left="100"/>
    </w:pPr>
  </w:style>
  <w:style w:type="paragraph" w:customStyle="1" w:styleId="1047">
    <w:name w:val="样式 样式 标题 4 + (中文) 仿宋_GB2312 段前: 24 磅 段后: 0 磅 行距: 固定值 22 磅 + 段后: ..."/>
    <w:basedOn w:val="1"/>
    <w:autoRedefine/>
    <w:qFormat/>
    <w:uiPriority w:val="0"/>
    <w:pPr>
      <w:tabs>
        <w:tab w:val="left" w:pos="720"/>
        <w:tab w:val="left" w:pos="1931"/>
      </w:tabs>
      <w:adjustRightInd w:val="0"/>
      <w:spacing w:line="312" w:lineRule="atLeast"/>
      <w:ind w:left="284" w:firstLine="567"/>
      <w:textAlignment w:val="baseline"/>
    </w:pPr>
    <w:rPr>
      <w:rFonts w:ascii="Calibri" w:hAnsi="Calibri"/>
      <w:kern w:val="0"/>
      <w:szCs w:val="20"/>
    </w:rPr>
  </w:style>
  <w:style w:type="paragraph" w:customStyle="1" w:styleId="1048">
    <w:name w:val="款"/>
    <w:basedOn w:val="1"/>
    <w:autoRedefine/>
    <w:qFormat/>
    <w:uiPriority w:val="0"/>
    <w:pPr>
      <w:autoSpaceDE w:val="0"/>
      <w:autoSpaceDN w:val="0"/>
      <w:adjustRightInd w:val="0"/>
      <w:spacing w:line="360" w:lineRule="auto"/>
      <w:ind w:left="-2" w:leftChars="-1" w:firstLine="2"/>
    </w:pPr>
    <w:rPr>
      <w:rFonts w:ascii="宋体" w:hAnsi="宋体"/>
      <w:bCs/>
      <w:szCs w:val="28"/>
    </w:rPr>
  </w:style>
  <w:style w:type="paragraph" w:customStyle="1" w:styleId="1049">
    <w:name w:val="Char1 Char Char Char Char Char Char1"/>
    <w:basedOn w:val="1"/>
    <w:autoRedefine/>
    <w:qFormat/>
    <w:uiPriority w:val="0"/>
    <w:rPr>
      <w:rFonts w:ascii="Calibri" w:hAnsi="Calibri"/>
      <w:szCs w:val="20"/>
    </w:rPr>
  </w:style>
  <w:style w:type="paragraph" w:customStyle="1" w:styleId="1050">
    <w:name w:val="p_0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51">
    <w:name w:val="标题 31"/>
    <w:basedOn w:val="536"/>
    <w:next w:val="6"/>
    <w:autoRedefine/>
    <w:qFormat/>
    <w:uiPriority w:val="0"/>
    <w:pPr>
      <w:tabs>
        <w:tab w:val="left" w:pos="851"/>
      </w:tabs>
      <w:spacing w:line="360" w:lineRule="auto"/>
      <w:ind w:left="851" w:hanging="851"/>
      <w:outlineLvl w:val="2"/>
    </w:pPr>
    <w:rPr>
      <w:rFonts w:hAnsi="Calibri"/>
      <w:kern w:val="2"/>
      <w:sz w:val="24"/>
      <w:szCs w:val="24"/>
    </w:rPr>
  </w:style>
  <w:style w:type="paragraph" w:customStyle="1" w:styleId="1052">
    <w:name w:val="样式 正文文本 + 加粗 居中 段后: 0 磅 行距: 1.5 倍行距"/>
    <w:basedOn w:val="32"/>
    <w:autoRedefine/>
    <w:qFormat/>
    <w:uiPriority w:val="0"/>
    <w:pPr>
      <w:tabs>
        <w:tab w:val="clear" w:pos="567"/>
      </w:tabs>
      <w:spacing w:before="0" w:line="360" w:lineRule="auto"/>
      <w:jc w:val="center"/>
    </w:pPr>
    <w:rPr>
      <w:rFonts w:ascii="Calibri" w:hAnsi="Calibri" w:cs="宋体"/>
      <w:bCs/>
      <w:kern w:val="0"/>
      <w:sz w:val="20"/>
      <w:szCs w:val="20"/>
    </w:rPr>
  </w:style>
  <w:style w:type="paragraph" w:customStyle="1" w:styleId="1053">
    <w:name w:val="样式 标题 1 + 两端对齐"/>
    <w:basedOn w:val="3"/>
    <w:autoRedefine/>
    <w:qFormat/>
    <w:uiPriority w:val="0"/>
    <w:pPr>
      <w:keepLines w:val="0"/>
      <w:autoSpaceDE/>
      <w:autoSpaceDN/>
      <w:adjustRightInd/>
      <w:spacing w:before="0" w:after="0" w:line="240" w:lineRule="auto"/>
      <w:jc w:val="both"/>
    </w:pPr>
    <w:rPr>
      <w:rFonts w:ascii="Calibri" w:hAnsi="Calibri" w:cs="宋体"/>
      <w:b w:val="0"/>
      <w:kern w:val="0"/>
      <w:sz w:val="44"/>
    </w:rPr>
  </w:style>
  <w:style w:type="paragraph" w:customStyle="1" w:styleId="1054">
    <w:name w:val="标题 32"/>
    <w:basedOn w:val="1"/>
    <w:next w:val="6"/>
    <w:autoRedefine/>
    <w:qFormat/>
    <w:uiPriority w:val="0"/>
    <w:pPr>
      <w:widowControl/>
      <w:spacing w:line="360" w:lineRule="auto"/>
      <w:jc w:val="left"/>
      <w:outlineLvl w:val="2"/>
    </w:pPr>
    <w:rPr>
      <w:rFonts w:ascii="Calibri" w:hAnsi="Calibri"/>
      <w:sz w:val="24"/>
    </w:rPr>
  </w:style>
  <w:style w:type="paragraph" w:customStyle="1" w:styleId="1055">
    <w:name w:val="样式 正文缩进 + 宋体 小三 加粗 居中 首行缩进:  0.85 厘米 行距: 1.5 倍行距"/>
    <w:basedOn w:val="6"/>
    <w:autoRedefine/>
    <w:qFormat/>
    <w:uiPriority w:val="0"/>
    <w:pPr>
      <w:widowControl/>
      <w:autoSpaceDE/>
      <w:autoSpaceDN/>
      <w:adjustRightInd/>
      <w:spacing w:line="360" w:lineRule="auto"/>
      <w:ind w:firstLine="480"/>
      <w:jc w:val="center"/>
    </w:pPr>
    <w:rPr>
      <w:rFonts w:hAnsi="宋体" w:cs="宋体"/>
      <w:b/>
      <w:bCs/>
      <w:kern w:val="0"/>
      <w:szCs w:val="20"/>
    </w:rPr>
  </w:style>
  <w:style w:type="paragraph" w:customStyle="1" w:styleId="1056">
    <w:name w:val="项目正文0"/>
    <w:basedOn w:val="1"/>
    <w:autoRedefine/>
    <w:qFormat/>
    <w:uiPriority w:val="0"/>
    <w:pPr>
      <w:spacing w:line="360" w:lineRule="auto"/>
      <w:ind w:firstLine="420" w:firstLineChars="200"/>
    </w:pPr>
    <w:rPr>
      <w:rFonts w:ascii="宋体" w:hAnsi="宋体"/>
      <w:szCs w:val="21"/>
    </w:rPr>
  </w:style>
  <w:style w:type="paragraph" w:customStyle="1" w:styleId="1057">
    <w:name w:val="王越的正文"/>
    <w:basedOn w:val="1"/>
    <w:autoRedefine/>
    <w:qFormat/>
    <w:uiPriority w:val="0"/>
    <w:pPr>
      <w:ind w:firstLine="480"/>
      <w:jc w:val="left"/>
    </w:pPr>
    <w:rPr>
      <w:rFonts w:ascii="宋体" w:hAnsi="宋体"/>
    </w:rPr>
  </w:style>
  <w:style w:type="paragraph" w:customStyle="1" w:styleId="1058">
    <w:name w:val="Normal1"/>
    <w:basedOn w:val="3"/>
    <w:next w:val="3"/>
    <w:autoRedefine/>
    <w:qFormat/>
    <w:uiPriority w:val="0"/>
    <w:pPr>
      <w:keepNext w:val="0"/>
      <w:keepLines w:val="0"/>
      <w:tabs>
        <w:tab w:val="left" w:pos="851"/>
        <w:tab w:val="left" w:pos="1005"/>
      </w:tabs>
      <w:autoSpaceDE/>
      <w:autoSpaceDN/>
      <w:spacing w:before="0" w:after="0" w:line="360" w:lineRule="auto"/>
      <w:ind w:left="1005" w:hanging="360"/>
      <w:jc w:val="left"/>
      <w:textAlignment w:val="baseline"/>
    </w:pPr>
    <w:rPr>
      <w:rFonts w:hAnsi="宋体"/>
      <w:kern w:val="0"/>
      <w:sz w:val="24"/>
      <w:szCs w:val="24"/>
    </w:rPr>
  </w:style>
  <w:style w:type="paragraph" w:customStyle="1" w:styleId="1059">
    <w:name w:val="样式 样式 样式 标题 3 + 段前: 1 行 段后: 1 行 + 段前: 1 行 段后: 1 行"/>
    <w:basedOn w:val="1024"/>
    <w:autoRedefine/>
    <w:qFormat/>
    <w:uiPriority w:val="0"/>
    <w:pPr>
      <w:spacing w:beforeLines="50" w:afterLines="50"/>
    </w:pPr>
  </w:style>
  <w:style w:type="paragraph" w:customStyle="1" w:styleId="1060">
    <w:name w:val="2 Char Char Char Char Char Char Char"/>
    <w:basedOn w:val="1"/>
    <w:autoRedefine/>
    <w:qFormat/>
    <w:uiPriority w:val="0"/>
    <w:rPr>
      <w:rFonts w:ascii="Tahoma" w:hAnsi="Tahoma"/>
      <w:sz w:val="24"/>
      <w:szCs w:val="20"/>
    </w:rPr>
  </w:style>
  <w:style w:type="paragraph" w:customStyle="1" w:styleId="1061">
    <w:name w:val="样式 标题 4 + 首行缩进:  0 厘米 段前: 0.5 行 段后: 0.25 行1"/>
    <w:basedOn w:val="8"/>
    <w:next w:val="1035"/>
    <w:autoRedefine/>
    <w:qFormat/>
    <w:uiPriority w:val="0"/>
    <w:pPr>
      <w:adjustRightInd/>
      <w:spacing w:beforeLines="50" w:afterLines="25" w:line="376" w:lineRule="auto"/>
      <w:textAlignment w:val="auto"/>
    </w:pPr>
    <w:rPr>
      <w:rFonts w:eastAsia="宋体" w:cs="宋体"/>
      <w:bCs/>
      <w:kern w:val="2"/>
    </w:rPr>
  </w:style>
  <w:style w:type="character" w:customStyle="1" w:styleId="1062">
    <w:name w:val="列出段落 Char2"/>
    <w:autoRedefine/>
    <w:qFormat/>
    <w:uiPriority w:val="0"/>
    <w:rPr>
      <w:rFonts w:ascii="Times New Roman" w:hAnsi="Times New Roman"/>
      <w:sz w:val="24"/>
      <w:szCs w:val="24"/>
    </w:rPr>
  </w:style>
  <w:style w:type="paragraph" w:customStyle="1" w:styleId="1063">
    <w:name w:val="TOC Heading1"/>
    <w:basedOn w:val="3"/>
    <w:next w:val="1"/>
    <w:autoRedefine/>
    <w:qFormat/>
    <w:uiPriority w:val="39"/>
    <w:pPr>
      <w:widowControl/>
      <w:tabs>
        <w:tab w:val="left" w:pos="432"/>
      </w:tabs>
      <w:autoSpaceDE/>
      <w:autoSpaceDN/>
      <w:adjustRightInd/>
      <w:spacing w:before="480" w:after="0" w:line="276" w:lineRule="auto"/>
      <w:jc w:val="left"/>
      <w:outlineLvl w:val="9"/>
    </w:pPr>
    <w:rPr>
      <w:rFonts w:ascii="Cambria" w:hAnsi="Cambria"/>
      <w:bCs/>
      <w:color w:val="365F91"/>
      <w:sz w:val="28"/>
      <w:szCs w:val="28"/>
    </w:rPr>
  </w:style>
  <w:style w:type="paragraph" w:customStyle="1" w:styleId="1064">
    <w:name w:val="p15"/>
    <w:basedOn w:val="1"/>
    <w:autoRedefine/>
    <w:qFormat/>
    <w:uiPriority w:val="0"/>
    <w:pPr>
      <w:widowControl/>
    </w:pPr>
    <w:rPr>
      <w:rFonts w:ascii="仿宋_GB2312" w:hAnsi="仿宋_GB2312" w:eastAsia="Cambria" w:cs="仿宋_GB2312"/>
      <w:kern w:val="0"/>
      <w:szCs w:val="21"/>
    </w:rPr>
  </w:style>
  <w:style w:type="paragraph" w:customStyle="1" w:styleId="1065">
    <w:name w:val="_Style 628"/>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066">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1067">
    <w:name w:val="黑列表"/>
    <w:basedOn w:val="1"/>
    <w:autoRedefine/>
    <w:qFormat/>
    <w:uiPriority w:val="0"/>
    <w:pPr>
      <w:widowControl/>
      <w:tabs>
        <w:tab w:val="left" w:pos="482"/>
        <w:tab w:val="left" w:pos="960"/>
      </w:tabs>
      <w:adjustRightInd w:val="0"/>
      <w:spacing w:line="300" w:lineRule="auto"/>
      <w:ind w:left="840" w:hanging="240"/>
      <w:jc w:val="left"/>
    </w:pPr>
    <w:rPr>
      <w:rFonts w:ascii="Calibri" w:hAnsi="Calibri"/>
      <w:kern w:val="0"/>
      <w:sz w:val="24"/>
      <w:szCs w:val="20"/>
    </w:rPr>
  </w:style>
  <w:style w:type="paragraph" w:customStyle="1" w:styleId="1068">
    <w:name w:val="页眉1"/>
    <w:basedOn w:val="1"/>
    <w:autoRedefine/>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1069">
    <w:name w:val="明显引用 Char1"/>
    <w:autoRedefine/>
    <w:qFormat/>
    <w:uiPriority w:val="99"/>
    <w:rPr>
      <w:b/>
      <w:bCs/>
      <w:i/>
      <w:iCs/>
      <w:color w:val="4F81BD"/>
      <w:kern w:val="2"/>
      <w:sz w:val="21"/>
      <w:szCs w:val="24"/>
    </w:rPr>
  </w:style>
  <w:style w:type="character" w:customStyle="1" w:styleId="1070">
    <w:name w:val="明显参考2"/>
    <w:autoRedefine/>
    <w:qFormat/>
    <w:uiPriority w:val="0"/>
    <w:rPr>
      <w:b/>
      <w:bCs/>
      <w:smallCaps/>
      <w:color w:val="C0504D"/>
      <w:spacing w:val="5"/>
      <w:u w:val="single"/>
    </w:rPr>
  </w:style>
  <w:style w:type="character" w:customStyle="1" w:styleId="1071">
    <w:name w:val="已访问的超链接1"/>
    <w:autoRedefine/>
    <w:qFormat/>
    <w:uiPriority w:val="0"/>
    <w:rPr>
      <w:color w:val="800080"/>
      <w:u w:val="single"/>
    </w:rPr>
  </w:style>
  <w:style w:type="character" w:customStyle="1" w:styleId="1072">
    <w:name w:val="引用 字符"/>
    <w:autoRedefine/>
    <w:qFormat/>
    <w:uiPriority w:val="0"/>
    <w:rPr>
      <w:i/>
      <w:iCs/>
      <w:color w:val="404040"/>
      <w:kern w:val="2"/>
      <w:sz w:val="21"/>
    </w:rPr>
  </w:style>
  <w:style w:type="character" w:customStyle="1" w:styleId="1073">
    <w:name w:val="明显引用 字符"/>
    <w:autoRedefine/>
    <w:qFormat/>
    <w:uiPriority w:val="0"/>
    <w:rPr>
      <w:i/>
      <w:iCs/>
      <w:color w:val="4472C4"/>
      <w:kern w:val="2"/>
      <w:sz w:val="21"/>
    </w:rPr>
  </w:style>
  <w:style w:type="character" w:customStyle="1" w:styleId="1074">
    <w:name w:val="不明显强调1"/>
    <w:autoRedefine/>
    <w:qFormat/>
    <w:uiPriority w:val="0"/>
    <w:rPr>
      <w:i/>
      <w:iCs/>
      <w:color w:val="808080"/>
    </w:rPr>
  </w:style>
  <w:style w:type="character" w:customStyle="1" w:styleId="1075">
    <w:name w:val="明显强调2"/>
    <w:autoRedefine/>
    <w:qFormat/>
    <w:uiPriority w:val="0"/>
    <w:rPr>
      <w:b/>
      <w:bCs/>
      <w:i/>
      <w:iCs/>
      <w:color w:val="4F81BD"/>
    </w:rPr>
  </w:style>
  <w:style w:type="character" w:customStyle="1" w:styleId="1076">
    <w:name w:val="明显引用 字符1"/>
    <w:link w:val="1077"/>
    <w:autoRedefine/>
    <w:qFormat/>
    <w:uiPriority w:val="30"/>
    <w:rPr>
      <w:b/>
      <w:bCs/>
      <w:i/>
      <w:iCs/>
      <w:color w:val="4F81BD"/>
      <w:kern w:val="2"/>
      <w:sz w:val="21"/>
      <w:szCs w:val="22"/>
    </w:rPr>
  </w:style>
  <w:style w:type="paragraph" w:styleId="1077">
    <w:name w:val="Intense Quote"/>
    <w:basedOn w:val="1"/>
    <w:next w:val="1"/>
    <w:link w:val="1076"/>
    <w:autoRedefine/>
    <w:qFormat/>
    <w:uiPriority w:val="30"/>
    <w:pPr>
      <w:widowControl/>
      <w:pBdr>
        <w:bottom w:val="single" w:color="4F81BD" w:sz="4" w:space="4"/>
      </w:pBdr>
      <w:spacing w:before="200" w:after="280"/>
      <w:ind w:left="936" w:right="936"/>
    </w:pPr>
    <w:rPr>
      <w:b/>
      <w:bCs/>
      <w:i/>
      <w:iCs/>
      <w:color w:val="4F81BD"/>
      <w:szCs w:val="22"/>
    </w:rPr>
  </w:style>
  <w:style w:type="character" w:customStyle="1" w:styleId="1078">
    <w:name w:val="明显引用 字符2"/>
    <w:basedOn w:val="86"/>
    <w:autoRedefine/>
    <w:qFormat/>
    <w:uiPriority w:val="30"/>
    <w:rPr>
      <w:i/>
      <w:iCs/>
      <w:color w:val="4F81BD" w:themeColor="accent1"/>
      <w:kern w:val="2"/>
      <w:sz w:val="21"/>
      <w:szCs w:val="24"/>
      <w14:textFill>
        <w14:solidFill>
          <w14:schemeClr w14:val="accent1"/>
        </w14:solidFill>
      </w14:textFill>
    </w:rPr>
  </w:style>
  <w:style w:type="character" w:customStyle="1" w:styleId="1079">
    <w:name w:val="Body Char"/>
    <w:autoRedefine/>
    <w:qFormat/>
    <w:uiPriority w:val="0"/>
    <w:rPr>
      <w:rFonts w:hint="default" w:ascii="Helvetica" w:hAnsi="Helvetica" w:eastAsia="宋体"/>
      <w:kern w:val="2"/>
      <w:sz w:val="21"/>
      <w:szCs w:val="24"/>
      <w:lang w:val="en-US" w:eastAsia="de-CH" w:bidi="ar-SA"/>
    </w:rPr>
  </w:style>
  <w:style w:type="character" w:customStyle="1" w:styleId="1080">
    <w:name w:val="textcontents"/>
    <w:autoRedefine/>
    <w:qFormat/>
    <w:uiPriority w:val="0"/>
    <w:rPr>
      <w:rFonts w:hint="default" w:ascii="Times New Roman" w:hAnsi="Times New Roman" w:cs="Times New Roman"/>
    </w:rPr>
  </w:style>
  <w:style w:type="character" w:customStyle="1" w:styleId="1081">
    <w:name w:val="标题4 Char Char"/>
    <w:autoRedefine/>
    <w:qFormat/>
    <w:locked/>
    <w:uiPriority w:val="0"/>
    <w:rPr>
      <w:rFonts w:ascii="Arial" w:hAnsi="Arial" w:cs="Arial"/>
      <w:b/>
      <w:bCs/>
      <w:sz w:val="24"/>
      <w:szCs w:val="32"/>
    </w:rPr>
  </w:style>
  <w:style w:type="character" w:customStyle="1" w:styleId="1082">
    <w:name w:val="引用 Char1"/>
    <w:autoRedefine/>
    <w:qFormat/>
    <w:uiPriority w:val="99"/>
    <w:rPr>
      <w:i/>
      <w:iCs/>
      <w:color w:val="000000"/>
      <w:kern w:val="2"/>
      <w:sz w:val="21"/>
      <w:szCs w:val="24"/>
    </w:rPr>
  </w:style>
  <w:style w:type="character" w:customStyle="1" w:styleId="1083">
    <w:name w:val="标题5 Char Char"/>
    <w:autoRedefine/>
    <w:qFormat/>
    <w:locked/>
    <w:uiPriority w:val="0"/>
    <w:rPr>
      <w:rFonts w:ascii="Arial" w:hAnsi="Arial" w:cs="Arial"/>
      <w:b/>
      <w:bCs/>
      <w:sz w:val="24"/>
      <w:szCs w:val="32"/>
    </w:rPr>
  </w:style>
  <w:style w:type="character" w:customStyle="1" w:styleId="1084">
    <w:name w:val="引用 字符1"/>
    <w:link w:val="1085"/>
    <w:autoRedefine/>
    <w:qFormat/>
    <w:uiPriority w:val="29"/>
    <w:rPr>
      <w:i/>
      <w:iCs/>
      <w:color w:val="000000"/>
      <w:kern w:val="2"/>
      <w:sz w:val="21"/>
      <w:szCs w:val="22"/>
    </w:rPr>
  </w:style>
  <w:style w:type="paragraph" w:styleId="1085">
    <w:name w:val="Quote"/>
    <w:basedOn w:val="1"/>
    <w:next w:val="1"/>
    <w:link w:val="1084"/>
    <w:autoRedefine/>
    <w:qFormat/>
    <w:uiPriority w:val="29"/>
    <w:pPr>
      <w:widowControl/>
    </w:pPr>
    <w:rPr>
      <w:i/>
      <w:iCs/>
      <w:color w:val="000000"/>
      <w:szCs w:val="22"/>
    </w:rPr>
  </w:style>
  <w:style w:type="character" w:customStyle="1" w:styleId="1086">
    <w:name w:val="引用 字符2"/>
    <w:basedOn w:val="86"/>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1087">
    <w:name w:val="批注文字 Char Char"/>
    <w:autoRedefine/>
    <w:qFormat/>
    <w:uiPriority w:val="0"/>
    <w:rPr>
      <w:rFonts w:hint="eastAsia" w:ascii="宋体" w:hAnsi="Times New Roman" w:eastAsia="宋体" w:cs="Times New Roman"/>
      <w:sz w:val="28"/>
      <w:szCs w:val="20"/>
    </w:rPr>
  </w:style>
  <w:style w:type="character" w:customStyle="1" w:styleId="1088">
    <w:name w:val="引用 Char2"/>
    <w:autoRedefine/>
    <w:qFormat/>
    <w:uiPriority w:val="29"/>
    <w:rPr>
      <w:i/>
      <w:iCs/>
      <w:color w:val="000000"/>
      <w:kern w:val="2"/>
      <w:sz w:val="21"/>
      <w:szCs w:val="24"/>
    </w:rPr>
  </w:style>
  <w:style w:type="character" w:customStyle="1" w:styleId="1089">
    <w:name w:val="不明显参考1"/>
    <w:autoRedefine/>
    <w:qFormat/>
    <w:uiPriority w:val="0"/>
    <w:rPr>
      <w:smallCaps/>
      <w:color w:val="C0504D"/>
      <w:u w:val="single"/>
    </w:rPr>
  </w:style>
  <w:style w:type="paragraph" w:customStyle="1" w:styleId="1090">
    <w:name w:val="_Style 694"/>
    <w:basedOn w:val="1"/>
    <w:next w:val="148"/>
    <w:autoRedefine/>
    <w:qFormat/>
    <w:uiPriority w:val="1"/>
    <w:pPr>
      <w:widowControl/>
      <w:ind w:firstLine="420" w:firstLineChars="200"/>
    </w:pPr>
    <w:rPr>
      <w:rFonts w:ascii="ˎ̥" w:hAnsi="ˎ̥" w:cs="Arial"/>
      <w:kern w:val="0"/>
      <w:sz w:val="24"/>
    </w:rPr>
  </w:style>
  <w:style w:type="character" w:customStyle="1" w:styleId="1091">
    <w:name w:val="副标题 字符2"/>
    <w:autoRedefine/>
    <w:qFormat/>
    <w:uiPriority w:val="11"/>
    <w:rPr>
      <w:rFonts w:ascii="等线 Light" w:hAnsi="等线 Light" w:eastAsia="宋体" w:cs="Times New Roman"/>
      <w:b/>
      <w:bCs/>
      <w:kern w:val="28"/>
      <w:sz w:val="32"/>
      <w:szCs w:val="32"/>
    </w:rPr>
  </w:style>
  <w:style w:type="paragraph" w:customStyle="1" w:styleId="1092">
    <w:name w:val="xl8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093">
    <w:name w:val="Char Char Char Char Char Char1 Char Char Char1 Char Char Char Char Char Char Char Char Char Char Char Char Char Char Char"/>
    <w:basedOn w:val="1"/>
    <w:autoRedefine/>
    <w:qFormat/>
    <w:uiPriority w:val="0"/>
    <w:pPr>
      <w:widowControl/>
    </w:pPr>
    <w:rPr>
      <w:rFonts w:ascii="Tahoma" w:hAnsi="Tahoma" w:cs="Arial"/>
      <w:kern w:val="0"/>
      <w:sz w:val="24"/>
    </w:rPr>
  </w:style>
  <w:style w:type="paragraph" w:customStyle="1" w:styleId="1094">
    <w:name w:val="Char Char Char Char Char Char1 Char Char Char1 Char Char Char Char Char Char"/>
    <w:basedOn w:val="1"/>
    <w:autoRedefine/>
    <w:qFormat/>
    <w:uiPriority w:val="0"/>
    <w:pPr>
      <w:widowControl/>
    </w:pPr>
    <w:rPr>
      <w:rFonts w:ascii="Tahoma" w:hAnsi="Tahoma" w:cs="Arial"/>
      <w:kern w:val="0"/>
      <w:sz w:val="24"/>
    </w:rPr>
  </w:style>
  <w:style w:type="paragraph" w:customStyle="1" w:styleId="1095">
    <w:name w:val="Char Char Char Char Char Char1 Char Char Char Char Char Char1 Char Char Char Char Char Char Char Char Char"/>
    <w:basedOn w:val="1"/>
    <w:autoRedefine/>
    <w:qFormat/>
    <w:uiPriority w:val="0"/>
    <w:pPr>
      <w:widowControl/>
    </w:pPr>
    <w:rPr>
      <w:rFonts w:ascii="Tahoma" w:hAnsi="Tahoma" w:cs="Arial"/>
      <w:kern w:val="0"/>
      <w:sz w:val="24"/>
    </w:rPr>
  </w:style>
  <w:style w:type="paragraph" w:customStyle="1" w:styleId="1096">
    <w:name w:val="Char Char Char Char Char Char12"/>
    <w:basedOn w:val="1"/>
    <w:autoRedefine/>
    <w:qFormat/>
    <w:uiPriority w:val="0"/>
    <w:pPr>
      <w:widowControl/>
    </w:pPr>
    <w:rPr>
      <w:rFonts w:ascii="Tahoma" w:hAnsi="Tahoma" w:cs="Arial"/>
      <w:kern w:val="0"/>
      <w:sz w:val="24"/>
    </w:rPr>
  </w:style>
  <w:style w:type="paragraph" w:customStyle="1" w:styleId="1097">
    <w:name w:val="Char Char Char Char Char Char1 Char Char Char Char Char Char"/>
    <w:basedOn w:val="1"/>
    <w:autoRedefine/>
    <w:qFormat/>
    <w:uiPriority w:val="0"/>
    <w:pPr>
      <w:widowControl/>
    </w:pPr>
    <w:rPr>
      <w:rFonts w:ascii="Tahoma" w:hAnsi="Tahoma" w:cs="Arial"/>
      <w:kern w:val="0"/>
      <w:sz w:val="24"/>
    </w:rPr>
  </w:style>
  <w:style w:type="paragraph" w:customStyle="1" w:styleId="1098">
    <w:name w:val="Char Char Char Char Char Char1 Char Char Char Char Char Char1 Char Char Char11"/>
    <w:basedOn w:val="1"/>
    <w:autoRedefine/>
    <w:qFormat/>
    <w:uiPriority w:val="0"/>
    <w:pPr>
      <w:widowControl/>
    </w:pPr>
    <w:rPr>
      <w:rFonts w:ascii="Tahoma" w:hAnsi="Tahoma" w:cs="Arial"/>
      <w:kern w:val="0"/>
      <w:sz w:val="24"/>
    </w:rPr>
  </w:style>
  <w:style w:type="paragraph" w:customStyle="1" w:styleId="1099">
    <w:name w:val="Char Char Char Char Char Char1 Char Char Char Char Char Char1 Char Char Char Char Char Char Char1"/>
    <w:basedOn w:val="1"/>
    <w:autoRedefine/>
    <w:qFormat/>
    <w:uiPriority w:val="0"/>
    <w:pPr>
      <w:widowControl/>
    </w:pPr>
    <w:rPr>
      <w:rFonts w:ascii="Tahoma" w:hAnsi="Tahoma" w:cs="Arial"/>
      <w:kern w:val="0"/>
      <w:sz w:val="24"/>
    </w:rPr>
  </w:style>
  <w:style w:type="paragraph" w:customStyle="1" w:styleId="1100">
    <w:name w:val="Char Char Char Char Char Char1 Char Char Char Char Char Char11"/>
    <w:basedOn w:val="1"/>
    <w:autoRedefine/>
    <w:qFormat/>
    <w:uiPriority w:val="0"/>
    <w:pPr>
      <w:widowControl/>
    </w:pPr>
    <w:rPr>
      <w:rFonts w:ascii="Tahoma" w:hAnsi="Tahoma" w:cs="Arial"/>
      <w:kern w:val="0"/>
      <w:sz w:val="24"/>
    </w:rPr>
  </w:style>
  <w:style w:type="paragraph" w:customStyle="1" w:styleId="1101">
    <w:name w:val="Char Char Char4"/>
    <w:basedOn w:val="1"/>
    <w:autoRedefine/>
    <w:qFormat/>
    <w:uiPriority w:val="0"/>
    <w:pPr>
      <w:widowControl/>
    </w:pPr>
    <w:rPr>
      <w:rFonts w:ascii="Tahoma" w:hAnsi="Tahoma" w:cs="Arial"/>
      <w:kern w:val="0"/>
      <w:sz w:val="24"/>
    </w:rPr>
  </w:style>
  <w:style w:type="paragraph" w:customStyle="1" w:styleId="1102">
    <w:name w:val="Char Char Char Char Char Char1 Char Char Char"/>
    <w:basedOn w:val="1"/>
    <w:autoRedefine/>
    <w:qFormat/>
    <w:uiPriority w:val="0"/>
    <w:pPr>
      <w:widowControl/>
    </w:pPr>
    <w:rPr>
      <w:rFonts w:ascii="Tahoma" w:hAnsi="Tahoma" w:cs="Arial"/>
      <w:kern w:val="0"/>
      <w:sz w:val="24"/>
    </w:rPr>
  </w:style>
  <w:style w:type="paragraph" w:customStyle="1" w:styleId="1103">
    <w:name w:val="flNote"/>
    <w:basedOn w:val="1"/>
    <w:autoRedefine/>
    <w:qFormat/>
    <w:uiPriority w:val="0"/>
    <w:pPr>
      <w:widowControl/>
      <w:adjustRightInd w:val="0"/>
      <w:spacing w:before="320" w:after="160" w:line="360" w:lineRule="atLeast"/>
      <w:jc w:val="center"/>
    </w:pPr>
    <w:rPr>
      <w:rFonts w:ascii="Arial" w:hAnsi="Calibri" w:eastAsia="黑体" w:cs="Arial"/>
      <w:kern w:val="0"/>
      <w:sz w:val="30"/>
    </w:rPr>
  </w:style>
  <w:style w:type="paragraph" w:customStyle="1" w:styleId="1104">
    <w:name w:val="g2"/>
    <w:basedOn w:val="1"/>
    <w:autoRedefine/>
    <w:qFormat/>
    <w:uiPriority w:val="0"/>
    <w:pPr>
      <w:widowControl/>
      <w:spacing w:before="100" w:beforeAutospacing="1" w:after="100" w:afterAutospacing="1"/>
      <w:jc w:val="left"/>
    </w:pPr>
    <w:rPr>
      <w:rFonts w:ascii="仿宋_GB2312" w:hAnsi="宋体" w:eastAsia="仿宋_GB2312" w:cs="宋体"/>
      <w:kern w:val="0"/>
      <w:sz w:val="33"/>
      <w:szCs w:val="33"/>
    </w:rPr>
  </w:style>
  <w:style w:type="paragraph" w:customStyle="1" w:styleId="1105">
    <w:name w:val="Char Char Char Char Char Char Char Char"/>
    <w:basedOn w:val="25"/>
    <w:autoRedefine/>
    <w:qFormat/>
    <w:uiPriority w:val="0"/>
    <w:pPr>
      <w:widowControl/>
    </w:pPr>
    <w:rPr>
      <w:rFonts w:ascii="Tahoma" w:hAnsi="Tahoma"/>
      <w:sz w:val="24"/>
    </w:rPr>
  </w:style>
  <w:style w:type="paragraph" w:customStyle="1" w:styleId="1106">
    <w:name w:val="空半行"/>
    <w:basedOn w:val="1"/>
    <w:autoRedefine/>
    <w:qFormat/>
    <w:uiPriority w:val="0"/>
    <w:pPr>
      <w:widowControl/>
      <w:adjustRightInd w:val="0"/>
      <w:spacing w:line="120" w:lineRule="exact"/>
    </w:pPr>
    <w:rPr>
      <w:rFonts w:ascii="Calibri" w:hAnsi="Calibri" w:eastAsia="仿宋_GB2312" w:cs="Arial"/>
      <w:color w:val="FFFFFF"/>
      <w:kern w:val="0"/>
      <w:sz w:val="30"/>
    </w:rPr>
  </w:style>
  <w:style w:type="paragraph" w:customStyle="1" w:styleId="1107">
    <w:name w:val="Char Char Char Char Char Char1 Char Char Char1 Char Char Char Char Char Char Char Char Char Char Char Char Char Char Char Char"/>
    <w:basedOn w:val="1"/>
    <w:autoRedefine/>
    <w:qFormat/>
    <w:uiPriority w:val="0"/>
    <w:pPr>
      <w:widowControl/>
    </w:pPr>
    <w:rPr>
      <w:rFonts w:ascii="Tahoma" w:hAnsi="Tahoma" w:cs="Arial"/>
      <w:kern w:val="0"/>
      <w:sz w:val="24"/>
    </w:rPr>
  </w:style>
  <w:style w:type="paragraph" w:customStyle="1" w:styleId="1108">
    <w:name w:val="_Style 107"/>
    <w:basedOn w:val="1"/>
    <w:next w:val="1"/>
    <w:autoRedefine/>
    <w:unhideWhenUsed/>
    <w:qFormat/>
    <w:uiPriority w:val="39"/>
    <w:pPr>
      <w:widowControl/>
      <w:ind w:left="3360" w:leftChars="1600"/>
    </w:pPr>
    <w:rPr>
      <w:rFonts w:ascii="Calibri" w:hAnsi="Calibri" w:cs="Arial"/>
      <w:kern w:val="0"/>
      <w:sz w:val="24"/>
      <w:szCs w:val="22"/>
    </w:rPr>
  </w:style>
  <w:style w:type="paragraph" w:customStyle="1" w:styleId="1109">
    <w:name w:val="Char23"/>
    <w:basedOn w:val="1"/>
    <w:autoRedefine/>
    <w:qFormat/>
    <w:uiPriority w:val="0"/>
    <w:pPr>
      <w:widowControl/>
      <w:tabs>
        <w:tab w:val="left" w:pos="360"/>
      </w:tabs>
      <w:ind w:left="480" w:hanging="480" w:hangingChars="200"/>
      <w:jc w:val="center"/>
    </w:pPr>
    <w:rPr>
      <w:rFonts w:ascii="仿宋_GB2312" w:hAnsi="ˎ̥" w:eastAsia="仿宋_GB2312" w:cs="Arial"/>
      <w:b/>
      <w:kern w:val="0"/>
      <w:sz w:val="24"/>
    </w:rPr>
  </w:style>
  <w:style w:type="paragraph" w:customStyle="1" w:styleId="1110">
    <w:name w:val="Char Char Char Char Char Char1 Char Char Char1 Char Char Char"/>
    <w:basedOn w:val="1"/>
    <w:autoRedefine/>
    <w:qFormat/>
    <w:uiPriority w:val="0"/>
    <w:pPr>
      <w:widowControl/>
    </w:pPr>
    <w:rPr>
      <w:rFonts w:ascii="Tahoma" w:hAnsi="Tahoma" w:cs="Arial"/>
      <w:kern w:val="0"/>
      <w:sz w:val="24"/>
    </w:rPr>
  </w:style>
  <w:style w:type="paragraph" w:customStyle="1" w:styleId="1111">
    <w:name w:val="Char Char Char Char Char Char1 Char Char Char Char Char Char Char Char Char"/>
    <w:basedOn w:val="1"/>
    <w:autoRedefine/>
    <w:qFormat/>
    <w:uiPriority w:val="0"/>
    <w:pPr>
      <w:widowControl/>
    </w:pPr>
    <w:rPr>
      <w:rFonts w:ascii="Tahoma" w:hAnsi="Tahoma" w:cs="Arial"/>
      <w:kern w:val="0"/>
      <w:sz w:val="24"/>
    </w:rPr>
  </w:style>
  <w:style w:type="paragraph" w:customStyle="1" w:styleId="1112">
    <w:name w:val="Char Char Char Char Char Char Char Char Char Char Char Char1"/>
    <w:basedOn w:val="1"/>
    <w:autoRedefine/>
    <w:qFormat/>
    <w:uiPriority w:val="0"/>
    <w:pPr>
      <w:widowControl/>
    </w:pPr>
    <w:rPr>
      <w:rFonts w:ascii="仿宋_GB2312" w:hAnsi="ˎ̥" w:eastAsia="仿宋_GB2312" w:cs="Arial"/>
      <w:b/>
      <w:kern w:val="0"/>
      <w:sz w:val="32"/>
    </w:rPr>
  </w:style>
  <w:style w:type="paragraph" w:customStyle="1" w:styleId="1113">
    <w:name w:val="Char Char Char Char Char Char1 Char Char Char1 Char Char Char Char Char Char Char Char Char Char Char Char"/>
    <w:basedOn w:val="1"/>
    <w:autoRedefine/>
    <w:qFormat/>
    <w:uiPriority w:val="0"/>
    <w:pPr>
      <w:widowControl/>
    </w:pPr>
    <w:rPr>
      <w:rFonts w:ascii="Tahoma" w:hAnsi="Tahoma" w:cs="Arial"/>
      <w:kern w:val="0"/>
      <w:sz w:val="24"/>
    </w:rPr>
  </w:style>
  <w:style w:type="paragraph" w:customStyle="1" w:styleId="1114">
    <w:name w:val="Char1 Char Char Char2"/>
    <w:basedOn w:val="1"/>
    <w:autoRedefine/>
    <w:qFormat/>
    <w:uiPriority w:val="0"/>
    <w:pPr>
      <w:widowControl/>
    </w:pPr>
    <w:rPr>
      <w:rFonts w:ascii="ˎ̥" w:hAnsi="ˎ̥" w:cs="Arial"/>
      <w:color w:val="000000"/>
      <w:kern w:val="0"/>
      <w:sz w:val="24"/>
    </w:rPr>
  </w:style>
  <w:style w:type="paragraph" w:customStyle="1" w:styleId="1115">
    <w:name w:val="Bullet"/>
    <w:basedOn w:val="1116"/>
    <w:autoRedefine/>
    <w:qFormat/>
    <w:uiPriority w:val="0"/>
    <w:pPr>
      <w:tabs>
        <w:tab w:val="left" w:pos="0"/>
        <w:tab w:val="left" w:pos="360"/>
        <w:tab w:val="left" w:pos="425"/>
        <w:tab w:val="left" w:pos="900"/>
        <w:tab w:val="left" w:pos="1418"/>
      </w:tabs>
      <w:ind w:hanging="360"/>
    </w:pPr>
  </w:style>
  <w:style w:type="paragraph" w:customStyle="1" w:styleId="1116">
    <w:name w:val="Body"/>
    <w:autoRedefine/>
    <w:qFormat/>
    <w:uiPriority w:val="0"/>
    <w:pPr>
      <w:spacing w:after="60"/>
      <w:ind w:left="567" w:right="2835"/>
    </w:pPr>
    <w:rPr>
      <w:rFonts w:ascii="Helvetica" w:hAnsi="Helvetica" w:eastAsia="宋体" w:cs="Times New Roman"/>
      <w:kern w:val="2"/>
      <w:sz w:val="21"/>
      <w:szCs w:val="24"/>
      <w:lang w:val="en-US" w:eastAsia="de-CH" w:bidi="ar-SA"/>
    </w:rPr>
  </w:style>
  <w:style w:type="paragraph" w:customStyle="1" w:styleId="1117">
    <w:name w:val="Char Char Char Char Char Char1 Char Char Char1 Char Char Char Char1"/>
    <w:basedOn w:val="1"/>
    <w:autoRedefine/>
    <w:qFormat/>
    <w:uiPriority w:val="0"/>
    <w:pPr>
      <w:widowControl/>
    </w:pPr>
    <w:rPr>
      <w:rFonts w:ascii="Tahoma" w:hAnsi="Tahoma" w:cs="Arial"/>
      <w:kern w:val="0"/>
      <w:sz w:val="24"/>
    </w:rPr>
  </w:style>
  <w:style w:type="paragraph" w:customStyle="1" w:styleId="1118">
    <w:name w:val="Char Char Char Char Char Char1 Char Char Char Char Char Char1 Char Char Char1"/>
    <w:basedOn w:val="1"/>
    <w:autoRedefine/>
    <w:qFormat/>
    <w:uiPriority w:val="0"/>
    <w:pPr>
      <w:widowControl/>
    </w:pPr>
    <w:rPr>
      <w:rFonts w:ascii="Tahoma" w:hAnsi="Tahoma" w:cs="Arial"/>
      <w:kern w:val="0"/>
      <w:sz w:val="24"/>
    </w:rPr>
  </w:style>
  <w:style w:type="character" w:customStyle="1" w:styleId="1119">
    <w:name w:val="引用 Char"/>
    <w:autoRedefine/>
    <w:qFormat/>
    <w:uiPriority w:val="0"/>
    <w:rPr>
      <w:i/>
      <w:iCs/>
      <w:color w:val="000000"/>
      <w:kern w:val="2"/>
      <w:sz w:val="21"/>
      <w:szCs w:val="22"/>
    </w:rPr>
  </w:style>
  <w:style w:type="character" w:customStyle="1" w:styleId="1120">
    <w:name w:val="明显引用 Char"/>
    <w:autoRedefine/>
    <w:qFormat/>
    <w:uiPriority w:val="0"/>
    <w:rPr>
      <w:b/>
      <w:bCs/>
      <w:i/>
      <w:iCs/>
      <w:color w:val="4F81BD"/>
      <w:kern w:val="2"/>
      <w:sz w:val="21"/>
      <w:szCs w:val="22"/>
    </w:rPr>
  </w:style>
  <w:style w:type="paragraph" w:customStyle="1" w:styleId="1121">
    <w:name w:val="378020"/>
    <w:basedOn w:val="1"/>
    <w:autoRedefine/>
    <w:qFormat/>
    <w:uiPriority w:val="0"/>
    <w:pPr>
      <w:keepNext/>
      <w:widowControl/>
      <w:spacing w:line="400" w:lineRule="atLeast"/>
    </w:pPr>
    <w:rPr>
      <w:rFonts w:ascii="ˎ̥" w:hAnsi="ˎ̥" w:cs="Arial"/>
      <w:kern w:val="0"/>
      <w:sz w:val="24"/>
    </w:rPr>
  </w:style>
  <w:style w:type="paragraph" w:customStyle="1" w:styleId="1122">
    <w:name w:val="CM13"/>
    <w:basedOn w:val="7"/>
    <w:next w:val="7"/>
    <w:autoRedefine/>
    <w:unhideWhenUsed/>
    <w:qFormat/>
    <w:uiPriority w:val="99"/>
    <w:pPr>
      <w:spacing w:line="520" w:lineRule="atLeast"/>
    </w:pPr>
    <w:rPr>
      <w:rFonts w:ascii="仿宋" w:hAnsi="仿宋" w:eastAsia="仿宋" w:cs="Times New Roman"/>
    </w:rPr>
  </w:style>
  <w:style w:type="paragraph" w:customStyle="1" w:styleId="1123">
    <w:name w:val="CM14"/>
    <w:basedOn w:val="7"/>
    <w:next w:val="7"/>
    <w:autoRedefine/>
    <w:unhideWhenUsed/>
    <w:qFormat/>
    <w:uiPriority w:val="99"/>
    <w:pPr>
      <w:spacing w:line="546" w:lineRule="atLeast"/>
    </w:pPr>
    <w:rPr>
      <w:rFonts w:ascii="仿宋" w:hAnsi="仿宋" w:eastAsia="仿宋" w:cs="Times New Roman"/>
    </w:rPr>
  </w:style>
  <w:style w:type="paragraph" w:customStyle="1" w:styleId="1124">
    <w:name w:val="CM19"/>
    <w:basedOn w:val="7"/>
    <w:next w:val="7"/>
    <w:autoRedefine/>
    <w:unhideWhenUsed/>
    <w:qFormat/>
    <w:uiPriority w:val="99"/>
    <w:rPr>
      <w:rFonts w:ascii="仿宋" w:hAnsi="仿宋" w:eastAsia="仿宋" w:cs="Times New Roman"/>
    </w:rPr>
  </w:style>
  <w:style w:type="paragraph" w:customStyle="1" w:styleId="1125">
    <w:name w:val="CM11"/>
    <w:basedOn w:val="7"/>
    <w:next w:val="7"/>
    <w:autoRedefine/>
    <w:unhideWhenUsed/>
    <w:qFormat/>
    <w:uiPriority w:val="0"/>
    <w:pPr>
      <w:spacing w:line="520" w:lineRule="atLeast"/>
    </w:pPr>
    <w:rPr>
      <w:rFonts w:ascii="仿宋" w:hAnsi="仿宋" w:eastAsia="仿宋" w:cs="Times New Roman"/>
    </w:rPr>
  </w:style>
  <w:style w:type="character" w:customStyle="1" w:styleId="1126">
    <w:name w:val="纯文本 字符4"/>
    <w:autoRedefine/>
    <w:qFormat/>
    <w:uiPriority w:val="0"/>
    <w:rPr>
      <w:rFonts w:ascii="宋体" w:hAnsi="宋体"/>
      <w:kern w:val="3"/>
      <w:sz w:val="21"/>
    </w:rPr>
  </w:style>
  <w:style w:type="paragraph" w:customStyle="1" w:styleId="1127">
    <w:name w:val="_Style 5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8">
    <w:name w:val="Char111"/>
    <w:basedOn w:val="1"/>
    <w:autoRedefine/>
    <w:qFormat/>
    <w:uiPriority w:val="0"/>
    <w:rPr>
      <w:rFonts w:ascii="Tahoma" w:hAnsi="Tahoma"/>
      <w:sz w:val="24"/>
      <w:szCs w:val="20"/>
    </w:rPr>
  </w:style>
  <w:style w:type="paragraph" w:customStyle="1" w:styleId="1129">
    <w:name w:val="Char Char Char Char11"/>
    <w:basedOn w:val="1"/>
    <w:autoRedefine/>
    <w:qFormat/>
    <w:uiPriority w:val="0"/>
    <w:pPr>
      <w:widowControl/>
      <w:spacing w:after="160" w:line="240" w:lineRule="exact"/>
      <w:jc w:val="left"/>
    </w:pPr>
    <w:rPr>
      <w:szCs w:val="20"/>
    </w:rPr>
  </w:style>
  <w:style w:type="character" w:customStyle="1" w:styleId="1130">
    <w:name w:val="表中文字 Char Char"/>
    <w:link w:val="1131"/>
    <w:autoRedefine/>
    <w:qFormat/>
    <w:uiPriority w:val="0"/>
    <w:rPr>
      <w:sz w:val="16"/>
      <w:szCs w:val="16"/>
    </w:rPr>
  </w:style>
  <w:style w:type="paragraph" w:customStyle="1" w:styleId="1131">
    <w:name w:val="表中文字"/>
    <w:basedOn w:val="1"/>
    <w:link w:val="1130"/>
    <w:autoRedefine/>
    <w:qFormat/>
    <w:uiPriority w:val="0"/>
    <w:pPr>
      <w:spacing w:line="240" w:lineRule="exact"/>
      <w:jc w:val="center"/>
    </w:pPr>
    <w:rPr>
      <w:kern w:val="0"/>
      <w:sz w:val="16"/>
      <w:szCs w:val="16"/>
    </w:rPr>
  </w:style>
  <w:style w:type="character" w:customStyle="1" w:styleId="1132">
    <w:name w:val="样式 样式 行距: 最小值 25 磅 + (符号) 宋体 Char Char"/>
    <w:link w:val="1133"/>
    <w:autoRedefine/>
    <w:qFormat/>
    <w:uiPriority w:val="0"/>
    <w:rPr>
      <w:rFonts w:cs="宋体"/>
      <w:sz w:val="28"/>
    </w:rPr>
  </w:style>
  <w:style w:type="paragraph" w:customStyle="1" w:styleId="1133">
    <w:name w:val="样式 样式 行距: 最小值 25 磅 + (符号) 宋体"/>
    <w:basedOn w:val="1"/>
    <w:link w:val="1132"/>
    <w:autoRedefine/>
    <w:qFormat/>
    <w:uiPriority w:val="0"/>
    <w:pPr>
      <w:spacing w:line="500" w:lineRule="atLeast"/>
      <w:ind w:firstLine="560" w:firstLineChars="200"/>
    </w:pPr>
    <w:rPr>
      <w:rFonts w:cs="宋体"/>
      <w:kern w:val="0"/>
      <w:sz w:val="28"/>
      <w:szCs w:val="20"/>
    </w:rPr>
  </w:style>
  <w:style w:type="character" w:customStyle="1" w:styleId="1134">
    <w:name w:val="正文(小四) Char Char"/>
    <w:link w:val="1135"/>
    <w:autoRedefine/>
    <w:qFormat/>
    <w:uiPriority w:val="0"/>
    <w:rPr>
      <w:rFonts w:ascii="Arial" w:hAnsi="Arial"/>
      <w:sz w:val="24"/>
      <w:szCs w:val="24"/>
    </w:rPr>
  </w:style>
  <w:style w:type="paragraph" w:customStyle="1" w:styleId="1135">
    <w:name w:val="正文(小四)"/>
    <w:basedOn w:val="1"/>
    <w:link w:val="1134"/>
    <w:autoRedefine/>
    <w:qFormat/>
    <w:uiPriority w:val="0"/>
    <w:pPr>
      <w:snapToGrid w:val="0"/>
      <w:spacing w:line="480" w:lineRule="exact"/>
      <w:ind w:firstLine="200" w:firstLineChars="200"/>
    </w:pPr>
    <w:rPr>
      <w:rFonts w:ascii="Arial" w:hAnsi="Arial"/>
      <w:kern w:val="0"/>
      <w:sz w:val="24"/>
    </w:rPr>
  </w:style>
  <w:style w:type="paragraph" w:customStyle="1" w:styleId="1136">
    <w:name w:val="样式 正文文本缩进 3 + 四号 行距: 最小值 25 磅"/>
    <w:basedOn w:val="67"/>
    <w:autoRedefine/>
    <w:qFormat/>
    <w:uiPriority w:val="0"/>
    <w:pPr>
      <w:autoSpaceDE/>
      <w:autoSpaceDN/>
      <w:adjustRightInd/>
      <w:spacing w:before="0" w:line="500" w:lineRule="atLeast"/>
      <w:ind w:left="0" w:firstLine="561"/>
      <w:jc w:val="both"/>
    </w:pPr>
    <w:rPr>
      <w:rFonts w:ascii="Times New Roman" w:cs="宋体"/>
      <w:kern w:val="2"/>
      <w:sz w:val="28"/>
    </w:rPr>
  </w:style>
  <w:style w:type="paragraph" w:customStyle="1" w:styleId="1137">
    <w:name w:val="TOC 标题11"/>
    <w:basedOn w:val="3"/>
    <w:next w:val="1"/>
    <w:autoRedefine/>
    <w:qFormat/>
    <w:uiPriority w:val="0"/>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138">
    <w:name w:val="样式 四号 首行缩进:  0.99 厘米 行距: 最小值 25 磅3"/>
    <w:basedOn w:val="1"/>
    <w:autoRedefine/>
    <w:qFormat/>
    <w:uiPriority w:val="0"/>
    <w:pPr>
      <w:spacing w:line="500" w:lineRule="atLeast"/>
      <w:ind w:firstLine="561"/>
    </w:pPr>
    <w:rPr>
      <w:rFonts w:cs="宋体"/>
      <w:sz w:val="28"/>
      <w:szCs w:val="20"/>
    </w:rPr>
  </w:style>
  <w:style w:type="character" w:customStyle="1" w:styleId="1139">
    <w:name w:val="不明显强调11"/>
    <w:autoRedefine/>
    <w:qFormat/>
    <w:uiPriority w:val="0"/>
    <w:rPr>
      <w:i/>
      <w:iCs/>
      <w:color w:val="808080"/>
    </w:rPr>
  </w:style>
  <w:style w:type="character" w:customStyle="1" w:styleId="1140">
    <w:name w:val="不明显参考11"/>
    <w:autoRedefine/>
    <w:qFormat/>
    <w:uiPriority w:val="0"/>
    <w:rPr>
      <w:smallCaps/>
      <w:color w:val="C0504D"/>
      <w:u w:val="single"/>
    </w:rPr>
  </w:style>
  <w:style w:type="character" w:customStyle="1" w:styleId="1141">
    <w:name w:val="icontext1"/>
    <w:autoRedefine/>
    <w:qFormat/>
    <w:uiPriority w:val="0"/>
  </w:style>
  <w:style w:type="character" w:customStyle="1" w:styleId="1142">
    <w:name w:val="icontext11"/>
    <w:autoRedefine/>
    <w:qFormat/>
    <w:uiPriority w:val="0"/>
  </w:style>
  <w:style w:type="character" w:customStyle="1" w:styleId="1143">
    <w:name w:val="icontext12"/>
    <w:autoRedefine/>
    <w:qFormat/>
    <w:uiPriority w:val="0"/>
  </w:style>
  <w:style w:type="character" w:customStyle="1" w:styleId="1144">
    <w:name w:val="active2"/>
    <w:autoRedefine/>
    <w:qFormat/>
    <w:uiPriority w:val="0"/>
    <w:rPr>
      <w:color w:val="00FF00"/>
      <w:shd w:val="clear" w:color="auto" w:fill="111111"/>
    </w:rPr>
  </w:style>
  <w:style w:type="character" w:customStyle="1" w:styleId="1145">
    <w:name w:val="estimate_gray"/>
    <w:autoRedefine/>
    <w:qFormat/>
    <w:uiPriority w:val="0"/>
  </w:style>
  <w:style w:type="character" w:customStyle="1" w:styleId="1146">
    <w:name w:val="estimate_gray1"/>
    <w:autoRedefine/>
    <w:qFormat/>
    <w:uiPriority w:val="0"/>
    <w:rPr>
      <w:color w:val="FFFFFF"/>
    </w:rPr>
  </w:style>
  <w:style w:type="character" w:customStyle="1" w:styleId="1147">
    <w:name w:val="viewscale"/>
    <w:autoRedefine/>
    <w:qFormat/>
    <w:uiPriority w:val="0"/>
    <w:rPr>
      <w:color w:val="FFFFFF"/>
      <w:sz w:val="24"/>
      <w:szCs w:val="24"/>
    </w:rPr>
  </w:style>
  <w:style w:type="character" w:customStyle="1" w:styleId="1148">
    <w:name w:val="w32"/>
    <w:autoRedefine/>
    <w:qFormat/>
    <w:uiPriority w:val="0"/>
  </w:style>
  <w:style w:type="character" w:customStyle="1" w:styleId="1149">
    <w:name w:val="cdropright"/>
    <w:autoRedefine/>
    <w:qFormat/>
    <w:uiPriority w:val="0"/>
  </w:style>
  <w:style w:type="character" w:customStyle="1" w:styleId="1150">
    <w:name w:val="drapbtn"/>
    <w:autoRedefine/>
    <w:qFormat/>
    <w:uiPriority w:val="0"/>
  </w:style>
  <w:style w:type="character" w:customStyle="1" w:styleId="1151">
    <w:name w:val="cdropleft"/>
    <w:autoRedefine/>
    <w:qFormat/>
    <w:uiPriority w:val="0"/>
  </w:style>
  <w:style w:type="character" w:customStyle="1" w:styleId="1152">
    <w:name w:val="tmpztreemove_arrow"/>
    <w:autoRedefine/>
    <w:qFormat/>
    <w:uiPriority w:val="0"/>
  </w:style>
  <w:style w:type="character" w:customStyle="1" w:styleId="1153">
    <w:name w:val="icontext2"/>
    <w:autoRedefine/>
    <w:qFormat/>
    <w:uiPriority w:val="0"/>
  </w:style>
  <w:style w:type="character" w:customStyle="1" w:styleId="1154">
    <w:name w:val="hilite"/>
    <w:autoRedefine/>
    <w:qFormat/>
    <w:uiPriority w:val="0"/>
    <w:rPr>
      <w:color w:val="FFFFFF"/>
      <w:shd w:val="clear" w:color="auto" w:fill="666666"/>
    </w:rPr>
  </w:style>
  <w:style w:type="character" w:customStyle="1" w:styleId="1155">
    <w:name w:val="layui-layer-tabnow"/>
    <w:autoRedefine/>
    <w:qFormat/>
    <w:uiPriority w:val="0"/>
    <w:rPr>
      <w:bdr w:val="single" w:color="CCCCCC" w:sz="6" w:space="0"/>
      <w:shd w:val="clear" w:color="auto" w:fill="FFFFFF"/>
    </w:rPr>
  </w:style>
  <w:style w:type="character" w:customStyle="1" w:styleId="1156">
    <w:name w:val="first-child"/>
    <w:autoRedefine/>
    <w:qFormat/>
    <w:uiPriority w:val="0"/>
  </w:style>
  <w:style w:type="character" w:customStyle="1" w:styleId="1157">
    <w:name w:val="after"/>
    <w:autoRedefine/>
    <w:qFormat/>
    <w:uiPriority w:val="0"/>
    <w:rPr>
      <w:sz w:val="16"/>
      <w:szCs w:val="0"/>
    </w:rPr>
  </w:style>
  <w:style w:type="character" w:customStyle="1" w:styleId="1158">
    <w:name w:val="liked_gray"/>
    <w:autoRedefine/>
    <w:qFormat/>
    <w:uiPriority w:val="0"/>
    <w:rPr>
      <w:color w:val="FFFFFF"/>
    </w:rPr>
  </w:style>
  <w:style w:type="character" w:customStyle="1" w:styleId="1159">
    <w:name w:val="choosename"/>
    <w:autoRedefine/>
    <w:qFormat/>
    <w:uiPriority w:val="0"/>
  </w:style>
  <w:style w:type="character" w:customStyle="1" w:styleId="1160">
    <w:name w:val="moreaction32"/>
    <w:autoRedefine/>
    <w:qFormat/>
    <w:uiPriority w:val="0"/>
  </w:style>
  <w:style w:type="character" w:customStyle="1" w:styleId="1161">
    <w:name w:val="ico1654"/>
    <w:autoRedefine/>
    <w:qFormat/>
    <w:uiPriority w:val="0"/>
  </w:style>
  <w:style w:type="character" w:customStyle="1" w:styleId="1162">
    <w:name w:val="ico1655"/>
    <w:autoRedefine/>
    <w:qFormat/>
    <w:uiPriority w:val="0"/>
  </w:style>
  <w:style w:type="character" w:customStyle="1" w:styleId="1163">
    <w:name w:val="ico1656"/>
    <w:autoRedefine/>
    <w:qFormat/>
    <w:uiPriority w:val="0"/>
  </w:style>
  <w:style w:type="character" w:customStyle="1" w:styleId="1164">
    <w:name w:val="iconline2"/>
    <w:autoRedefine/>
    <w:qFormat/>
    <w:uiPriority w:val="0"/>
  </w:style>
  <w:style w:type="character" w:customStyle="1" w:styleId="1165">
    <w:name w:val="iconline21"/>
    <w:autoRedefine/>
    <w:qFormat/>
    <w:uiPriority w:val="0"/>
  </w:style>
  <w:style w:type="character" w:customStyle="1" w:styleId="1166">
    <w:name w:val="pagechatarealistclose_box"/>
    <w:autoRedefine/>
    <w:qFormat/>
    <w:uiPriority w:val="0"/>
  </w:style>
  <w:style w:type="character" w:customStyle="1" w:styleId="1167">
    <w:name w:val="pagechatarealistclose_box1"/>
    <w:autoRedefine/>
    <w:qFormat/>
    <w:uiPriority w:val="0"/>
  </w:style>
  <w:style w:type="character" w:customStyle="1" w:styleId="1168">
    <w:name w:val="associateddata"/>
    <w:autoRedefine/>
    <w:qFormat/>
    <w:uiPriority w:val="0"/>
    <w:rPr>
      <w:shd w:val="clear" w:color="auto" w:fill="50A6F9"/>
    </w:rPr>
  </w:style>
  <w:style w:type="character" w:customStyle="1" w:styleId="1169">
    <w:name w:val="cy"/>
    <w:autoRedefine/>
    <w:qFormat/>
    <w:uiPriority w:val="0"/>
  </w:style>
  <w:style w:type="character" w:customStyle="1" w:styleId="1170">
    <w:name w:val="icontext3"/>
    <w:autoRedefine/>
    <w:qFormat/>
    <w:uiPriority w:val="0"/>
  </w:style>
  <w:style w:type="character" w:customStyle="1" w:styleId="1171">
    <w:name w:val="button4"/>
    <w:autoRedefine/>
    <w:qFormat/>
    <w:uiPriority w:val="0"/>
  </w:style>
  <w:style w:type="character" w:customStyle="1" w:styleId="1172">
    <w:name w:val="hover42"/>
    <w:autoRedefine/>
    <w:qFormat/>
    <w:uiPriority w:val="0"/>
    <w:rPr>
      <w:color w:val="FFFFFF"/>
    </w:rPr>
  </w:style>
  <w:style w:type="character" w:customStyle="1" w:styleId="1173">
    <w:name w:val="不明显强调2"/>
    <w:autoRedefine/>
    <w:qFormat/>
    <w:uiPriority w:val="0"/>
    <w:rPr>
      <w:i/>
      <w:iCs/>
      <w:color w:val="808080"/>
    </w:rPr>
  </w:style>
  <w:style w:type="character" w:customStyle="1" w:styleId="1174">
    <w:name w:val="明显参考21"/>
    <w:autoRedefine/>
    <w:qFormat/>
    <w:uiPriority w:val="0"/>
    <w:rPr>
      <w:b/>
      <w:bCs/>
      <w:smallCaps/>
      <w:color w:val="C0504D"/>
      <w:spacing w:val="5"/>
      <w:u w:val="single"/>
    </w:rPr>
  </w:style>
  <w:style w:type="character" w:customStyle="1" w:styleId="1175">
    <w:name w:val="明显强调21"/>
    <w:autoRedefine/>
    <w:qFormat/>
    <w:uiPriority w:val="0"/>
    <w:rPr>
      <w:b/>
      <w:bCs/>
      <w:i/>
      <w:iCs/>
      <w:color w:val="4F81BD"/>
    </w:rPr>
  </w:style>
  <w:style w:type="character" w:customStyle="1" w:styleId="1176">
    <w:name w:val="不明显参考2"/>
    <w:autoRedefine/>
    <w:qFormat/>
    <w:uiPriority w:val="0"/>
    <w:rPr>
      <w:smallCaps/>
      <w:color w:val="C0504D"/>
      <w:u w:val="single"/>
    </w:rPr>
  </w:style>
  <w:style w:type="paragraph" w:customStyle="1" w:styleId="1177">
    <w:name w:val="正文_0_0"/>
    <w:autoRedefine/>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1178">
    <w:name w:val="样式1 字符"/>
    <w:autoRedefine/>
    <w:qFormat/>
    <w:uiPriority w:val="1"/>
    <w:rPr>
      <w:rFonts w:ascii="宋体" w:hAnsi="宋体" w:eastAsia="宋体" w:cs="宋体"/>
      <w:spacing w:val="-1"/>
      <w:sz w:val="21"/>
      <w:szCs w:val="24"/>
      <w:lang w:eastAsia="zh-CN"/>
    </w:rPr>
  </w:style>
  <w:style w:type="paragraph" w:customStyle="1" w:styleId="1179">
    <w:name w:val="正文 + 首行缩进:  2 字符 Char"/>
    <w:basedOn w:val="1"/>
    <w:autoRedefine/>
    <w:qFormat/>
    <w:uiPriority w:val="0"/>
    <w:pPr>
      <w:spacing w:line="360" w:lineRule="auto"/>
      <w:ind w:firstLine="480" w:firstLineChars="200"/>
    </w:pPr>
    <w:rPr>
      <w:rFonts w:cs="宋体"/>
      <w:sz w:val="24"/>
      <w:szCs w:val="20"/>
    </w:rPr>
  </w:style>
  <w:style w:type="paragraph" w:customStyle="1" w:styleId="1180">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华文中宋" w:hAnsi="华文中宋" w:eastAsia="华文中宋" w:cs="华文中宋"/>
      <w:kern w:val="0"/>
      <w:sz w:val="20"/>
      <w:szCs w:val="20"/>
    </w:rPr>
  </w:style>
  <w:style w:type="paragraph" w:customStyle="1" w:styleId="1181">
    <w:name w:val="xl87"/>
    <w:basedOn w:val="1"/>
    <w:autoRedefine/>
    <w:qFormat/>
    <w:uiPriority w:val="0"/>
    <w:pPr>
      <w:widowControl/>
      <w:spacing w:beforeAutospacing="1" w:afterAutospacing="1"/>
      <w:jc w:val="center"/>
    </w:pPr>
    <w:rPr>
      <w:rFonts w:ascii="华文中宋" w:hAnsi="华文中宋" w:eastAsia="华文中宋" w:cs="华文中宋"/>
      <w:b/>
      <w:bCs/>
      <w:kern w:val="0"/>
      <w:sz w:val="30"/>
      <w:szCs w:val="30"/>
    </w:rPr>
  </w:style>
  <w:style w:type="paragraph" w:customStyle="1" w:styleId="1182">
    <w:name w:val="评标报告_标题-国际"/>
    <w:basedOn w:val="5"/>
    <w:next w:val="1"/>
    <w:autoRedefine/>
    <w:qFormat/>
    <w:uiPriority w:val="99"/>
    <w:pPr>
      <w:autoSpaceDE/>
      <w:autoSpaceDN/>
      <w:adjustRightInd/>
      <w:spacing w:before="0" w:after="0" w:line="440" w:lineRule="exact"/>
      <w:jc w:val="both"/>
    </w:pPr>
    <w:rPr>
      <w:rFonts w:ascii="仿宋_GB2312" w:cs="仿宋_GB2312"/>
      <w:bCs/>
      <w:kern w:val="2"/>
      <w:szCs w:val="24"/>
      <w:u w:val="none"/>
    </w:rPr>
  </w:style>
  <w:style w:type="paragraph" w:customStyle="1" w:styleId="1183">
    <w:name w:val="xl92"/>
    <w:basedOn w:val="1"/>
    <w:autoRedefine/>
    <w:qFormat/>
    <w:uiPriority w:val="0"/>
    <w:pPr>
      <w:widowControl/>
      <w:pBdr>
        <w:top w:val="single" w:color="auto" w:sz="4" w:space="0"/>
        <w:bottom w:val="single" w:color="auto" w:sz="4" w:space="0"/>
        <w:right w:val="single" w:color="auto" w:sz="4" w:space="0"/>
      </w:pBdr>
      <w:spacing w:beforeAutospacing="1" w:afterAutospacing="1"/>
      <w:jc w:val="center"/>
    </w:pPr>
    <w:rPr>
      <w:rFonts w:ascii="华文中宋" w:hAnsi="华文中宋" w:eastAsia="华文中宋" w:cs="华文中宋"/>
      <w:kern w:val="0"/>
      <w:sz w:val="20"/>
      <w:szCs w:val="20"/>
    </w:rPr>
  </w:style>
  <w:style w:type="paragraph" w:customStyle="1" w:styleId="1184">
    <w:name w:val="Indent 1"/>
    <w:basedOn w:val="1"/>
    <w:autoRedefine/>
    <w:qFormat/>
    <w:uiPriority w:val="99"/>
    <w:pPr>
      <w:widowControl/>
      <w:spacing w:line="260" w:lineRule="atLeast"/>
      <w:ind w:left="454" w:hanging="454"/>
      <w:jc w:val="left"/>
    </w:pPr>
    <w:rPr>
      <w:rFonts w:ascii="Arial" w:hAnsi="Arial" w:cs="Arial"/>
      <w:kern w:val="0"/>
      <w:sz w:val="22"/>
      <w:szCs w:val="22"/>
      <w:lang w:eastAsia="en-US"/>
    </w:rPr>
  </w:style>
  <w:style w:type="paragraph" w:customStyle="1" w:styleId="1185">
    <w:name w:val="xl91"/>
    <w:basedOn w:val="1"/>
    <w:autoRedefine/>
    <w:qFormat/>
    <w:uiPriority w:val="0"/>
    <w:pPr>
      <w:widowControl/>
      <w:pBdr>
        <w:top w:val="single" w:color="auto" w:sz="4" w:space="0"/>
        <w:left w:val="single" w:color="auto" w:sz="4" w:space="0"/>
        <w:bottom w:val="single" w:color="auto" w:sz="4" w:space="0"/>
      </w:pBdr>
      <w:spacing w:beforeAutospacing="1" w:afterAutospacing="1"/>
      <w:jc w:val="center"/>
    </w:pPr>
    <w:rPr>
      <w:rFonts w:ascii="华文中宋" w:hAnsi="华文中宋" w:eastAsia="华文中宋" w:cs="华文中宋"/>
      <w:kern w:val="0"/>
      <w:sz w:val="20"/>
      <w:szCs w:val="20"/>
    </w:rPr>
  </w:style>
  <w:style w:type="paragraph" w:customStyle="1" w:styleId="1186">
    <w:name w:val="表头"/>
    <w:basedOn w:val="1"/>
    <w:autoRedefine/>
    <w:qFormat/>
    <w:uiPriority w:val="0"/>
    <w:pPr>
      <w:jc w:val="center"/>
    </w:pPr>
    <w:rPr>
      <w:rFonts w:eastAsia="黑体"/>
      <w:b/>
      <w:bCs/>
      <w:szCs w:val="21"/>
    </w:rPr>
  </w:style>
  <w:style w:type="paragraph" w:customStyle="1" w:styleId="1187">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188">
    <w:name w:val="No. list"/>
    <w:basedOn w:val="1"/>
    <w:autoRedefine/>
    <w:qFormat/>
    <w:uiPriority w:val="99"/>
    <w:pPr>
      <w:widowControl/>
      <w:tabs>
        <w:tab w:val="left" w:pos="1500"/>
      </w:tabs>
      <w:ind w:left="1500" w:hanging="420"/>
    </w:pPr>
    <w:rPr>
      <w:kern w:val="0"/>
      <w:sz w:val="24"/>
      <w:lang w:val="en-GB" w:eastAsia="en-US"/>
    </w:rPr>
  </w:style>
  <w:style w:type="paragraph" w:customStyle="1" w:styleId="1189">
    <w:name w:val="样式 标题 2H2h2l22nd level2Header 2节Titre2Heading 2 Hidden..."/>
    <w:basedOn w:val="4"/>
    <w:autoRedefine/>
    <w:qFormat/>
    <w:uiPriority w:val="0"/>
    <w:pPr>
      <w:tabs>
        <w:tab w:val="left" w:pos="540"/>
      </w:tabs>
      <w:autoSpaceDE/>
      <w:autoSpaceDN/>
      <w:adjustRightInd/>
      <w:spacing w:before="0" w:line="360" w:lineRule="auto"/>
      <w:ind w:left="1116" w:hanging="1116"/>
      <w:jc w:val="both"/>
    </w:pPr>
    <w:rPr>
      <w:rFonts w:ascii="仿宋_GB2312" w:hAnsi="宋体" w:eastAsia="仿宋_GB2312" w:cs="仿宋_GB2312"/>
      <w:bCs/>
      <w:sz w:val="24"/>
      <w:szCs w:val="24"/>
    </w:rPr>
  </w:style>
  <w:style w:type="paragraph" w:customStyle="1" w:styleId="1190">
    <w:name w:val="样式 标题 3h3Level 3 Topic HeadingHeading 3 - oldH3l33rd level..."/>
    <w:basedOn w:val="5"/>
    <w:autoRedefine/>
    <w:qFormat/>
    <w:uiPriority w:val="99"/>
    <w:pPr>
      <w:autoSpaceDE/>
      <w:autoSpaceDN/>
      <w:adjustRightInd/>
      <w:spacing w:before="0" w:after="0" w:line="360" w:lineRule="auto"/>
      <w:ind w:left="1080" w:hanging="1080"/>
      <w:jc w:val="both"/>
    </w:pPr>
    <w:rPr>
      <w:rFonts w:ascii="仿宋_GB2312" w:hAnsi="宋体" w:eastAsia="仿宋_GB2312" w:cs="仿宋_GB2312"/>
      <w:bCs/>
      <w:kern w:val="2"/>
      <w:szCs w:val="24"/>
      <w:u w:val="none"/>
    </w:rPr>
  </w:style>
  <w:style w:type="paragraph" w:customStyle="1" w:styleId="1191">
    <w:name w:val="评标报告_正文-国际"/>
    <w:basedOn w:val="1"/>
    <w:link w:val="1192"/>
    <w:autoRedefine/>
    <w:qFormat/>
    <w:uiPriority w:val="99"/>
    <w:pPr>
      <w:spacing w:afterLines="50" w:line="440" w:lineRule="exact"/>
      <w:ind w:firstLine="200" w:firstLineChars="200"/>
    </w:pPr>
    <w:rPr>
      <w:rFonts w:ascii="仿宋_GB2312" w:hAnsi="宋体" w:cs="仿宋_GB2312"/>
      <w:kern w:val="0"/>
      <w:sz w:val="24"/>
    </w:rPr>
  </w:style>
  <w:style w:type="character" w:customStyle="1" w:styleId="1192">
    <w:name w:val="评标报告_正文-国际 Char Char"/>
    <w:link w:val="1191"/>
    <w:autoRedefine/>
    <w:qFormat/>
    <w:locked/>
    <w:uiPriority w:val="99"/>
    <w:rPr>
      <w:rFonts w:ascii="仿宋_GB2312" w:hAnsi="宋体" w:cs="仿宋_GB2312"/>
      <w:sz w:val="24"/>
      <w:szCs w:val="24"/>
    </w:rPr>
  </w:style>
  <w:style w:type="paragraph" w:customStyle="1" w:styleId="1193">
    <w:name w:val="xl89"/>
    <w:basedOn w:val="1"/>
    <w:autoRedefine/>
    <w:qFormat/>
    <w:uiPriority w:val="0"/>
    <w:pPr>
      <w:widowControl/>
      <w:pBdr>
        <w:top w:val="single" w:color="auto" w:sz="4" w:space="0"/>
        <w:bottom w:val="single" w:color="auto" w:sz="4" w:space="0"/>
      </w:pBdr>
      <w:spacing w:beforeAutospacing="1" w:afterAutospacing="1"/>
      <w:jc w:val="center"/>
    </w:pPr>
    <w:rPr>
      <w:rFonts w:ascii="华文中宋" w:hAnsi="华文中宋" w:eastAsia="华文中宋" w:cs="华文中宋"/>
      <w:kern w:val="0"/>
      <w:sz w:val="20"/>
      <w:szCs w:val="20"/>
    </w:rPr>
  </w:style>
  <w:style w:type="paragraph" w:customStyle="1" w:styleId="1194">
    <w:name w:val="xl86"/>
    <w:basedOn w:val="1"/>
    <w:autoRedefine/>
    <w:qFormat/>
    <w:uiPriority w:val="0"/>
    <w:pPr>
      <w:widowControl/>
      <w:pBdr>
        <w:left w:val="single" w:color="auto" w:sz="4" w:space="0"/>
        <w:bottom w:val="single" w:color="auto" w:sz="4" w:space="0"/>
        <w:right w:val="single" w:color="auto" w:sz="4" w:space="0"/>
      </w:pBdr>
      <w:spacing w:beforeAutospacing="1" w:afterAutospacing="1"/>
      <w:jc w:val="center"/>
    </w:pPr>
    <w:rPr>
      <w:rFonts w:ascii="华文中宋" w:hAnsi="华文中宋" w:eastAsia="华文中宋" w:cs="华文中宋"/>
      <w:b/>
      <w:bCs/>
      <w:kern w:val="0"/>
      <w:sz w:val="24"/>
    </w:rPr>
  </w:style>
  <w:style w:type="paragraph" w:customStyle="1" w:styleId="1195">
    <w:name w:val="xl88"/>
    <w:basedOn w:val="1"/>
    <w:link w:val="1196"/>
    <w:autoRedefine/>
    <w:qFormat/>
    <w:uiPriority w:val="0"/>
    <w:pPr>
      <w:widowControl/>
      <w:pBdr>
        <w:top w:val="single" w:color="auto" w:sz="4" w:space="0"/>
        <w:left w:val="single" w:color="auto" w:sz="4" w:space="0"/>
        <w:bottom w:val="single" w:color="auto" w:sz="4" w:space="0"/>
      </w:pBdr>
      <w:spacing w:beforeAutospacing="1" w:afterAutospacing="1"/>
      <w:jc w:val="center"/>
    </w:pPr>
    <w:rPr>
      <w:rFonts w:ascii="华文中宋" w:hAnsi="华文中宋" w:eastAsia="华文中宋" w:cs="华文中宋"/>
      <w:b/>
      <w:bCs/>
      <w:kern w:val="0"/>
      <w:sz w:val="20"/>
      <w:szCs w:val="20"/>
    </w:rPr>
  </w:style>
  <w:style w:type="character" w:customStyle="1" w:styleId="1196">
    <w:name w:val="xl88 Char Char"/>
    <w:link w:val="1195"/>
    <w:autoRedefine/>
    <w:qFormat/>
    <w:locked/>
    <w:uiPriority w:val="0"/>
    <w:rPr>
      <w:rFonts w:ascii="华文中宋" w:hAnsi="华文中宋" w:eastAsia="华文中宋" w:cs="华文中宋"/>
      <w:b/>
      <w:bCs/>
    </w:rPr>
  </w:style>
  <w:style w:type="paragraph" w:customStyle="1" w:styleId="1197">
    <w:name w:val="xl90"/>
    <w:basedOn w:val="1"/>
    <w:autoRedefine/>
    <w:qFormat/>
    <w:uiPriority w:val="0"/>
    <w:pPr>
      <w:widowControl/>
      <w:pBdr>
        <w:top w:val="single" w:color="auto" w:sz="4" w:space="0"/>
        <w:bottom w:val="single" w:color="auto" w:sz="4" w:space="0"/>
        <w:right w:val="single" w:color="auto" w:sz="4" w:space="0"/>
      </w:pBdr>
      <w:spacing w:beforeAutospacing="1" w:afterAutospacing="1"/>
      <w:jc w:val="center"/>
    </w:pPr>
    <w:rPr>
      <w:rFonts w:ascii="华文中宋" w:hAnsi="华文中宋" w:eastAsia="华文中宋" w:cs="华文中宋"/>
      <w:kern w:val="0"/>
      <w:sz w:val="20"/>
      <w:szCs w:val="20"/>
    </w:rPr>
  </w:style>
  <w:style w:type="paragraph" w:customStyle="1" w:styleId="1198">
    <w:name w:val="样式 居中"/>
    <w:basedOn w:val="1"/>
    <w:autoRedefine/>
    <w:qFormat/>
    <w:uiPriority w:val="99"/>
    <w:pPr>
      <w:ind w:right="280" w:rightChars="100"/>
      <w:jc w:val="center"/>
    </w:pPr>
    <w:rPr>
      <w:rFonts w:ascii="华文中宋" w:hAnsi="华文中宋" w:eastAsia="华文中宋" w:cs="华文中宋"/>
      <w:b/>
      <w:bCs/>
      <w:sz w:val="32"/>
      <w:szCs w:val="32"/>
    </w:rPr>
  </w:style>
  <w:style w:type="paragraph" w:customStyle="1" w:styleId="1199">
    <w:name w:val="样式 Arial 小四 行距: 1.5 倍行距 首行缩进:  2 字符 Char Char"/>
    <w:autoRedefine/>
    <w:qFormat/>
    <w:uiPriority w:val="99"/>
    <w:pPr>
      <w:spacing w:line="360" w:lineRule="auto"/>
      <w:ind w:firstLine="480" w:firstLineChars="200"/>
    </w:pPr>
    <w:rPr>
      <w:rFonts w:ascii="Arial" w:hAnsi="Arial" w:eastAsia="宋体" w:cs="Arial"/>
      <w:sz w:val="24"/>
      <w:szCs w:val="24"/>
      <w:lang w:val="en-US" w:eastAsia="zh-CN" w:bidi="ar-SA"/>
    </w:rPr>
  </w:style>
  <w:style w:type="paragraph" w:customStyle="1" w:styleId="1200">
    <w:name w:val="msolistparagraph"/>
    <w:basedOn w:val="1"/>
    <w:autoRedefine/>
    <w:qFormat/>
    <w:uiPriority w:val="99"/>
    <w:pPr>
      <w:ind w:left="720"/>
    </w:pPr>
    <w:rPr>
      <w:szCs w:val="21"/>
    </w:rPr>
  </w:style>
  <w:style w:type="paragraph" w:customStyle="1" w:styleId="1201">
    <w:name w:val="王霞正文"/>
    <w:basedOn w:val="1"/>
    <w:autoRedefine/>
    <w:qFormat/>
    <w:uiPriority w:val="99"/>
    <w:pPr>
      <w:ind w:left="420"/>
    </w:pPr>
    <w:rPr>
      <w:rFonts w:ascii="Calibri" w:hAnsi="Calibri" w:eastAsia="华文楷体" w:cs="Calibri"/>
      <w:sz w:val="28"/>
      <w:szCs w:val="28"/>
    </w:rPr>
  </w:style>
  <w:style w:type="paragraph" w:customStyle="1" w:styleId="1202">
    <w:name w:val="样式 样式 首行缩进:  2 字符 + 首行缩进:  2 字符 Char Char"/>
    <w:basedOn w:val="1"/>
    <w:autoRedefine/>
    <w:qFormat/>
    <w:uiPriority w:val="99"/>
    <w:pPr>
      <w:ind w:firstLine="480" w:firstLineChars="200"/>
    </w:pPr>
    <w:rPr>
      <w:sz w:val="24"/>
    </w:rPr>
  </w:style>
  <w:style w:type="character" w:customStyle="1" w:styleId="1203">
    <w:name w:val="addr_sj"/>
    <w:autoRedefine/>
    <w:qFormat/>
    <w:uiPriority w:val="99"/>
    <w:rPr>
      <w:color w:val="auto"/>
      <w:sz w:val="15"/>
      <w:szCs w:val="15"/>
    </w:rPr>
  </w:style>
  <w:style w:type="character" w:customStyle="1" w:styleId="1204">
    <w:name w:val="diy_check1"/>
    <w:autoRedefine/>
    <w:qFormat/>
    <w:uiPriority w:val="99"/>
  </w:style>
  <w:style w:type="character" w:customStyle="1" w:styleId="1205">
    <w:name w:val="diy_check"/>
    <w:autoRedefine/>
    <w:qFormat/>
    <w:uiPriority w:val="99"/>
  </w:style>
  <w:style w:type="character" w:customStyle="1" w:styleId="1206">
    <w:name w:val="mcms"/>
    <w:autoRedefine/>
    <w:qFormat/>
    <w:uiPriority w:val="99"/>
  </w:style>
  <w:style w:type="character" w:customStyle="1" w:styleId="1207">
    <w:name w:val="封面标题"/>
    <w:autoRedefine/>
    <w:qFormat/>
    <w:uiPriority w:val="99"/>
    <w:rPr>
      <w:rFonts w:ascii="Arial" w:hAnsi="Arial" w:eastAsia="黑体" w:cs="Arial"/>
      <w:sz w:val="48"/>
      <w:szCs w:val="48"/>
    </w:rPr>
  </w:style>
  <w:style w:type="character" w:customStyle="1" w:styleId="1208">
    <w:name w:val="suc"/>
    <w:autoRedefine/>
    <w:qFormat/>
    <w:uiPriority w:val="99"/>
    <w:rPr>
      <w:color w:val="000000"/>
    </w:rPr>
  </w:style>
  <w:style w:type="character" w:customStyle="1" w:styleId="1209">
    <w:name w:val="maxwidth"/>
    <w:autoRedefine/>
    <w:qFormat/>
    <w:uiPriority w:val="99"/>
  </w:style>
  <w:style w:type="character" w:customStyle="1" w:styleId="1210">
    <w:name w:val="foldecurrent"/>
    <w:autoRedefine/>
    <w:qFormat/>
    <w:uiPriority w:val="99"/>
    <w:rPr>
      <w:color w:val="FFFFFF"/>
      <w:shd w:val="clear" w:color="auto" w:fill="auto"/>
    </w:rPr>
  </w:style>
  <w:style w:type="character" w:customStyle="1" w:styleId="1211">
    <w:name w:val="pushphoneico"/>
    <w:autoRedefine/>
    <w:qFormat/>
    <w:uiPriority w:val="99"/>
  </w:style>
  <w:style w:type="character" w:customStyle="1" w:styleId="1212">
    <w:name w:val="hover50"/>
    <w:autoRedefine/>
    <w:qFormat/>
    <w:uiPriority w:val="99"/>
    <w:rPr>
      <w:shd w:val="clear" w:color="auto" w:fill="auto"/>
    </w:rPr>
  </w:style>
  <w:style w:type="character" w:customStyle="1" w:styleId="1213">
    <w:name w:val="tabct1"/>
    <w:autoRedefine/>
    <w:qFormat/>
    <w:uiPriority w:val="99"/>
    <w:rPr>
      <w:color w:val="000000"/>
    </w:rPr>
  </w:style>
  <w:style w:type="character" w:customStyle="1" w:styleId="1214">
    <w:name w:val="pushphone"/>
    <w:autoRedefine/>
    <w:qFormat/>
    <w:uiPriority w:val="99"/>
    <w:rPr>
      <w:b/>
      <w:bCs/>
    </w:rPr>
  </w:style>
  <w:style w:type="character" w:customStyle="1" w:styleId="1215">
    <w:name w:val="diy_checked"/>
    <w:autoRedefine/>
    <w:qFormat/>
    <w:uiPriority w:val="99"/>
  </w:style>
  <w:style w:type="character" w:customStyle="1" w:styleId="1216">
    <w:name w:val="error"/>
    <w:autoRedefine/>
    <w:qFormat/>
    <w:uiPriority w:val="99"/>
    <w:rPr>
      <w:color w:val="000000"/>
    </w:rPr>
  </w:style>
  <w:style w:type="character" w:customStyle="1" w:styleId="1217">
    <w:name w:val="pushopa"/>
    <w:autoRedefine/>
    <w:qFormat/>
    <w:uiPriority w:val="99"/>
  </w:style>
  <w:style w:type="character" w:customStyle="1" w:styleId="1218">
    <w:name w:val="gpa"/>
    <w:autoRedefine/>
    <w:qFormat/>
    <w:uiPriority w:val="0"/>
    <w:rPr>
      <w:rFonts w:ascii="Arial" w:hAnsi="Arial" w:eastAsia="宋体" w:cs="Arial"/>
      <w:sz w:val="15"/>
      <w:szCs w:val="15"/>
    </w:rPr>
  </w:style>
  <w:style w:type="character" w:customStyle="1" w:styleId="1219">
    <w:name w:val="displayarti"/>
    <w:autoRedefine/>
    <w:qFormat/>
    <w:uiPriority w:val="0"/>
    <w:rPr>
      <w:rFonts w:ascii="Calibri" w:hAnsi="Calibri" w:eastAsia="宋体" w:cs="Times New Roman"/>
      <w:color w:val="FFFFFF"/>
      <w:shd w:val="clear" w:color="auto" w:fill="A00000"/>
    </w:rPr>
  </w:style>
  <w:style w:type="character" w:customStyle="1" w:styleId="1220">
    <w:name w:val="selected"/>
    <w:autoRedefine/>
    <w:qFormat/>
    <w:uiPriority w:val="0"/>
    <w:rPr>
      <w:rFonts w:ascii="Calibri" w:hAnsi="Calibri" w:eastAsia="宋体" w:cs="Times New Roman"/>
      <w:shd w:val="clear" w:color="auto" w:fill="B00006"/>
    </w:rPr>
  </w:style>
  <w:style w:type="character" w:customStyle="1" w:styleId="1221">
    <w:name w:val="fontborder"/>
    <w:autoRedefine/>
    <w:qFormat/>
    <w:uiPriority w:val="0"/>
    <w:rPr>
      <w:rFonts w:ascii="Calibri" w:hAnsi="Calibri" w:eastAsia="宋体" w:cs="Times New Roman"/>
      <w:bdr w:val="single" w:color="000000" w:sz="6" w:space="0"/>
    </w:rPr>
  </w:style>
  <w:style w:type="character" w:customStyle="1" w:styleId="1222">
    <w:name w:val="fontstrikethrough"/>
    <w:autoRedefine/>
    <w:qFormat/>
    <w:uiPriority w:val="0"/>
    <w:rPr>
      <w:rFonts w:ascii="Calibri" w:hAnsi="Calibri" w:eastAsia="宋体" w:cs="Times New Roman"/>
      <w:strike/>
    </w:rPr>
  </w:style>
  <w:style w:type="character" w:customStyle="1" w:styleId="1223">
    <w:name w:val="正文（首行缩进2字符） Char"/>
    <w:link w:val="1224"/>
    <w:autoRedefine/>
    <w:qFormat/>
    <w:uiPriority w:val="0"/>
    <w:rPr>
      <w:sz w:val="24"/>
      <w:szCs w:val="24"/>
    </w:rPr>
  </w:style>
  <w:style w:type="paragraph" w:customStyle="1" w:styleId="1224">
    <w:name w:val="正文（首行缩进2字符）"/>
    <w:basedOn w:val="1"/>
    <w:link w:val="1223"/>
    <w:autoRedefine/>
    <w:qFormat/>
    <w:uiPriority w:val="0"/>
    <w:pPr>
      <w:spacing w:beforeLines="25" w:afterLines="25" w:line="480" w:lineRule="exact"/>
      <w:ind w:firstLine="210" w:firstLineChars="210"/>
    </w:pPr>
    <w:rPr>
      <w:kern w:val="0"/>
      <w:sz w:val="24"/>
    </w:rPr>
  </w:style>
  <w:style w:type="character" w:customStyle="1" w:styleId="1225">
    <w:name w:val="列表 1 Char"/>
    <w:link w:val="1226"/>
    <w:autoRedefine/>
    <w:qFormat/>
    <w:uiPriority w:val="0"/>
    <w:rPr>
      <w:sz w:val="24"/>
    </w:rPr>
  </w:style>
  <w:style w:type="paragraph" w:customStyle="1" w:styleId="1226">
    <w:name w:val="列表 1"/>
    <w:link w:val="1225"/>
    <w:autoRedefine/>
    <w:qFormat/>
    <w:uiPriority w:val="0"/>
    <w:pPr>
      <w:tabs>
        <w:tab w:val="left" w:pos="620"/>
      </w:tabs>
      <w:spacing w:line="360" w:lineRule="auto"/>
      <w:ind w:left="620" w:hanging="420"/>
    </w:pPr>
    <w:rPr>
      <w:rFonts w:ascii="Times New Roman" w:hAnsi="Times New Roman" w:eastAsia="宋体" w:cs="Times New Roman"/>
      <w:sz w:val="24"/>
      <w:lang w:val="en-US" w:eastAsia="zh-CN" w:bidi="ar-SA"/>
    </w:rPr>
  </w:style>
  <w:style w:type="character" w:customStyle="1" w:styleId="1227">
    <w:name w:val="tytytyty Char"/>
    <w:link w:val="1228"/>
    <w:autoRedefine/>
    <w:qFormat/>
    <w:uiPriority w:val="0"/>
    <w:rPr>
      <w:sz w:val="24"/>
      <w:szCs w:val="24"/>
    </w:rPr>
  </w:style>
  <w:style w:type="paragraph" w:customStyle="1" w:styleId="1228">
    <w:name w:val="tytytyty"/>
    <w:basedOn w:val="1"/>
    <w:link w:val="1227"/>
    <w:autoRedefine/>
    <w:qFormat/>
    <w:uiPriority w:val="0"/>
    <w:pPr>
      <w:spacing w:line="360" w:lineRule="auto"/>
      <w:ind w:left="359" w:leftChars="171" w:firstLine="480" w:firstLineChars="200"/>
    </w:pPr>
    <w:rPr>
      <w:kern w:val="0"/>
      <w:sz w:val="24"/>
    </w:rPr>
  </w:style>
  <w:style w:type="character" w:customStyle="1" w:styleId="1229">
    <w:name w:val="样式 正文 +"/>
    <w:autoRedefine/>
    <w:qFormat/>
    <w:uiPriority w:val="0"/>
    <w:rPr>
      <w:rFonts w:eastAsia="宋体"/>
      <w:kern w:val="0"/>
      <w:sz w:val="24"/>
      <w:szCs w:val="24"/>
      <w:lang w:val="en-US" w:eastAsia="zh-CN" w:bidi="ar-SA"/>
    </w:rPr>
  </w:style>
  <w:style w:type="character" w:customStyle="1" w:styleId="1230">
    <w:name w:val="样式 样式 仿宋_GB2312 四号 加粗 行距: 1.5 倍行距 + 小四 Char"/>
    <w:link w:val="1231"/>
    <w:autoRedefine/>
    <w:qFormat/>
    <w:uiPriority w:val="0"/>
    <w:rPr>
      <w:rFonts w:ascii="仿宋_GB2312" w:hAnsi="宋体" w:cs="宋体"/>
      <w:sz w:val="24"/>
    </w:rPr>
  </w:style>
  <w:style w:type="paragraph" w:customStyle="1" w:styleId="1231">
    <w:name w:val="样式 样式 仿宋_GB2312 四号 加粗 行距: 1.5 倍行距 + 小四"/>
    <w:basedOn w:val="1"/>
    <w:link w:val="1230"/>
    <w:autoRedefine/>
    <w:qFormat/>
    <w:uiPriority w:val="0"/>
    <w:pPr>
      <w:spacing w:line="360" w:lineRule="auto"/>
      <w:ind w:firstLine="200" w:firstLineChars="200"/>
    </w:pPr>
    <w:rPr>
      <w:rFonts w:ascii="仿宋_GB2312" w:hAnsi="宋体" w:cs="宋体"/>
      <w:kern w:val="0"/>
      <w:sz w:val="24"/>
      <w:szCs w:val="20"/>
    </w:rPr>
  </w:style>
  <w:style w:type="character" w:customStyle="1" w:styleId="1232">
    <w:name w:val="样式 仿宋_GB2312 四号 加粗 行距: 1.5 倍行距 Char"/>
    <w:link w:val="1233"/>
    <w:autoRedefine/>
    <w:qFormat/>
    <w:uiPriority w:val="0"/>
    <w:rPr>
      <w:rFonts w:ascii="仿宋_GB2312" w:hAnsi="宋体" w:cs="宋体"/>
      <w:bCs/>
      <w:sz w:val="30"/>
    </w:rPr>
  </w:style>
  <w:style w:type="paragraph" w:customStyle="1" w:styleId="1233">
    <w:name w:val="样式 仿宋_GB2312 四号 加粗 行距: 1.5 倍行距"/>
    <w:basedOn w:val="1"/>
    <w:link w:val="1232"/>
    <w:autoRedefine/>
    <w:qFormat/>
    <w:uiPriority w:val="0"/>
    <w:pPr>
      <w:spacing w:line="360" w:lineRule="auto"/>
      <w:ind w:firstLine="562" w:firstLineChars="200"/>
    </w:pPr>
    <w:rPr>
      <w:rFonts w:ascii="仿宋_GB2312" w:hAnsi="宋体" w:cs="宋体"/>
      <w:bCs/>
      <w:kern w:val="0"/>
      <w:sz w:val="30"/>
      <w:szCs w:val="20"/>
    </w:rPr>
  </w:style>
  <w:style w:type="character" w:customStyle="1" w:styleId="1234">
    <w:name w:val="3zw"/>
    <w:autoRedefine/>
    <w:qFormat/>
    <w:uiPriority w:val="0"/>
  </w:style>
  <w:style w:type="character" w:customStyle="1" w:styleId="1235">
    <w:name w:val="名称2 Char"/>
    <w:autoRedefine/>
    <w:qFormat/>
    <w:uiPriority w:val="0"/>
    <w:rPr>
      <w:rFonts w:hint="eastAsia" w:ascii="宋体" w:hAnsi="宋体" w:eastAsia="宋体"/>
      <w:b/>
      <w:kern w:val="2"/>
      <w:sz w:val="28"/>
      <w:szCs w:val="28"/>
      <w:lang w:val="en-US" w:eastAsia="zh-CN" w:bidi="ar-SA"/>
    </w:rPr>
  </w:style>
  <w:style w:type="character" w:customStyle="1" w:styleId="1236">
    <w:name w:val="标题 4 z"/>
    <w:autoRedefine/>
    <w:qFormat/>
    <w:uiPriority w:val="0"/>
    <w:rPr>
      <w:rFonts w:ascii="Arial" w:hAnsi="Arial" w:eastAsia="黑体"/>
      <w:b/>
      <w:bCs/>
      <w:kern w:val="2"/>
      <w:sz w:val="28"/>
      <w:szCs w:val="28"/>
      <w:lang w:val="en-US" w:eastAsia="zh-CN" w:bidi="ar-SA"/>
    </w:rPr>
  </w:style>
  <w:style w:type="character" w:customStyle="1" w:styleId="1237">
    <w:name w:val="样式 纯文本普通文字 Char纯文本 Char普通文字 Char Char标题1 + Times New Roman ... Char1"/>
    <w:link w:val="1238"/>
    <w:autoRedefine/>
    <w:qFormat/>
    <w:uiPriority w:val="0"/>
    <w:rPr>
      <w:rFonts w:cs="宋体"/>
      <w:sz w:val="24"/>
    </w:rPr>
  </w:style>
  <w:style w:type="paragraph" w:customStyle="1" w:styleId="1238">
    <w:name w:val="样式 纯文本普通文字 Char纯文本 Char普通文字 Char Char标题1 + Times New Roman ..."/>
    <w:next w:val="25"/>
    <w:link w:val="1237"/>
    <w:autoRedefine/>
    <w:qFormat/>
    <w:uiPriority w:val="0"/>
    <w:pPr>
      <w:autoSpaceDE w:val="0"/>
      <w:autoSpaceDN w:val="0"/>
      <w:adjustRightInd w:val="0"/>
      <w:spacing w:line="480" w:lineRule="atLeast"/>
      <w:ind w:firstLine="482"/>
    </w:pPr>
    <w:rPr>
      <w:rFonts w:ascii="Times New Roman" w:hAnsi="Times New Roman" w:eastAsia="宋体" w:cs="宋体"/>
      <w:sz w:val="24"/>
      <w:lang w:val="en-US" w:eastAsia="zh-CN" w:bidi="ar-SA"/>
    </w:rPr>
  </w:style>
  <w:style w:type="character" w:customStyle="1" w:styleId="1239">
    <w:name w:val="标题2 Char Char"/>
    <w:autoRedefine/>
    <w:qFormat/>
    <w:uiPriority w:val="0"/>
    <w:rPr>
      <w:rFonts w:ascii="Cambria" w:hAnsi="Cambria" w:eastAsia="宋体"/>
      <w:b/>
      <w:bCs/>
      <w:kern w:val="2"/>
      <w:sz w:val="30"/>
      <w:szCs w:val="32"/>
      <w:lang w:val="en-US" w:eastAsia="zh-CN" w:bidi="ar-SA"/>
    </w:rPr>
  </w:style>
  <w:style w:type="character" w:customStyle="1" w:styleId="1240">
    <w:name w:val="txt1"/>
    <w:autoRedefine/>
    <w:qFormat/>
    <w:uiPriority w:val="0"/>
  </w:style>
  <w:style w:type="character" w:customStyle="1" w:styleId="1241">
    <w:name w:val="9p-201"/>
    <w:autoRedefine/>
    <w:qFormat/>
    <w:uiPriority w:val="0"/>
    <w:rPr>
      <w:sz w:val="18"/>
      <w:szCs w:val="18"/>
      <w:u w:val="none"/>
    </w:rPr>
  </w:style>
  <w:style w:type="character" w:customStyle="1" w:styleId="1242">
    <w:name w:val="可研报告正文 Char Char Char Char"/>
    <w:link w:val="1243"/>
    <w:autoRedefine/>
    <w:qFormat/>
    <w:uiPriority w:val="0"/>
    <w:rPr>
      <w:rFonts w:ascii="仿宋_GB2312" w:eastAsia="仿宋_GB2312"/>
      <w:sz w:val="28"/>
      <w:szCs w:val="28"/>
    </w:rPr>
  </w:style>
  <w:style w:type="paragraph" w:customStyle="1" w:styleId="1243">
    <w:name w:val="可研报告正文 Char Char Char"/>
    <w:basedOn w:val="33"/>
    <w:link w:val="1242"/>
    <w:autoRedefine/>
    <w:qFormat/>
    <w:uiPriority w:val="0"/>
    <w:pPr>
      <w:ind w:firstLine="177" w:firstLineChars="177"/>
    </w:pPr>
    <w:rPr>
      <w:rFonts w:ascii="仿宋_GB2312" w:eastAsia="仿宋_GB2312"/>
      <w:kern w:val="0"/>
      <w:sz w:val="28"/>
      <w:szCs w:val="28"/>
    </w:rPr>
  </w:style>
  <w:style w:type="character" w:customStyle="1" w:styleId="1244">
    <w:name w:val="样式 样式 首行缩进:  2.25 字符 + 首行缩进:  2.25 字符 Char"/>
    <w:link w:val="1245"/>
    <w:autoRedefine/>
    <w:qFormat/>
    <w:uiPriority w:val="0"/>
    <w:rPr>
      <w:rFonts w:ascii="仿宋_GB2312" w:eastAsia="仿宋_GB2312" w:cs="宋体"/>
      <w:sz w:val="28"/>
      <w:szCs w:val="28"/>
    </w:rPr>
  </w:style>
  <w:style w:type="paragraph" w:customStyle="1" w:styleId="1245">
    <w:name w:val="样式 样式 首行缩进:  2.25 字符 + 首行缩进:  2.25 字符"/>
    <w:basedOn w:val="1"/>
    <w:link w:val="1244"/>
    <w:autoRedefine/>
    <w:qFormat/>
    <w:uiPriority w:val="0"/>
    <w:pPr>
      <w:spacing w:line="360" w:lineRule="auto"/>
      <w:ind w:firstLine="630" w:firstLineChars="225"/>
    </w:pPr>
    <w:rPr>
      <w:rFonts w:ascii="仿宋_GB2312" w:eastAsia="仿宋_GB2312" w:cs="宋体"/>
      <w:kern w:val="0"/>
      <w:sz w:val="28"/>
      <w:szCs w:val="28"/>
    </w:rPr>
  </w:style>
  <w:style w:type="character" w:customStyle="1" w:styleId="1246">
    <w:name w:val="标五 Char"/>
    <w:link w:val="1247"/>
    <w:autoRedefine/>
    <w:qFormat/>
    <w:uiPriority w:val="0"/>
    <w:rPr>
      <w:rFonts w:ascii="仿宋_GB2312" w:eastAsia="仿宋_GB2312"/>
      <w:sz w:val="24"/>
      <w:szCs w:val="24"/>
    </w:rPr>
  </w:style>
  <w:style w:type="paragraph" w:customStyle="1" w:styleId="1247">
    <w:name w:val="标五"/>
    <w:next w:val="1"/>
    <w:link w:val="1246"/>
    <w:autoRedefine/>
    <w:qFormat/>
    <w:uiPriority w:val="0"/>
    <w:pPr>
      <w:spacing w:line="360" w:lineRule="auto"/>
      <w:ind w:firstLine="1"/>
      <w:outlineLvl w:val="4"/>
    </w:pPr>
    <w:rPr>
      <w:rFonts w:ascii="仿宋_GB2312" w:hAnsi="Times New Roman" w:eastAsia="仿宋_GB2312" w:cs="Times New Roman"/>
      <w:sz w:val="24"/>
      <w:szCs w:val="24"/>
      <w:lang w:val="en-US" w:eastAsia="zh-CN" w:bidi="ar-SA"/>
    </w:rPr>
  </w:style>
  <w:style w:type="character" w:styleId="1248">
    <w:name w:val="Placeholder Text"/>
    <w:autoRedefine/>
    <w:qFormat/>
    <w:uiPriority w:val="0"/>
    <w:rPr>
      <w:color w:val="808080"/>
    </w:rPr>
  </w:style>
  <w:style w:type="character" w:customStyle="1" w:styleId="1249">
    <w:name w:val="编制组成员"/>
    <w:autoRedefine/>
    <w:qFormat/>
    <w:uiPriority w:val="0"/>
    <w:rPr>
      <w:sz w:val="32"/>
    </w:rPr>
  </w:style>
  <w:style w:type="character" w:customStyle="1" w:styleId="1250">
    <w:name w:val="p11b1"/>
    <w:autoRedefine/>
    <w:qFormat/>
    <w:uiPriority w:val="0"/>
    <w:rPr>
      <w:rFonts w:eastAsia="楷体_GB2312"/>
      <w:spacing w:val="330"/>
      <w:sz w:val="21"/>
      <w:szCs w:val="21"/>
      <w:u w:val="none"/>
    </w:rPr>
  </w:style>
  <w:style w:type="character" w:customStyle="1" w:styleId="1251">
    <w:name w:val="normalclass1"/>
    <w:autoRedefine/>
    <w:qFormat/>
    <w:uiPriority w:val="0"/>
  </w:style>
  <w:style w:type="character" w:customStyle="1" w:styleId="1252">
    <w:name w:val="MM Topic 4 Char"/>
    <w:autoRedefine/>
    <w:qFormat/>
    <w:uiPriority w:val="0"/>
    <w:rPr>
      <w:rFonts w:ascii="Arial" w:hAnsi="Arial" w:eastAsia="黑体"/>
      <w:b/>
      <w:sz w:val="28"/>
      <w:szCs w:val="28"/>
    </w:rPr>
  </w:style>
  <w:style w:type="character" w:customStyle="1" w:styleId="1253">
    <w:name w:val="inm1"/>
    <w:autoRedefine/>
    <w:qFormat/>
    <w:uiPriority w:val="0"/>
    <w:rPr>
      <w:color w:val="505050"/>
      <w:spacing w:val="300"/>
      <w:sz w:val="18"/>
      <w:szCs w:val="18"/>
      <w:u w:val="none"/>
      <w:shd w:val="clear" w:color="auto" w:fill="FFFFFF"/>
    </w:rPr>
  </w:style>
  <w:style w:type="character" w:customStyle="1" w:styleId="1254">
    <w:name w:val="封面单位"/>
    <w:autoRedefine/>
    <w:qFormat/>
    <w:uiPriority w:val="0"/>
    <w:rPr>
      <w:rFonts w:ascii="黑体" w:hAnsi="黑体" w:eastAsia="黑体"/>
      <w:sz w:val="32"/>
    </w:rPr>
  </w:style>
  <w:style w:type="character" w:customStyle="1" w:styleId="1255">
    <w:name w:val="样式 样式 (中文) 仿宋_GB2312 四号 黑色 首行缩进:  0.96 厘米 行距: 最小值 25 磅 + 自动设置 Char"/>
    <w:link w:val="1256"/>
    <w:autoRedefine/>
    <w:qFormat/>
    <w:uiPriority w:val="0"/>
    <w:rPr>
      <w:rFonts w:eastAsia="仿宋_GB2312" w:cs="宋体"/>
      <w:sz w:val="28"/>
      <w:szCs w:val="28"/>
    </w:rPr>
  </w:style>
  <w:style w:type="paragraph" w:customStyle="1" w:styleId="1256">
    <w:name w:val="样式 样式 (中文) 仿宋_GB2312 四号 黑色 首行缩进:  0.96 厘米 行距: 最小值 25 磅 + 自动设置"/>
    <w:basedOn w:val="1"/>
    <w:link w:val="1255"/>
    <w:autoRedefine/>
    <w:qFormat/>
    <w:uiPriority w:val="0"/>
    <w:pPr>
      <w:spacing w:line="500" w:lineRule="atLeast"/>
      <w:ind w:firstLine="561" w:firstLineChars="200"/>
    </w:pPr>
    <w:rPr>
      <w:rFonts w:eastAsia="仿宋_GB2312" w:cs="宋体"/>
      <w:kern w:val="0"/>
      <w:sz w:val="28"/>
      <w:szCs w:val="28"/>
    </w:rPr>
  </w:style>
  <w:style w:type="character" w:customStyle="1" w:styleId="1257">
    <w:name w:val="五号正文（标准） Char"/>
    <w:link w:val="1258"/>
    <w:autoRedefine/>
    <w:qFormat/>
    <w:uiPriority w:val="0"/>
    <w:rPr>
      <w:rFonts w:ascii="宋体" w:hAnsi="宋体"/>
      <w:b/>
      <w:color w:val="000000"/>
      <w:sz w:val="24"/>
      <w:szCs w:val="24"/>
    </w:rPr>
  </w:style>
  <w:style w:type="paragraph" w:customStyle="1" w:styleId="1258">
    <w:name w:val="五号正文（标准）"/>
    <w:basedOn w:val="1"/>
    <w:link w:val="1257"/>
    <w:autoRedefine/>
    <w:qFormat/>
    <w:uiPriority w:val="0"/>
    <w:pPr>
      <w:spacing w:line="360" w:lineRule="auto"/>
      <w:ind w:firstLine="482" w:firstLineChars="200"/>
    </w:pPr>
    <w:rPr>
      <w:rFonts w:ascii="宋体" w:hAnsi="宋体"/>
      <w:b/>
      <w:color w:val="000000"/>
      <w:kern w:val="0"/>
      <w:sz w:val="24"/>
    </w:rPr>
  </w:style>
  <w:style w:type="paragraph" w:customStyle="1" w:styleId="1259">
    <w:name w:val="xl2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right"/>
    </w:pPr>
    <w:rPr>
      <w:rFonts w:ascii="宋体" w:hAnsi="宋体" w:cs="宋体"/>
      <w:color w:val="000000"/>
      <w:kern w:val="0"/>
      <w:sz w:val="18"/>
      <w:szCs w:val="18"/>
    </w:rPr>
  </w:style>
  <w:style w:type="paragraph" w:customStyle="1" w:styleId="1260">
    <w:name w:val="xl26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right"/>
    </w:pPr>
    <w:rPr>
      <w:rFonts w:ascii="宋体" w:hAnsi="宋体" w:cs="宋体"/>
      <w:b/>
      <w:bCs/>
      <w:color w:val="000000"/>
      <w:kern w:val="0"/>
      <w:sz w:val="18"/>
      <w:szCs w:val="18"/>
    </w:rPr>
  </w:style>
  <w:style w:type="paragraph" w:customStyle="1" w:styleId="1261">
    <w:name w:val="q2"/>
    <w:basedOn w:val="4"/>
    <w:autoRedefine/>
    <w:qFormat/>
    <w:uiPriority w:val="0"/>
    <w:pPr>
      <w:tabs>
        <w:tab w:val="left" w:pos="0"/>
      </w:tabs>
      <w:autoSpaceDE/>
      <w:autoSpaceDN/>
      <w:spacing w:before="0" w:beforeLines="50" w:afterLines="50" w:line="360" w:lineRule="auto"/>
      <w:jc w:val="both"/>
    </w:pPr>
    <w:rPr>
      <w:rFonts w:ascii="Times New Roman" w:hAnsi="Times New Roman" w:eastAsia="宋体"/>
      <w:bCs/>
      <w:kern w:val="2"/>
      <w:sz w:val="32"/>
      <w:szCs w:val="32"/>
    </w:rPr>
  </w:style>
  <w:style w:type="paragraph" w:customStyle="1" w:styleId="1262">
    <w:name w:val="样式 样式 小四 段前: 0.5 行 + 首行缩进:  2 字符"/>
    <w:basedOn w:val="1"/>
    <w:autoRedefine/>
    <w:qFormat/>
    <w:uiPriority w:val="0"/>
    <w:pPr>
      <w:spacing w:beforeLines="50" w:line="360" w:lineRule="auto"/>
      <w:ind w:firstLine="480" w:firstLineChars="200"/>
    </w:pPr>
    <w:rPr>
      <w:rFonts w:cs="宋体"/>
      <w:sz w:val="24"/>
      <w:szCs w:val="20"/>
    </w:rPr>
  </w:style>
  <w:style w:type="paragraph" w:customStyle="1" w:styleId="1263">
    <w:name w:val="xl2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000000"/>
      <w:kern w:val="0"/>
      <w:sz w:val="18"/>
      <w:szCs w:val="18"/>
    </w:rPr>
  </w:style>
  <w:style w:type="paragraph" w:customStyle="1" w:styleId="1264">
    <w:name w:val="样式 标题 4H4Ref Heading 1rh1Heading sqlsect 1.2.3.4h4First S...2"/>
    <w:basedOn w:val="8"/>
    <w:autoRedefine/>
    <w:qFormat/>
    <w:uiPriority w:val="0"/>
    <w:pPr>
      <w:tabs>
        <w:tab w:val="left" w:pos="1080"/>
      </w:tabs>
      <w:adjustRightInd/>
      <w:spacing w:before="0" w:beforeLines="50" w:after="163" w:line="360" w:lineRule="auto"/>
      <w:ind w:left="1180" w:hanging="1180"/>
      <w:textAlignment w:val="auto"/>
    </w:pPr>
    <w:rPr>
      <w:rFonts w:ascii="Arial Black" w:hAnsi="Arial Black" w:eastAsia="宋体" w:cs="宋体"/>
      <w:color w:val="365F91"/>
      <w:kern w:val="2"/>
    </w:rPr>
  </w:style>
  <w:style w:type="paragraph" w:customStyle="1" w:styleId="1265">
    <w:name w:val="xl4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000000"/>
      <w:kern w:val="0"/>
      <w:sz w:val="20"/>
      <w:szCs w:val="20"/>
    </w:rPr>
  </w:style>
  <w:style w:type="paragraph" w:customStyle="1" w:styleId="1266">
    <w:name w:val="Plain Text1"/>
    <w:basedOn w:val="1"/>
    <w:autoRedefine/>
    <w:qFormat/>
    <w:uiPriority w:val="0"/>
    <w:pPr>
      <w:autoSpaceDE w:val="0"/>
      <w:autoSpaceDN w:val="0"/>
      <w:adjustRightInd w:val="0"/>
      <w:spacing w:line="312" w:lineRule="atLeast"/>
      <w:ind w:firstLine="200" w:firstLineChars="200"/>
      <w:textAlignment w:val="baseline"/>
    </w:pPr>
    <w:rPr>
      <w:rFonts w:ascii="宋体"/>
      <w:kern w:val="0"/>
      <w:sz w:val="24"/>
      <w:szCs w:val="20"/>
    </w:rPr>
  </w:style>
  <w:style w:type="paragraph" w:customStyle="1" w:styleId="1267">
    <w:name w:val="xl2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b/>
      <w:bCs/>
      <w:color w:val="000000"/>
      <w:kern w:val="0"/>
      <w:sz w:val="18"/>
      <w:szCs w:val="18"/>
    </w:rPr>
  </w:style>
  <w:style w:type="paragraph" w:customStyle="1" w:styleId="1268">
    <w:name w:val="xl4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kern w:val="0"/>
      <w:sz w:val="20"/>
      <w:szCs w:val="20"/>
    </w:rPr>
  </w:style>
  <w:style w:type="paragraph" w:customStyle="1" w:styleId="1269">
    <w:name w:val="xl4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33CCCC"/>
      <w:spacing w:before="100" w:beforeAutospacing="1" w:after="100" w:afterAutospacing="1" w:line="360" w:lineRule="auto"/>
      <w:ind w:firstLine="200" w:firstLineChars="200"/>
      <w:jc w:val="center"/>
    </w:pPr>
    <w:rPr>
      <w:rFonts w:ascii="宋体" w:hAnsi="宋体" w:cs="宋体"/>
      <w:b/>
      <w:bCs/>
      <w:color w:val="000000"/>
      <w:kern w:val="0"/>
      <w:sz w:val="20"/>
      <w:szCs w:val="20"/>
    </w:rPr>
  </w:style>
  <w:style w:type="paragraph" w:customStyle="1" w:styleId="1270">
    <w:name w:val="xl413"/>
    <w:basedOn w:val="1"/>
    <w:autoRedefine/>
    <w:qFormat/>
    <w:uiPriority w:val="0"/>
    <w:pPr>
      <w:widowControl/>
      <w:spacing w:before="100" w:beforeAutospacing="1" w:after="100" w:afterAutospacing="1" w:line="360" w:lineRule="auto"/>
      <w:ind w:firstLine="200" w:firstLineChars="200"/>
      <w:jc w:val="left"/>
    </w:pPr>
    <w:rPr>
      <w:rFonts w:ascii="宋体" w:hAnsi="宋体" w:cs="宋体"/>
      <w:b/>
      <w:bCs/>
      <w:color w:val="000000"/>
      <w:kern w:val="0"/>
      <w:sz w:val="20"/>
      <w:szCs w:val="20"/>
    </w:rPr>
  </w:style>
  <w:style w:type="paragraph" w:customStyle="1" w:styleId="1271">
    <w:name w:val="小四 行距: 1.5 倍行距"/>
    <w:basedOn w:val="1"/>
    <w:autoRedefine/>
    <w:qFormat/>
    <w:uiPriority w:val="0"/>
    <w:pPr>
      <w:tabs>
        <w:tab w:val="left" w:pos="907"/>
      </w:tabs>
      <w:spacing w:line="360" w:lineRule="auto"/>
      <w:ind w:left="907" w:hanging="619" w:firstLineChars="200"/>
    </w:pPr>
    <w:rPr>
      <w:rFonts w:cs="宋体"/>
      <w:sz w:val="24"/>
      <w:szCs w:val="20"/>
    </w:rPr>
  </w:style>
  <w:style w:type="paragraph" w:customStyle="1" w:styleId="1272">
    <w:name w:val="名称"/>
    <w:basedOn w:val="1"/>
    <w:next w:val="1"/>
    <w:autoRedefine/>
    <w:qFormat/>
    <w:uiPriority w:val="0"/>
    <w:pPr>
      <w:tabs>
        <w:tab w:val="left" w:pos="2730"/>
      </w:tabs>
      <w:spacing w:before="240" w:after="240" w:line="360" w:lineRule="auto"/>
      <w:ind w:firstLine="113" w:firstLineChars="200"/>
      <w:jc w:val="center"/>
    </w:pPr>
    <w:rPr>
      <w:rFonts w:ascii="宋体" w:hAnsi="宋体"/>
      <w:b/>
      <w:bCs/>
      <w:sz w:val="44"/>
      <w:szCs w:val="44"/>
    </w:rPr>
  </w:style>
  <w:style w:type="paragraph" w:customStyle="1" w:styleId="1273">
    <w:name w:val="!k三级标题"/>
    <w:basedOn w:val="5"/>
    <w:next w:val="1"/>
    <w:autoRedefine/>
    <w:qFormat/>
    <w:uiPriority w:val="0"/>
    <w:pPr>
      <w:tabs>
        <w:tab w:val="left" w:pos="0"/>
      </w:tabs>
      <w:autoSpaceDE/>
      <w:autoSpaceDN/>
      <w:adjustRightInd/>
      <w:snapToGrid w:val="0"/>
      <w:spacing w:before="0" w:beforeLines="50" w:after="0" w:afterLines="50"/>
      <w:ind w:left="-32767" w:firstLine="32767"/>
      <w:jc w:val="both"/>
    </w:pPr>
    <w:rPr>
      <w:rFonts w:hAnsi="宋体"/>
      <w:szCs w:val="32"/>
      <w:u w:val="none"/>
    </w:rPr>
  </w:style>
  <w:style w:type="paragraph" w:customStyle="1" w:styleId="1274">
    <w:name w:val="样式 正文缩进表正文正文非缩进ALT+Z四号特点段1正文不缩进特点 Char水上软件标题4正文（首行缩进两..."/>
    <w:basedOn w:val="1"/>
    <w:autoRedefine/>
    <w:qFormat/>
    <w:uiPriority w:val="0"/>
    <w:pPr>
      <w:tabs>
        <w:tab w:val="left" w:pos="907"/>
      </w:tabs>
      <w:spacing w:line="360" w:lineRule="auto"/>
      <w:ind w:left="907" w:hanging="619" w:firstLineChars="200"/>
    </w:pPr>
    <w:rPr>
      <w:rFonts w:ascii="宋体" w:hAnsi="宋体"/>
      <w:sz w:val="24"/>
      <w:szCs w:val="20"/>
    </w:rPr>
  </w:style>
  <w:style w:type="paragraph" w:customStyle="1" w:styleId="1275">
    <w:name w:val="默认段落字体 Para Char Char Char Char Char Char Char Char Char Char"/>
    <w:basedOn w:val="1"/>
    <w:autoRedefine/>
    <w:qFormat/>
    <w:uiPriority w:val="0"/>
    <w:pPr>
      <w:spacing w:line="360" w:lineRule="auto"/>
      <w:ind w:firstLine="200" w:firstLineChars="200"/>
    </w:pPr>
    <w:rPr>
      <w:rFonts w:ascii="Tahoma" w:hAnsi="Tahoma" w:eastAsia="仿宋_GB2312"/>
      <w:sz w:val="24"/>
      <w:szCs w:val="20"/>
    </w:rPr>
  </w:style>
  <w:style w:type="paragraph" w:customStyle="1" w:styleId="1276">
    <w:name w:val="样式 正文（首行缩进两字） + 首行缩进:  2 字符1"/>
    <w:basedOn w:val="6"/>
    <w:autoRedefine/>
    <w:qFormat/>
    <w:uiPriority w:val="0"/>
    <w:pPr>
      <w:tabs>
        <w:tab w:val="left" w:pos="2730"/>
      </w:tabs>
      <w:autoSpaceDE/>
      <w:autoSpaceDN/>
      <w:adjustRightInd/>
      <w:spacing w:line="360" w:lineRule="auto"/>
      <w:ind w:firstLine="480" w:firstLineChars="200"/>
      <w:jc w:val="both"/>
    </w:pPr>
    <w:rPr>
      <w:rFonts w:ascii="Times New Roman"/>
      <w:bCs/>
      <w:szCs w:val="20"/>
    </w:rPr>
  </w:style>
  <w:style w:type="paragraph" w:customStyle="1" w:styleId="1277">
    <w:name w:val="项目编号1级"/>
    <w:basedOn w:val="279"/>
    <w:autoRedefine/>
    <w:qFormat/>
    <w:uiPriority w:val="0"/>
    <w:pPr>
      <w:widowControl w:val="0"/>
      <w:tabs>
        <w:tab w:val="left" w:pos="840"/>
      </w:tabs>
      <w:adjustRightInd/>
      <w:snapToGrid/>
      <w:spacing w:line="360" w:lineRule="auto"/>
      <w:ind w:left="840" w:hanging="420"/>
    </w:pPr>
    <w:rPr>
      <w:rFonts w:ascii="Verdana" w:hAnsi="Verdana"/>
      <w:snapToGrid/>
      <w:kern w:val="2"/>
      <w:sz w:val="24"/>
      <w:szCs w:val="21"/>
      <w:lang w:val="en-US"/>
    </w:rPr>
  </w:style>
  <w:style w:type="paragraph" w:customStyle="1" w:styleId="1278">
    <w:name w:val="并列样式"/>
    <w:basedOn w:val="1"/>
    <w:autoRedefine/>
    <w:qFormat/>
    <w:uiPriority w:val="0"/>
    <w:pPr>
      <w:spacing w:before="60" w:after="60" w:line="360" w:lineRule="auto"/>
      <w:ind w:firstLine="200" w:firstLineChars="200"/>
    </w:pPr>
    <w:rPr>
      <w:sz w:val="24"/>
      <w:szCs w:val="20"/>
    </w:rPr>
  </w:style>
  <w:style w:type="paragraph" w:customStyle="1" w:styleId="1279">
    <w:name w:val="xl271"/>
    <w:basedOn w:val="1"/>
    <w:autoRedefine/>
    <w:qFormat/>
    <w:uiPriority w:val="0"/>
    <w:pPr>
      <w:widowControl/>
      <w:pBdr>
        <w:top w:val="single" w:color="auto" w:sz="4" w:space="0"/>
        <w:left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宋体" w:hAnsi="宋体" w:cs="宋体"/>
      <w:b/>
      <w:bCs/>
      <w:kern w:val="0"/>
      <w:sz w:val="18"/>
      <w:szCs w:val="18"/>
    </w:rPr>
  </w:style>
  <w:style w:type="paragraph" w:customStyle="1" w:styleId="1280">
    <w:name w:val="xl2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color w:val="000000"/>
      <w:kern w:val="0"/>
      <w:sz w:val="18"/>
      <w:szCs w:val="18"/>
    </w:rPr>
  </w:style>
  <w:style w:type="paragraph" w:customStyle="1" w:styleId="1281">
    <w:name w:val="带编号的正文"/>
    <w:basedOn w:val="1"/>
    <w:autoRedefine/>
    <w:qFormat/>
    <w:uiPriority w:val="0"/>
    <w:pPr>
      <w:tabs>
        <w:tab w:val="left" w:pos="1320"/>
      </w:tabs>
      <w:spacing w:line="360" w:lineRule="auto"/>
      <w:ind w:left="1320" w:hanging="420" w:firstLineChars="200"/>
    </w:pPr>
    <w:rPr>
      <w:rFonts w:ascii="宋体" w:hAnsi="宋体"/>
      <w:sz w:val="24"/>
    </w:rPr>
  </w:style>
  <w:style w:type="paragraph" w:customStyle="1" w:styleId="1282">
    <w:name w:val="xl41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33CCCC"/>
      <w:spacing w:before="100" w:beforeAutospacing="1" w:after="100" w:afterAutospacing="1" w:line="360" w:lineRule="auto"/>
      <w:ind w:firstLine="200" w:firstLineChars="200"/>
      <w:jc w:val="center"/>
    </w:pPr>
    <w:rPr>
      <w:rFonts w:ascii="宋体" w:hAnsi="宋体" w:cs="宋体"/>
      <w:b/>
      <w:bCs/>
      <w:color w:val="000000"/>
      <w:kern w:val="0"/>
      <w:sz w:val="20"/>
      <w:szCs w:val="20"/>
    </w:rPr>
  </w:style>
  <w:style w:type="paragraph" w:customStyle="1" w:styleId="1283">
    <w:name w:val="xl4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line="360" w:lineRule="auto"/>
      <w:ind w:firstLine="200" w:firstLineChars="200"/>
      <w:jc w:val="center"/>
    </w:pPr>
    <w:rPr>
      <w:rFonts w:ascii="宋体" w:hAnsi="宋体" w:cs="宋体"/>
      <w:b/>
      <w:bCs/>
      <w:color w:val="000000"/>
      <w:kern w:val="0"/>
      <w:sz w:val="20"/>
      <w:szCs w:val="20"/>
    </w:rPr>
  </w:style>
  <w:style w:type="paragraph" w:customStyle="1" w:styleId="1284">
    <w:name w:val="样式 标题 1H1PIM 1h1标书1第*部分第A章L1bocLevel 1 Topic HeadingHe..."/>
    <w:basedOn w:val="3"/>
    <w:autoRedefine/>
    <w:qFormat/>
    <w:uiPriority w:val="0"/>
    <w:pPr>
      <w:tabs>
        <w:tab w:val="left" w:pos="0"/>
      </w:tabs>
      <w:autoSpaceDE/>
      <w:autoSpaceDN/>
      <w:adjustRightInd/>
      <w:spacing w:before="0" w:beforeLines="50" w:after="0" w:afterLines="50" w:line="360" w:lineRule="auto"/>
      <w:ind w:left="1440"/>
      <w:jc w:val="left"/>
    </w:pPr>
    <w:rPr>
      <w:rFonts w:ascii="Times New Roman" w:cs="宋体"/>
      <w:bCs/>
      <w:sz w:val="44"/>
    </w:rPr>
  </w:style>
  <w:style w:type="paragraph" w:customStyle="1" w:styleId="1285">
    <w:name w:val="标题首行"/>
    <w:basedOn w:val="1"/>
    <w:autoRedefine/>
    <w:qFormat/>
    <w:uiPriority w:val="0"/>
    <w:pPr>
      <w:spacing w:line="360" w:lineRule="auto"/>
      <w:ind w:firstLine="200" w:firstLineChars="200"/>
      <w:jc w:val="center"/>
    </w:pPr>
    <w:rPr>
      <w:rFonts w:ascii="黑体" w:eastAsia="黑体" w:cs="宋体"/>
      <w:sz w:val="44"/>
      <w:szCs w:val="20"/>
    </w:rPr>
  </w:style>
  <w:style w:type="paragraph" w:customStyle="1" w:styleId="1286">
    <w:name w:val="xl2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宋体" w:hAnsi="宋体" w:cs="宋体"/>
      <w:b/>
      <w:bCs/>
      <w:kern w:val="0"/>
      <w:sz w:val="18"/>
      <w:szCs w:val="18"/>
    </w:rPr>
  </w:style>
  <w:style w:type="paragraph" w:customStyle="1" w:styleId="1287">
    <w:name w:val="section list"/>
    <w:basedOn w:val="1"/>
    <w:autoRedefine/>
    <w:qFormat/>
    <w:uiPriority w:val="0"/>
    <w:pPr>
      <w:widowControl/>
      <w:spacing w:line="360" w:lineRule="auto"/>
      <w:ind w:firstLine="200" w:firstLineChars="200"/>
      <w:jc w:val="left"/>
    </w:pPr>
    <w:rPr>
      <w:kern w:val="0"/>
      <w:sz w:val="24"/>
      <w:lang w:val="en-GB" w:eastAsia="en-US"/>
    </w:rPr>
  </w:style>
  <w:style w:type="paragraph" w:customStyle="1" w:styleId="1288">
    <w:name w:val="样式 标题 4Titre4H4PIM 4h4blbbITT t4PA Micro SectionTE Head..."/>
    <w:basedOn w:val="8"/>
    <w:autoRedefine/>
    <w:qFormat/>
    <w:uiPriority w:val="0"/>
    <w:pPr>
      <w:tabs>
        <w:tab w:val="left" w:pos="0"/>
      </w:tabs>
      <w:adjustRightInd/>
      <w:spacing w:before="0" w:beforeLines="50" w:after="163" w:line="360" w:lineRule="auto"/>
      <w:ind w:left="810"/>
      <w:textAlignment w:val="auto"/>
    </w:pPr>
    <w:rPr>
      <w:rFonts w:eastAsia="宋体" w:cs="宋体"/>
      <w:b w:val="0"/>
      <w:bCs/>
      <w:color w:val="365F91"/>
    </w:rPr>
  </w:style>
  <w:style w:type="paragraph" w:customStyle="1" w:styleId="1289">
    <w:name w:val="xl426"/>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290">
    <w:name w:val="xl2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color w:val="000000"/>
      <w:kern w:val="0"/>
      <w:sz w:val="18"/>
      <w:szCs w:val="18"/>
    </w:rPr>
  </w:style>
  <w:style w:type="paragraph" w:customStyle="1" w:styleId="1291">
    <w:name w:val="xl4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color w:val="000000"/>
      <w:kern w:val="0"/>
      <w:sz w:val="20"/>
      <w:szCs w:val="20"/>
    </w:rPr>
  </w:style>
  <w:style w:type="paragraph" w:customStyle="1" w:styleId="1292">
    <w:name w:val="样式 Arial 小四 段前: 7.8 磅 首行缩进:  2 字符"/>
    <w:basedOn w:val="1"/>
    <w:autoRedefine/>
    <w:qFormat/>
    <w:uiPriority w:val="0"/>
    <w:pPr>
      <w:spacing w:before="156" w:line="360" w:lineRule="auto"/>
      <w:ind w:firstLine="200" w:firstLineChars="200"/>
    </w:pPr>
    <w:rPr>
      <w:rFonts w:ascii="Arial" w:hAnsi="Arial" w:cs="宋体"/>
      <w:sz w:val="24"/>
      <w:szCs w:val="20"/>
    </w:rPr>
  </w:style>
  <w:style w:type="paragraph" w:customStyle="1" w:styleId="1293">
    <w:name w:val="Char31"/>
    <w:basedOn w:val="1"/>
    <w:autoRedefine/>
    <w:qFormat/>
    <w:uiPriority w:val="0"/>
    <w:pPr>
      <w:widowControl/>
      <w:spacing w:after="160" w:line="240" w:lineRule="exact"/>
      <w:ind w:firstLine="200" w:firstLineChars="200"/>
      <w:jc w:val="left"/>
    </w:pPr>
    <w:rPr>
      <w:rFonts w:ascii="Verdana" w:hAnsi="Verdana"/>
      <w:kern w:val="0"/>
      <w:sz w:val="20"/>
      <w:szCs w:val="20"/>
      <w:lang w:eastAsia="en-US"/>
    </w:rPr>
  </w:style>
  <w:style w:type="paragraph" w:customStyle="1" w:styleId="1294">
    <w:name w:val="a1"/>
    <w:basedOn w:val="3"/>
    <w:autoRedefine/>
    <w:qFormat/>
    <w:uiPriority w:val="0"/>
    <w:pPr>
      <w:autoSpaceDE/>
      <w:autoSpaceDN/>
      <w:adjustRightInd/>
      <w:spacing w:before="0" w:beforeLines="50" w:after="0" w:afterLines="50" w:line="360" w:lineRule="auto"/>
      <w:ind w:left="425" w:hanging="425"/>
      <w:jc w:val="left"/>
    </w:pPr>
    <w:rPr>
      <w:rFonts w:ascii="Calibri" w:hAnsi="Calibri"/>
      <w:b w:val="0"/>
      <w:bCs/>
      <w:sz w:val="44"/>
      <w:szCs w:val="44"/>
    </w:rPr>
  </w:style>
  <w:style w:type="paragraph" w:customStyle="1" w:styleId="1295">
    <w:name w:val="#"/>
    <w:basedOn w:val="1296"/>
    <w:autoRedefine/>
    <w:qFormat/>
    <w:uiPriority w:val="0"/>
    <w:pPr>
      <w:tabs>
        <w:tab w:val="left" w:pos="964"/>
      </w:tabs>
    </w:pPr>
  </w:style>
  <w:style w:type="paragraph" w:customStyle="1" w:styleId="1296">
    <w:name w:val="@"/>
    <w:basedOn w:val="570"/>
    <w:autoRedefine/>
    <w:qFormat/>
    <w:uiPriority w:val="0"/>
    <w:pPr>
      <w:ind w:firstLine="200" w:firstLineChars="200"/>
    </w:pPr>
    <w:rPr>
      <w:rFonts w:ascii="Times New Roman" w:hAnsi="Times New Roman"/>
    </w:rPr>
  </w:style>
  <w:style w:type="paragraph" w:customStyle="1" w:styleId="1297">
    <w:name w:val="符号悬挂缩进"/>
    <w:basedOn w:val="1"/>
    <w:autoRedefine/>
    <w:qFormat/>
    <w:uiPriority w:val="0"/>
    <w:pPr>
      <w:tabs>
        <w:tab w:val="left" w:pos="2730"/>
      </w:tabs>
      <w:spacing w:line="360" w:lineRule="auto"/>
      <w:ind w:firstLine="200" w:firstLineChars="200"/>
    </w:pPr>
    <w:rPr>
      <w:bCs/>
      <w:kern w:val="0"/>
      <w:sz w:val="24"/>
    </w:rPr>
  </w:style>
  <w:style w:type="paragraph" w:customStyle="1" w:styleId="1298">
    <w:name w:val="my（1）"/>
    <w:basedOn w:val="453"/>
    <w:autoRedefine/>
    <w:qFormat/>
    <w:uiPriority w:val="0"/>
    <w:pPr>
      <w:tabs>
        <w:tab w:val="left" w:pos="0"/>
        <w:tab w:val="left" w:pos="360"/>
      </w:tabs>
      <w:spacing w:before="156" w:after="156"/>
      <w:ind w:firstLine="0" w:firstLineChars="0"/>
    </w:pPr>
  </w:style>
  <w:style w:type="paragraph" w:customStyle="1" w:styleId="1299">
    <w:name w:val="样式 小四 行距: 1.5 倍行距 首行缩进:  2 字符"/>
    <w:basedOn w:val="1"/>
    <w:autoRedefine/>
    <w:qFormat/>
    <w:uiPriority w:val="0"/>
    <w:pPr>
      <w:spacing w:line="360" w:lineRule="auto"/>
      <w:ind w:firstLine="480" w:firstLineChars="200"/>
    </w:pPr>
    <w:rPr>
      <w:rFonts w:eastAsia="楷体_GB2312"/>
      <w:sz w:val="24"/>
      <w:szCs w:val="20"/>
    </w:rPr>
  </w:style>
  <w:style w:type="paragraph" w:customStyle="1" w:styleId="1300">
    <w:name w:val="Text"/>
    <w:autoRedefine/>
    <w:qFormat/>
    <w:uiPriority w:val="0"/>
    <w:pPr>
      <w:tabs>
        <w:tab w:val="left" w:pos="420"/>
        <w:tab w:val="left" w:pos="840"/>
        <w:tab w:val="left" w:pos="1260"/>
      </w:tabs>
      <w:adjustRightInd w:val="0"/>
      <w:snapToGrid w:val="0"/>
      <w:spacing w:beforeLines="75" w:afterLines="50" w:line="300" w:lineRule="auto"/>
      <w:ind w:firstLine="540" w:firstLineChars="225"/>
      <w:jc w:val="both"/>
    </w:pPr>
    <w:rPr>
      <w:rFonts w:ascii="仿宋_GB2312" w:hAnsi="Palatino Linotype" w:eastAsia="仿宋_GB2312" w:cs="Times New Roman"/>
      <w:sz w:val="24"/>
      <w:szCs w:val="22"/>
      <w:lang w:val="en-US" w:eastAsia="zh-CN" w:bidi="ar-SA"/>
    </w:rPr>
  </w:style>
  <w:style w:type="paragraph" w:customStyle="1" w:styleId="1301">
    <w:name w:val="Bullet 1"/>
    <w:basedOn w:val="1"/>
    <w:autoRedefine/>
    <w:qFormat/>
    <w:uiPriority w:val="0"/>
    <w:pPr>
      <w:widowControl/>
      <w:tabs>
        <w:tab w:val="left" w:pos="619"/>
      </w:tabs>
      <w:spacing w:before="72" w:line="360" w:lineRule="auto"/>
      <w:ind w:left="619" w:hanging="619" w:firstLineChars="200"/>
      <w:jc w:val="left"/>
    </w:pPr>
    <w:rPr>
      <w:rFonts w:ascii="Arial" w:hAnsi="Arial"/>
      <w:kern w:val="0"/>
      <w:sz w:val="20"/>
      <w:lang w:val="en-GB" w:eastAsia="en-US"/>
    </w:rPr>
  </w:style>
  <w:style w:type="paragraph" w:customStyle="1" w:styleId="1302">
    <w:name w:val="Body Single"/>
    <w:basedOn w:val="1"/>
    <w:autoRedefine/>
    <w:qFormat/>
    <w:uiPriority w:val="0"/>
    <w:pPr>
      <w:widowControl/>
      <w:overflowPunct w:val="0"/>
      <w:autoSpaceDE w:val="0"/>
      <w:autoSpaceDN w:val="0"/>
      <w:adjustRightInd w:val="0"/>
      <w:spacing w:line="360" w:lineRule="auto"/>
      <w:ind w:firstLine="200" w:firstLineChars="200"/>
      <w:jc w:val="left"/>
      <w:textAlignment w:val="baseline"/>
    </w:pPr>
    <w:rPr>
      <w:rFonts w:eastAsia="Times New Roman"/>
      <w:kern w:val="0"/>
      <w:sz w:val="24"/>
      <w:szCs w:val="20"/>
      <w:lang w:eastAsia="en-US"/>
    </w:rPr>
  </w:style>
  <w:style w:type="paragraph" w:customStyle="1" w:styleId="1303">
    <w:name w:val="xl265"/>
    <w:basedOn w:val="1"/>
    <w:autoRedefine/>
    <w:qFormat/>
    <w:uiPriority w:val="0"/>
    <w:pPr>
      <w:widowControl/>
      <w:spacing w:before="100" w:beforeAutospacing="1" w:after="100" w:afterAutospacing="1" w:line="360" w:lineRule="auto"/>
      <w:ind w:firstLine="200" w:firstLineChars="200"/>
      <w:jc w:val="left"/>
    </w:pPr>
    <w:rPr>
      <w:rFonts w:ascii="宋体" w:hAnsi="宋体" w:cs="宋体"/>
      <w:color w:val="0000FF"/>
      <w:kern w:val="0"/>
      <w:sz w:val="18"/>
      <w:szCs w:val="18"/>
    </w:rPr>
  </w:style>
  <w:style w:type="paragraph" w:customStyle="1" w:styleId="1304">
    <w:name w:val="Char Char Char Char Char Char1 Char Char Char Char Char Char Char Char Char Char Char Char Char Char Char Char Char"/>
    <w:basedOn w:val="1"/>
    <w:autoRedefine/>
    <w:qFormat/>
    <w:uiPriority w:val="0"/>
    <w:pPr>
      <w:widowControl/>
      <w:spacing w:after="160" w:line="240" w:lineRule="exact"/>
      <w:ind w:firstLine="200" w:firstLineChars="200"/>
      <w:jc w:val="left"/>
    </w:pPr>
    <w:rPr>
      <w:rFonts w:ascii="Verdana" w:hAnsi="Verdana" w:eastAsia="仿宋_GB2312"/>
      <w:sz w:val="24"/>
      <w:lang w:eastAsia="en-US"/>
    </w:rPr>
  </w:style>
  <w:style w:type="paragraph" w:customStyle="1" w:styleId="1305">
    <w:name w:val="xl241"/>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1306">
    <w:name w:val="xl4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307">
    <w:name w:val="0"/>
    <w:basedOn w:val="1"/>
    <w:autoRedefine/>
    <w:qFormat/>
    <w:uiPriority w:val="0"/>
    <w:pPr>
      <w:widowControl/>
      <w:snapToGrid w:val="0"/>
      <w:spacing w:line="365" w:lineRule="atLeast"/>
      <w:ind w:left="1" w:firstLine="200" w:firstLineChars="200"/>
      <w:textAlignment w:val="bottom"/>
    </w:pPr>
    <w:rPr>
      <w:kern w:val="0"/>
      <w:sz w:val="20"/>
      <w:szCs w:val="20"/>
    </w:rPr>
  </w:style>
  <w:style w:type="paragraph" w:customStyle="1" w:styleId="1308">
    <w:name w:val="项目"/>
    <w:basedOn w:val="1"/>
    <w:autoRedefine/>
    <w:qFormat/>
    <w:uiPriority w:val="0"/>
    <w:pPr>
      <w:tabs>
        <w:tab w:val="left" w:pos="907"/>
      </w:tabs>
      <w:adjustRightInd w:val="0"/>
      <w:spacing w:line="360" w:lineRule="auto"/>
      <w:ind w:left="907" w:hanging="619" w:firstLineChars="200"/>
      <w:jc w:val="left"/>
      <w:textAlignment w:val="baseline"/>
    </w:pPr>
    <w:rPr>
      <w:rFonts w:ascii="宋体" w:hAnsi="宋体"/>
      <w:kern w:val="0"/>
      <w:sz w:val="24"/>
      <w:szCs w:val="20"/>
    </w:rPr>
  </w:style>
  <w:style w:type="paragraph" w:customStyle="1" w:styleId="1309">
    <w:name w:val="xl25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宋体" w:hAnsi="宋体" w:cs="宋体"/>
      <w:b/>
      <w:bCs/>
      <w:kern w:val="0"/>
      <w:sz w:val="18"/>
      <w:szCs w:val="18"/>
    </w:rPr>
  </w:style>
  <w:style w:type="paragraph" w:customStyle="1" w:styleId="1310">
    <w:name w:val="xl2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b/>
      <w:bCs/>
      <w:kern w:val="0"/>
      <w:sz w:val="18"/>
      <w:szCs w:val="18"/>
    </w:rPr>
  </w:style>
  <w:style w:type="character" w:customStyle="1" w:styleId="1311">
    <w:name w:val="一般文字 Char1"/>
    <w:autoRedefine/>
    <w:qFormat/>
    <w:uiPriority w:val="0"/>
    <w:rPr>
      <w:rFonts w:ascii="宋体" w:hAnsi="Plotter" w:cs="Plotter"/>
      <w:kern w:val="2"/>
      <w:sz w:val="24"/>
      <w:szCs w:val="24"/>
    </w:rPr>
  </w:style>
  <w:style w:type="paragraph" w:customStyle="1" w:styleId="1312">
    <w:name w:val="xl266"/>
    <w:basedOn w:val="1"/>
    <w:autoRedefine/>
    <w:qFormat/>
    <w:uiPriority w:val="0"/>
    <w:pPr>
      <w:widowControl/>
      <w:spacing w:before="100" w:beforeAutospacing="1" w:after="100" w:afterAutospacing="1" w:line="360" w:lineRule="auto"/>
      <w:ind w:firstLine="200" w:firstLineChars="200"/>
      <w:jc w:val="center"/>
    </w:pPr>
    <w:rPr>
      <w:rFonts w:ascii="宋体" w:hAnsi="宋体" w:cs="宋体"/>
      <w:color w:val="0000FF"/>
      <w:kern w:val="0"/>
      <w:sz w:val="18"/>
      <w:szCs w:val="18"/>
    </w:rPr>
  </w:style>
  <w:style w:type="paragraph" w:customStyle="1" w:styleId="1313">
    <w:name w:val="xl264"/>
    <w:basedOn w:val="1"/>
    <w:autoRedefine/>
    <w:qFormat/>
    <w:uiPriority w:val="0"/>
    <w:pPr>
      <w:widowControl/>
      <w:spacing w:before="100" w:beforeAutospacing="1" w:after="100" w:afterAutospacing="1" w:line="360" w:lineRule="auto"/>
      <w:ind w:firstLine="200" w:firstLineChars="200"/>
      <w:jc w:val="center"/>
    </w:pPr>
    <w:rPr>
      <w:rFonts w:ascii="宋体" w:hAnsi="宋体" w:cs="宋体"/>
      <w:kern w:val="0"/>
      <w:sz w:val="18"/>
      <w:szCs w:val="18"/>
    </w:rPr>
  </w:style>
  <w:style w:type="paragraph" w:customStyle="1" w:styleId="1314">
    <w:name w:val="xl272"/>
    <w:basedOn w:val="1"/>
    <w:autoRedefine/>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宋体" w:hAnsi="宋体" w:cs="宋体"/>
      <w:b/>
      <w:bCs/>
      <w:kern w:val="0"/>
      <w:sz w:val="18"/>
      <w:szCs w:val="18"/>
    </w:rPr>
  </w:style>
  <w:style w:type="paragraph" w:customStyle="1" w:styleId="1315">
    <w:name w:val="!a章标题"/>
    <w:basedOn w:val="3"/>
    <w:next w:val="1"/>
    <w:autoRedefine/>
    <w:qFormat/>
    <w:uiPriority w:val="0"/>
    <w:pPr>
      <w:autoSpaceDE/>
      <w:autoSpaceDN/>
      <w:adjustRightInd/>
      <w:spacing w:before="0" w:after="0" w:line="240" w:lineRule="auto"/>
      <w:ind w:left="-32767" w:firstLine="32767"/>
      <w:jc w:val="left"/>
    </w:pPr>
    <w:rPr>
      <w:rFonts w:hAnsi="宋体"/>
      <w:kern w:val="32"/>
      <w:szCs w:val="32"/>
    </w:rPr>
  </w:style>
  <w:style w:type="paragraph" w:customStyle="1" w:styleId="1316">
    <w:name w:val="文档正文 Char"/>
    <w:basedOn w:val="1"/>
    <w:autoRedefine/>
    <w:qFormat/>
    <w:uiPriority w:val="0"/>
    <w:pPr>
      <w:adjustRightInd w:val="0"/>
      <w:spacing w:line="500" w:lineRule="exact"/>
      <w:ind w:firstLine="567" w:firstLineChars="200"/>
      <w:textAlignment w:val="baseline"/>
    </w:pPr>
    <w:rPr>
      <w:rFonts w:ascii="仿宋_GB2312" w:eastAsia="仿宋_GB2312"/>
      <w:sz w:val="28"/>
    </w:rPr>
  </w:style>
  <w:style w:type="paragraph" w:customStyle="1" w:styleId="1317">
    <w:name w:val="xl2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宋体" w:hAnsi="宋体" w:cs="宋体"/>
      <w:b/>
      <w:bCs/>
      <w:kern w:val="0"/>
      <w:sz w:val="18"/>
      <w:szCs w:val="18"/>
    </w:rPr>
  </w:style>
  <w:style w:type="paragraph" w:customStyle="1" w:styleId="1318">
    <w:name w:val="xl26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left"/>
    </w:pPr>
    <w:rPr>
      <w:rFonts w:ascii="宋体" w:hAnsi="宋体" w:cs="宋体"/>
      <w:b/>
      <w:bCs/>
      <w:color w:val="000000"/>
      <w:kern w:val="0"/>
      <w:sz w:val="18"/>
      <w:szCs w:val="18"/>
    </w:rPr>
  </w:style>
  <w:style w:type="paragraph" w:customStyle="1" w:styleId="1319">
    <w:name w:val="xl2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b/>
      <w:bCs/>
      <w:color w:val="000000"/>
      <w:kern w:val="0"/>
      <w:sz w:val="18"/>
      <w:szCs w:val="18"/>
    </w:rPr>
  </w:style>
  <w:style w:type="paragraph" w:customStyle="1" w:styleId="1320">
    <w:name w:val="带符号正文加粗"/>
    <w:basedOn w:val="1"/>
    <w:autoRedefine/>
    <w:qFormat/>
    <w:uiPriority w:val="0"/>
    <w:pPr>
      <w:tabs>
        <w:tab w:val="left" w:pos="620"/>
      </w:tabs>
      <w:spacing w:before="120" w:after="120" w:line="360" w:lineRule="auto"/>
      <w:ind w:left="620" w:hanging="420" w:firstLineChars="200"/>
    </w:pPr>
    <w:rPr>
      <w:b/>
      <w:bCs/>
      <w:sz w:val="24"/>
    </w:rPr>
  </w:style>
  <w:style w:type="paragraph" w:customStyle="1" w:styleId="1321">
    <w:name w:val="参编人员"/>
    <w:basedOn w:val="1"/>
    <w:autoRedefine/>
    <w:qFormat/>
    <w:uiPriority w:val="0"/>
    <w:pPr>
      <w:spacing w:before="312" w:after="312" w:line="480" w:lineRule="auto"/>
      <w:ind w:firstLine="200" w:firstLineChars="200"/>
      <w:jc w:val="center"/>
    </w:pPr>
    <w:rPr>
      <w:rFonts w:ascii="Arial Black" w:hAnsi="宋体" w:cs="宋体"/>
      <w:b/>
      <w:bCs/>
      <w:sz w:val="44"/>
      <w:szCs w:val="20"/>
    </w:rPr>
  </w:style>
  <w:style w:type="paragraph" w:customStyle="1" w:styleId="1322">
    <w:name w:val="!BECC正文"/>
    <w:basedOn w:val="1"/>
    <w:autoRedefine/>
    <w:qFormat/>
    <w:uiPriority w:val="0"/>
    <w:pPr>
      <w:tabs>
        <w:tab w:val="left" w:pos="0"/>
      </w:tabs>
      <w:spacing w:beforeLines="50" w:afterLines="50" w:line="360" w:lineRule="auto"/>
      <w:ind w:firstLine="200" w:firstLineChars="200"/>
    </w:pPr>
    <w:rPr>
      <w:sz w:val="24"/>
    </w:rPr>
  </w:style>
  <w:style w:type="paragraph" w:customStyle="1" w:styleId="1323">
    <w:name w:val="xl2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000000"/>
      <w:kern w:val="0"/>
      <w:sz w:val="18"/>
      <w:szCs w:val="18"/>
    </w:rPr>
  </w:style>
  <w:style w:type="paragraph" w:customStyle="1" w:styleId="1324">
    <w:name w:val="!封面小标题"/>
    <w:autoRedefine/>
    <w:qFormat/>
    <w:uiPriority w:val="0"/>
    <w:pPr>
      <w:spacing w:before="156" w:after="156"/>
      <w:jc w:val="center"/>
    </w:pPr>
    <w:rPr>
      <w:rFonts w:ascii="Times New Roman" w:hAnsi="Times New Roman" w:eastAsia="黑体" w:cs="Times New Roman"/>
      <w:kern w:val="2"/>
      <w:sz w:val="36"/>
      <w:szCs w:val="36"/>
      <w:lang w:val="en-US" w:eastAsia="zh-CN" w:bidi="ar-SA"/>
    </w:rPr>
  </w:style>
  <w:style w:type="paragraph" w:customStyle="1" w:styleId="1325">
    <w:name w:val="xl26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宋体" w:hAnsi="宋体" w:cs="宋体"/>
      <w:b/>
      <w:bCs/>
      <w:color w:val="000000"/>
      <w:kern w:val="0"/>
      <w:sz w:val="18"/>
      <w:szCs w:val="18"/>
    </w:rPr>
  </w:style>
  <w:style w:type="paragraph" w:customStyle="1" w:styleId="1326">
    <w:name w:val="xl4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000000"/>
      <w:kern w:val="0"/>
      <w:sz w:val="20"/>
      <w:szCs w:val="20"/>
    </w:rPr>
  </w:style>
  <w:style w:type="paragraph" w:customStyle="1" w:styleId="1327">
    <w:name w:val="Highlight"/>
    <w:basedOn w:val="1"/>
    <w:autoRedefine/>
    <w:qFormat/>
    <w:uiPriority w:val="0"/>
    <w:pPr>
      <w:widowControl/>
      <w:spacing w:before="240" w:after="120" w:line="288" w:lineRule="auto"/>
      <w:ind w:firstLine="454" w:firstLineChars="200"/>
      <w:jc w:val="left"/>
    </w:pPr>
    <w:rPr>
      <w:b/>
      <w:kern w:val="0"/>
      <w:sz w:val="24"/>
      <w:u w:val="single"/>
    </w:rPr>
  </w:style>
  <w:style w:type="paragraph" w:customStyle="1" w:styleId="1328">
    <w:name w:val="q5"/>
    <w:basedOn w:val="9"/>
    <w:autoRedefine/>
    <w:qFormat/>
    <w:uiPriority w:val="0"/>
    <w:pPr>
      <w:keepNext w:val="0"/>
      <w:keepLines w:val="0"/>
      <w:tabs>
        <w:tab w:val="left" w:pos="0"/>
      </w:tabs>
      <w:adjustRightInd/>
      <w:snapToGrid w:val="0"/>
      <w:spacing w:beforeLines="50" w:afterLines="50" w:line="360" w:lineRule="auto"/>
      <w:ind w:firstLine="200" w:firstLineChars="200"/>
      <w:jc w:val="left"/>
      <w:textAlignment w:val="auto"/>
    </w:pPr>
    <w:rPr>
      <w:bCs/>
      <w:kern w:val="2"/>
      <w:sz w:val="24"/>
      <w:szCs w:val="24"/>
    </w:rPr>
  </w:style>
  <w:style w:type="paragraph" w:customStyle="1" w:styleId="1329">
    <w:name w:val="项目下文字"/>
    <w:basedOn w:val="1308"/>
    <w:autoRedefine/>
    <w:qFormat/>
    <w:uiPriority w:val="0"/>
    <w:pPr>
      <w:tabs>
        <w:tab w:val="left" w:pos="840"/>
        <w:tab w:val="clear" w:pos="907"/>
      </w:tabs>
      <w:ind w:left="840" w:hanging="360"/>
    </w:pPr>
  </w:style>
  <w:style w:type="paragraph" w:customStyle="1" w:styleId="1330">
    <w:name w:val="xl2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000000"/>
      <w:kern w:val="0"/>
      <w:sz w:val="18"/>
      <w:szCs w:val="18"/>
    </w:rPr>
  </w:style>
  <w:style w:type="paragraph" w:customStyle="1" w:styleId="1331">
    <w:name w:val="q3"/>
    <w:basedOn w:val="5"/>
    <w:autoRedefine/>
    <w:qFormat/>
    <w:uiPriority w:val="0"/>
    <w:pPr>
      <w:tabs>
        <w:tab w:val="left" w:pos="0"/>
      </w:tabs>
      <w:autoSpaceDE/>
      <w:autoSpaceDN/>
      <w:adjustRightInd/>
      <w:snapToGrid w:val="0"/>
      <w:spacing w:before="0" w:beforeLines="50" w:after="0" w:afterLines="50" w:line="360" w:lineRule="auto"/>
      <w:jc w:val="both"/>
    </w:pPr>
    <w:rPr>
      <w:rFonts w:hAnsi="宋体"/>
      <w:bCs/>
      <w:kern w:val="2"/>
      <w:sz w:val="28"/>
      <w:szCs w:val="28"/>
      <w:u w:val="none"/>
    </w:rPr>
  </w:style>
  <w:style w:type="paragraph" w:customStyle="1" w:styleId="1332">
    <w:name w:val="普通正文"/>
    <w:basedOn w:val="1"/>
    <w:link w:val="1333"/>
    <w:autoRedefine/>
    <w:qFormat/>
    <w:uiPriority w:val="0"/>
    <w:pPr>
      <w:adjustRightInd w:val="0"/>
      <w:spacing w:before="120" w:after="120" w:line="360" w:lineRule="auto"/>
      <w:ind w:firstLine="480" w:firstLineChars="200"/>
      <w:jc w:val="left"/>
      <w:textAlignment w:val="baseline"/>
    </w:pPr>
    <w:rPr>
      <w:rFonts w:ascii="Arial" w:hAnsi="Arial"/>
      <w:kern w:val="0"/>
      <w:sz w:val="24"/>
    </w:rPr>
  </w:style>
  <w:style w:type="character" w:customStyle="1" w:styleId="1333">
    <w:name w:val="普通正文 Char"/>
    <w:link w:val="1332"/>
    <w:autoRedefine/>
    <w:qFormat/>
    <w:locked/>
    <w:uiPriority w:val="0"/>
    <w:rPr>
      <w:rFonts w:ascii="Arial" w:hAnsi="Arial"/>
      <w:sz w:val="24"/>
      <w:szCs w:val="24"/>
    </w:rPr>
  </w:style>
  <w:style w:type="paragraph" w:customStyle="1" w:styleId="1334">
    <w:name w:val="ddddd"/>
    <w:basedOn w:val="1"/>
    <w:autoRedefine/>
    <w:qFormat/>
    <w:uiPriority w:val="0"/>
    <w:pPr>
      <w:pageBreakBefore/>
      <w:spacing w:line="360" w:lineRule="auto"/>
      <w:ind w:firstLine="200" w:firstLineChars="200"/>
    </w:pPr>
    <w:rPr>
      <w:rFonts w:ascii="Tahoma" w:hAnsi="Tahoma"/>
      <w:sz w:val="24"/>
      <w:szCs w:val="20"/>
    </w:rPr>
  </w:style>
  <w:style w:type="paragraph" w:customStyle="1" w:styleId="1335">
    <w:name w:val="HD正文1"/>
    <w:basedOn w:val="1"/>
    <w:autoRedefine/>
    <w:qFormat/>
    <w:uiPriority w:val="0"/>
    <w:pPr>
      <w:spacing w:line="440" w:lineRule="atLeast"/>
      <w:ind w:firstLine="540" w:firstLineChars="200"/>
    </w:pPr>
    <w:rPr>
      <w:sz w:val="24"/>
    </w:rPr>
  </w:style>
  <w:style w:type="paragraph" w:customStyle="1" w:styleId="1336">
    <w:name w:val="带符号正文"/>
    <w:basedOn w:val="1"/>
    <w:autoRedefine/>
    <w:qFormat/>
    <w:uiPriority w:val="0"/>
    <w:pPr>
      <w:tabs>
        <w:tab w:val="left" w:pos="840"/>
      </w:tabs>
      <w:spacing w:before="120" w:after="120" w:line="360" w:lineRule="auto"/>
      <w:ind w:left="840" w:hanging="420" w:firstLineChars="200"/>
    </w:pPr>
    <w:rPr>
      <w:rFonts w:ascii="宋体" w:hAnsi="宋体"/>
      <w:bCs/>
      <w:sz w:val="24"/>
    </w:rPr>
  </w:style>
  <w:style w:type="paragraph" w:customStyle="1" w:styleId="1337">
    <w:name w:val="xl4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338">
    <w:name w:val="表身"/>
    <w:autoRedefine/>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339">
    <w:name w:val="样式 正文（首行缩进两字） + 首行缩进:  2 字符"/>
    <w:basedOn w:val="6"/>
    <w:autoRedefine/>
    <w:qFormat/>
    <w:uiPriority w:val="0"/>
    <w:pPr>
      <w:tabs>
        <w:tab w:val="left" w:pos="2730"/>
      </w:tabs>
      <w:autoSpaceDE/>
      <w:autoSpaceDN/>
      <w:adjustRightInd/>
      <w:spacing w:line="360" w:lineRule="auto"/>
      <w:ind w:firstLine="480" w:firstLineChars="200"/>
      <w:jc w:val="both"/>
    </w:pPr>
    <w:rPr>
      <w:rFonts w:ascii="Times New Roman"/>
      <w:bCs/>
      <w:szCs w:val="20"/>
    </w:rPr>
  </w:style>
  <w:style w:type="paragraph" w:customStyle="1" w:styleId="1340">
    <w:name w:val="表格内容1"/>
    <w:basedOn w:val="1"/>
    <w:autoRedefine/>
    <w:qFormat/>
    <w:uiPriority w:val="0"/>
    <w:pPr>
      <w:spacing w:line="360" w:lineRule="auto"/>
      <w:ind w:firstLine="200" w:firstLineChars="200"/>
    </w:pPr>
    <w:rPr>
      <w:rFonts w:ascii="宋体"/>
      <w:sz w:val="24"/>
      <w:szCs w:val="20"/>
    </w:rPr>
  </w:style>
  <w:style w:type="paragraph" w:customStyle="1" w:styleId="1341">
    <w:name w:val="xl4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color w:val="000000"/>
      <w:kern w:val="0"/>
      <w:sz w:val="20"/>
      <w:szCs w:val="20"/>
    </w:rPr>
  </w:style>
  <w:style w:type="paragraph" w:customStyle="1" w:styleId="1342">
    <w:name w:val="技术文档正文"/>
    <w:basedOn w:val="25"/>
    <w:autoRedefine/>
    <w:qFormat/>
    <w:uiPriority w:val="0"/>
    <w:pPr>
      <w:spacing w:line="360" w:lineRule="auto"/>
      <w:ind w:firstLine="200" w:firstLineChars="200"/>
    </w:pPr>
    <w:rPr>
      <w:rFonts w:ascii="Tahoma" w:hAnsi="Tahoma"/>
      <w:kern w:val="0"/>
      <w:sz w:val="24"/>
    </w:rPr>
  </w:style>
  <w:style w:type="paragraph" w:customStyle="1" w:styleId="1343">
    <w:name w:val="xl40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1344">
    <w:name w:val="xl4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000000"/>
      <w:kern w:val="0"/>
      <w:sz w:val="20"/>
      <w:szCs w:val="20"/>
    </w:rPr>
  </w:style>
  <w:style w:type="paragraph" w:customStyle="1" w:styleId="1345">
    <w:name w:val="Char Char1 Char Char2 Char Char"/>
    <w:basedOn w:val="1"/>
    <w:autoRedefine/>
    <w:qFormat/>
    <w:uiPriority w:val="0"/>
    <w:pPr>
      <w:widowControl/>
      <w:spacing w:after="160" w:line="240" w:lineRule="exact"/>
      <w:ind w:firstLine="200" w:firstLineChars="200"/>
      <w:jc w:val="left"/>
    </w:pPr>
    <w:rPr>
      <w:rFonts w:ascii="Verdana" w:hAnsi="Verdana"/>
      <w:kern w:val="0"/>
      <w:sz w:val="20"/>
      <w:szCs w:val="20"/>
      <w:lang w:eastAsia="en-US"/>
    </w:rPr>
  </w:style>
  <w:style w:type="paragraph" w:customStyle="1" w:styleId="1346">
    <w:name w:val="样式 列表 5 + 左侧:  8 字符 悬挂缩进: 2 字符"/>
    <w:basedOn w:val="66"/>
    <w:autoRedefine/>
    <w:qFormat/>
    <w:uiPriority w:val="0"/>
    <w:pPr>
      <w:ind w:left="0" w:leftChars="0" w:firstLine="0" w:firstLineChars="0"/>
      <w:jc w:val="center"/>
    </w:pPr>
    <w:rPr>
      <w:rFonts w:cs="宋体"/>
      <w:sz w:val="24"/>
      <w:szCs w:val="20"/>
    </w:rPr>
  </w:style>
  <w:style w:type="paragraph" w:customStyle="1" w:styleId="1347">
    <w:name w:val="xl270"/>
    <w:basedOn w:val="1"/>
    <w:autoRedefine/>
    <w:qFormat/>
    <w:uiPriority w:val="0"/>
    <w:pPr>
      <w:widowControl/>
      <w:pBdr>
        <w:bottom w:val="single" w:color="auto" w:sz="4" w:space="0"/>
      </w:pBdr>
      <w:spacing w:before="100" w:beforeAutospacing="1" w:after="100" w:afterAutospacing="1" w:line="360" w:lineRule="auto"/>
      <w:ind w:firstLine="200" w:firstLineChars="200"/>
      <w:jc w:val="center"/>
    </w:pPr>
    <w:rPr>
      <w:rFonts w:ascii="宋体" w:hAnsi="宋体" w:cs="宋体"/>
      <w:b/>
      <w:bCs/>
      <w:kern w:val="0"/>
      <w:sz w:val="24"/>
    </w:rPr>
  </w:style>
  <w:style w:type="paragraph" w:customStyle="1" w:styleId="1348">
    <w:name w:val="样式 标题 3Level 3 HeadH3Heading 3 - oldh3sect1.2.3Head33l3..."/>
    <w:basedOn w:val="5"/>
    <w:autoRedefine/>
    <w:qFormat/>
    <w:uiPriority w:val="0"/>
    <w:pPr>
      <w:tabs>
        <w:tab w:val="left" w:pos="0"/>
      </w:tabs>
      <w:autoSpaceDE/>
      <w:autoSpaceDN/>
      <w:adjustRightInd/>
      <w:snapToGrid w:val="0"/>
      <w:spacing w:before="0" w:beforeLines="50" w:after="0" w:afterLines="50" w:line="360" w:lineRule="auto"/>
      <w:jc w:val="both"/>
    </w:pPr>
    <w:rPr>
      <w:rFonts w:ascii="Arial" w:hAnsi="Arial" w:cs="宋体"/>
      <w:bCs/>
      <w:kern w:val="2"/>
      <w:sz w:val="30"/>
      <w:szCs w:val="30"/>
      <w:u w:val="none"/>
    </w:rPr>
  </w:style>
  <w:style w:type="paragraph" w:customStyle="1" w:styleId="1349">
    <w:name w:val="正文加粗"/>
    <w:basedOn w:val="81"/>
    <w:autoRedefine/>
    <w:qFormat/>
    <w:uiPriority w:val="0"/>
    <w:pPr>
      <w:tabs>
        <w:tab w:val="clear" w:pos="567"/>
      </w:tabs>
      <w:spacing w:after="120" w:line="360" w:lineRule="auto"/>
      <w:ind w:firstLine="482" w:firstLineChars="200"/>
    </w:pPr>
    <w:rPr>
      <w:rFonts w:ascii="Times New Roman" w:hAnsi="Times New Roman"/>
      <w:b/>
      <w:sz w:val="21"/>
    </w:rPr>
  </w:style>
  <w:style w:type="paragraph" w:customStyle="1" w:styleId="1350">
    <w:name w:val="xl2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1351">
    <w:name w:val="样式 首行缩进:  0.74 厘米"/>
    <w:basedOn w:val="1"/>
    <w:autoRedefine/>
    <w:qFormat/>
    <w:uiPriority w:val="0"/>
    <w:pPr>
      <w:spacing w:line="360" w:lineRule="auto"/>
      <w:ind w:firstLine="420" w:firstLineChars="200"/>
    </w:pPr>
    <w:rPr>
      <w:bCs/>
      <w:sz w:val="24"/>
      <w:szCs w:val="20"/>
    </w:rPr>
  </w:style>
  <w:style w:type="paragraph" w:customStyle="1" w:styleId="1352">
    <w:name w:val="符号正文"/>
    <w:basedOn w:val="1"/>
    <w:autoRedefine/>
    <w:qFormat/>
    <w:uiPriority w:val="0"/>
    <w:pPr>
      <w:tabs>
        <w:tab w:val="left" w:pos="2730"/>
      </w:tabs>
      <w:spacing w:line="360" w:lineRule="auto"/>
      <w:ind w:firstLine="200" w:firstLineChars="200"/>
    </w:pPr>
    <w:rPr>
      <w:bCs/>
      <w:sz w:val="24"/>
      <w:szCs w:val="21"/>
    </w:rPr>
  </w:style>
  <w:style w:type="paragraph" w:customStyle="1" w:styleId="1353">
    <w:name w:val="xl41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line="360" w:lineRule="auto"/>
      <w:ind w:firstLine="200" w:firstLineChars="200"/>
      <w:jc w:val="left"/>
    </w:pPr>
    <w:rPr>
      <w:rFonts w:ascii="宋体" w:hAnsi="宋体" w:cs="宋体"/>
      <w:b/>
      <w:bCs/>
      <w:color w:val="000000"/>
      <w:kern w:val="0"/>
      <w:sz w:val="20"/>
      <w:szCs w:val="20"/>
    </w:rPr>
  </w:style>
  <w:style w:type="paragraph" w:customStyle="1" w:styleId="1354">
    <w:name w:val="表文"/>
    <w:basedOn w:val="6"/>
    <w:autoRedefine/>
    <w:qFormat/>
    <w:uiPriority w:val="0"/>
    <w:pPr>
      <w:autoSpaceDE/>
      <w:autoSpaceDN/>
      <w:snapToGrid w:val="0"/>
      <w:spacing w:line="360" w:lineRule="auto"/>
      <w:ind w:firstLine="0" w:firstLineChars="200"/>
      <w:jc w:val="both"/>
    </w:pPr>
    <w:rPr>
      <w:rFonts w:ascii="Tahoma" w:hAnsi="Tahoma"/>
    </w:rPr>
  </w:style>
  <w:style w:type="paragraph" w:customStyle="1" w:styleId="1355">
    <w:name w:val="!封面大标题（小初黑）"/>
    <w:next w:val="1324"/>
    <w:autoRedefine/>
    <w:qFormat/>
    <w:uiPriority w:val="0"/>
    <w:pPr>
      <w:jc w:val="center"/>
    </w:pPr>
    <w:rPr>
      <w:rFonts w:ascii="Times New Roman" w:hAnsi="Times New Roman" w:eastAsia="黑体" w:cs="Times New Roman"/>
      <w:kern w:val="2"/>
      <w:sz w:val="72"/>
      <w:szCs w:val="72"/>
      <w:lang w:val="en-US" w:eastAsia="zh-CN" w:bidi="ar-SA"/>
    </w:rPr>
  </w:style>
  <w:style w:type="paragraph" w:customStyle="1" w:styleId="1356">
    <w:name w:val="xl2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b/>
      <w:bCs/>
      <w:kern w:val="0"/>
      <w:sz w:val="18"/>
      <w:szCs w:val="18"/>
    </w:rPr>
  </w:style>
  <w:style w:type="paragraph" w:customStyle="1" w:styleId="1357">
    <w:name w:val="图编号"/>
    <w:basedOn w:val="1"/>
    <w:next w:val="1"/>
    <w:autoRedefine/>
    <w:qFormat/>
    <w:uiPriority w:val="0"/>
    <w:pPr>
      <w:spacing w:line="360" w:lineRule="auto"/>
      <w:ind w:left="420"/>
      <w:jc w:val="center"/>
    </w:pPr>
    <w:rPr>
      <w:b/>
    </w:rPr>
  </w:style>
  <w:style w:type="paragraph" w:customStyle="1" w:styleId="1358">
    <w:name w:val="q6"/>
    <w:basedOn w:val="10"/>
    <w:autoRedefine/>
    <w:qFormat/>
    <w:uiPriority w:val="0"/>
    <w:pPr>
      <w:tabs>
        <w:tab w:val="left" w:pos="0"/>
      </w:tabs>
      <w:adjustRightInd/>
      <w:spacing w:before="0" w:after="0" w:line="360" w:lineRule="auto"/>
      <w:ind w:left="1152" w:hanging="1152"/>
      <w:jc w:val="left"/>
      <w:textAlignment w:val="auto"/>
    </w:pPr>
    <w:rPr>
      <w:rFonts w:ascii="黑体" w:hAnsi="黑体"/>
      <w:bCs/>
      <w:kern w:val="2"/>
      <w:sz w:val="21"/>
      <w:szCs w:val="21"/>
    </w:rPr>
  </w:style>
  <w:style w:type="paragraph" w:customStyle="1" w:styleId="1359">
    <w:name w:val="my 标题 4(一)1."/>
    <w:basedOn w:val="1"/>
    <w:autoRedefine/>
    <w:qFormat/>
    <w:uiPriority w:val="0"/>
    <w:pPr>
      <w:tabs>
        <w:tab w:val="left" w:pos="420"/>
      </w:tabs>
      <w:spacing w:line="360" w:lineRule="auto"/>
      <w:ind w:left="420" w:hanging="420" w:firstLineChars="200"/>
    </w:pPr>
    <w:rPr>
      <w:sz w:val="24"/>
    </w:rPr>
  </w:style>
  <w:style w:type="paragraph" w:customStyle="1" w:styleId="1360">
    <w:name w:val="样式 正文缩进 + 首行缩进:  2 字符"/>
    <w:basedOn w:val="6"/>
    <w:autoRedefine/>
    <w:qFormat/>
    <w:uiPriority w:val="0"/>
    <w:pPr>
      <w:autoSpaceDE/>
      <w:autoSpaceDN/>
      <w:adjustRightInd/>
      <w:spacing w:before="160" w:after="160" w:line="360" w:lineRule="auto"/>
      <w:ind w:firstLine="480" w:firstLineChars="200"/>
      <w:jc w:val="both"/>
    </w:pPr>
    <w:rPr>
      <w:rFonts w:hAnsi="宋体"/>
    </w:rPr>
  </w:style>
  <w:style w:type="paragraph" w:customStyle="1" w:styleId="1361">
    <w:name w:val="newtext"/>
    <w:basedOn w:val="1"/>
    <w:autoRedefine/>
    <w:qFormat/>
    <w:uiPriority w:val="0"/>
    <w:pPr>
      <w:widowControl/>
      <w:spacing w:before="100" w:beforeAutospacing="1" w:after="100" w:afterAutospacing="1" w:line="360" w:lineRule="atLeast"/>
      <w:ind w:firstLine="200" w:firstLineChars="200"/>
      <w:jc w:val="left"/>
    </w:pPr>
    <w:rPr>
      <w:rFonts w:ascii="宋体" w:hAnsi="宋体" w:cs="宋体"/>
      <w:kern w:val="0"/>
      <w:sz w:val="24"/>
      <w:szCs w:val="21"/>
    </w:rPr>
  </w:style>
  <w:style w:type="paragraph" w:customStyle="1" w:styleId="1362">
    <w:name w:val="xl2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000000"/>
      <w:kern w:val="0"/>
      <w:sz w:val="18"/>
      <w:szCs w:val="18"/>
    </w:rPr>
  </w:style>
  <w:style w:type="paragraph" w:customStyle="1" w:styleId="1363">
    <w:name w:val="我的标题2"/>
    <w:basedOn w:val="1"/>
    <w:next w:val="1"/>
    <w:autoRedefine/>
    <w:qFormat/>
    <w:uiPriority w:val="0"/>
    <w:pPr>
      <w:widowControl/>
      <w:spacing w:line="300" w:lineRule="auto"/>
      <w:ind w:firstLine="200" w:firstLineChars="200"/>
      <w:jc w:val="left"/>
    </w:pPr>
    <w:rPr>
      <w:rFonts w:ascii="宋体" w:hAnsi="宋体"/>
      <w:b/>
      <w:bCs/>
      <w:spacing w:val="6"/>
      <w:sz w:val="24"/>
      <w:szCs w:val="20"/>
    </w:rPr>
  </w:style>
  <w:style w:type="paragraph" w:customStyle="1" w:styleId="1364">
    <w:name w:val="title1"/>
    <w:basedOn w:val="1"/>
    <w:autoRedefine/>
    <w:qFormat/>
    <w:uiPriority w:val="0"/>
    <w:pPr>
      <w:widowControl/>
      <w:spacing w:before="100" w:beforeAutospacing="1" w:after="100" w:afterAutospacing="1" w:line="360" w:lineRule="auto"/>
      <w:ind w:firstLine="200" w:firstLineChars="200"/>
      <w:jc w:val="left"/>
    </w:pPr>
    <w:rPr>
      <w:rFonts w:ascii="宋体" w:hAnsi="宋体"/>
      <w:kern w:val="0"/>
      <w:sz w:val="24"/>
    </w:rPr>
  </w:style>
  <w:style w:type="paragraph" w:customStyle="1" w:styleId="1365">
    <w:name w:val="Char Char Char1 Char Char1 Char Char Char"/>
    <w:basedOn w:val="1"/>
    <w:autoRedefine/>
    <w:qFormat/>
    <w:uiPriority w:val="0"/>
    <w:pPr>
      <w:spacing w:line="360" w:lineRule="auto"/>
      <w:ind w:firstLine="200" w:firstLineChars="200"/>
    </w:pPr>
    <w:rPr>
      <w:rFonts w:ascii="Tahoma" w:hAnsi="Tahoma"/>
      <w:sz w:val="24"/>
      <w:szCs w:val="20"/>
    </w:rPr>
  </w:style>
  <w:style w:type="paragraph" w:customStyle="1" w:styleId="1366">
    <w:name w:val="h10"/>
    <w:basedOn w:val="9"/>
    <w:autoRedefine/>
    <w:qFormat/>
    <w:uiPriority w:val="0"/>
    <w:pPr>
      <w:keepNext w:val="0"/>
      <w:keepLines w:val="0"/>
      <w:tabs>
        <w:tab w:val="left" w:pos="907"/>
        <w:tab w:val="left" w:pos="1704"/>
      </w:tabs>
      <w:adjustRightInd/>
      <w:snapToGrid w:val="0"/>
      <w:spacing w:beforeLines="50" w:afterLines="50" w:line="360" w:lineRule="auto"/>
      <w:ind w:left="907" w:hanging="619" w:firstLineChars="200"/>
      <w:jc w:val="left"/>
      <w:textAlignment w:val="auto"/>
    </w:pPr>
    <w:rPr>
      <w:bCs/>
      <w:kern w:val="2"/>
      <w:sz w:val="24"/>
      <w:szCs w:val="24"/>
    </w:rPr>
  </w:style>
  <w:style w:type="paragraph" w:customStyle="1" w:styleId="1367">
    <w:name w:val="wmcz"/>
    <w:basedOn w:val="1"/>
    <w:autoRedefine/>
    <w:qFormat/>
    <w:uiPriority w:val="0"/>
    <w:pPr>
      <w:widowControl/>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368">
    <w:name w:val="xl26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left"/>
    </w:pPr>
    <w:rPr>
      <w:rFonts w:ascii="宋体" w:hAnsi="宋体" w:cs="宋体"/>
      <w:b/>
      <w:bCs/>
      <w:kern w:val="0"/>
      <w:sz w:val="18"/>
      <w:szCs w:val="18"/>
    </w:rPr>
  </w:style>
  <w:style w:type="paragraph" w:customStyle="1" w:styleId="1369">
    <w:name w:val="xl4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370">
    <w:name w:val="样式 样式 样式 标题 2H2标题 2 CharUnderrubrik1prop2sect 1.2DO NOT USE_h2c....1"/>
    <w:basedOn w:val="1"/>
    <w:autoRedefine/>
    <w:qFormat/>
    <w:uiPriority w:val="0"/>
    <w:pPr>
      <w:keepNext/>
      <w:keepLines/>
      <w:spacing w:before="156" w:afterLines="100" w:line="360" w:lineRule="auto"/>
      <w:ind w:left="4140" w:firstLine="200" w:firstLineChars="200"/>
      <w:jc w:val="center"/>
      <w:outlineLvl w:val="1"/>
    </w:pPr>
    <w:rPr>
      <w:rFonts w:ascii="Arial" w:hAnsi="Arial" w:cs="宋体"/>
      <w:b/>
      <w:bCs/>
      <w:sz w:val="36"/>
      <w:szCs w:val="20"/>
    </w:rPr>
  </w:style>
  <w:style w:type="paragraph" w:customStyle="1" w:styleId="1371">
    <w:name w:val="xl4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pPr>
    <w:rPr>
      <w:rFonts w:ascii="宋体" w:hAnsi="宋体" w:cs="宋体"/>
      <w:kern w:val="0"/>
      <w:sz w:val="20"/>
      <w:szCs w:val="20"/>
    </w:rPr>
  </w:style>
  <w:style w:type="paragraph" w:customStyle="1" w:styleId="1372">
    <w:name w:val="title2"/>
    <w:basedOn w:val="1"/>
    <w:autoRedefine/>
    <w:qFormat/>
    <w:uiPriority w:val="0"/>
    <w:pPr>
      <w:widowControl/>
      <w:spacing w:before="100" w:beforeAutospacing="1" w:after="100" w:afterAutospacing="1" w:line="360" w:lineRule="auto"/>
      <w:ind w:firstLine="200" w:firstLineChars="200"/>
      <w:jc w:val="left"/>
    </w:pPr>
    <w:rPr>
      <w:rFonts w:ascii="宋体" w:hAnsi="宋体"/>
      <w:kern w:val="0"/>
      <w:sz w:val="24"/>
    </w:rPr>
  </w:style>
  <w:style w:type="paragraph" w:customStyle="1" w:styleId="1373">
    <w:name w:val="q4"/>
    <w:basedOn w:val="8"/>
    <w:autoRedefine/>
    <w:qFormat/>
    <w:uiPriority w:val="0"/>
    <w:pPr>
      <w:tabs>
        <w:tab w:val="left" w:pos="0"/>
      </w:tabs>
      <w:adjustRightInd/>
      <w:spacing w:before="0" w:beforeLines="50" w:after="163" w:line="360" w:lineRule="auto"/>
      <w:ind w:left="810"/>
      <w:textAlignment w:val="auto"/>
    </w:pPr>
    <w:rPr>
      <w:rFonts w:ascii="宋体" w:hAnsi="宋体" w:eastAsia="宋体"/>
      <w:b w:val="0"/>
      <w:bCs/>
      <w:color w:val="365F91"/>
      <w:kern w:val="2"/>
      <w:szCs w:val="24"/>
    </w:rPr>
  </w:style>
  <w:style w:type="paragraph" w:customStyle="1" w:styleId="1374">
    <w:name w:val="xl23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33CCCC"/>
      <w:spacing w:before="100" w:beforeAutospacing="1" w:after="100" w:afterAutospacing="1" w:line="360" w:lineRule="auto"/>
      <w:ind w:firstLine="200" w:firstLineChars="200"/>
      <w:jc w:val="left"/>
    </w:pPr>
    <w:rPr>
      <w:rFonts w:ascii="宋体" w:hAnsi="宋体" w:cs="宋体"/>
      <w:b/>
      <w:bCs/>
      <w:kern w:val="0"/>
      <w:sz w:val="18"/>
      <w:szCs w:val="18"/>
    </w:rPr>
  </w:style>
  <w:style w:type="paragraph" w:customStyle="1" w:styleId="1375">
    <w:name w:val="a3"/>
    <w:basedOn w:val="5"/>
    <w:autoRedefine/>
    <w:qFormat/>
    <w:uiPriority w:val="0"/>
    <w:pPr>
      <w:tabs>
        <w:tab w:val="left" w:pos="0"/>
      </w:tabs>
      <w:autoSpaceDE/>
      <w:autoSpaceDN/>
      <w:adjustRightInd/>
      <w:snapToGrid w:val="0"/>
      <w:spacing w:before="0" w:beforeLines="50" w:after="0" w:afterLines="50" w:line="360" w:lineRule="auto"/>
      <w:ind w:left="425" w:hanging="425"/>
      <w:jc w:val="both"/>
    </w:pPr>
    <w:rPr>
      <w:rFonts w:ascii="Calibri" w:hAnsi="Calibri"/>
      <w:b w:val="0"/>
      <w:bCs/>
      <w:kern w:val="2"/>
      <w:sz w:val="28"/>
      <w:szCs w:val="28"/>
      <w:u w:val="none"/>
    </w:rPr>
  </w:style>
  <w:style w:type="paragraph" w:customStyle="1" w:styleId="1376">
    <w:name w:val="xl4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377">
    <w:name w:val="样式 左侧:  2 字符"/>
    <w:basedOn w:val="1"/>
    <w:autoRedefine/>
    <w:qFormat/>
    <w:uiPriority w:val="0"/>
    <w:pPr>
      <w:tabs>
        <w:tab w:val="left" w:pos="0"/>
      </w:tabs>
      <w:spacing w:line="360" w:lineRule="auto"/>
      <w:ind w:left="900"/>
      <w:jc w:val="left"/>
    </w:pPr>
    <w:rPr>
      <w:rFonts w:ascii="宋体"/>
      <w:b/>
      <w:sz w:val="24"/>
    </w:rPr>
  </w:style>
  <w:style w:type="paragraph" w:customStyle="1" w:styleId="1378">
    <w:name w:val="xl4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line="360" w:lineRule="auto"/>
      <w:ind w:firstLine="200" w:firstLineChars="200"/>
      <w:jc w:val="left"/>
    </w:pPr>
    <w:rPr>
      <w:rFonts w:ascii="宋体" w:hAnsi="宋体" w:cs="宋体"/>
      <w:b/>
      <w:bCs/>
      <w:color w:val="000000"/>
      <w:kern w:val="0"/>
      <w:sz w:val="20"/>
      <w:szCs w:val="20"/>
    </w:rPr>
  </w:style>
  <w:style w:type="paragraph" w:customStyle="1" w:styleId="1379">
    <w:name w:val="q1"/>
    <w:basedOn w:val="3"/>
    <w:autoRedefine/>
    <w:qFormat/>
    <w:uiPriority w:val="0"/>
    <w:pPr>
      <w:tabs>
        <w:tab w:val="left" w:pos="0"/>
      </w:tabs>
      <w:autoSpaceDE/>
      <w:autoSpaceDN/>
      <w:adjustRightInd/>
      <w:spacing w:before="0" w:beforeLines="50" w:after="0" w:afterLines="50" w:line="360" w:lineRule="auto"/>
      <w:jc w:val="left"/>
    </w:pPr>
    <w:rPr>
      <w:rFonts w:ascii="Times New Roman"/>
      <w:bCs/>
      <w:sz w:val="44"/>
      <w:szCs w:val="44"/>
    </w:rPr>
  </w:style>
  <w:style w:type="paragraph" w:customStyle="1" w:styleId="1380">
    <w:name w:val="xl268"/>
    <w:basedOn w:val="1"/>
    <w:autoRedefine/>
    <w:qFormat/>
    <w:uiPriority w:val="0"/>
    <w:pPr>
      <w:widowControl/>
      <w:spacing w:before="100" w:beforeAutospacing="1" w:after="100" w:afterAutospacing="1" w:line="360" w:lineRule="auto"/>
      <w:ind w:firstLine="200" w:firstLineChars="200"/>
      <w:jc w:val="left"/>
    </w:pPr>
    <w:rPr>
      <w:rFonts w:ascii="宋体" w:hAnsi="宋体" w:cs="宋体"/>
      <w:color w:val="0000FF"/>
      <w:kern w:val="0"/>
      <w:sz w:val="18"/>
      <w:szCs w:val="18"/>
    </w:rPr>
  </w:style>
  <w:style w:type="paragraph" w:customStyle="1" w:styleId="1381">
    <w:name w:val="xl40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1382">
    <w:name w:val="黑体小初中"/>
    <w:basedOn w:val="453"/>
    <w:autoRedefine/>
    <w:qFormat/>
    <w:uiPriority w:val="0"/>
    <w:pPr>
      <w:tabs>
        <w:tab w:val="left" w:pos="0"/>
      </w:tabs>
      <w:spacing w:before="156" w:after="156"/>
      <w:ind w:firstLine="0" w:firstLineChars="0"/>
      <w:jc w:val="center"/>
    </w:pPr>
    <w:rPr>
      <w:rFonts w:ascii="黑体" w:eastAsia="黑体"/>
      <w:sz w:val="72"/>
      <w:szCs w:val="72"/>
    </w:rPr>
  </w:style>
  <w:style w:type="paragraph" w:customStyle="1" w:styleId="1383">
    <w:name w:val="!beccList"/>
    <w:basedOn w:val="1"/>
    <w:autoRedefine/>
    <w:qFormat/>
    <w:uiPriority w:val="0"/>
    <w:pPr>
      <w:tabs>
        <w:tab w:val="left" w:pos="0"/>
      </w:tabs>
      <w:spacing w:beforeLines="50" w:afterLines="50" w:line="360" w:lineRule="auto"/>
      <w:ind w:firstLine="200" w:firstLineChars="200"/>
    </w:pPr>
    <w:rPr>
      <w:sz w:val="24"/>
    </w:rPr>
  </w:style>
  <w:style w:type="paragraph" w:customStyle="1" w:styleId="1384">
    <w:name w:val="xl236"/>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1385">
    <w:name w:val="cellheading"/>
    <w:basedOn w:val="1"/>
    <w:autoRedefine/>
    <w:qFormat/>
    <w:uiPriority w:val="0"/>
    <w:pPr>
      <w:widowControl/>
      <w:spacing w:after="144" w:line="360" w:lineRule="auto"/>
      <w:ind w:firstLine="200" w:firstLineChars="200"/>
      <w:jc w:val="left"/>
    </w:pPr>
    <w:rPr>
      <w:rFonts w:ascii="Verdana" w:hAnsi="Verdana" w:eastAsia="Arial Unicode MS" w:cs="Arial Unicode MS"/>
      <w:b/>
      <w:bCs/>
      <w:color w:val="000000"/>
      <w:kern w:val="0"/>
      <w:sz w:val="20"/>
      <w:szCs w:val="20"/>
      <w:lang w:eastAsia="en-US"/>
    </w:rPr>
  </w:style>
  <w:style w:type="paragraph" w:customStyle="1" w:styleId="1386">
    <w:name w:val="xl41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33CCCC"/>
      <w:spacing w:before="100" w:beforeAutospacing="1" w:after="100" w:afterAutospacing="1" w:line="360" w:lineRule="auto"/>
      <w:ind w:firstLine="200" w:firstLineChars="200"/>
      <w:jc w:val="left"/>
    </w:pPr>
    <w:rPr>
      <w:rFonts w:ascii="宋体" w:hAnsi="宋体" w:cs="宋体"/>
      <w:b/>
      <w:bCs/>
      <w:color w:val="000000"/>
      <w:kern w:val="0"/>
      <w:sz w:val="20"/>
      <w:szCs w:val="20"/>
    </w:rPr>
  </w:style>
  <w:style w:type="paragraph" w:customStyle="1" w:styleId="1387">
    <w:name w:val="xl434"/>
    <w:basedOn w:val="1"/>
    <w:autoRedefine/>
    <w:qFormat/>
    <w:uiPriority w:val="0"/>
    <w:pPr>
      <w:widowControl/>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388">
    <w:name w:val="xl2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33CCCC"/>
      <w:spacing w:before="100" w:beforeAutospacing="1" w:after="100" w:afterAutospacing="1" w:line="360" w:lineRule="auto"/>
      <w:ind w:firstLine="200" w:firstLineChars="200"/>
      <w:jc w:val="center"/>
    </w:pPr>
    <w:rPr>
      <w:rFonts w:ascii="宋体" w:hAnsi="宋体" w:cs="宋体"/>
      <w:b/>
      <w:bCs/>
      <w:color w:val="000000"/>
      <w:kern w:val="0"/>
      <w:sz w:val="18"/>
      <w:szCs w:val="18"/>
    </w:rPr>
  </w:style>
  <w:style w:type="paragraph" w:customStyle="1" w:styleId="1389">
    <w:name w:val="文中段落"/>
    <w:basedOn w:val="148"/>
    <w:autoRedefine/>
    <w:qFormat/>
    <w:uiPriority w:val="0"/>
    <w:pPr>
      <w:ind w:firstLine="560"/>
    </w:pPr>
    <w:rPr>
      <w:rFonts w:eastAsia="仿宋_GB2312"/>
      <w:kern w:val="0"/>
      <w:sz w:val="28"/>
      <w:szCs w:val="21"/>
    </w:rPr>
  </w:style>
  <w:style w:type="paragraph" w:customStyle="1" w:styleId="1390">
    <w:name w:val="Tabletext"/>
    <w:basedOn w:val="1"/>
    <w:autoRedefine/>
    <w:qFormat/>
    <w:uiPriority w:val="0"/>
    <w:pPr>
      <w:keepLines/>
      <w:spacing w:before="60" w:after="120" w:line="240" w:lineRule="atLeast"/>
      <w:ind w:firstLine="200" w:firstLineChars="200"/>
      <w:jc w:val="left"/>
    </w:pPr>
    <w:rPr>
      <w:kern w:val="0"/>
      <w:sz w:val="24"/>
      <w:szCs w:val="20"/>
      <w:lang w:eastAsia="en-US"/>
    </w:rPr>
  </w:style>
  <w:style w:type="paragraph" w:customStyle="1" w:styleId="1391">
    <w:name w:val="四级无标题条"/>
    <w:basedOn w:val="1"/>
    <w:autoRedefine/>
    <w:qFormat/>
    <w:uiPriority w:val="0"/>
    <w:pPr>
      <w:tabs>
        <w:tab w:val="left" w:pos="2580"/>
      </w:tabs>
      <w:spacing w:line="360" w:lineRule="auto"/>
      <w:ind w:left="2580" w:hanging="420" w:firstLineChars="200"/>
    </w:pPr>
    <w:rPr>
      <w:rFonts w:ascii="宋体" w:hAnsi="宋体"/>
      <w:sz w:val="24"/>
    </w:rPr>
  </w:style>
  <w:style w:type="paragraph" w:customStyle="1" w:styleId="1392">
    <w:name w:val="图标号"/>
    <w:basedOn w:val="148"/>
    <w:autoRedefine/>
    <w:qFormat/>
    <w:uiPriority w:val="0"/>
    <w:pPr>
      <w:ind w:firstLine="0" w:firstLineChars="0"/>
      <w:jc w:val="center"/>
    </w:pPr>
    <w:rPr>
      <w:rFonts w:eastAsia="仿宋_GB2312"/>
      <w:kern w:val="0"/>
      <w:sz w:val="24"/>
      <w:szCs w:val="21"/>
    </w:rPr>
  </w:style>
  <w:style w:type="paragraph" w:customStyle="1" w:styleId="1393">
    <w:name w:val="表编号"/>
    <w:basedOn w:val="1"/>
    <w:autoRedefine/>
    <w:qFormat/>
    <w:uiPriority w:val="0"/>
    <w:pPr>
      <w:tabs>
        <w:tab w:val="left" w:pos="240"/>
      </w:tabs>
      <w:spacing w:line="360" w:lineRule="auto"/>
      <w:jc w:val="center"/>
    </w:pPr>
    <w:rPr>
      <w:b/>
    </w:rPr>
  </w:style>
  <w:style w:type="paragraph" w:customStyle="1" w:styleId="1394">
    <w:name w:val="样式 文档正文 + 宋体 加粗 倾斜 首行缩进:  0 厘米 段后: 11.7 磅"/>
    <w:basedOn w:val="190"/>
    <w:autoRedefine/>
    <w:qFormat/>
    <w:uiPriority w:val="0"/>
    <w:pPr>
      <w:tabs>
        <w:tab w:val="left" w:pos="720"/>
        <w:tab w:val="left" w:pos="900"/>
      </w:tabs>
      <w:adjustRightInd w:val="0"/>
      <w:snapToGrid/>
      <w:spacing w:before="0" w:after="234" w:line="360" w:lineRule="auto"/>
      <w:ind w:firstLine="200" w:firstLineChars="200"/>
      <w:textAlignment w:val="baseline"/>
    </w:pPr>
    <w:rPr>
      <w:rFonts w:ascii="宋体" w:hAnsi="宋体"/>
      <w:bCs/>
      <w:iCs/>
      <w:sz w:val="24"/>
    </w:rPr>
  </w:style>
  <w:style w:type="paragraph" w:customStyle="1" w:styleId="1395">
    <w:name w:val="xl4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textAlignment w:val="top"/>
    </w:pPr>
    <w:rPr>
      <w:rFonts w:ascii="宋体" w:hAnsi="宋体" w:cs="宋体"/>
      <w:kern w:val="0"/>
      <w:sz w:val="20"/>
      <w:szCs w:val="20"/>
    </w:rPr>
  </w:style>
  <w:style w:type="paragraph" w:customStyle="1" w:styleId="1396">
    <w:name w:val="a14"/>
    <w:basedOn w:val="1"/>
    <w:autoRedefine/>
    <w:qFormat/>
    <w:uiPriority w:val="0"/>
    <w:pPr>
      <w:widowControl/>
      <w:spacing w:before="100" w:beforeAutospacing="1" w:after="100" w:afterAutospacing="1" w:line="300" w:lineRule="atLeast"/>
      <w:ind w:firstLine="375" w:firstLineChars="200"/>
      <w:jc w:val="left"/>
    </w:pPr>
    <w:rPr>
      <w:rFonts w:ascii="Arial Unicode MS" w:hAnsi="Arial Unicode MS" w:eastAsia="Arial Unicode MS" w:cs="Arial Unicode MS"/>
      <w:kern w:val="0"/>
      <w:sz w:val="24"/>
      <w:szCs w:val="21"/>
    </w:rPr>
  </w:style>
  <w:style w:type="paragraph" w:customStyle="1" w:styleId="1397">
    <w:name w:val="标书正文1"/>
    <w:basedOn w:val="1"/>
    <w:autoRedefine/>
    <w:qFormat/>
    <w:uiPriority w:val="0"/>
    <w:pPr>
      <w:spacing w:line="360" w:lineRule="auto"/>
      <w:ind w:firstLine="360" w:firstLineChars="150"/>
    </w:pPr>
    <w:rPr>
      <w:rFonts w:ascii="宋体"/>
      <w:kern w:val="0"/>
      <w:sz w:val="24"/>
    </w:rPr>
  </w:style>
  <w:style w:type="paragraph" w:customStyle="1" w:styleId="1398">
    <w:name w:val="样式 正文首行缩进 + 首行缩进:  1 字符"/>
    <w:basedOn w:val="81"/>
    <w:autoRedefine/>
    <w:qFormat/>
    <w:uiPriority w:val="0"/>
    <w:pPr>
      <w:tabs>
        <w:tab w:val="left" w:pos="2730"/>
        <w:tab w:val="clear" w:pos="567"/>
      </w:tabs>
      <w:spacing w:before="0" w:after="120" w:line="360" w:lineRule="auto"/>
      <w:ind w:firstLine="480" w:firstLineChars="200"/>
    </w:pPr>
    <w:rPr>
      <w:rFonts w:ascii="Times New Roman" w:hAnsi="Times New Roman"/>
      <w:sz w:val="21"/>
      <w:szCs w:val="20"/>
    </w:rPr>
  </w:style>
  <w:style w:type="paragraph" w:customStyle="1" w:styleId="1399">
    <w:name w:val="正文文字 4"/>
    <w:basedOn w:val="33"/>
    <w:autoRedefine/>
    <w:qFormat/>
    <w:uiPriority w:val="0"/>
    <w:pPr>
      <w:tabs>
        <w:tab w:val="left" w:pos="900"/>
        <w:tab w:val="left" w:pos="2730"/>
      </w:tabs>
      <w:adjustRightInd w:val="0"/>
      <w:spacing w:after="120" w:line="312" w:lineRule="atLeast"/>
      <w:ind w:firstLine="420" w:firstLineChars="200"/>
      <w:textAlignment w:val="baseline"/>
    </w:pPr>
    <w:rPr>
      <w:rFonts w:eastAsia="楷体_GB2312"/>
      <w:bCs/>
      <w:kern w:val="0"/>
      <w:sz w:val="32"/>
      <w:szCs w:val="20"/>
    </w:rPr>
  </w:style>
  <w:style w:type="paragraph" w:customStyle="1" w:styleId="1400">
    <w:name w:val="列表项目"/>
    <w:basedOn w:val="1"/>
    <w:autoRedefine/>
    <w:qFormat/>
    <w:uiPriority w:val="0"/>
    <w:pPr>
      <w:tabs>
        <w:tab w:val="left" w:pos="420"/>
        <w:tab w:val="left" w:pos="902"/>
      </w:tabs>
      <w:spacing w:line="288" w:lineRule="auto"/>
      <w:ind w:left="1249" w:hanging="767" w:firstLineChars="200"/>
    </w:pPr>
    <w:rPr>
      <w:sz w:val="24"/>
      <w:szCs w:val="20"/>
    </w:rPr>
  </w:style>
  <w:style w:type="paragraph" w:customStyle="1" w:styleId="1401">
    <w:name w:val="样式 标题 5h5Second SubheadingH5口PIM 5标题 5 Char5l4第四层条dsd...1"/>
    <w:basedOn w:val="1"/>
    <w:autoRedefine/>
    <w:qFormat/>
    <w:uiPriority w:val="0"/>
    <w:pPr>
      <w:tabs>
        <w:tab w:val="left" w:pos="900"/>
      </w:tabs>
      <w:spacing w:line="360" w:lineRule="auto"/>
      <w:ind w:left="900" w:hanging="420" w:firstLineChars="200"/>
    </w:pPr>
    <w:rPr>
      <w:rFonts w:ascii="宋体" w:hAnsi="宋体"/>
      <w:b/>
      <w:sz w:val="24"/>
    </w:rPr>
  </w:style>
  <w:style w:type="paragraph" w:customStyle="1" w:styleId="1402">
    <w:name w:val="a2"/>
    <w:basedOn w:val="4"/>
    <w:autoRedefine/>
    <w:qFormat/>
    <w:uiPriority w:val="0"/>
    <w:pPr>
      <w:tabs>
        <w:tab w:val="left" w:pos="0"/>
      </w:tabs>
      <w:autoSpaceDE/>
      <w:autoSpaceDN/>
      <w:spacing w:before="0" w:beforeLines="50" w:afterLines="50" w:line="360" w:lineRule="auto"/>
      <w:ind w:left="425" w:hanging="425"/>
      <w:jc w:val="both"/>
    </w:pPr>
    <w:rPr>
      <w:rFonts w:ascii="Cambria" w:hAnsi="Cambria" w:eastAsia="宋体"/>
      <w:bCs/>
      <w:kern w:val="2"/>
      <w:sz w:val="32"/>
      <w:szCs w:val="32"/>
    </w:rPr>
  </w:style>
  <w:style w:type="paragraph" w:customStyle="1" w:styleId="1403">
    <w:name w:val="文字"/>
    <w:basedOn w:val="1"/>
    <w:link w:val="1404"/>
    <w:autoRedefine/>
    <w:qFormat/>
    <w:uiPriority w:val="0"/>
    <w:pPr>
      <w:tabs>
        <w:tab w:val="left" w:pos="8520"/>
      </w:tabs>
      <w:spacing w:line="312" w:lineRule="auto"/>
      <w:ind w:right="-210" w:firstLine="556" w:firstLineChars="200"/>
    </w:pPr>
    <w:rPr>
      <w:rFonts w:ascii="楷体_GB2312" w:eastAsia="楷体_GB2312"/>
      <w:sz w:val="28"/>
      <w:szCs w:val="20"/>
    </w:rPr>
  </w:style>
  <w:style w:type="character" w:customStyle="1" w:styleId="1404">
    <w:name w:val="文字 Char"/>
    <w:link w:val="1403"/>
    <w:autoRedefine/>
    <w:qFormat/>
    <w:uiPriority w:val="0"/>
    <w:rPr>
      <w:rFonts w:ascii="楷体_GB2312" w:eastAsia="楷体_GB2312"/>
      <w:kern w:val="2"/>
      <w:sz w:val="28"/>
    </w:rPr>
  </w:style>
  <w:style w:type="paragraph" w:customStyle="1" w:styleId="1405">
    <w:name w:val="Char Char Char Char3 Char Char Char1 Char Char Char Char Char Char Char Char Char Char"/>
    <w:basedOn w:val="1"/>
    <w:autoRedefine/>
    <w:qFormat/>
    <w:uiPriority w:val="0"/>
    <w:pPr>
      <w:spacing w:line="360" w:lineRule="auto"/>
      <w:ind w:firstLine="200" w:firstLineChars="200"/>
    </w:pPr>
    <w:rPr>
      <w:rFonts w:ascii="Tahoma" w:hAnsi="Tahoma" w:cs="Tahoma"/>
      <w:sz w:val="24"/>
      <w:szCs w:val="21"/>
    </w:rPr>
  </w:style>
  <w:style w:type="paragraph" w:customStyle="1" w:styleId="1406">
    <w:name w:val="xl267"/>
    <w:basedOn w:val="1"/>
    <w:autoRedefine/>
    <w:qFormat/>
    <w:uiPriority w:val="0"/>
    <w:pPr>
      <w:widowControl/>
      <w:spacing w:before="100" w:beforeAutospacing="1" w:after="100" w:afterAutospacing="1" w:line="360" w:lineRule="auto"/>
      <w:ind w:firstLine="200" w:firstLineChars="200"/>
      <w:jc w:val="left"/>
    </w:pPr>
    <w:rPr>
      <w:rFonts w:ascii="宋体" w:hAnsi="宋体" w:cs="宋体"/>
      <w:color w:val="FF0000"/>
      <w:kern w:val="0"/>
      <w:sz w:val="18"/>
      <w:szCs w:val="18"/>
    </w:rPr>
  </w:style>
  <w:style w:type="paragraph" w:customStyle="1" w:styleId="1407">
    <w:name w:val="Notes Text"/>
    <w:autoRedefine/>
    <w:qFormat/>
    <w:uiPriority w:val="0"/>
    <w:pPr>
      <w:pBdr>
        <w:bottom w:val="single" w:color="auto" w:sz="8" w:space="5"/>
      </w:pBdr>
    </w:pPr>
    <w:rPr>
      <w:rFonts w:ascii="Arial" w:hAnsi="Arial" w:eastAsia="楷体_GB2312" w:cs="Times New Roman"/>
      <w:color w:val="000000"/>
      <w:sz w:val="21"/>
      <w:lang w:val="en-US" w:eastAsia="zh-CN" w:bidi="ar-SA"/>
    </w:rPr>
  </w:style>
  <w:style w:type="paragraph" w:customStyle="1" w:styleId="1408">
    <w:name w:val="xl234"/>
    <w:basedOn w:val="1"/>
    <w:autoRedefine/>
    <w:qFormat/>
    <w:uiPriority w:val="0"/>
    <w:pPr>
      <w:widowControl/>
      <w:spacing w:before="100" w:beforeAutospacing="1" w:after="100" w:afterAutospacing="1" w:line="360" w:lineRule="auto"/>
      <w:ind w:firstLine="200" w:firstLineChars="200"/>
      <w:jc w:val="left"/>
    </w:pPr>
    <w:rPr>
      <w:rFonts w:ascii="仿宋_GB2312" w:hAnsi="宋体" w:eastAsia="仿宋_GB2312" w:cs="宋体"/>
      <w:b/>
      <w:bCs/>
      <w:kern w:val="0"/>
      <w:sz w:val="24"/>
    </w:rPr>
  </w:style>
  <w:style w:type="paragraph" w:customStyle="1" w:styleId="1409">
    <w:name w:val="样式 名称2 + 首行缩进:  1.08 厘米"/>
    <w:basedOn w:val="1"/>
    <w:autoRedefine/>
    <w:qFormat/>
    <w:uiPriority w:val="0"/>
    <w:pPr>
      <w:spacing w:afterLines="50" w:line="360" w:lineRule="auto"/>
      <w:ind w:firstLine="200" w:firstLineChars="200"/>
      <w:jc w:val="center"/>
    </w:pPr>
    <w:rPr>
      <w:rFonts w:cs="宋体"/>
      <w:b/>
      <w:spacing w:val="12"/>
      <w:sz w:val="28"/>
      <w:szCs w:val="20"/>
    </w:rPr>
  </w:style>
  <w:style w:type="paragraph" w:customStyle="1" w:styleId="1410">
    <w:name w:val="xl2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1411">
    <w:name w:val="样式 标题 3h33rd levelH3一1Bold Headbh标题 3 Charl3 + 左侧:  0 厘..."/>
    <w:basedOn w:val="5"/>
    <w:autoRedefine/>
    <w:qFormat/>
    <w:uiPriority w:val="0"/>
    <w:pPr>
      <w:tabs>
        <w:tab w:val="left" w:pos="0"/>
        <w:tab w:val="left" w:pos="1145"/>
      </w:tabs>
      <w:autoSpaceDE/>
      <w:autoSpaceDN/>
      <w:adjustRightInd/>
      <w:snapToGrid w:val="0"/>
      <w:spacing w:before="0" w:beforeLines="50" w:after="0" w:afterLines="50" w:line="413" w:lineRule="auto"/>
      <w:ind w:left="1145" w:hanging="720"/>
    </w:pPr>
    <w:rPr>
      <w:rFonts w:hAnsi="宋体"/>
      <w:bCs/>
      <w:kern w:val="24"/>
      <w:szCs w:val="21"/>
      <w:u w:val="none"/>
    </w:rPr>
  </w:style>
  <w:style w:type="paragraph" w:customStyle="1" w:styleId="1412">
    <w:name w:val="xl255"/>
    <w:basedOn w:val="1"/>
    <w:autoRedefine/>
    <w:qFormat/>
    <w:uiPriority w:val="0"/>
    <w:pPr>
      <w:widowControl/>
      <w:spacing w:before="100" w:beforeAutospacing="1" w:after="100" w:afterAutospacing="1" w:line="360" w:lineRule="auto"/>
      <w:ind w:firstLine="200" w:firstLineChars="200"/>
      <w:jc w:val="left"/>
    </w:pPr>
    <w:rPr>
      <w:rFonts w:ascii="宋体" w:hAnsi="宋体" w:cs="宋体"/>
      <w:b/>
      <w:bCs/>
      <w:kern w:val="0"/>
      <w:sz w:val="18"/>
      <w:szCs w:val="18"/>
    </w:rPr>
  </w:style>
  <w:style w:type="paragraph" w:customStyle="1" w:styleId="1413">
    <w:name w:val="正文样式"/>
    <w:basedOn w:val="1"/>
    <w:autoRedefine/>
    <w:qFormat/>
    <w:uiPriority w:val="0"/>
    <w:pPr>
      <w:spacing w:line="360" w:lineRule="auto"/>
      <w:ind w:firstLine="200" w:firstLineChars="200"/>
    </w:pPr>
    <w:rPr>
      <w:sz w:val="24"/>
      <w:szCs w:val="20"/>
    </w:rPr>
  </w:style>
  <w:style w:type="paragraph" w:customStyle="1" w:styleId="1414">
    <w:name w:val="黑体小二中"/>
    <w:basedOn w:val="453"/>
    <w:autoRedefine/>
    <w:qFormat/>
    <w:uiPriority w:val="0"/>
    <w:pPr>
      <w:tabs>
        <w:tab w:val="left" w:pos="0"/>
      </w:tabs>
      <w:spacing w:before="156" w:after="156"/>
      <w:ind w:firstLine="0" w:firstLineChars="0"/>
      <w:jc w:val="center"/>
    </w:pPr>
    <w:rPr>
      <w:rFonts w:ascii="黑体" w:eastAsia="黑体"/>
      <w:sz w:val="36"/>
      <w:szCs w:val="36"/>
    </w:rPr>
  </w:style>
  <w:style w:type="paragraph" w:customStyle="1" w:styleId="1415">
    <w:name w:val="xl4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416">
    <w:name w:val="ePMS正文"/>
    <w:basedOn w:val="1"/>
    <w:autoRedefine/>
    <w:qFormat/>
    <w:uiPriority w:val="0"/>
    <w:pPr>
      <w:widowControl/>
      <w:spacing w:line="360" w:lineRule="auto"/>
      <w:ind w:firstLine="200" w:firstLineChars="200"/>
      <w:jc w:val="left"/>
    </w:pPr>
    <w:rPr>
      <w:kern w:val="0"/>
      <w:sz w:val="24"/>
      <w:szCs w:val="20"/>
      <w:lang w:val="en-AU"/>
    </w:rPr>
  </w:style>
  <w:style w:type="paragraph" w:customStyle="1" w:styleId="1417">
    <w:name w:val="应答"/>
    <w:basedOn w:val="1"/>
    <w:autoRedefine/>
    <w:qFormat/>
    <w:uiPriority w:val="0"/>
    <w:pPr>
      <w:widowControl/>
      <w:spacing w:before="240" w:after="120" w:line="288" w:lineRule="auto"/>
      <w:ind w:left="720" w:firstLine="200" w:firstLineChars="200"/>
      <w:jc w:val="left"/>
    </w:pPr>
    <w:rPr>
      <w:rFonts w:eastAsia="黑体"/>
      <w:bCs/>
      <w:kern w:val="0"/>
      <w:sz w:val="24"/>
    </w:rPr>
  </w:style>
  <w:style w:type="paragraph" w:customStyle="1" w:styleId="1418">
    <w:name w:val="xl4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宋体" w:hAnsi="宋体" w:cs="宋体"/>
      <w:b/>
      <w:bCs/>
      <w:color w:val="000000"/>
      <w:kern w:val="0"/>
      <w:sz w:val="20"/>
      <w:szCs w:val="20"/>
    </w:rPr>
  </w:style>
  <w:style w:type="paragraph" w:customStyle="1" w:styleId="1419">
    <w:name w:val="xl4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line="360" w:lineRule="auto"/>
      <w:ind w:firstLine="200" w:firstLineChars="200"/>
      <w:jc w:val="center"/>
    </w:pPr>
    <w:rPr>
      <w:rFonts w:ascii="宋体" w:hAnsi="宋体" w:cs="宋体"/>
      <w:b/>
      <w:bCs/>
      <w:color w:val="000000"/>
      <w:kern w:val="0"/>
      <w:sz w:val="20"/>
      <w:szCs w:val="20"/>
    </w:rPr>
  </w:style>
  <w:style w:type="paragraph" w:customStyle="1" w:styleId="1420">
    <w:name w:val="样式 首行缩进:  0.85 厘米 段前: 6 磅 段后: 6 磅"/>
    <w:basedOn w:val="453"/>
    <w:autoRedefine/>
    <w:qFormat/>
    <w:uiPriority w:val="0"/>
    <w:pPr>
      <w:tabs>
        <w:tab w:val="left" w:pos="0"/>
      </w:tabs>
      <w:spacing w:before="100" w:beforeAutospacing="1" w:after="100" w:afterAutospacing="1"/>
      <w:ind w:firstLine="0" w:firstLineChars="0"/>
    </w:pPr>
    <w:rPr>
      <w:rFonts w:cs="宋体"/>
      <w:szCs w:val="20"/>
    </w:rPr>
  </w:style>
  <w:style w:type="paragraph" w:customStyle="1" w:styleId="1421">
    <w:name w:val="xl259"/>
    <w:basedOn w:val="1"/>
    <w:autoRedefine/>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line="360" w:lineRule="auto"/>
      <w:ind w:firstLine="200" w:firstLineChars="200"/>
      <w:jc w:val="left"/>
    </w:pPr>
    <w:rPr>
      <w:rFonts w:ascii="宋体" w:hAnsi="宋体" w:cs="宋体"/>
      <w:b/>
      <w:bCs/>
      <w:color w:val="000000"/>
      <w:kern w:val="0"/>
      <w:sz w:val="18"/>
      <w:szCs w:val="18"/>
    </w:rPr>
  </w:style>
  <w:style w:type="paragraph" w:customStyle="1" w:styleId="1422">
    <w:name w:val="1）编号"/>
    <w:basedOn w:val="148"/>
    <w:autoRedefine/>
    <w:qFormat/>
    <w:uiPriority w:val="0"/>
    <w:pPr>
      <w:tabs>
        <w:tab w:val="left" w:pos="360"/>
      </w:tabs>
      <w:ind w:left="200" w:leftChars="200" w:hanging="200" w:hangingChars="200"/>
    </w:pPr>
    <w:rPr>
      <w:rFonts w:eastAsia="仿宋_GB2312"/>
      <w:kern w:val="0"/>
      <w:sz w:val="28"/>
      <w:szCs w:val="21"/>
    </w:rPr>
  </w:style>
  <w:style w:type="paragraph" w:customStyle="1" w:styleId="1423">
    <w:name w:val="xl2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right"/>
    </w:pPr>
    <w:rPr>
      <w:rFonts w:ascii="宋体" w:hAnsi="宋体" w:cs="宋体"/>
      <w:b/>
      <w:bCs/>
      <w:color w:val="000000"/>
      <w:kern w:val="0"/>
      <w:sz w:val="18"/>
      <w:szCs w:val="18"/>
    </w:rPr>
  </w:style>
  <w:style w:type="paragraph" w:customStyle="1" w:styleId="1424">
    <w:name w:val="xl4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textAlignment w:val="top"/>
    </w:pPr>
    <w:rPr>
      <w:kern w:val="0"/>
      <w:sz w:val="20"/>
      <w:szCs w:val="20"/>
    </w:rPr>
  </w:style>
  <w:style w:type="paragraph" w:customStyle="1" w:styleId="1425">
    <w:name w:val="规范正文"/>
    <w:basedOn w:val="49"/>
    <w:autoRedefine/>
    <w:qFormat/>
    <w:uiPriority w:val="0"/>
    <w:pPr>
      <w:tabs>
        <w:tab w:val="left" w:pos="907"/>
        <w:tab w:val="left" w:pos="2730"/>
      </w:tabs>
      <w:spacing w:after="120" w:line="480" w:lineRule="auto"/>
      <w:ind w:left="907" w:hanging="619"/>
    </w:pPr>
    <w:rPr>
      <w:rFonts w:ascii="Times New Roman" w:eastAsia="宋体"/>
      <w:bCs/>
      <w:sz w:val="21"/>
      <w:szCs w:val="21"/>
    </w:rPr>
  </w:style>
  <w:style w:type="paragraph" w:customStyle="1" w:styleId="1426">
    <w:name w:val="l正文"/>
    <w:autoRedefine/>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427">
    <w:name w:val="目录标题1"/>
    <w:basedOn w:val="1"/>
    <w:autoRedefine/>
    <w:qFormat/>
    <w:uiPriority w:val="0"/>
    <w:pPr>
      <w:spacing w:line="360" w:lineRule="auto"/>
      <w:ind w:firstLine="200" w:firstLineChars="200"/>
    </w:pPr>
    <w:rPr>
      <w:rFonts w:ascii="宋体" w:hAnsi="宋体"/>
      <w:sz w:val="24"/>
    </w:rPr>
  </w:style>
  <w:style w:type="paragraph" w:customStyle="1" w:styleId="1428">
    <w:name w:val="正文居中"/>
    <w:basedOn w:val="1"/>
    <w:autoRedefine/>
    <w:qFormat/>
    <w:uiPriority w:val="0"/>
    <w:pPr>
      <w:spacing w:line="360" w:lineRule="auto"/>
      <w:ind w:firstLine="200" w:firstLineChars="200"/>
      <w:jc w:val="center"/>
    </w:pPr>
    <w:rPr>
      <w:rFonts w:ascii="Arial" w:hAnsi="Arial"/>
      <w:sz w:val="24"/>
    </w:rPr>
  </w:style>
  <w:style w:type="paragraph" w:customStyle="1" w:styleId="1429">
    <w:name w:val="!my（1）"/>
    <w:autoRedefine/>
    <w:qFormat/>
    <w:uiPriority w:val="0"/>
    <w:pPr>
      <w:tabs>
        <w:tab w:val="left" w:pos="1335"/>
      </w:tabs>
      <w:spacing w:beforeLines="50" w:afterLines="50" w:line="360" w:lineRule="auto"/>
      <w:ind w:left="1335" w:hanging="855"/>
    </w:pPr>
    <w:rPr>
      <w:rFonts w:ascii="Times New Roman" w:hAnsi="Times New Roman" w:eastAsia="宋体" w:cs="Times New Roman"/>
      <w:kern w:val="2"/>
      <w:sz w:val="24"/>
      <w:szCs w:val="24"/>
      <w:lang w:val="en-US" w:eastAsia="zh-CN" w:bidi="ar-SA"/>
    </w:rPr>
  </w:style>
  <w:style w:type="paragraph" w:customStyle="1" w:styleId="1430">
    <w:name w:val="项目介绍"/>
    <w:basedOn w:val="1"/>
    <w:autoRedefine/>
    <w:qFormat/>
    <w:uiPriority w:val="0"/>
    <w:pPr>
      <w:widowControl/>
      <w:tabs>
        <w:tab w:val="left" w:pos="2730"/>
        <w:tab w:val="left" w:pos="5000"/>
        <w:tab w:val="left" w:pos="5600"/>
      </w:tabs>
      <w:spacing w:line="360" w:lineRule="auto"/>
      <w:ind w:firstLine="200" w:firstLineChars="200"/>
      <w:jc w:val="left"/>
    </w:pPr>
    <w:rPr>
      <w:rFonts w:eastAsia="楷体_GB2312"/>
      <w:bCs/>
      <w:snapToGrid w:val="0"/>
      <w:kern w:val="21"/>
      <w:sz w:val="24"/>
    </w:rPr>
  </w:style>
  <w:style w:type="paragraph" w:customStyle="1" w:styleId="1431">
    <w:name w:val="单位名称"/>
    <w:basedOn w:val="1"/>
    <w:autoRedefine/>
    <w:qFormat/>
    <w:uiPriority w:val="0"/>
    <w:pPr>
      <w:spacing w:before="156" w:after="156" w:line="360" w:lineRule="auto"/>
      <w:ind w:firstLine="200" w:firstLineChars="200"/>
    </w:pPr>
    <w:rPr>
      <w:rFonts w:ascii="Arial Black" w:hAnsi="Arial Black" w:eastAsia="黑体" w:cs="宋体"/>
      <w:sz w:val="36"/>
      <w:szCs w:val="20"/>
    </w:rPr>
  </w:style>
  <w:style w:type="paragraph" w:customStyle="1" w:styleId="1432">
    <w:name w:val="xl409"/>
    <w:basedOn w:val="1"/>
    <w:autoRedefine/>
    <w:qFormat/>
    <w:uiPriority w:val="0"/>
    <w:pPr>
      <w:widowControl/>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433">
    <w:name w:val="xl2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33CCCC"/>
      <w:spacing w:before="100" w:beforeAutospacing="1" w:after="100" w:afterAutospacing="1" w:line="360" w:lineRule="auto"/>
      <w:ind w:firstLine="200" w:firstLineChars="200"/>
      <w:jc w:val="left"/>
    </w:pPr>
    <w:rPr>
      <w:rFonts w:ascii="宋体" w:hAnsi="宋体" w:cs="宋体"/>
      <w:b/>
      <w:bCs/>
      <w:color w:val="000000"/>
      <w:kern w:val="0"/>
      <w:sz w:val="18"/>
      <w:szCs w:val="18"/>
    </w:rPr>
  </w:style>
  <w:style w:type="paragraph" w:customStyle="1" w:styleId="1434">
    <w:name w:val="l顶头"/>
    <w:basedOn w:val="1426"/>
    <w:autoRedefine/>
    <w:qFormat/>
    <w:uiPriority w:val="0"/>
    <w:pPr>
      <w:ind w:firstLine="0" w:firstLineChars="0"/>
    </w:pPr>
  </w:style>
  <w:style w:type="paragraph" w:customStyle="1" w:styleId="1435">
    <w:name w:val="样式 标题 5 + 仿宋_GB2312"/>
    <w:basedOn w:val="1"/>
    <w:autoRedefine/>
    <w:qFormat/>
    <w:uiPriority w:val="0"/>
    <w:pPr>
      <w:tabs>
        <w:tab w:val="left" w:pos="2580"/>
      </w:tabs>
      <w:spacing w:line="360" w:lineRule="auto"/>
      <w:ind w:left="2580" w:hanging="420" w:firstLineChars="200"/>
    </w:pPr>
    <w:rPr>
      <w:rFonts w:ascii="仿宋_GB2312" w:hAnsi="仿宋_GB2312"/>
      <w:sz w:val="24"/>
    </w:rPr>
  </w:style>
  <w:style w:type="paragraph" w:customStyle="1" w:styleId="1436">
    <w:name w:val="名称2"/>
    <w:basedOn w:val="1"/>
    <w:autoRedefine/>
    <w:qFormat/>
    <w:uiPriority w:val="0"/>
    <w:pPr>
      <w:tabs>
        <w:tab w:val="left" w:pos="2730"/>
      </w:tabs>
      <w:spacing w:before="156" w:after="120" w:line="360" w:lineRule="auto"/>
      <w:ind w:firstLine="200" w:firstLineChars="200"/>
      <w:jc w:val="center"/>
    </w:pPr>
    <w:rPr>
      <w:b/>
      <w:spacing w:val="12"/>
      <w:sz w:val="28"/>
      <w:szCs w:val="28"/>
    </w:rPr>
  </w:style>
  <w:style w:type="paragraph" w:customStyle="1" w:styleId="1437">
    <w:name w:val="DOT Text"/>
    <w:basedOn w:val="1300"/>
    <w:autoRedefine/>
    <w:qFormat/>
    <w:uiPriority w:val="0"/>
    <w:pPr>
      <w:tabs>
        <w:tab w:val="left" w:pos="1680"/>
        <w:tab w:val="clear" w:pos="420"/>
        <w:tab w:val="clear" w:pos="840"/>
        <w:tab w:val="clear" w:pos="1260"/>
      </w:tabs>
      <w:spacing w:beforeLines="25" w:afterLines="25"/>
      <w:ind w:left="840" w:hanging="420" w:firstLineChars="0"/>
    </w:pPr>
  </w:style>
  <w:style w:type="paragraph" w:customStyle="1" w:styleId="1438">
    <w:name w:val="xl24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33CCCC"/>
      <w:spacing w:before="100" w:beforeAutospacing="1" w:after="100" w:afterAutospacing="1" w:line="360" w:lineRule="auto"/>
      <w:ind w:firstLine="200" w:firstLineChars="200"/>
      <w:jc w:val="center"/>
    </w:pPr>
    <w:rPr>
      <w:rFonts w:ascii="宋体" w:hAnsi="宋体" w:cs="宋体"/>
      <w:b/>
      <w:bCs/>
      <w:color w:val="000000"/>
      <w:kern w:val="0"/>
      <w:sz w:val="18"/>
      <w:szCs w:val="18"/>
    </w:rPr>
  </w:style>
  <w:style w:type="paragraph" w:customStyle="1" w:styleId="1439">
    <w:name w:val="自定义正文"/>
    <w:basedOn w:val="1"/>
    <w:autoRedefine/>
    <w:qFormat/>
    <w:uiPriority w:val="0"/>
    <w:pPr>
      <w:spacing w:line="360" w:lineRule="auto"/>
      <w:ind w:firstLine="200" w:firstLineChars="200"/>
    </w:pPr>
    <w:rPr>
      <w:sz w:val="24"/>
    </w:rPr>
  </w:style>
  <w:style w:type="paragraph" w:customStyle="1" w:styleId="1440">
    <w:name w:val="xl2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color w:val="000000"/>
      <w:kern w:val="0"/>
      <w:sz w:val="18"/>
      <w:szCs w:val="18"/>
    </w:rPr>
  </w:style>
  <w:style w:type="paragraph" w:customStyle="1" w:styleId="1441">
    <w:name w:val="xl24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33CCCC"/>
      <w:spacing w:before="100" w:beforeAutospacing="1" w:after="100" w:afterAutospacing="1" w:line="360" w:lineRule="auto"/>
      <w:ind w:firstLine="200" w:firstLineChars="200"/>
      <w:jc w:val="right"/>
    </w:pPr>
    <w:rPr>
      <w:rFonts w:ascii="宋体" w:hAnsi="宋体" w:cs="宋体"/>
      <w:b/>
      <w:bCs/>
      <w:color w:val="000000"/>
      <w:kern w:val="0"/>
      <w:sz w:val="18"/>
      <w:szCs w:val="18"/>
    </w:rPr>
  </w:style>
  <w:style w:type="paragraph" w:customStyle="1" w:styleId="1442">
    <w:name w:val="xl4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b/>
      <w:bCs/>
      <w:color w:val="000000"/>
      <w:kern w:val="0"/>
      <w:sz w:val="20"/>
      <w:szCs w:val="20"/>
    </w:rPr>
  </w:style>
  <w:style w:type="paragraph" w:customStyle="1" w:styleId="1443">
    <w:name w:val="样式 标题 2h22nd levelTitre2l22Header 2Head 2H2节List level..."/>
    <w:basedOn w:val="4"/>
    <w:autoRedefine/>
    <w:qFormat/>
    <w:uiPriority w:val="0"/>
    <w:pPr>
      <w:tabs>
        <w:tab w:val="left" w:pos="0"/>
      </w:tabs>
      <w:autoSpaceDE/>
      <w:autoSpaceDN/>
      <w:spacing w:before="0" w:beforeLines="50" w:afterLines="50" w:line="360" w:lineRule="auto"/>
      <w:jc w:val="both"/>
    </w:pPr>
    <w:rPr>
      <w:rFonts w:ascii="Times New Roman" w:hAnsi="Times New Roman" w:eastAsia="宋体" w:cs="宋体"/>
      <w:b w:val="0"/>
      <w:bCs/>
      <w:kern w:val="2"/>
      <w:sz w:val="36"/>
    </w:rPr>
  </w:style>
  <w:style w:type="paragraph" w:customStyle="1" w:styleId="1444">
    <w:name w:val="_Style 8"/>
    <w:basedOn w:val="1"/>
    <w:autoRedefine/>
    <w:qFormat/>
    <w:uiPriority w:val="0"/>
    <w:rPr>
      <w:sz w:val="24"/>
      <w:szCs w:val="20"/>
    </w:rPr>
  </w:style>
  <w:style w:type="paragraph" w:customStyle="1" w:styleId="1445">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46">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447">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1448">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449">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50">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5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452">
    <w:name w:val="xl101"/>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453">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5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5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56">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5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58">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459">
    <w:name w:val="xl108"/>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46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461">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462">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20"/>
      <w:szCs w:val="20"/>
    </w:rPr>
  </w:style>
  <w:style w:type="paragraph" w:customStyle="1" w:styleId="146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20"/>
      <w:szCs w:val="20"/>
    </w:rPr>
  </w:style>
  <w:style w:type="paragraph" w:customStyle="1" w:styleId="146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5">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66">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6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68">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9">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70">
    <w:name w:val="xl119"/>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471">
    <w:name w:val="xl12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72">
    <w:name w:val="xl12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73">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474">
    <w:name w:val="xl12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75">
    <w:name w:val="xl1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76">
    <w:name w:val="xl125"/>
    <w:basedOn w:val="1"/>
    <w:autoRedefine/>
    <w:qFormat/>
    <w:uiPriority w:val="0"/>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77">
    <w:name w:val="xl126"/>
    <w:basedOn w:val="1"/>
    <w:autoRedefine/>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1478">
    <w:name w:val="xl127"/>
    <w:basedOn w:val="1"/>
    <w:autoRedefine/>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1479">
    <w:name w:val="xl128"/>
    <w:basedOn w:val="1"/>
    <w:autoRedefine/>
    <w:qFormat/>
    <w:uiPriority w:val="0"/>
    <w:pPr>
      <w:widowControl/>
      <w:pBdr>
        <w:bottom w:val="single" w:color="auto" w:sz="4" w:space="0"/>
      </w:pBdr>
      <w:spacing w:before="100" w:beforeAutospacing="1" w:after="100" w:afterAutospacing="1"/>
      <w:jc w:val="right"/>
    </w:pPr>
    <w:rPr>
      <w:rFonts w:ascii="宋体" w:hAnsi="宋体" w:cs="宋体"/>
      <w:b/>
      <w:bCs/>
      <w:kern w:val="0"/>
      <w:sz w:val="20"/>
      <w:szCs w:val="20"/>
    </w:rPr>
  </w:style>
  <w:style w:type="paragraph" w:customStyle="1" w:styleId="1480">
    <w:name w:val="xl129"/>
    <w:basedOn w:val="1"/>
    <w:autoRedefine/>
    <w:qFormat/>
    <w:uiPriority w:val="0"/>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81">
    <w:name w:val="xl1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82">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483">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84">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0"/>
      <w:szCs w:val="20"/>
    </w:rPr>
  </w:style>
  <w:style w:type="paragraph" w:customStyle="1" w:styleId="1485">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486">
    <w:name w:val="xl13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487">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88">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1489">
    <w:name w:val="xl1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90">
    <w:name w:val="xl139"/>
    <w:basedOn w:val="1"/>
    <w:autoRedefine/>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1491">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492">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20"/>
      <w:szCs w:val="20"/>
    </w:rPr>
  </w:style>
  <w:style w:type="paragraph" w:customStyle="1" w:styleId="1493">
    <w:name w:val="xl1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494">
    <w:name w:val="xl1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495">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96">
    <w:name w:val="xl146"/>
    <w:basedOn w:val="1"/>
    <w:autoRedefine/>
    <w:qFormat/>
    <w:uiPriority w:val="0"/>
    <w:pPr>
      <w:widowControl/>
      <w:pBdr>
        <w:bottom w:val="single" w:color="auto" w:sz="4" w:space="0"/>
      </w:pBdr>
      <w:spacing w:before="100" w:beforeAutospacing="1" w:after="100" w:afterAutospacing="1"/>
      <w:jc w:val="right"/>
    </w:pPr>
    <w:rPr>
      <w:rFonts w:ascii="宋体" w:hAnsi="宋体" w:cs="宋体"/>
      <w:b/>
      <w:bCs/>
      <w:kern w:val="0"/>
      <w:sz w:val="20"/>
      <w:szCs w:val="20"/>
    </w:rPr>
  </w:style>
  <w:style w:type="paragraph" w:customStyle="1" w:styleId="1497">
    <w:name w:val="xl1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1498">
    <w:name w:val="xl1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499">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1500">
    <w:name w:val="xl15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01">
    <w:name w:val="xl151"/>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02">
    <w:name w:val="xl15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03">
    <w:name w:val="xl15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04">
    <w:name w:val="xl15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05">
    <w:name w:val="xl15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06">
    <w:name w:val="xl156"/>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07">
    <w:name w:val="xl15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08">
    <w:name w:val="xl14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09">
    <w:name w:val="安 Char"/>
    <w:basedOn w:val="1"/>
    <w:link w:val="1510"/>
    <w:autoRedefine/>
    <w:semiHidden/>
    <w:qFormat/>
    <w:uiPriority w:val="0"/>
    <w:pPr>
      <w:adjustRightInd w:val="0"/>
      <w:snapToGrid w:val="0"/>
      <w:spacing w:line="300" w:lineRule="auto"/>
      <w:textAlignment w:val="baseline"/>
    </w:pPr>
    <w:rPr>
      <w:rFonts w:ascii="Arial Narrow" w:hAnsi="Arial Narrow" w:eastAsia="黑体"/>
      <w:b/>
      <w:bCs/>
      <w:sz w:val="28"/>
    </w:rPr>
  </w:style>
  <w:style w:type="character" w:customStyle="1" w:styleId="1510">
    <w:name w:val="安 Char Char"/>
    <w:link w:val="1509"/>
    <w:autoRedefine/>
    <w:semiHidden/>
    <w:qFormat/>
    <w:uiPriority w:val="0"/>
    <w:rPr>
      <w:rFonts w:ascii="Arial Narrow" w:hAnsi="Arial Narrow" w:eastAsia="黑体"/>
      <w:b/>
      <w:bCs/>
      <w:kern w:val="2"/>
      <w:sz w:val="28"/>
      <w:szCs w:val="24"/>
    </w:rPr>
  </w:style>
  <w:style w:type="character" w:customStyle="1" w:styleId="1511">
    <w:name w:val="标题 4 Char Char"/>
    <w:autoRedefine/>
    <w:qFormat/>
    <w:uiPriority w:val="0"/>
    <w:rPr>
      <w:rFonts w:eastAsia="宋体"/>
      <w:b/>
      <w:kern w:val="2"/>
      <w:sz w:val="24"/>
      <w:szCs w:val="24"/>
      <w:lang w:val="en-US" w:eastAsia="zh-CN" w:bidi="ar-SA"/>
    </w:rPr>
  </w:style>
  <w:style w:type="paragraph" w:customStyle="1" w:styleId="1512">
    <w:name w:val="样式 标题 5第四层条第四层条1第四层条2第四层条3第四层条11第五层第四层条4第四层条5第四层条6第四层条..."/>
    <w:basedOn w:val="9"/>
    <w:autoRedefine/>
    <w:qFormat/>
    <w:uiPriority w:val="0"/>
    <w:pPr>
      <w:keepNext w:val="0"/>
      <w:keepLines w:val="0"/>
      <w:widowControl/>
      <w:tabs>
        <w:tab w:val="left" w:pos="720"/>
      </w:tabs>
      <w:adjustRightInd/>
      <w:snapToGrid w:val="0"/>
      <w:spacing w:beforeLines="50" w:afterLines="50" w:line="300" w:lineRule="auto"/>
      <w:ind w:left="720" w:firstLine="200" w:firstLineChars="200"/>
      <w:jc w:val="left"/>
    </w:pPr>
    <w:rPr>
      <w:rFonts w:ascii="黑体" w:eastAsia="黑体" w:cs="宋体"/>
      <w:b w:val="0"/>
      <w:color w:val="000000"/>
      <w:sz w:val="24"/>
      <w:szCs w:val="24"/>
    </w:rPr>
  </w:style>
  <w:style w:type="paragraph" w:customStyle="1" w:styleId="1513">
    <w:name w:val="正文内容格式"/>
    <w:basedOn w:val="1"/>
    <w:link w:val="1514"/>
    <w:autoRedefine/>
    <w:qFormat/>
    <w:uiPriority w:val="0"/>
    <w:pPr>
      <w:widowControl/>
      <w:adjustRightInd w:val="0"/>
      <w:snapToGrid w:val="0"/>
      <w:spacing w:line="300" w:lineRule="auto"/>
      <w:textAlignment w:val="baseline"/>
    </w:pPr>
    <w:rPr>
      <w:rFonts w:ascii="宋体" w:hAnsi="宋体"/>
      <w:kern w:val="0"/>
      <w:sz w:val="24"/>
    </w:rPr>
  </w:style>
  <w:style w:type="character" w:customStyle="1" w:styleId="1514">
    <w:name w:val="正文内容格式 Char"/>
    <w:link w:val="1513"/>
    <w:autoRedefine/>
    <w:qFormat/>
    <w:uiPriority w:val="0"/>
    <w:rPr>
      <w:rFonts w:ascii="宋体" w:hAnsi="宋体"/>
      <w:sz w:val="24"/>
      <w:szCs w:val="24"/>
    </w:rPr>
  </w:style>
  <w:style w:type="paragraph" w:customStyle="1" w:styleId="1515">
    <w:name w:val="题注-题注-图表"/>
    <w:basedOn w:val="1"/>
    <w:next w:val="1"/>
    <w:link w:val="1516"/>
    <w:autoRedefine/>
    <w:qFormat/>
    <w:uiPriority w:val="0"/>
    <w:pPr>
      <w:spacing w:beforeLines="50" w:afterLines="50" w:line="360" w:lineRule="auto"/>
      <w:jc w:val="center"/>
    </w:pPr>
    <w:rPr>
      <w:rFonts w:ascii="黑体" w:hAnsi="宋体" w:eastAsia="黑体"/>
      <w:sz w:val="24"/>
    </w:rPr>
  </w:style>
  <w:style w:type="character" w:customStyle="1" w:styleId="1516">
    <w:name w:val="题注-题注-图表 Char Char"/>
    <w:link w:val="1515"/>
    <w:autoRedefine/>
    <w:qFormat/>
    <w:uiPriority w:val="0"/>
    <w:rPr>
      <w:rFonts w:ascii="黑体" w:hAnsi="宋体" w:eastAsia="黑体"/>
      <w:kern w:val="2"/>
      <w:sz w:val="24"/>
      <w:szCs w:val="24"/>
    </w:rPr>
  </w:style>
  <w:style w:type="paragraph" w:customStyle="1" w:styleId="1517">
    <w:name w:val="font13"/>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518">
    <w:name w:val="xl158"/>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b/>
      <w:bCs/>
      <w:kern w:val="0"/>
      <w:sz w:val="20"/>
      <w:szCs w:val="20"/>
    </w:rPr>
  </w:style>
  <w:style w:type="paragraph" w:customStyle="1" w:styleId="1519">
    <w:name w:val="xl159"/>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pPr>
    <w:rPr>
      <w:b/>
      <w:bCs/>
      <w:kern w:val="0"/>
      <w:sz w:val="20"/>
      <w:szCs w:val="20"/>
    </w:rPr>
  </w:style>
  <w:style w:type="paragraph" w:customStyle="1" w:styleId="1520">
    <w:name w:val="xl160"/>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20"/>
      <w:szCs w:val="20"/>
    </w:rPr>
  </w:style>
  <w:style w:type="paragraph" w:customStyle="1" w:styleId="1521">
    <w:name w:val="xl16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kern w:val="0"/>
      <w:sz w:val="20"/>
      <w:szCs w:val="20"/>
    </w:rPr>
  </w:style>
  <w:style w:type="paragraph" w:customStyle="1" w:styleId="1522">
    <w:name w:val="xl162"/>
    <w:basedOn w:val="1"/>
    <w:autoRedefine/>
    <w:qFormat/>
    <w:uiPriority w:val="0"/>
    <w:pPr>
      <w:widowControl/>
      <w:pBdr>
        <w:left w:val="single" w:color="auto" w:sz="4" w:space="0"/>
        <w:right w:val="single" w:color="auto" w:sz="4" w:space="0"/>
      </w:pBdr>
      <w:spacing w:before="100" w:beforeAutospacing="1" w:after="100" w:afterAutospacing="1"/>
      <w:jc w:val="left"/>
      <w:textAlignment w:val="top"/>
    </w:pPr>
    <w:rPr>
      <w:kern w:val="0"/>
      <w:sz w:val="20"/>
      <w:szCs w:val="20"/>
    </w:rPr>
  </w:style>
  <w:style w:type="paragraph" w:customStyle="1" w:styleId="1523">
    <w:name w:val="xl16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kern w:val="0"/>
      <w:sz w:val="20"/>
      <w:szCs w:val="20"/>
    </w:rPr>
  </w:style>
  <w:style w:type="paragraph" w:customStyle="1" w:styleId="1524">
    <w:name w:val="xl16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0"/>
      <w:szCs w:val="20"/>
    </w:rPr>
  </w:style>
  <w:style w:type="paragraph" w:customStyle="1" w:styleId="1525">
    <w:name w:val="xl165"/>
    <w:basedOn w:val="1"/>
    <w:autoRedefine/>
    <w:qFormat/>
    <w:uiPriority w:val="0"/>
    <w:pPr>
      <w:widowControl/>
      <w:pBdr>
        <w:top w:val="single" w:color="auto" w:sz="4" w:space="0"/>
        <w:bottom w:val="single" w:color="auto" w:sz="4" w:space="0"/>
      </w:pBdr>
      <w:spacing w:before="100" w:beforeAutospacing="1" w:after="100" w:afterAutospacing="1"/>
      <w:jc w:val="center"/>
    </w:pPr>
    <w:rPr>
      <w:kern w:val="0"/>
      <w:sz w:val="20"/>
      <w:szCs w:val="20"/>
    </w:rPr>
  </w:style>
  <w:style w:type="paragraph" w:customStyle="1" w:styleId="1526">
    <w:name w:val="xl16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527">
    <w:name w:val="xl167"/>
    <w:basedOn w:val="1"/>
    <w:autoRedefine/>
    <w:qFormat/>
    <w:uiPriority w:val="0"/>
    <w:pPr>
      <w:widowControl/>
      <w:pBdr>
        <w:top w:val="single" w:color="auto" w:sz="4" w:space="0"/>
        <w:left w:val="single" w:color="auto" w:sz="4" w:space="0"/>
      </w:pBdr>
      <w:spacing w:before="100" w:beforeAutospacing="1" w:after="100" w:afterAutospacing="1"/>
      <w:jc w:val="center"/>
    </w:pPr>
    <w:rPr>
      <w:b/>
      <w:bCs/>
      <w:kern w:val="0"/>
      <w:sz w:val="20"/>
      <w:szCs w:val="20"/>
    </w:rPr>
  </w:style>
  <w:style w:type="paragraph" w:customStyle="1" w:styleId="1528">
    <w:name w:val="xl168"/>
    <w:basedOn w:val="1"/>
    <w:autoRedefine/>
    <w:qFormat/>
    <w:uiPriority w:val="0"/>
    <w:pPr>
      <w:widowControl/>
      <w:pBdr>
        <w:top w:val="single" w:color="auto" w:sz="4" w:space="0"/>
      </w:pBdr>
      <w:spacing w:before="100" w:beforeAutospacing="1" w:after="100" w:afterAutospacing="1"/>
      <w:jc w:val="center"/>
    </w:pPr>
    <w:rPr>
      <w:b/>
      <w:bCs/>
      <w:kern w:val="0"/>
      <w:sz w:val="20"/>
      <w:szCs w:val="20"/>
    </w:rPr>
  </w:style>
  <w:style w:type="paragraph" w:customStyle="1" w:styleId="1529">
    <w:name w:val="xl169"/>
    <w:basedOn w:val="1"/>
    <w:autoRedefine/>
    <w:qFormat/>
    <w:uiPriority w:val="0"/>
    <w:pPr>
      <w:widowControl/>
      <w:pBdr>
        <w:top w:val="single" w:color="auto" w:sz="4" w:space="0"/>
        <w:right w:val="single" w:color="auto" w:sz="4" w:space="0"/>
      </w:pBdr>
      <w:spacing w:before="100" w:beforeAutospacing="1" w:after="100" w:afterAutospacing="1"/>
      <w:jc w:val="center"/>
    </w:pPr>
    <w:rPr>
      <w:b/>
      <w:bCs/>
      <w:kern w:val="0"/>
      <w:sz w:val="20"/>
      <w:szCs w:val="20"/>
    </w:rPr>
  </w:style>
  <w:style w:type="paragraph" w:customStyle="1" w:styleId="1530">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1531">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32">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15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534">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535">
    <w:name w:val="xl1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536">
    <w:name w:val="xl17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37">
    <w:name w:val="font1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38">
    <w:name w:val="正文不空"/>
    <w:basedOn w:val="1"/>
    <w:link w:val="1539"/>
    <w:autoRedefine/>
    <w:qFormat/>
    <w:uiPriority w:val="0"/>
    <w:pPr>
      <w:spacing w:line="360" w:lineRule="auto"/>
      <w:jc w:val="center"/>
    </w:pPr>
    <w:rPr>
      <w:rFonts w:ascii="仿宋_GB2312" w:hAnsi="Calibri" w:eastAsia="仿宋_GB2312"/>
      <w:sz w:val="24"/>
    </w:rPr>
  </w:style>
  <w:style w:type="character" w:customStyle="1" w:styleId="1539">
    <w:name w:val="正文不空 Char"/>
    <w:link w:val="1538"/>
    <w:autoRedefine/>
    <w:qFormat/>
    <w:uiPriority w:val="0"/>
    <w:rPr>
      <w:rFonts w:ascii="仿宋_GB2312" w:hAnsi="Calibri" w:eastAsia="仿宋_GB2312"/>
      <w:kern w:val="2"/>
      <w:sz w:val="24"/>
      <w:szCs w:val="24"/>
    </w:rPr>
  </w:style>
  <w:style w:type="paragraph" w:customStyle="1" w:styleId="1540">
    <w:name w:val="缩进正文"/>
    <w:basedOn w:val="1"/>
    <w:link w:val="1541"/>
    <w:autoRedefine/>
    <w:qFormat/>
    <w:uiPriority w:val="0"/>
    <w:pPr>
      <w:adjustRightInd w:val="0"/>
      <w:spacing w:line="360" w:lineRule="auto"/>
      <w:ind w:firstLine="200" w:firstLineChars="200"/>
      <w:jc w:val="left"/>
    </w:pPr>
    <w:rPr>
      <w:rFonts w:ascii="Calibri" w:hAnsi="Calibri"/>
      <w:sz w:val="24"/>
    </w:rPr>
  </w:style>
  <w:style w:type="character" w:customStyle="1" w:styleId="1541">
    <w:name w:val="缩进正文 Char Char"/>
    <w:link w:val="1540"/>
    <w:autoRedefine/>
    <w:qFormat/>
    <w:uiPriority w:val="0"/>
    <w:rPr>
      <w:rFonts w:ascii="Calibri" w:hAnsi="Calibri"/>
      <w:kern w:val="2"/>
      <w:sz w:val="24"/>
      <w:szCs w:val="24"/>
    </w:rPr>
  </w:style>
  <w:style w:type="paragraph" w:customStyle="1" w:styleId="1542">
    <w:name w:val="编号1"/>
    <w:basedOn w:val="1"/>
    <w:autoRedefine/>
    <w:qFormat/>
    <w:uiPriority w:val="0"/>
    <w:pPr>
      <w:adjustRightInd w:val="0"/>
      <w:spacing w:line="360" w:lineRule="auto"/>
      <w:ind w:left="420"/>
      <w:jc w:val="left"/>
    </w:pPr>
    <w:rPr>
      <w:rFonts w:ascii="Calibri" w:hAnsi="Calibri"/>
      <w:sz w:val="24"/>
    </w:rPr>
  </w:style>
  <w:style w:type="paragraph" w:customStyle="1" w:styleId="1543">
    <w:name w:val="编号2"/>
    <w:basedOn w:val="1"/>
    <w:autoRedefine/>
    <w:qFormat/>
    <w:uiPriority w:val="0"/>
    <w:pPr>
      <w:wordWrap w:val="0"/>
      <w:adjustRightInd w:val="0"/>
      <w:spacing w:line="360" w:lineRule="auto"/>
      <w:ind w:left="720"/>
      <w:jc w:val="left"/>
    </w:pPr>
    <w:rPr>
      <w:rFonts w:ascii="Calibri" w:hAnsi="Calibri"/>
      <w:sz w:val="24"/>
    </w:rPr>
  </w:style>
  <w:style w:type="paragraph" w:customStyle="1" w:styleId="1544">
    <w:name w:val="编号3"/>
    <w:basedOn w:val="1"/>
    <w:autoRedefine/>
    <w:qFormat/>
    <w:uiPriority w:val="0"/>
    <w:pPr>
      <w:adjustRightInd w:val="0"/>
      <w:spacing w:line="360" w:lineRule="auto"/>
      <w:ind w:left="820"/>
      <w:jc w:val="left"/>
    </w:pPr>
    <w:rPr>
      <w:rFonts w:ascii="Calibri" w:hAnsi="Calibri"/>
      <w:sz w:val="24"/>
    </w:rPr>
  </w:style>
  <w:style w:type="paragraph" w:customStyle="1" w:styleId="1545">
    <w:name w:val="编号4"/>
    <w:basedOn w:val="1"/>
    <w:autoRedefine/>
    <w:qFormat/>
    <w:uiPriority w:val="0"/>
    <w:pPr>
      <w:wordWrap w:val="0"/>
      <w:adjustRightInd w:val="0"/>
      <w:spacing w:line="360" w:lineRule="auto"/>
      <w:ind w:left="1223"/>
      <w:jc w:val="left"/>
    </w:pPr>
    <w:rPr>
      <w:rFonts w:ascii="Calibri" w:hAnsi="Calibri"/>
      <w:sz w:val="24"/>
    </w:rPr>
  </w:style>
  <w:style w:type="paragraph" w:customStyle="1" w:styleId="1546">
    <w:name w:val="样式 缩进正文 + 首行缩进:  2 字符"/>
    <w:basedOn w:val="1540"/>
    <w:autoRedefine/>
    <w:qFormat/>
    <w:uiPriority w:val="0"/>
    <w:rPr>
      <w:rFonts w:cs="宋体"/>
      <w:szCs w:val="20"/>
    </w:rPr>
  </w:style>
  <w:style w:type="paragraph" w:customStyle="1" w:styleId="1547">
    <w:name w:val="题注居中"/>
    <w:basedOn w:val="1"/>
    <w:autoRedefine/>
    <w:qFormat/>
    <w:uiPriority w:val="0"/>
    <w:pPr>
      <w:adjustRightInd w:val="0"/>
      <w:spacing w:line="360" w:lineRule="auto"/>
      <w:jc w:val="center"/>
    </w:pPr>
    <w:rPr>
      <w:rFonts w:ascii="Calibri" w:hAnsi="Calibri"/>
      <w:szCs w:val="44"/>
    </w:rPr>
  </w:style>
  <w:style w:type="paragraph" w:customStyle="1" w:styleId="1548">
    <w:name w:val="封面居中1"/>
    <w:basedOn w:val="1"/>
    <w:autoRedefine/>
    <w:qFormat/>
    <w:uiPriority w:val="0"/>
    <w:pPr>
      <w:adjustRightInd w:val="0"/>
      <w:spacing w:line="360" w:lineRule="auto"/>
      <w:jc w:val="center"/>
    </w:pPr>
    <w:rPr>
      <w:rFonts w:ascii="Calibri" w:hAnsi="Calibri" w:eastAsia="黑体"/>
      <w:b/>
      <w:sz w:val="44"/>
    </w:rPr>
  </w:style>
  <w:style w:type="paragraph" w:customStyle="1" w:styleId="1549">
    <w:name w:val="封面居中2"/>
    <w:basedOn w:val="1548"/>
    <w:autoRedefine/>
    <w:qFormat/>
    <w:uiPriority w:val="0"/>
    <w:rPr>
      <w:sz w:val="32"/>
    </w:rPr>
  </w:style>
  <w:style w:type="paragraph" w:customStyle="1" w:styleId="1550">
    <w:name w:val="样式 缩进正文 + 首行缩进:  2 字符1"/>
    <w:basedOn w:val="1540"/>
    <w:autoRedefine/>
    <w:qFormat/>
    <w:uiPriority w:val="0"/>
    <w:rPr>
      <w:rFonts w:cs="宋体"/>
      <w:sz w:val="21"/>
      <w:szCs w:val="20"/>
    </w:rPr>
  </w:style>
  <w:style w:type="paragraph" w:customStyle="1" w:styleId="1551">
    <w:name w:val="样式 样式 缩进正文 + 首行缩进:  2 字符1 + 首行缩进:  2 字符"/>
    <w:basedOn w:val="1550"/>
    <w:autoRedefine/>
    <w:qFormat/>
    <w:uiPriority w:val="0"/>
    <w:pPr>
      <w:ind w:firstLine="420"/>
    </w:pPr>
  </w:style>
  <w:style w:type="paragraph" w:customStyle="1" w:styleId="1552">
    <w:name w:val="居右"/>
    <w:basedOn w:val="1"/>
    <w:autoRedefine/>
    <w:qFormat/>
    <w:uiPriority w:val="0"/>
    <w:pPr>
      <w:spacing w:line="360" w:lineRule="auto"/>
      <w:jc w:val="right"/>
    </w:pPr>
    <w:rPr>
      <w:rFonts w:ascii="Calibri" w:hAnsi="Calibri"/>
      <w:b/>
      <w:sz w:val="24"/>
    </w:rPr>
  </w:style>
  <w:style w:type="paragraph" w:customStyle="1" w:styleId="1553">
    <w:name w:val="表正文黑体"/>
    <w:basedOn w:val="1"/>
    <w:autoRedefine/>
    <w:qFormat/>
    <w:uiPriority w:val="0"/>
    <w:pPr>
      <w:jc w:val="left"/>
    </w:pPr>
    <w:rPr>
      <w:rFonts w:ascii="Calibri" w:hAnsi="Calibri" w:eastAsia="黑体"/>
    </w:rPr>
  </w:style>
  <w:style w:type="paragraph" w:customStyle="1" w:styleId="1554">
    <w:name w:val="表格标题黑体"/>
    <w:basedOn w:val="1"/>
    <w:autoRedefine/>
    <w:qFormat/>
    <w:uiPriority w:val="0"/>
    <w:pPr>
      <w:jc w:val="center"/>
    </w:pPr>
    <w:rPr>
      <w:rFonts w:ascii="Calibri" w:hAnsi="Calibri" w:eastAsia="黑体"/>
      <w:b/>
      <w:kern w:val="0"/>
    </w:rPr>
  </w:style>
  <w:style w:type="paragraph" w:customStyle="1" w:styleId="1555">
    <w:name w:val="表格标题居左黑体"/>
    <w:basedOn w:val="1554"/>
    <w:autoRedefine/>
    <w:qFormat/>
    <w:uiPriority w:val="0"/>
    <w:pPr>
      <w:jc w:val="left"/>
    </w:pPr>
    <w:rPr>
      <w:b w:val="0"/>
    </w:rPr>
  </w:style>
  <w:style w:type="paragraph" w:customStyle="1" w:styleId="1556">
    <w:name w:val="居中"/>
    <w:basedOn w:val="1"/>
    <w:autoRedefine/>
    <w:qFormat/>
    <w:uiPriority w:val="0"/>
    <w:pPr>
      <w:adjustRightInd w:val="0"/>
      <w:spacing w:line="360" w:lineRule="auto"/>
      <w:jc w:val="center"/>
    </w:pPr>
    <w:rPr>
      <w:rFonts w:ascii="Calibri" w:hAnsi="Calibri"/>
      <w:sz w:val="24"/>
    </w:rPr>
  </w:style>
  <w:style w:type="paragraph" w:customStyle="1" w:styleId="1557">
    <w:name w:val="正文缩进加粗"/>
    <w:basedOn w:val="1540"/>
    <w:autoRedefine/>
    <w:qFormat/>
    <w:uiPriority w:val="0"/>
    <w:rPr>
      <w:b/>
    </w:rPr>
  </w:style>
  <w:style w:type="paragraph" w:customStyle="1" w:styleId="1558">
    <w:name w:val="正文不缩进加粗"/>
    <w:basedOn w:val="1"/>
    <w:next w:val="1"/>
    <w:autoRedefine/>
    <w:qFormat/>
    <w:uiPriority w:val="0"/>
    <w:pPr>
      <w:spacing w:line="360" w:lineRule="auto"/>
    </w:pPr>
    <w:rPr>
      <w:rFonts w:ascii="Calibri" w:hAnsi="Calibri"/>
      <w:b/>
      <w:sz w:val="24"/>
    </w:rPr>
  </w:style>
  <w:style w:type="paragraph" w:customStyle="1" w:styleId="1559">
    <w:name w:val="图表题目"/>
    <w:basedOn w:val="1554"/>
    <w:autoRedefine/>
    <w:qFormat/>
    <w:uiPriority w:val="0"/>
    <w:pPr>
      <w:spacing w:line="360" w:lineRule="auto"/>
    </w:pPr>
  </w:style>
  <w:style w:type="paragraph" w:customStyle="1" w:styleId="1560">
    <w:name w:val="图表题目居左"/>
    <w:basedOn w:val="1559"/>
    <w:autoRedefine/>
    <w:qFormat/>
    <w:uiPriority w:val="0"/>
    <w:pPr>
      <w:jc w:val="left"/>
    </w:pPr>
  </w:style>
  <w:style w:type="paragraph" w:customStyle="1" w:styleId="1561">
    <w:name w:val="标点正文"/>
    <w:basedOn w:val="1"/>
    <w:autoRedefine/>
    <w:qFormat/>
    <w:uiPriority w:val="0"/>
    <w:pPr>
      <w:tabs>
        <w:tab w:val="left" w:pos="1120"/>
      </w:tabs>
      <w:spacing w:line="360" w:lineRule="auto"/>
      <w:ind w:left="1133" w:leftChars="250" w:hanging="608" w:hangingChars="217"/>
    </w:pPr>
    <w:rPr>
      <w:sz w:val="28"/>
      <w:szCs w:val="28"/>
    </w:rPr>
  </w:style>
  <w:style w:type="paragraph" w:customStyle="1" w:styleId="1562">
    <w:name w:val="样式 题注题注(图注) + 居中"/>
    <w:basedOn w:val="21"/>
    <w:autoRedefine/>
    <w:qFormat/>
    <w:uiPriority w:val="0"/>
    <w:pPr>
      <w:spacing w:before="152" w:after="160" w:line="240" w:lineRule="auto"/>
      <w:jc w:val="center"/>
    </w:pPr>
    <w:rPr>
      <w:rFonts w:ascii="Arial" w:hAnsi="Arial" w:eastAsia="黑体" w:cs="宋体"/>
      <w:sz w:val="20"/>
      <w:szCs w:val="21"/>
    </w:rPr>
  </w:style>
  <w:style w:type="paragraph" w:customStyle="1" w:styleId="1563">
    <w:name w:val="四号正文"/>
    <w:basedOn w:val="1"/>
    <w:autoRedefine/>
    <w:qFormat/>
    <w:uiPriority w:val="0"/>
    <w:pPr>
      <w:spacing w:line="360" w:lineRule="auto"/>
      <w:ind w:firstLine="560" w:firstLineChars="200"/>
    </w:pPr>
    <w:rPr>
      <w:sz w:val="28"/>
      <w:szCs w:val="28"/>
    </w:rPr>
  </w:style>
  <w:style w:type="paragraph" w:customStyle="1" w:styleId="1564">
    <w:name w:val="第二级标题（节）"/>
    <w:basedOn w:val="4"/>
    <w:autoRedefine/>
    <w:qFormat/>
    <w:uiPriority w:val="0"/>
    <w:pPr>
      <w:tabs>
        <w:tab w:val="left" w:pos="0"/>
        <w:tab w:val="left" w:pos="420"/>
      </w:tabs>
      <w:autoSpaceDE/>
      <w:autoSpaceDN/>
      <w:spacing w:before="0" w:beforeLines="50" w:afterLines="50" w:line="360" w:lineRule="auto"/>
      <w:ind w:left="1505" w:hanging="425"/>
      <w:jc w:val="both"/>
      <w:outlineLvl w:val="0"/>
    </w:pPr>
    <w:rPr>
      <w:rFonts w:ascii="黑体" w:hAnsi="黑体"/>
      <w:kern w:val="2"/>
      <w:sz w:val="32"/>
      <w:szCs w:val="32"/>
    </w:rPr>
  </w:style>
  <w:style w:type="paragraph" w:customStyle="1" w:styleId="1565">
    <w:name w:val="a乌鲁木齐图名"/>
    <w:autoRedefine/>
    <w:qFormat/>
    <w:uiPriority w:val="0"/>
    <w:pPr>
      <w:keepNext/>
      <w:spacing w:beforeLines="50" w:afterLines="50" w:line="360" w:lineRule="auto"/>
      <w:ind w:left="210" w:hanging="210" w:hangingChars="100"/>
      <w:jc w:val="center"/>
    </w:pPr>
    <w:rPr>
      <w:rFonts w:ascii="黑体" w:hAnsi="Arial" w:eastAsia="黑体" w:cs="Arial"/>
      <w:bCs/>
      <w:kern w:val="2"/>
      <w:sz w:val="21"/>
      <w:szCs w:val="32"/>
      <w:lang w:val="en-US" w:eastAsia="zh-CN" w:bidi="ar-SA"/>
    </w:rPr>
  </w:style>
  <w:style w:type="paragraph" w:customStyle="1" w:styleId="1566">
    <w:name w:val="a乌鲁木齐表名"/>
    <w:autoRedefine/>
    <w:qFormat/>
    <w:uiPriority w:val="0"/>
    <w:pPr>
      <w:spacing w:beforeLines="50" w:afterLines="50" w:line="360" w:lineRule="auto"/>
      <w:ind w:firstLine="200" w:firstLineChars="200"/>
      <w:jc w:val="center"/>
    </w:pPr>
    <w:rPr>
      <w:rFonts w:ascii="Arial" w:hAnsi="Arial" w:eastAsia="黑体" w:cs="Times New Roman"/>
      <w:bCs/>
      <w:kern w:val="2"/>
      <w:sz w:val="21"/>
      <w:szCs w:val="32"/>
      <w:lang w:val="en-US" w:eastAsia="zh-CN" w:bidi="ar-SA"/>
    </w:rPr>
  </w:style>
  <w:style w:type="paragraph" w:customStyle="1" w:styleId="1567">
    <w:name w:val="项目排序"/>
    <w:basedOn w:val="32"/>
    <w:next w:val="32"/>
    <w:autoRedefine/>
    <w:qFormat/>
    <w:uiPriority w:val="0"/>
    <w:pPr>
      <w:tabs>
        <w:tab w:val="clear" w:pos="567"/>
      </w:tabs>
      <w:spacing w:before="0" w:beforeLines="50" w:afterLines="50" w:line="360" w:lineRule="auto"/>
      <w:ind w:left="4532"/>
    </w:pPr>
    <w:rPr>
      <w:rFonts w:ascii="Times New Roman" w:hAnsi="Times New Roman"/>
      <w:b/>
      <w:kern w:val="0"/>
      <w:sz w:val="28"/>
      <w:szCs w:val="32"/>
    </w:rPr>
  </w:style>
  <w:style w:type="paragraph" w:customStyle="1" w:styleId="1568">
    <w:name w:val="0 正文"/>
    <w:basedOn w:val="1"/>
    <w:link w:val="1569"/>
    <w:autoRedefine/>
    <w:qFormat/>
    <w:uiPriority w:val="0"/>
    <w:pPr>
      <w:adjustRightInd w:val="0"/>
      <w:snapToGrid w:val="0"/>
      <w:spacing w:afterLines="50" w:line="360" w:lineRule="auto"/>
      <w:ind w:firstLine="560" w:firstLineChars="200"/>
    </w:pPr>
    <w:rPr>
      <w:rFonts w:ascii="仿宋_GB2312" w:hAnsi="Calibri" w:eastAsia="仿宋_GB2312"/>
      <w:sz w:val="28"/>
      <w:szCs w:val="28"/>
    </w:rPr>
  </w:style>
  <w:style w:type="character" w:customStyle="1" w:styleId="1569">
    <w:name w:val="0 正文 Char"/>
    <w:link w:val="1568"/>
    <w:autoRedefine/>
    <w:qFormat/>
    <w:uiPriority w:val="0"/>
    <w:rPr>
      <w:rFonts w:ascii="仿宋_GB2312" w:hAnsi="Calibri" w:eastAsia="仿宋_GB2312"/>
      <w:kern w:val="2"/>
      <w:sz w:val="28"/>
      <w:szCs w:val="28"/>
    </w:rPr>
  </w:style>
  <w:style w:type="character" w:customStyle="1" w:styleId="1570">
    <w:name w:val="标题 3 Char5"/>
    <w:autoRedefine/>
    <w:qFormat/>
    <w:uiPriority w:val="0"/>
    <w:rPr>
      <w:rFonts w:ascii="Arial" w:hAnsi="Arial" w:eastAsia="黑体"/>
      <w:kern w:val="2"/>
      <w:sz w:val="28"/>
      <w:szCs w:val="24"/>
    </w:rPr>
  </w:style>
  <w:style w:type="paragraph" w:customStyle="1" w:styleId="1571">
    <w:name w:val="小节"/>
    <w:basedOn w:val="9"/>
    <w:next w:val="1"/>
    <w:autoRedefine/>
    <w:qFormat/>
    <w:uiPriority w:val="0"/>
    <w:pPr>
      <w:keepNext w:val="0"/>
      <w:keepLines w:val="0"/>
      <w:adjustRightInd/>
      <w:snapToGrid w:val="0"/>
      <w:spacing w:beforeLines="50" w:afterLines="50" w:line="360" w:lineRule="auto"/>
      <w:ind w:firstLine="200" w:firstLineChars="200"/>
      <w:jc w:val="left"/>
      <w:textAlignment w:val="auto"/>
    </w:pPr>
    <w:rPr>
      <w:color w:val="000000"/>
      <w:sz w:val="24"/>
      <w:szCs w:val="28"/>
    </w:rPr>
  </w:style>
  <w:style w:type="paragraph" w:customStyle="1" w:styleId="1572">
    <w:name w:val="样式 标题 1 + 黑体 小二"/>
    <w:basedOn w:val="3"/>
    <w:autoRedefine/>
    <w:qFormat/>
    <w:uiPriority w:val="0"/>
    <w:pPr>
      <w:autoSpaceDE/>
      <w:autoSpaceDN/>
      <w:adjustRightInd/>
      <w:spacing w:before="0" w:after="0" w:line="576" w:lineRule="auto"/>
      <w:jc w:val="both"/>
    </w:pPr>
    <w:rPr>
      <w:rFonts w:ascii="黑体" w:hAnsi="黑体" w:eastAsia="黑体"/>
      <w:bCs/>
      <w:sz w:val="36"/>
      <w:szCs w:val="44"/>
    </w:rPr>
  </w:style>
  <w:style w:type="paragraph" w:customStyle="1" w:styleId="1573">
    <w:name w:val="细化编号"/>
    <w:basedOn w:val="1"/>
    <w:link w:val="1574"/>
    <w:autoRedefine/>
    <w:qFormat/>
    <w:uiPriority w:val="0"/>
    <w:pPr>
      <w:spacing w:beforeLines="50" w:afterLines="50" w:line="360" w:lineRule="auto"/>
      <w:ind w:left="987"/>
    </w:pPr>
    <w:rPr>
      <w:sz w:val="24"/>
    </w:rPr>
  </w:style>
  <w:style w:type="character" w:customStyle="1" w:styleId="1574">
    <w:name w:val="细化编号 Char"/>
    <w:link w:val="1573"/>
    <w:autoRedefine/>
    <w:qFormat/>
    <w:uiPriority w:val="0"/>
    <w:rPr>
      <w:kern w:val="2"/>
      <w:sz w:val="24"/>
      <w:szCs w:val="24"/>
    </w:rPr>
  </w:style>
  <w:style w:type="paragraph" w:customStyle="1" w:styleId="1575">
    <w:name w:val="条目样式"/>
    <w:basedOn w:val="148"/>
    <w:link w:val="1576"/>
    <w:autoRedefine/>
    <w:qFormat/>
    <w:uiPriority w:val="0"/>
    <w:pPr>
      <w:spacing w:beforeLines="50" w:afterLines="50"/>
      <w:ind w:firstLine="0" w:firstLineChars="0"/>
    </w:pPr>
    <w:rPr>
      <w:rFonts w:ascii="Times New Roman" w:hAnsi="Times New Roman"/>
      <w:sz w:val="24"/>
      <w:szCs w:val="24"/>
    </w:rPr>
  </w:style>
  <w:style w:type="character" w:customStyle="1" w:styleId="1576">
    <w:name w:val="条目样式 Char"/>
    <w:link w:val="1575"/>
    <w:autoRedefine/>
    <w:qFormat/>
    <w:uiPriority w:val="0"/>
    <w:rPr>
      <w:kern w:val="2"/>
      <w:sz w:val="24"/>
      <w:szCs w:val="24"/>
    </w:rPr>
  </w:style>
  <w:style w:type="paragraph" w:customStyle="1" w:styleId="1577">
    <w:name w:val="TEXT 10"/>
    <w:autoRedefine/>
    <w:qFormat/>
    <w:uiPriority w:val="0"/>
    <w:pPr>
      <w:spacing w:line="360" w:lineRule="auto"/>
      <w:jc w:val="both"/>
    </w:pPr>
    <w:rPr>
      <w:rFonts w:ascii="Arial" w:hAnsi="Arial" w:eastAsia="宋体" w:cs="Times New Roman"/>
      <w:lang w:val="en-AU" w:eastAsia="zh-CN" w:bidi="ar-SA"/>
    </w:rPr>
  </w:style>
  <w:style w:type="paragraph" w:customStyle="1" w:styleId="1578">
    <w:name w:val="正常正文"/>
    <w:basedOn w:val="1"/>
    <w:link w:val="1579"/>
    <w:autoRedefine/>
    <w:qFormat/>
    <w:uiPriority w:val="0"/>
    <w:pPr>
      <w:widowControl/>
      <w:spacing w:line="360" w:lineRule="auto"/>
      <w:ind w:firstLine="480" w:firstLineChars="200"/>
    </w:pPr>
    <w:rPr>
      <w:rFonts w:ascii="宋体" w:hAnsi="宋体"/>
      <w:color w:val="000000"/>
      <w:sz w:val="24"/>
    </w:rPr>
  </w:style>
  <w:style w:type="character" w:customStyle="1" w:styleId="1579">
    <w:name w:val="正常正文 Char"/>
    <w:link w:val="1578"/>
    <w:autoRedefine/>
    <w:qFormat/>
    <w:uiPriority w:val="0"/>
    <w:rPr>
      <w:rFonts w:ascii="宋体" w:hAnsi="宋体"/>
      <w:color w:val="000000"/>
      <w:kern w:val="2"/>
      <w:sz w:val="24"/>
      <w:szCs w:val="24"/>
    </w:rPr>
  </w:style>
  <w:style w:type="paragraph" w:customStyle="1" w:styleId="1580">
    <w:name w:val="章"/>
    <w:basedOn w:val="1"/>
    <w:autoRedefine/>
    <w:qFormat/>
    <w:uiPriority w:val="0"/>
    <w:pPr>
      <w:jc w:val="center"/>
      <w:outlineLvl w:val="0"/>
    </w:pPr>
    <w:rPr>
      <w:rFonts w:ascii="宋体" w:hAnsi="宋体"/>
      <w:sz w:val="36"/>
      <w:szCs w:val="36"/>
    </w:rPr>
  </w:style>
  <w:style w:type="paragraph" w:customStyle="1" w:styleId="1581">
    <w:name w:val="1）"/>
    <w:basedOn w:val="584"/>
    <w:link w:val="1582"/>
    <w:autoRedefine/>
    <w:qFormat/>
    <w:uiPriority w:val="0"/>
    <w:pPr>
      <w:widowControl w:val="0"/>
      <w:spacing w:before="0" w:beforeAutospacing="0" w:after="0" w:afterAutospacing="0" w:line="360" w:lineRule="auto"/>
      <w:ind w:firstLine="200" w:firstLineChars="200"/>
      <w:jc w:val="both"/>
      <w:outlineLvl w:val="9"/>
    </w:pPr>
    <w:rPr>
      <w:rFonts w:ascii="Cambria" w:hAnsi="Cambria" w:cs="Cambria"/>
      <w:color w:val="365F91"/>
      <w:kern w:val="2"/>
      <w:sz w:val="24"/>
    </w:rPr>
  </w:style>
  <w:style w:type="character" w:customStyle="1" w:styleId="1582">
    <w:name w:val="1） Char"/>
    <w:link w:val="1581"/>
    <w:autoRedefine/>
    <w:qFormat/>
    <w:uiPriority w:val="0"/>
    <w:rPr>
      <w:rFonts w:ascii="Cambria" w:hAnsi="Cambria" w:eastAsia="黑体" w:cs="Cambria"/>
      <w:b/>
      <w:color w:val="365F91"/>
      <w:kern w:val="2"/>
      <w:sz w:val="24"/>
      <w:szCs w:val="24"/>
    </w:rPr>
  </w:style>
  <w:style w:type="paragraph" w:customStyle="1" w:styleId="1583">
    <w:name w:val="_正文段落"/>
    <w:basedOn w:val="1"/>
    <w:link w:val="1584"/>
    <w:autoRedefine/>
    <w:qFormat/>
    <w:uiPriority w:val="0"/>
    <w:pPr>
      <w:adjustRightInd w:val="0"/>
      <w:spacing w:line="360" w:lineRule="auto"/>
      <w:ind w:firstLine="480" w:firstLineChars="200"/>
    </w:pPr>
    <w:rPr>
      <w:rFonts w:ascii="宋体" w:hAnsi="宋体"/>
      <w:color w:val="000000"/>
      <w:kern w:val="0"/>
      <w:sz w:val="24"/>
    </w:rPr>
  </w:style>
  <w:style w:type="character" w:customStyle="1" w:styleId="1584">
    <w:name w:val="_正文段落 Char"/>
    <w:link w:val="1583"/>
    <w:autoRedefine/>
    <w:qFormat/>
    <w:uiPriority w:val="0"/>
    <w:rPr>
      <w:rFonts w:ascii="宋体" w:hAnsi="宋体"/>
      <w:color w:val="000000"/>
      <w:sz w:val="24"/>
      <w:szCs w:val="24"/>
    </w:rPr>
  </w:style>
  <w:style w:type="paragraph" w:customStyle="1" w:styleId="1585">
    <w:name w:val="正文 首行缩进"/>
    <w:basedOn w:val="1"/>
    <w:link w:val="1586"/>
    <w:autoRedefine/>
    <w:qFormat/>
    <w:uiPriority w:val="0"/>
    <w:pPr>
      <w:widowControl/>
      <w:snapToGrid w:val="0"/>
      <w:spacing w:line="360" w:lineRule="auto"/>
      <w:ind w:firstLine="480" w:firstLineChars="200"/>
      <w:jc w:val="left"/>
    </w:pPr>
    <w:rPr>
      <w:rFonts w:ascii="宋体" w:hAnsi="宋体"/>
      <w:sz w:val="24"/>
      <w:szCs w:val="22"/>
    </w:rPr>
  </w:style>
  <w:style w:type="character" w:customStyle="1" w:styleId="1586">
    <w:name w:val="正文 首行缩进 Char"/>
    <w:link w:val="1585"/>
    <w:autoRedefine/>
    <w:qFormat/>
    <w:uiPriority w:val="0"/>
    <w:rPr>
      <w:rFonts w:ascii="宋体" w:hAnsi="宋体"/>
      <w:kern w:val="2"/>
      <w:sz w:val="24"/>
      <w:szCs w:val="22"/>
    </w:rPr>
  </w:style>
  <w:style w:type="character" w:customStyle="1" w:styleId="1587">
    <w:name w:val="正文首行缩进（绿盟科技） Char"/>
    <w:link w:val="1588"/>
    <w:autoRedefine/>
    <w:qFormat/>
    <w:locked/>
    <w:uiPriority w:val="0"/>
    <w:rPr>
      <w:rFonts w:ascii="Arial" w:hAnsi="Arial"/>
      <w:sz w:val="24"/>
      <w:szCs w:val="21"/>
    </w:rPr>
  </w:style>
  <w:style w:type="paragraph" w:customStyle="1" w:styleId="1588">
    <w:name w:val="正文首行缩进（绿盟科技）"/>
    <w:basedOn w:val="1"/>
    <w:link w:val="1587"/>
    <w:autoRedefine/>
    <w:qFormat/>
    <w:uiPriority w:val="0"/>
    <w:pPr>
      <w:widowControl/>
      <w:autoSpaceDE w:val="0"/>
      <w:autoSpaceDN w:val="0"/>
      <w:adjustRightInd w:val="0"/>
      <w:spacing w:after="50" w:line="300" w:lineRule="auto"/>
      <w:ind w:firstLine="200" w:firstLineChars="200"/>
      <w:jc w:val="left"/>
    </w:pPr>
    <w:rPr>
      <w:rFonts w:ascii="Arial" w:hAnsi="Arial"/>
      <w:kern w:val="0"/>
      <w:sz w:val="24"/>
      <w:szCs w:val="21"/>
    </w:rPr>
  </w:style>
  <w:style w:type="character" w:customStyle="1" w:styleId="1589">
    <w:name w:val="正文（绿盟科技） Char"/>
    <w:link w:val="1590"/>
    <w:autoRedefine/>
    <w:qFormat/>
    <w:locked/>
    <w:uiPriority w:val="0"/>
    <w:rPr>
      <w:szCs w:val="21"/>
    </w:rPr>
  </w:style>
  <w:style w:type="paragraph" w:customStyle="1" w:styleId="1590">
    <w:name w:val="正文（绿盟科技）"/>
    <w:link w:val="1589"/>
    <w:autoRedefine/>
    <w:qFormat/>
    <w:uiPriority w:val="0"/>
    <w:pPr>
      <w:spacing w:line="300" w:lineRule="auto"/>
    </w:pPr>
    <w:rPr>
      <w:rFonts w:ascii="Times New Roman" w:hAnsi="Times New Roman" w:eastAsia="宋体" w:cs="Times New Roman"/>
      <w:szCs w:val="21"/>
      <w:lang w:val="en-US" w:eastAsia="zh-CN" w:bidi="ar-SA"/>
    </w:rPr>
  </w:style>
  <w:style w:type="character" w:customStyle="1" w:styleId="1591">
    <w:name w:val="列表（符号一级）（绿盟科技） Char"/>
    <w:link w:val="1592"/>
    <w:autoRedefine/>
    <w:qFormat/>
    <w:locked/>
    <w:uiPriority w:val="0"/>
    <w:rPr>
      <w:szCs w:val="21"/>
    </w:rPr>
  </w:style>
  <w:style w:type="paragraph" w:customStyle="1" w:styleId="1592">
    <w:name w:val="列表（符号一级）（绿盟科技）"/>
    <w:basedOn w:val="1590"/>
    <w:link w:val="1591"/>
    <w:autoRedefine/>
    <w:qFormat/>
    <w:uiPriority w:val="0"/>
    <w:pPr>
      <w:ind w:left="420" w:hanging="420"/>
    </w:pPr>
  </w:style>
  <w:style w:type="paragraph" w:customStyle="1" w:styleId="1593">
    <w:name w:val="列表（符号二级）（绿盟科技）"/>
    <w:basedOn w:val="1592"/>
    <w:autoRedefine/>
    <w:qFormat/>
    <w:uiPriority w:val="0"/>
    <w:pPr>
      <w:tabs>
        <w:tab w:val="left" w:pos="360"/>
        <w:tab w:val="left" w:pos="718"/>
      </w:tabs>
      <w:ind w:left="1260" w:hanging="576"/>
    </w:pPr>
  </w:style>
  <w:style w:type="paragraph" w:customStyle="1" w:styleId="1594">
    <w:name w:val="1级标题"/>
    <w:basedOn w:val="1"/>
    <w:next w:val="1"/>
    <w:autoRedefine/>
    <w:qFormat/>
    <w:uiPriority w:val="0"/>
    <w:pPr>
      <w:pageBreakBefore/>
      <w:spacing w:line="360" w:lineRule="auto"/>
      <w:jc w:val="center"/>
      <w:outlineLvl w:val="0"/>
    </w:pPr>
    <w:rPr>
      <w:rFonts w:ascii="Calibri" w:hAnsi="Calibri"/>
      <w:b/>
      <w:sz w:val="32"/>
      <w:szCs w:val="22"/>
    </w:rPr>
  </w:style>
  <w:style w:type="paragraph" w:customStyle="1" w:styleId="1595">
    <w:name w:val="2级标题"/>
    <w:basedOn w:val="1594"/>
    <w:next w:val="1"/>
    <w:autoRedefine/>
    <w:qFormat/>
    <w:uiPriority w:val="0"/>
    <w:pPr>
      <w:pageBreakBefore w:val="0"/>
      <w:ind w:left="425"/>
      <w:jc w:val="left"/>
      <w:outlineLvl w:val="1"/>
    </w:pPr>
    <w:rPr>
      <w:sz w:val="30"/>
      <w:szCs w:val="30"/>
    </w:rPr>
  </w:style>
  <w:style w:type="paragraph" w:customStyle="1" w:styleId="1596">
    <w:name w:val="3级标题"/>
    <w:basedOn w:val="1595"/>
    <w:next w:val="1"/>
    <w:autoRedefine/>
    <w:qFormat/>
    <w:uiPriority w:val="0"/>
    <w:pPr>
      <w:ind w:left="720" w:hanging="720"/>
      <w:outlineLvl w:val="2"/>
    </w:pPr>
    <w:rPr>
      <w:sz w:val="28"/>
    </w:rPr>
  </w:style>
  <w:style w:type="paragraph" w:customStyle="1" w:styleId="1597">
    <w:name w:val="4级标题"/>
    <w:basedOn w:val="1596"/>
    <w:next w:val="1"/>
    <w:link w:val="1598"/>
    <w:autoRedefine/>
    <w:qFormat/>
    <w:uiPriority w:val="0"/>
    <w:pPr>
      <w:tabs>
        <w:tab w:val="left" w:pos="0"/>
      </w:tabs>
      <w:ind w:left="0" w:firstLine="0"/>
      <w:outlineLvl w:val="3"/>
    </w:pPr>
    <w:rPr>
      <w:rFonts w:ascii="Times New Roman" w:hAnsi="Times New Roman" w:cs="Arial"/>
      <w:sz w:val="24"/>
      <w:szCs w:val="24"/>
    </w:rPr>
  </w:style>
  <w:style w:type="character" w:customStyle="1" w:styleId="1598">
    <w:name w:val="4级标题 Char"/>
    <w:link w:val="1597"/>
    <w:autoRedefine/>
    <w:qFormat/>
    <w:uiPriority w:val="0"/>
    <w:rPr>
      <w:rFonts w:cs="Arial"/>
      <w:b/>
      <w:kern w:val="2"/>
      <w:sz w:val="24"/>
      <w:szCs w:val="24"/>
    </w:rPr>
  </w:style>
  <w:style w:type="paragraph" w:customStyle="1" w:styleId="1599">
    <w:name w:val="5级标题"/>
    <w:basedOn w:val="1597"/>
    <w:link w:val="1600"/>
    <w:autoRedefine/>
    <w:qFormat/>
    <w:uiPriority w:val="0"/>
    <w:pPr>
      <w:ind w:left="2100" w:hanging="420"/>
      <w:outlineLvl w:val="4"/>
    </w:pPr>
  </w:style>
  <w:style w:type="character" w:customStyle="1" w:styleId="1600">
    <w:name w:val="5级标题 Char Char"/>
    <w:link w:val="1599"/>
    <w:autoRedefine/>
    <w:qFormat/>
    <w:uiPriority w:val="0"/>
    <w:rPr>
      <w:rFonts w:cs="Arial"/>
      <w:b/>
      <w:kern w:val="2"/>
      <w:sz w:val="24"/>
      <w:szCs w:val="24"/>
    </w:rPr>
  </w:style>
  <w:style w:type="paragraph" w:customStyle="1" w:styleId="1601">
    <w:name w:val="6级标题"/>
    <w:basedOn w:val="1599"/>
    <w:next w:val="1"/>
    <w:autoRedefine/>
    <w:qFormat/>
    <w:uiPriority w:val="0"/>
    <w:pPr>
      <w:outlineLvl w:val="5"/>
    </w:pPr>
  </w:style>
  <w:style w:type="paragraph" w:customStyle="1" w:styleId="1602">
    <w:name w:val="样式 标题 1Section HeadH1Header1h1PIM 1Level 1 Topic Headingl...2"/>
    <w:basedOn w:val="3"/>
    <w:autoRedefine/>
    <w:qFormat/>
    <w:uiPriority w:val="0"/>
    <w:pPr>
      <w:tabs>
        <w:tab w:val="left" w:pos="360"/>
      </w:tabs>
      <w:autoSpaceDE/>
      <w:autoSpaceDN/>
      <w:spacing w:before="0" w:after="0" w:line="400" w:lineRule="exact"/>
      <w:ind w:left="113" w:firstLine="200" w:firstLineChars="200"/>
      <w:jc w:val="both"/>
      <w:textAlignment w:val="top"/>
    </w:pPr>
    <w:rPr>
      <w:rFonts w:hAnsi="宋体" w:eastAsia="仿宋" w:cs="宋体"/>
      <w:bCs/>
      <w:kern w:val="52"/>
      <w:sz w:val="52"/>
    </w:rPr>
  </w:style>
  <w:style w:type="paragraph" w:customStyle="1" w:styleId="1603">
    <w:name w:val="缩进"/>
    <w:basedOn w:val="1"/>
    <w:autoRedefine/>
    <w:qFormat/>
    <w:uiPriority w:val="0"/>
    <w:pPr>
      <w:adjustRightInd w:val="0"/>
      <w:snapToGrid w:val="0"/>
      <w:spacing w:beforeLines="50" w:afterLines="50" w:line="360" w:lineRule="auto"/>
      <w:ind w:firstLine="480" w:firstLineChars="200"/>
    </w:pPr>
    <w:rPr>
      <w:rFonts w:ascii="Verdana" w:hAnsi="Verdana"/>
      <w:sz w:val="24"/>
    </w:rPr>
  </w:style>
  <w:style w:type="paragraph" w:customStyle="1" w:styleId="1604">
    <w:name w:val="Char1 Char Char Char Char Char1 Char1 Char Char Char Char Char Char"/>
    <w:basedOn w:val="1"/>
    <w:autoRedefine/>
    <w:qFormat/>
    <w:uiPriority w:val="0"/>
    <w:pPr>
      <w:adjustRightInd w:val="0"/>
      <w:spacing w:line="360" w:lineRule="auto"/>
    </w:pPr>
    <w:rPr>
      <w:kern w:val="0"/>
      <w:sz w:val="24"/>
    </w:rPr>
  </w:style>
  <w:style w:type="paragraph" w:customStyle="1" w:styleId="1605">
    <w:name w:val="Char1 Char Char Char Char Char1 Char"/>
    <w:basedOn w:val="1"/>
    <w:autoRedefine/>
    <w:qFormat/>
    <w:uiPriority w:val="0"/>
    <w:rPr>
      <w:rFonts w:ascii="Tahoma" w:hAnsi="Tahoma"/>
      <w:sz w:val="24"/>
      <w:szCs w:val="20"/>
    </w:rPr>
  </w:style>
  <w:style w:type="paragraph" w:customStyle="1" w:styleId="1606">
    <w:name w:val="项目 1"/>
    <w:basedOn w:val="1"/>
    <w:autoRedefine/>
    <w:qFormat/>
    <w:uiPriority w:val="0"/>
    <w:pPr>
      <w:tabs>
        <w:tab w:val="left" w:pos="958"/>
      </w:tabs>
      <w:adjustRightInd w:val="0"/>
      <w:snapToGrid w:val="0"/>
      <w:spacing w:afterLines="50"/>
      <w:ind w:left="958" w:hanging="448"/>
    </w:pPr>
    <w:rPr>
      <w:rFonts w:ascii="Verdana" w:hAnsi="Verdana"/>
      <w:sz w:val="24"/>
    </w:rPr>
  </w:style>
  <w:style w:type="paragraph" w:customStyle="1" w:styleId="1607">
    <w:name w:val="项目 2"/>
    <w:basedOn w:val="1"/>
    <w:autoRedefine/>
    <w:qFormat/>
    <w:uiPriority w:val="0"/>
    <w:pPr>
      <w:tabs>
        <w:tab w:val="left" w:pos="1446"/>
      </w:tabs>
      <w:adjustRightInd w:val="0"/>
      <w:snapToGrid w:val="0"/>
      <w:spacing w:afterLines="50"/>
      <w:ind w:left="1446" w:hanging="488"/>
    </w:pPr>
    <w:rPr>
      <w:rFonts w:ascii="Verdana" w:hAnsi="Verdana"/>
      <w:sz w:val="24"/>
    </w:rPr>
  </w:style>
  <w:style w:type="paragraph" w:customStyle="1" w:styleId="1608">
    <w:name w:val="终端显示"/>
    <w:basedOn w:val="1"/>
    <w:autoRedefine/>
    <w:qFormat/>
    <w:uiPriority w:val="0"/>
    <w:pPr>
      <w:snapToGrid w:val="0"/>
      <w:ind w:left="200" w:leftChars="200"/>
      <w:jc w:val="left"/>
    </w:pPr>
    <w:rPr>
      <w:rFonts w:ascii="Courier New" w:hAnsi="Courier New" w:eastAsia="仿宋_GB2312"/>
    </w:rPr>
  </w:style>
  <w:style w:type="paragraph" w:customStyle="1" w:styleId="1609">
    <w:name w:val="次要显示"/>
    <w:basedOn w:val="1608"/>
    <w:autoRedefine/>
    <w:qFormat/>
    <w:uiPriority w:val="0"/>
  </w:style>
  <w:style w:type="paragraph" w:customStyle="1" w:styleId="1610">
    <w:name w:val="终端次要显示"/>
    <w:basedOn w:val="1608"/>
    <w:autoRedefine/>
    <w:qFormat/>
    <w:uiPriority w:val="0"/>
  </w:style>
  <w:style w:type="paragraph" w:customStyle="1" w:styleId="1611">
    <w:name w:val="注释函数"/>
    <w:basedOn w:val="166"/>
    <w:autoRedefine/>
    <w:qFormat/>
    <w:uiPriority w:val="0"/>
    <w:pPr>
      <w:shd w:val="clear" w:color="auto" w:fill="E0E0E0"/>
      <w:adjustRightInd/>
      <w:snapToGrid/>
      <w:spacing w:beforeLines="50" w:afterLines="50"/>
      <w:ind w:left="0" w:firstLine="0" w:firstLineChars="0"/>
      <w:jc w:val="both"/>
    </w:pPr>
    <w:rPr>
      <w:rFonts w:ascii="Arial" w:hAnsi="Arial" w:eastAsia="仿宋_GB2312"/>
      <w:szCs w:val="24"/>
    </w:rPr>
  </w:style>
  <w:style w:type="paragraph" w:customStyle="1" w:styleId="1612">
    <w:name w:val="注释提示"/>
    <w:basedOn w:val="166"/>
    <w:autoRedefine/>
    <w:qFormat/>
    <w:uiPriority w:val="0"/>
    <w:pPr>
      <w:shd w:val="clear" w:color="auto" w:fill="E0E0E0"/>
      <w:adjustRightInd/>
      <w:snapToGrid/>
      <w:spacing w:beforeLines="50" w:afterLines="50"/>
      <w:ind w:left="0" w:firstLine="0" w:firstLineChars="0"/>
      <w:jc w:val="both"/>
    </w:pPr>
    <w:rPr>
      <w:rFonts w:ascii="Arial" w:hAnsi="Arial" w:eastAsia="仿宋_GB2312"/>
      <w:szCs w:val="24"/>
    </w:rPr>
  </w:style>
  <w:style w:type="paragraph" w:customStyle="1" w:styleId="1613">
    <w:name w:val="终端突出显示"/>
    <w:basedOn w:val="1608"/>
    <w:autoRedefine/>
    <w:qFormat/>
    <w:uiPriority w:val="0"/>
  </w:style>
  <w:style w:type="character" w:customStyle="1" w:styleId="1614">
    <w:name w:val="缩进强调"/>
    <w:autoRedefine/>
    <w:qFormat/>
    <w:uiPriority w:val="0"/>
    <w:rPr>
      <w:rFonts w:ascii="Arial Black" w:hAnsi="Arial Black" w:eastAsia="黑体"/>
      <w:sz w:val="24"/>
    </w:rPr>
  </w:style>
  <w:style w:type="paragraph" w:customStyle="1" w:styleId="1615">
    <w:name w:val="文章目录"/>
    <w:basedOn w:val="1"/>
    <w:autoRedefine/>
    <w:qFormat/>
    <w:uiPriority w:val="0"/>
    <w:pPr>
      <w:adjustRightInd w:val="0"/>
      <w:snapToGrid w:val="0"/>
      <w:spacing w:beforeLines="100" w:afterLines="100"/>
      <w:jc w:val="center"/>
    </w:pPr>
    <w:rPr>
      <w:b/>
      <w:sz w:val="24"/>
    </w:rPr>
  </w:style>
  <w:style w:type="paragraph" w:customStyle="1" w:styleId="1616">
    <w:name w:val="封面横线"/>
    <w:basedOn w:val="1"/>
    <w:next w:val="1"/>
    <w:autoRedefine/>
    <w:qFormat/>
    <w:uiPriority w:val="0"/>
    <w:pPr>
      <w:pBdr>
        <w:bottom w:val="single" w:color="auto" w:sz="12" w:space="1"/>
      </w:pBdr>
    </w:pPr>
    <w:rPr>
      <w:rFonts w:cs="宋体"/>
      <w:szCs w:val="20"/>
    </w:rPr>
  </w:style>
  <w:style w:type="paragraph" w:customStyle="1" w:styleId="1617">
    <w:name w:val="封面作者"/>
    <w:basedOn w:val="1"/>
    <w:next w:val="1"/>
    <w:autoRedefine/>
    <w:qFormat/>
    <w:uiPriority w:val="0"/>
    <w:pPr>
      <w:jc w:val="right"/>
    </w:pPr>
    <w:rPr>
      <w:rFonts w:ascii="Arial" w:hAnsi="Arial"/>
      <w:b/>
      <w:sz w:val="32"/>
    </w:rPr>
  </w:style>
  <w:style w:type="paragraph" w:customStyle="1" w:styleId="1618">
    <w:name w:val="封面版本日期"/>
    <w:basedOn w:val="1"/>
    <w:next w:val="1"/>
    <w:autoRedefine/>
    <w:qFormat/>
    <w:uiPriority w:val="0"/>
    <w:pPr>
      <w:jc w:val="right"/>
    </w:pPr>
    <w:rPr>
      <w:rFonts w:ascii="Tahoma" w:hAnsi="Tahoma" w:eastAsia="黑体"/>
      <w:sz w:val="24"/>
    </w:rPr>
  </w:style>
  <w:style w:type="paragraph" w:customStyle="1" w:styleId="1619">
    <w:name w:val="封面保密"/>
    <w:basedOn w:val="1"/>
    <w:next w:val="1"/>
    <w:autoRedefine/>
    <w:qFormat/>
    <w:uiPriority w:val="0"/>
    <w:rPr>
      <w:rFonts w:ascii="Tahoma" w:hAnsi="Tahoma"/>
      <w:i/>
    </w:rPr>
  </w:style>
  <w:style w:type="paragraph" w:customStyle="1" w:styleId="1620">
    <w:name w:val="作者注"/>
    <w:basedOn w:val="1"/>
    <w:autoRedefine/>
    <w:qFormat/>
    <w:uiPriority w:val="0"/>
    <w:pPr>
      <w:adjustRightInd w:val="0"/>
      <w:snapToGrid w:val="0"/>
    </w:pPr>
    <w:rPr>
      <w:rFonts w:ascii="Comic Sans MS" w:hAnsi="Comic Sans MS" w:eastAsia="仿宋_GB2312"/>
      <w:vanish/>
      <w:color w:val="0000FF"/>
      <w:szCs w:val="18"/>
    </w:rPr>
  </w:style>
  <w:style w:type="paragraph" w:customStyle="1" w:styleId="1621">
    <w:name w:val="版本号"/>
    <w:basedOn w:val="1025"/>
    <w:next w:val="1"/>
    <w:autoRedefine/>
    <w:qFormat/>
    <w:uiPriority w:val="0"/>
    <w:pPr>
      <w:widowControl w:val="0"/>
      <w:tabs>
        <w:tab w:val="clear" w:pos="0"/>
      </w:tabs>
      <w:spacing w:before="0" w:beforeLines="50" w:after="0" w:afterLines="50"/>
      <w:outlineLvl w:val="9"/>
    </w:pPr>
    <w:rPr>
      <w:rFonts w:ascii="Tahoma" w:hAnsi="Tahoma" w:eastAsia="黑体" w:cs="Tahoma"/>
      <w:b w:val="0"/>
      <w:bCs w:val="0"/>
      <w:kern w:val="2"/>
      <w:sz w:val="30"/>
      <w:szCs w:val="44"/>
    </w:rPr>
  </w:style>
  <w:style w:type="paragraph" w:customStyle="1" w:styleId="1622">
    <w:name w:val="表标题"/>
    <w:basedOn w:val="1"/>
    <w:next w:val="1354"/>
    <w:autoRedefine/>
    <w:qFormat/>
    <w:uiPriority w:val="0"/>
    <w:pPr>
      <w:keepNext/>
      <w:tabs>
        <w:tab w:val="left" w:pos="567"/>
      </w:tabs>
      <w:adjustRightInd w:val="0"/>
      <w:snapToGrid w:val="0"/>
      <w:spacing w:beforeLines="100" w:afterLines="50"/>
    </w:pPr>
    <w:rPr>
      <w:rFonts w:ascii="Tahoma" w:hAnsi="Tahoma" w:eastAsia="黑体"/>
      <w:b/>
    </w:rPr>
  </w:style>
  <w:style w:type="paragraph" w:customStyle="1" w:styleId="1623">
    <w:name w:val="配置"/>
    <w:basedOn w:val="1"/>
    <w:autoRedefine/>
    <w:qFormat/>
    <w:uiPriority w:val="0"/>
    <w:pPr>
      <w:pBdr>
        <w:top w:val="single" w:color="auto" w:sz="4" w:space="1"/>
        <w:left w:val="single" w:color="auto" w:sz="4" w:space="4"/>
        <w:bottom w:val="single" w:color="auto" w:sz="4" w:space="1"/>
        <w:right w:val="single" w:color="auto" w:sz="4" w:space="4"/>
      </w:pBdr>
      <w:shd w:val="clear" w:color="auto" w:fill="FFFF99"/>
      <w:adjustRightInd w:val="0"/>
      <w:snapToGrid w:val="0"/>
      <w:ind w:left="1260" w:leftChars="400" w:hanging="420" w:hangingChars="200"/>
    </w:pPr>
    <w:rPr>
      <w:rFonts w:ascii="Courier New" w:hAnsi="Courier New" w:eastAsia="仿宋_GB2312"/>
    </w:rPr>
  </w:style>
  <w:style w:type="paragraph" w:customStyle="1" w:styleId="1624">
    <w:name w:val="附件 1"/>
    <w:basedOn w:val="1"/>
    <w:next w:val="1603"/>
    <w:autoRedefine/>
    <w:qFormat/>
    <w:uiPriority w:val="0"/>
    <w:pPr>
      <w:keepLines/>
      <w:pageBreakBefore/>
      <w:pBdr>
        <w:bottom w:val="single" w:color="808080" w:sz="24" w:space="1"/>
      </w:pBdr>
      <w:spacing w:line="360" w:lineRule="auto"/>
      <w:ind w:left="432" w:hanging="432"/>
    </w:pPr>
    <w:rPr>
      <w:rFonts w:ascii="Tahoma" w:hAnsi="Tahoma" w:eastAsia="黑体"/>
      <w:b/>
      <w:color w:val="000080"/>
      <w:sz w:val="48"/>
    </w:rPr>
  </w:style>
  <w:style w:type="paragraph" w:customStyle="1" w:styleId="1625">
    <w:name w:val="项目1缩进"/>
    <w:basedOn w:val="1"/>
    <w:next w:val="1606"/>
    <w:autoRedefine/>
    <w:qFormat/>
    <w:uiPriority w:val="0"/>
    <w:pPr>
      <w:adjustRightInd w:val="0"/>
      <w:snapToGrid w:val="0"/>
      <w:spacing w:beforeLines="50" w:line="360" w:lineRule="auto"/>
      <w:ind w:left="958"/>
    </w:pPr>
    <w:rPr>
      <w:rFonts w:ascii="Verdana" w:hAnsi="Verdana"/>
      <w:sz w:val="24"/>
    </w:rPr>
  </w:style>
  <w:style w:type="paragraph" w:customStyle="1" w:styleId="1626">
    <w:name w:val="Table Header"/>
    <w:basedOn w:val="1"/>
    <w:autoRedefine/>
    <w:qFormat/>
    <w:uiPriority w:val="0"/>
    <w:pPr>
      <w:widowControl/>
      <w:overflowPunct w:val="0"/>
      <w:autoSpaceDE w:val="0"/>
      <w:autoSpaceDN w:val="0"/>
      <w:adjustRightInd w:val="0"/>
      <w:spacing w:after="100"/>
      <w:jc w:val="center"/>
      <w:textAlignment w:val="baseline"/>
    </w:pPr>
    <w:rPr>
      <w:rFonts w:ascii="Arial" w:hAnsi="Arial"/>
      <w:b/>
      <w:kern w:val="0"/>
      <w:sz w:val="20"/>
      <w:szCs w:val="20"/>
    </w:rPr>
  </w:style>
  <w:style w:type="paragraph" w:customStyle="1" w:styleId="1627">
    <w:name w:val="附件一"/>
    <w:basedOn w:val="1"/>
    <w:next w:val="1603"/>
    <w:autoRedefine/>
    <w:qFormat/>
    <w:uiPriority w:val="0"/>
    <w:pPr>
      <w:keepNext/>
      <w:keepLines/>
      <w:pageBreakBefore/>
      <w:tabs>
        <w:tab w:val="left" w:pos="360"/>
      </w:tabs>
      <w:spacing w:beforeLines="200" w:afterLines="100" w:line="360" w:lineRule="auto"/>
    </w:pPr>
    <w:rPr>
      <w:rFonts w:ascii="Verdana" w:hAnsi="Verdana"/>
      <w:b/>
      <w:sz w:val="32"/>
    </w:rPr>
  </w:style>
  <w:style w:type="paragraph" w:customStyle="1" w:styleId="1628">
    <w:name w:val="附件二"/>
    <w:basedOn w:val="1"/>
    <w:next w:val="1603"/>
    <w:autoRedefine/>
    <w:qFormat/>
    <w:uiPriority w:val="0"/>
    <w:pPr>
      <w:tabs>
        <w:tab w:val="left" w:pos="360"/>
      </w:tabs>
      <w:spacing w:beforeLines="50" w:afterLines="50" w:line="360" w:lineRule="auto"/>
    </w:pPr>
    <w:rPr>
      <w:rFonts w:ascii="Verdana" w:hAnsi="Verdana"/>
      <w:b/>
      <w:sz w:val="30"/>
    </w:rPr>
  </w:style>
  <w:style w:type="paragraph" w:customStyle="1" w:styleId="1629">
    <w:name w:val="样式 样式 宋体 小四 黑色 两端对齐 段前: 1.2 磅 段后: 1.2 磅 行距: 1.5 倍行距 + 首行缩进:  2 字符"/>
    <w:basedOn w:val="1"/>
    <w:autoRedefine/>
    <w:qFormat/>
    <w:uiPriority w:val="0"/>
    <w:pPr>
      <w:widowControl/>
      <w:overflowPunct w:val="0"/>
      <w:autoSpaceDE w:val="0"/>
      <w:autoSpaceDN w:val="0"/>
      <w:adjustRightInd w:val="0"/>
      <w:spacing w:after="120" w:line="400" w:lineRule="exact"/>
      <w:ind w:firstLine="480" w:firstLineChars="200"/>
      <w:textAlignment w:val="baseline"/>
    </w:pPr>
    <w:rPr>
      <w:rFonts w:ascii="Arial" w:hAnsi="Arial" w:cs="宋体"/>
      <w:kern w:val="0"/>
      <w:sz w:val="24"/>
      <w:lang w:val="en-GB"/>
    </w:rPr>
  </w:style>
  <w:style w:type="character" w:customStyle="1" w:styleId="1630">
    <w:name w:val="bold1"/>
    <w:autoRedefine/>
    <w:qFormat/>
    <w:uiPriority w:val="0"/>
    <w:rPr>
      <w:b/>
      <w:bCs/>
    </w:rPr>
  </w:style>
  <w:style w:type="paragraph" w:customStyle="1" w:styleId="1631">
    <w:name w:val="文档正文首行缩进"/>
    <w:basedOn w:val="1"/>
    <w:link w:val="1632"/>
    <w:autoRedefine/>
    <w:qFormat/>
    <w:uiPriority w:val="0"/>
    <w:pPr>
      <w:spacing w:line="360" w:lineRule="auto"/>
      <w:ind w:firstLine="420"/>
    </w:pPr>
    <w:rPr>
      <w:rFonts w:cs="宋体"/>
      <w:sz w:val="24"/>
    </w:rPr>
  </w:style>
  <w:style w:type="character" w:customStyle="1" w:styleId="1632">
    <w:name w:val="文档正文首行缩进 Char"/>
    <w:link w:val="1631"/>
    <w:autoRedefine/>
    <w:qFormat/>
    <w:uiPriority w:val="0"/>
    <w:rPr>
      <w:rFonts w:cs="宋体"/>
      <w:kern w:val="2"/>
      <w:sz w:val="24"/>
      <w:szCs w:val="24"/>
    </w:rPr>
  </w:style>
  <w:style w:type="paragraph" w:customStyle="1" w:styleId="1633">
    <w:name w:val="Char2 Char Char Char Char Char"/>
    <w:basedOn w:val="1"/>
    <w:autoRedefine/>
    <w:qFormat/>
    <w:uiPriority w:val="0"/>
    <w:rPr>
      <w:rFonts w:ascii="Tahoma" w:hAnsi="Tahoma"/>
      <w:sz w:val="24"/>
      <w:szCs w:val="20"/>
    </w:rPr>
  </w:style>
  <w:style w:type="paragraph" w:customStyle="1" w:styleId="1634">
    <w:name w:val="Editor's comments"/>
    <w:basedOn w:val="1"/>
    <w:autoRedefine/>
    <w:qFormat/>
    <w:uiPriority w:val="0"/>
    <w:pPr>
      <w:widowControl/>
      <w:overflowPunct w:val="0"/>
      <w:autoSpaceDE w:val="0"/>
      <w:autoSpaceDN w:val="0"/>
      <w:adjustRightInd w:val="0"/>
      <w:spacing w:after="120"/>
      <w:jc w:val="left"/>
      <w:textAlignment w:val="baseline"/>
    </w:pPr>
    <w:rPr>
      <w:rFonts w:ascii="Arial" w:hAnsi="Arial"/>
      <w:b/>
      <w:bCs/>
      <w:color w:val="FF0000"/>
      <w:kern w:val="0"/>
      <w:sz w:val="20"/>
      <w:szCs w:val="20"/>
      <w:lang w:eastAsia="en-US"/>
    </w:rPr>
  </w:style>
  <w:style w:type="paragraph" w:customStyle="1" w:styleId="1635">
    <w:name w:val="Reader's comments"/>
    <w:basedOn w:val="1"/>
    <w:autoRedefine/>
    <w:qFormat/>
    <w:uiPriority w:val="0"/>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1636">
    <w:name w:val="Char Char Char Char1 Char Char Char Char Char Char Char Char Char Char Char1 Char Char Char1 Char Char Char1 Char"/>
    <w:basedOn w:val="1"/>
    <w:autoRedefine/>
    <w:qFormat/>
    <w:uiPriority w:val="0"/>
    <w:rPr>
      <w:rFonts w:ascii="Tahoma" w:hAnsi="Tahoma"/>
      <w:sz w:val="24"/>
      <w:szCs w:val="20"/>
    </w:rPr>
  </w:style>
  <w:style w:type="paragraph" w:customStyle="1" w:styleId="1637">
    <w:name w:val="Table Heading"/>
    <w:basedOn w:val="326"/>
    <w:autoRedefine/>
    <w:qFormat/>
    <w:uiPriority w:val="0"/>
    <w:pPr>
      <w:widowControl/>
      <w:spacing w:before="60" w:after="60" w:line="360" w:lineRule="auto"/>
      <w:ind w:firstLine="200" w:firstLineChars="200"/>
      <w:jc w:val="left"/>
    </w:pPr>
    <w:rPr>
      <w:rFonts w:ascii="Times New Roman" w:hAnsi="Times New Roman" w:eastAsia="宋体" w:cs="Times New Roman"/>
      <w:kern w:val="0"/>
      <w:sz w:val="24"/>
      <w:szCs w:val="24"/>
      <w:lang w:eastAsia="zh-CN"/>
    </w:rPr>
  </w:style>
  <w:style w:type="paragraph" w:customStyle="1" w:styleId="1638">
    <w:name w:val="Char Char Char Char1 Char Char Char Char Char Char Char Char Char Char Char1 Char1 Char Char2 Char Char Char Char Char Char Char Char Char Char1"/>
    <w:basedOn w:val="1"/>
    <w:autoRedefine/>
    <w:qFormat/>
    <w:uiPriority w:val="0"/>
    <w:rPr>
      <w:rFonts w:ascii="Tahoma" w:hAnsi="Tahoma"/>
      <w:sz w:val="24"/>
      <w:szCs w:val="20"/>
    </w:rPr>
  </w:style>
  <w:style w:type="paragraph" w:customStyle="1" w:styleId="1639">
    <w:name w:val="Char1 Char Char Char Char Char1 Char1 Char Char Char Char"/>
    <w:basedOn w:val="1"/>
    <w:autoRedefine/>
    <w:qFormat/>
    <w:uiPriority w:val="0"/>
    <w:rPr>
      <w:rFonts w:ascii="Tahoma" w:hAnsi="Tahoma"/>
      <w:sz w:val="24"/>
      <w:szCs w:val="20"/>
    </w:rPr>
  </w:style>
  <w:style w:type="paragraph" w:customStyle="1" w:styleId="1640">
    <w:name w:val="1.1.1.1四级标题 Char Char"/>
    <w:basedOn w:val="1"/>
    <w:autoRedefine/>
    <w:qFormat/>
    <w:uiPriority w:val="0"/>
    <w:pPr>
      <w:widowControl/>
      <w:spacing w:after="160" w:line="240" w:lineRule="exact"/>
      <w:jc w:val="center"/>
    </w:pPr>
    <w:rPr>
      <w:rFonts w:ascii="Tahoma" w:hAnsi="Tahoma"/>
      <w:sz w:val="24"/>
    </w:rPr>
  </w:style>
  <w:style w:type="paragraph" w:customStyle="1" w:styleId="1641">
    <w:name w:val="Char Char1 Char Char Char Char Char Char Char Char Char Char Char Char Char Char Char Char Char Char Char1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42">
    <w:name w:val="ListBullet2"/>
    <w:basedOn w:val="1"/>
    <w:next w:val="1"/>
    <w:autoRedefine/>
    <w:qFormat/>
    <w:uiPriority w:val="0"/>
    <w:pPr>
      <w:suppressAutoHyphens/>
      <w:jc w:val="left"/>
    </w:pPr>
    <w:rPr>
      <w:rFonts w:ascii="宋体" w:hAnsi="宋体" w:cs="Angsana New"/>
      <w:kern w:val="1"/>
      <w:sz w:val="24"/>
      <w:lang w:eastAsia="th-TH" w:bidi="th-TH"/>
    </w:rPr>
  </w:style>
  <w:style w:type="paragraph" w:customStyle="1" w:styleId="1643">
    <w:name w:val="Char Char Char Char1 Char Char Char Char Char Char Char Char Char Char Char1 Char1 Char Char2 Char Char Char Char Char Char Char Char Char Char1 Char Char"/>
    <w:basedOn w:val="1"/>
    <w:autoRedefine/>
    <w:qFormat/>
    <w:uiPriority w:val="0"/>
    <w:rPr>
      <w:rFonts w:ascii="Tahoma" w:hAnsi="Tahoma"/>
      <w:sz w:val="24"/>
      <w:szCs w:val="20"/>
    </w:rPr>
  </w:style>
  <w:style w:type="paragraph" w:customStyle="1" w:styleId="1644">
    <w:name w:val="Char Char1 Char Char Char1 Char"/>
    <w:basedOn w:val="1"/>
    <w:autoRedefine/>
    <w:qFormat/>
    <w:uiPriority w:val="0"/>
    <w:pPr>
      <w:adjustRightInd w:val="0"/>
      <w:spacing w:line="360" w:lineRule="auto"/>
    </w:pPr>
    <w:rPr>
      <w:kern w:val="0"/>
      <w:sz w:val="24"/>
    </w:rPr>
  </w:style>
  <w:style w:type="paragraph" w:customStyle="1" w:styleId="1645">
    <w:name w:val="Char1 Char Char Char Char Char1 Char1"/>
    <w:basedOn w:val="1"/>
    <w:autoRedefine/>
    <w:qFormat/>
    <w:uiPriority w:val="0"/>
    <w:rPr>
      <w:rFonts w:ascii="Tahoma" w:hAnsi="Tahoma"/>
      <w:sz w:val="24"/>
      <w:szCs w:val="20"/>
    </w:rPr>
  </w:style>
  <w:style w:type="paragraph" w:customStyle="1" w:styleId="1646">
    <w:name w:val="项目1"/>
    <w:basedOn w:val="1"/>
    <w:autoRedefine/>
    <w:qFormat/>
    <w:uiPriority w:val="0"/>
    <w:pPr>
      <w:tabs>
        <w:tab w:val="left" w:pos="709"/>
      </w:tabs>
      <w:spacing w:line="360" w:lineRule="auto"/>
      <w:ind w:left="822" w:hanging="340"/>
    </w:pPr>
    <w:rPr>
      <w:sz w:val="24"/>
    </w:rPr>
  </w:style>
  <w:style w:type="paragraph" w:customStyle="1" w:styleId="1647">
    <w:name w:val="Char1 Char Char Char Char Char1 Char1 Char Char Char Char Char Char Char Char"/>
    <w:basedOn w:val="1"/>
    <w:autoRedefine/>
    <w:qFormat/>
    <w:uiPriority w:val="0"/>
    <w:pPr>
      <w:adjustRightInd w:val="0"/>
      <w:spacing w:line="360" w:lineRule="auto"/>
    </w:pPr>
    <w:rPr>
      <w:kern w:val="0"/>
      <w:sz w:val="24"/>
    </w:rPr>
  </w:style>
  <w:style w:type="paragraph" w:customStyle="1" w:styleId="1648">
    <w:name w:val="figurecaption"/>
    <w:basedOn w:val="1"/>
    <w:autoRedefine/>
    <w:qFormat/>
    <w:uiPriority w:val="0"/>
    <w:pPr>
      <w:widowControl/>
      <w:spacing w:before="100" w:beforeAutospacing="1" w:after="100" w:afterAutospacing="1"/>
      <w:jc w:val="left"/>
    </w:pPr>
    <w:rPr>
      <w:rFonts w:eastAsia="Batang"/>
      <w:kern w:val="0"/>
      <w:sz w:val="24"/>
      <w:lang w:eastAsia="ja-JP"/>
    </w:rPr>
  </w:style>
  <w:style w:type="paragraph" w:customStyle="1" w:styleId="1649">
    <w:name w:val="lastincell"/>
    <w:basedOn w:val="1"/>
    <w:autoRedefine/>
    <w:qFormat/>
    <w:uiPriority w:val="0"/>
    <w:pPr>
      <w:widowControl/>
      <w:spacing w:before="100" w:beforeAutospacing="1" w:after="100" w:afterAutospacing="1"/>
      <w:jc w:val="left"/>
    </w:pPr>
    <w:rPr>
      <w:rFonts w:eastAsia="Batang"/>
      <w:kern w:val="0"/>
      <w:sz w:val="24"/>
      <w:lang w:eastAsia="ja-JP"/>
    </w:rPr>
  </w:style>
  <w:style w:type="paragraph" w:customStyle="1" w:styleId="1650">
    <w:name w:val="Char Char Char Char1 Char Char Char Char Char Char Char Char Char Char Char1 Char1 Char Char2 Char Char Char Char Char Char Char Char Char Char1 Char Char Char"/>
    <w:basedOn w:val="1"/>
    <w:autoRedefine/>
    <w:qFormat/>
    <w:uiPriority w:val="0"/>
    <w:rPr>
      <w:rFonts w:ascii="Tahoma" w:hAnsi="Tahoma"/>
      <w:sz w:val="24"/>
      <w:szCs w:val="20"/>
    </w:rPr>
  </w:style>
  <w:style w:type="paragraph" w:customStyle="1" w:styleId="1651">
    <w:name w:val="Char Char Char Char1 Char Char Char Char Char Char Char Char Char Char Char1 Char1"/>
    <w:basedOn w:val="1"/>
    <w:autoRedefine/>
    <w:qFormat/>
    <w:uiPriority w:val="0"/>
    <w:rPr>
      <w:rFonts w:ascii="Tahoma" w:hAnsi="Tahoma"/>
      <w:sz w:val="24"/>
      <w:szCs w:val="20"/>
    </w:rPr>
  </w:style>
  <w:style w:type="paragraph" w:customStyle="1" w:styleId="1652">
    <w:name w:val="_HP Table Body 8 pt"/>
    <w:basedOn w:val="1"/>
    <w:autoRedefine/>
    <w:qFormat/>
    <w:uiPriority w:val="0"/>
    <w:pPr>
      <w:widowControl/>
      <w:spacing w:before="80" w:after="80"/>
      <w:ind w:left="58" w:right="58"/>
      <w:jc w:val="left"/>
    </w:pPr>
    <w:rPr>
      <w:rFonts w:ascii="Futura Bk" w:hAnsi="Futura Bk"/>
      <w:kern w:val="0"/>
      <w:sz w:val="16"/>
      <w:szCs w:val="20"/>
      <w:lang w:eastAsia="en-US"/>
    </w:rPr>
  </w:style>
  <w:style w:type="paragraph" w:customStyle="1" w:styleId="1653">
    <w:name w:val="_HP Table Head 8 pt"/>
    <w:basedOn w:val="1652"/>
    <w:autoRedefine/>
    <w:qFormat/>
    <w:uiPriority w:val="0"/>
  </w:style>
  <w:style w:type="paragraph" w:customStyle="1" w:styleId="1654">
    <w:name w:val="_HP Table bullet"/>
    <w:autoRedefine/>
    <w:qFormat/>
    <w:uiPriority w:val="0"/>
    <w:pPr>
      <w:tabs>
        <w:tab w:val="left" w:pos="202"/>
        <w:tab w:val="left" w:pos="418"/>
      </w:tabs>
      <w:spacing w:before="60" w:after="60"/>
      <w:ind w:left="202" w:hanging="144"/>
    </w:pPr>
    <w:rPr>
      <w:rFonts w:ascii="Futura Bk" w:hAnsi="Futura Bk" w:eastAsia="宋体" w:cs="Times New Roman"/>
      <w:sz w:val="16"/>
      <w:lang w:val="en-US" w:eastAsia="ja-JP" w:bidi="ar-SA"/>
    </w:rPr>
  </w:style>
  <w:style w:type="paragraph" w:customStyle="1" w:styleId="1655">
    <w:name w:val="Char1 Char Char Char Char Char1 Char1 Char Char Char Char Char Char Char Char1"/>
    <w:basedOn w:val="1"/>
    <w:autoRedefine/>
    <w:qFormat/>
    <w:uiPriority w:val="0"/>
    <w:pPr>
      <w:adjustRightInd w:val="0"/>
      <w:spacing w:line="360" w:lineRule="auto"/>
    </w:pPr>
    <w:rPr>
      <w:kern w:val="0"/>
      <w:sz w:val="24"/>
    </w:rPr>
  </w:style>
  <w:style w:type="paragraph" w:customStyle="1" w:styleId="1656">
    <w:name w:val="TableofContents"/>
    <w:basedOn w:val="1"/>
    <w:autoRedefine/>
    <w:qFormat/>
    <w:uiPriority w:val="0"/>
    <w:pPr>
      <w:keepNext/>
      <w:pBdr>
        <w:bottom w:val="single" w:color="C0C0C0" w:sz="24" w:space="1"/>
      </w:pBdr>
      <w:shd w:val="solid" w:color="FFFFFF" w:fill="FFFFFF"/>
      <w:spacing w:before="500" w:after="300"/>
      <w:jc w:val="left"/>
      <w:outlineLvl w:val="0"/>
    </w:pPr>
    <w:rPr>
      <w:rFonts w:ascii="Arial" w:hAnsi="Arial"/>
      <w:b/>
      <w:kern w:val="0"/>
      <w:sz w:val="44"/>
      <w:szCs w:val="20"/>
      <w:shd w:val="solid" w:color="FFFFFF" w:fill="FFFFFF"/>
      <w:lang w:eastAsia="en-US"/>
    </w:rPr>
  </w:style>
  <w:style w:type="paragraph" w:customStyle="1" w:styleId="1657">
    <w:name w:val="表格正文"/>
    <w:basedOn w:val="1"/>
    <w:autoRedefine/>
    <w:qFormat/>
    <w:uiPriority w:val="0"/>
    <w:pPr>
      <w:widowControl/>
      <w:overflowPunct w:val="0"/>
      <w:autoSpaceDE w:val="0"/>
      <w:autoSpaceDN w:val="0"/>
      <w:adjustRightInd w:val="0"/>
      <w:spacing w:before="60" w:after="60"/>
      <w:jc w:val="left"/>
      <w:textAlignment w:val="baseline"/>
    </w:pPr>
    <w:rPr>
      <w:rFonts w:eastAsia="楷体_GB2312"/>
      <w:bCs/>
      <w:kern w:val="0"/>
      <w:sz w:val="24"/>
      <w:szCs w:val="20"/>
    </w:rPr>
  </w:style>
  <w:style w:type="paragraph" w:customStyle="1" w:styleId="1658">
    <w:name w:val="表格栏头"/>
    <w:basedOn w:val="1657"/>
    <w:next w:val="1657"/>
    <w:autoRedefine/>
    <w:qFormat/>
    <w:uiPriority w:val="0"/>
    <w:rPr>
      <w:b/>
    </w:rPr>
  </w:style>
  <w:style w:type="paragraph" w:customStyle="1" w:styleId="1659">
    <w:name w:val="Char1 Char Char Char Char Char1 Char1 Char Char Char Char Char Char Char Char2"/>
    <w:basedOn w:val="1"/>
    <w:autoRedefine/>
    <w:qFormat/>
    <w:uiPriority w:val="0"/>
    <w:pPr>
      <w:adjustRightInd w:val="0"/>
      <w:spacing w:line="360" w:lineRule="auto"/>
    </w:pPr>
    <w:rPr>
      <w:kern w:val="0"/>
      <w:sz w:val="24"/>
    </w:rPr>
  </w:style>
  <w:style w:type="paragraph" w:customStyle="1" w:styleId="1660">
    <w:name w:val="p16"/>
    <w:basedOn w:val="1"/>
    <w:autoRedefine/>
    <w:qFormat/>
    <w:uiPriority w:val="0"/>
    <w:pPr>
      <w:widowControl/>
      <w:spacing w:line="360" w:lineRule="auto"/>
      <w:ind w:firstLine="420"/>
    </w:pPr>
    <w:rPr>
      <w:rFonts w:ascii="宋体" w:hAnsi="宋体" w:cs="宋体"/>
      <w:kern w:val="0"/>
      <w:szCs w:val="21"/>
    </w:rPr>
  </w:style>
  <w:style w:type="paragraph" w:customStyle="1" w:styleId="1661">
    <w:name w:val="表格栏目标题"/>
    <w:basedOn w:val="1"/>
    <w:next w:val="250"/>
    <w:autoRedefine/>
    <w:qFormat/>
    <w:uiPriority w:val="0"/>
    <w:pPr>
      <w:jc w:val="center"/>
    </w:pPr>
  </w:style>
  <w:style w:type="paragraph" w:customStyle="1" w:styleId="1662">
    <w:name w:val="Comment"/>
    <w:basedOn w:val="1"/>
    <w:autoRedefine/>
    <w:qFormat/>
    <w:uiPriority w:val="0"/>
    <w:pPr>
      <w:widowControl/>
      <w:overflowPunct w:val="0"/>
      <w:autoSpaceDE w:val="0"/>
      <w:autoSpaceDN w:val="0"/>
      <w:adjustRightInd w:val="0"/>
      <w:spacing w:after="100"/>
      <w:jc w:val="left"/>
      <w:textAlignment w:val="baseline"/>
    </w:pPr>
    <w:rPr>
      <w:rFonts w:ascii="Arial" w:hAnsi="Arial"/>
      <w:color w:val="0000FF"/>
      <w:kern w:val="0"/>
      <w:sz w:val="20"/>
      <w:szCs w:val="20"/>
    </w:rPr>
  </w:style>
  <w:style w:type="character" w:customStyle="1" w:styleId="1663">
    <w:name w:val="ListBullet2 Char Char"/>
    <w:autoRedefine/>
    <w:qFormat/>
    <w:uiPriority w:val="0"/>
    <w:rPr>
      <w:kern w:val="2"/>
      <w:sz w:val="21"/>
    </w:rPr>
  </w:style>
  <w:style w:type="paragraph" w:customStyle="1" w:styleId="1664">
    <w:name w:val="首行不缩进"/>
    <w:basedOn w:val="1"/>
    <w:autoRedefine/>
    <w:qFormat/>
    <w:uiPriority w:val="0"/>
    <w:pPr>
      <w:spacing w:line="360" w:lineRule="auto"/>
    </w:pPr>
    <w:rPr>
      <w:sz w:val="24"/>
    </w:rPr>
  </w:style>
  <w:style w:type="paragraph" w:customStyle="1" w:styleId="1665">
    <w:name w:val="表格文字2"/>
    <w:basedOn w:val="32"/>
    <w:autoRedefine/>
    <w:qFormat/>
    <w:uiPriority w:val="0"/>
    <w:pPr>
      <w:tabs>
        <w:tab w:val="clear" w:pos="567"/>
      </w:tabs>
      <w:spacing w:before="0" w:line="360" w:lineRule="auto"/>
      <w:jc w:val="left"/>
    </w:pPr>
    <w:rPr>
      <w:rFonts w:ascii="Times New Roman" w:hAnsi="Times New Roman"/>
    </w:rPr>
  </w:style>
  <w:style w:type="paragraph" w:customStyle="1" w:styleId="1666">
    <w:name w:val="_Style 72"/>
    <w:basedOn w:val="1"/>
    <w:autoRedefine/>
    <w:qFormat/>
    <w:uiPriority w:val="0"/>
    <w:rPr>
      <w:szCs w:val="20"/>
    </w:rPr>
  </w:style>
  <w:style w:type="paragraph" w:customStyle="1" w:styleId="1667">
    <w:name w:val="Char 字元 Char Char Char Char Char Char Char Char Char Char Char"/>
    <w:basedOn w:val="1"/>
    <w:autoRedefine/>
    <w:qFormat/>
    <w:uiPriority w:val="0"/>
    <w:pPr>
      <w:widowControl/>
      <w:spacing w:after="160" w:line="240" w:lineRule="exact"/>
      <w:jc w:val="left"/>
    </w:pPr>
    <w:rPr>
      <w:rFonts w:ascii="Verdana" w:hAnsi="Verdana"/>
      <w:kern w:val="0"/>
      <w:sz w:val="28"/>
      <w:szCs w:val="20"/>
      <w:lang w:eastAsia="en-US"/>
    </w:rPr>
  </w:style>
  <w:style w:type="paragraph" w:customStyle="1" w:styleId="1668">
    <w:name w:val="Char1 Char Char Char Char Char1 Char1 Char Char"/>
    <w:basedOn w:val="1"/>
    <w:autoRedefine/>
    <w:qFormat/>
    <w:uiPriority w:val="0"/>
    <w:rPr>
      <w:rFonts w:ascii="Tahoma" w:hAnsi="Tahoma"/>
      <w:sz w:val="24"/>
      <w:szCs w:val="20"/>
    </w:rPr>
  </w:style>
  <w:style w:type="paragraph" w:customStyle="1" w:styleId="1669">
    <w:name w:val="默认段落字体 Para Char Char Char1 Char"/>
    <w:basedOn w:val="1"/>
    <w:autoRedefine/>
    <w:qFormat/>
    <w:uiPriority w:val="0"/>
    <w:pPr>
      <w:tabs>
        <w:tab w:val="left" w:pos="432"/>
      </w:tabs>
      <w:ind w:left="432" w:hanging="432"/>
    </w:pPr>
    <w:rPr>
      <w:sz w:val="24"/>
      <w:szCs w:val="20"/>
    </w:rPr>
  </w:style>
  <w:style w:type="paragraph" w:customStyle="1" w:styleId="1670">
    <w:name w:val="List Bullet1"/>
    <w:basedOn w:val="1"/>
    <w:autoRedefine/>
    <w:qFormat/>
    <w:uiPriority w:val="0"/>
    <w:pPr>
      <w:widowControl/>
      <w:tabs>
        <w:tab w:val="left" w:pos="360"/>
      </w:tabs>
      <w:spacing w:before="240" w:after="120" w:line="288" w:lineRule="auto"/>
      <w:ind w:left="378" w:right="57" w:hanging="432"/>
      <w:jc w:val="left"/>
    </w:pPr>
    <w:rPr>
      <w:kern w:val="0"/>
      <w:szCs w:val="20"/>
    </w:rPr>
  </w:style>
  <w:style w:type="paragraph" w:customStyle="1" w:styleId="1671">
    <w:name w:val="附录 Heading 1"/>
    <w:basedOn w:val="3"/>
    <w:autoRedefine/>
    <w:qFormat/>
    <w:uiPriority w:val="0"/>
    <w:pPr>
      <w:keepLines w:val="0"/>
      <w:widowControl/>
      <w:tabs>
        <w:tab w:val="left" w:pos="418"/>
      </w:tabs>
      <w:autoSpaceDE/>
      <w:autoSpaceDN/>
      <w:adjustRightInd/>
      <w:spacing w:before="0" w:after="0" w:line="480" w:lineRule="auto"/>
      <w:ind w:left="202" w:right="778" w:rightChars="778" w:hanging="144"/>
      <w:jc w:val="left"/>
    </w:pPr>
    <w:rPr>
      <w:rFonts w:ascii="Microsoft Sans Serif" w:hAnsi="Microsoft Sans Serif" w:eastAsia="仿宋_GB2312"/>
      <w:kern w:val="32"/>
      <w:sz w:val="40"/>
    </w:rPr>
  </w:style>
  <w:style w:type="paragraph" w:customStyle="1" w:styleId="1672">
    <w:name w:val="SG186正文"/>
    <w:basedOn w:val="1"/>
    <w:autoRedefine/>
    <w:qFormat/>
    <w:uiPriority w:val="0"/>
    <w:pPr>
      <w:spacing w:line="360" w:lineRule="auto"/>
      <w:ind w:firstLine="480" w:firstLineChars="200"/>
      <w:jc w:val="left"/>
    </w:pPr>
    <w:rPr>
      <w:rFonts w:ascii="宋体" w:hAnsi="宋体"/>
      <w:kern w:val="0"/>
      <w:sz w:val="24"/>
      <w:szCs w:val="20"/>
    </w:rPr>
  </w:style>
  <w:style w:type="paragraph" w:customStyle="1" w:styleId="1673">
    <w:name w:val="Char6 Char Char Char"/>
    <w:basedOn w:val="1"/>
    <w:autoRedefine/>
    <w:qFormat/>
    <w:uiPriority w:val="0"/>
    <w:rPr>
      <w:szCs w:val="20"/>
    </w:rPr>
  </w:style>
  <w:style w:type="paragraph" w:customStyle="1" w:styleId="1674">
    <w:name w:val="Char Char Char Char Char Char Char Char Char Char Char Char Char Char Char Char Char Char Char Char Char1 Char Char Char Char Char1 Char Char Char Char Char Char Char"/>
    <w:basedOn w:val="1"/>
    <w:autoRedefine/>
    <w:qFormat/>
    <w:uiPriority w:val="0"/>
    <w:pPr>
      <w:widowControl/>
      <w:spacing w:after="160" w:line="240" w:lineRule="exact"/>
      <w:jc w:val="center"/>
    </w:pPr>
    <w:rPr>
      <w:kern w:val="0"/>
      <w:sz w:val="20"/>
      <w:szCs w:val="20"/>
    </w:rPr>
  </w:style>
  <w:style w:type="paragraph" w:customStyle="1" w:styleId="1675">
    <w:name w:val="正文重要标记"/>
    <w:basedOn w:val="1"/>
    <w:next w:val="1"/>
    <w:autoRedefine/>
    <w:qFormat/>
    <w:uiPriority w:val="0"/>
    <w:pPr>
      <w:widowControl/>
      <w:spacing w:afterLines="50" w:line="360" w:lineRule="auto"/>
      <w:jc w:val="left"/>
    </w:pPr>
    <w:rPr>
      <w:b/>
      <w:kern w:val="0"/>
      <w:sz w:val="24"/>
      <w:szCs w:val="20"/>
    </w:rPr>
  </w:style>
  <w:style w:type="paragraph" w:customStyle="1" w:styleId="1676">
    <w:name w:val="样式 标题 2 + 右侧:  6.98 字符"/>
    <w:basedOn w:val="4"/>
    <w:autoRedefine/>
    <w:qFormat/>
    <w:uiPriority w:val="0"/>
    <w:pPr>
      <w:pBdr>
        <w:bottom w:val="single" w:color="808080" w:sz="12" w:space="1"/>
      </w:pBdr>
      <w:autoSpaceDE/>
      <w:autoSpaceDN/>
      <w:snapToGrid w:val="0"/>
      <w:spacing w:before="0" w:beforeLines="50" w:afterLines="50" w:line="240" w:lineRule="auto"/>
      <w:ind w:left="936" w:right="698" w:rightChars="698" w:hanging="576"/>
      <w:jc w:val="both"/>
    </w:pPr>
    <w:rPr>
      <w:rFonts w:ascii="Tahoma" w:hAnsi="Tahoma"/>
      <w:color w:val="333399"/>
      <w:kern w:val="2"/>
    </w:rPr>
  </w:style>
  <w:style w:type="paragraph" w:customStyle="1" w:styleId="1677">
    <w:name w:val="Char1 Char Char Char Char Char Char Char Char3 Char Char Char Char Char Char Char"/>
    <w:basedOn w:val="1"/>
    <w:autoRedefine/>
    <w:qFormat/>
    <w:uiPriority w:val="0"/>
    <w:pPr>
      <w:spacing w:before="240" w:after="120" w:line="288" w:lineRule="auto"/>
      <w:ind w:firstLine="200" w:firstLineChars="200"/>
      <w:jc w:val="left"/>
    </w:pPr>
    <w:rPr>
      <w:rFonts w:ascii="Tahoma" w:hAnsi="Tahoma"/>
      <w:sz w:val="24"/>
      <w:szCs w:val="20"/>
    </w:rPr>
  </w:style>
  <w:style w:type="paragraph" w:customStyle="1" w:styleId="1678">
    <w:name w:val="附录 Heading 2"/>
    <w:basedOn w:val="4"/>
    <w:autoRedefine/>
    <w:qFormat/>
    <w:uiPriority w:val="0"/>
    <w:pPr>
      <w:tabs>
        <w:tab w:val="left" w:pos="0"/>
        <w:tab w:val="left" w:pos="900"/>
      </w:tabs>
      <w:autoSpaceDE/>
      <w:autoSpaceDN/>
      <w:spacing w:before="0" w:beforeLines="50" w:afterLines="50" w:line="413" w:lineRule="auto"/>
      <w:ind w:left="1260" w:hanging="420"/>
      <w:jc w:val="left"/>
    </w:pPr>
    <w:rPr>
      <w:rFonts w:ascii="Times New Roman" w:hAnsi="Times New Roman" w:eastAsia="宋体"/>
      <w:sz w:val="32"/>
    </w:rPr>
  </w:style>
  <w:style w:type="paragraph" w:customStyle="1" w:styleId="1679">
    <w:name w:val="突出"/>
    <w:basedOn w:val="1"/>
    <w:autoRedefine/>
    <w:qFormat/>
    <w:uiPriority w:val="0"/>
    <w:pPr>
      <w:tabs>
        <w:tab w:val="left" w:pos="1270"/>
      </w:tabs>
      <w:ind w:left="840" w:hanging="420"/>
    </w:pPr>
    <w:rPr>
      <w:szCs w:val="20"/>
    </w:rPr>
  </w:style>
  <w:style w:type="paragraph" w:customStyle="1" w:styleId="1680">
    <w:name w:val="样式 标题 1 + 段前: 5 磅 段后: 5 磅"/>
    <w:basedOn w:val="3"/>
    <w:autoRedefine/>
    <w:qFormat/>
    <w:uiPriority w:val="0"/>
    <w:pPr>
      <w:widowControl/>
      <w:autoSpaceDE/>
      <w:autoSpaceDN/>
      <w:adjustRightInd/>
      <w:spacing w:before="0" w:after="0" w:line="576" w:lineRule="auto"/>
      <w:jc w:val="left"/>
    </w:pPr>
    <w:rPr>
      <w:rFonts w:ascii="Times New Roman"/>
      <w:sz w:val="44"/>
    </w:rPr>
  </w:style>
  <w:style w:type="paragraph" w:customStyle="1" w:styleId="1681">
    <w:name w:val="Char Char Char Char Char Char Char Char Char Char Char Char Char Char Char Char Char Char Char Char Char1 Char Char Char Char Char1 Char Char Char Char Char Char Char Char Char Char"/>
    <w:basedOn w:val="1"/>
    <w:autoRedefine/>
    <w:qFormat/>
    <w:uiPriority w:val="0"/>
    <w:pPr>
      <w:widowControl/>
      <w:spacing w:after="160" w:line="240" w:lineRule="exact"/>
      <w:jc w:val="center"/>
    </w:pPr>
    <w:rPr>
      <w:kern w:val="0"/>
      <w:sz w:val="20"/>
      <w:szCs w:val="20"/>
    </w:rPr>
  </w:style>
  <w:style w:type="paragraph" w:customStyle="1" w:styleId="1682">
    <w:name w:val="Char Char Char Char Char Char Char Char Char1 Char Char Char1"/>
    <w:basedOn w:val="1"/>
    <w:autoRedefine/>
    <w:qFormat/>
    <w:uiPriority w:val="0"/>
    <w:pPr>
      <w:widowControl/>
      <w:spacing w:after="160" w:line="240" w:lineRule="exact"/>
      <w:jc w:val="left"/>
    </w:pPr>
    <w:rPr>
      <w:szCs w:val="20"/>
    </w:rPr>
  </w:style>
  <w:style w:type="paragraph" w:customStyle="1" w:styleId="1683">
    <w:name w:val="5 Char Char Char Char"/>
    <w:basedOn w:val="1"/>
    <w:autoRedefine/>
    <w:qFormat/>
    <w:uiPriority w:val="0"/>
    <w:rPr>
      <w:szCs w:val="20"/>
    </w:rPr>
  </w:style>
  <w:style w:type="paragraph" w:customStyle="1" w:styleId="1684">
    <w:name w:val="ListBullet3"/>
    <w:basedOn w:val="1"/>
    <w:next w:val="1"/>
    <w:autoRedefine/>
    <w:qFormat/>
    <w:uiPriority w:val="0"/>
    <w:pPr>
      <w:tabs>
        <w:tab w:val="left" w:pos="1667"/>
      </w:tabs>
      <w:spacing w:before="240" w:after="120" w:line="288" w:lineRule="auto"/>
      <w:ind w:left="840" w:hanging="420"/>
      <w:jc w:val="left"/>
    </w:pPr>
    <w:rPr>
      <w:szCs w:val="20"/>
    </w:rPr>
  </w:style>
  <w:style w:type="paragraph" w:customStyle="1" w:styleId="1685">
    <w:name w:val="Char Char Char Char Char Char2 Char Char Char1 Char Char Char Char Char Char Char"/>
    <w:basedOn w:val="25"/>
    <w:autoRedefine/>
    <w:qFormat/>
    <w:uiPriority w:val="0"/>
    <w:pPr>
      <w:shd w:val="clear" w:color="auto" w:fill="auto"/>
      <w:spacing w:line="360" w:lineRule="auto"/>
      <w:ind w:firstLine="200" w:firstLineChars="200"/>
    </w:pPr>
    <w:rPr>
      <w:rFonts w:ascii="宋体"/>
      <w:kern w:val="0"/>
      <w:sz w:val="18"/>
      <w:szCs w:val="18"/>
    </w:rPr>
  </w:style>
  <w:style w:type="paragraph" w:customStyle="1" w:styleId="1686">
    <w:name w:val="Char Char Char Char Char Char Char Char Char Char Char Char Char1 Char"/>
    <w:basedOn w:val="25"/>
    <w:autoRedefine/>
    <w:qFormat/>
    <w:uiPriority w:val="0"/>
    <w:pPr>
      <w:shd w:val="clear" w:color="auto" w:fill="auto"/>
      <w:spacing w:line="360" w:lineRule="auto"/>
      <w:ind w:firstLine="200" w:firstLineChars="200"/>
    </w:pPr>
    <w:rPr>
      <w:rFonts w:ascii="宋体"/>
      <w:kern w:val="0"/>
      <w:sz w:val="18"/>
      <w:szCs w:val="18"/>
    </w:rPr>
  </w:style>
  <w:style w:type="paragraph" w:customStyle="1" w:styleId="1687">
    <w:name w:val="正文缩两字"/>
    <w:basedOn w:val="1"/>
    <w:next w:val="1"/>
    <w:autoRedefine/>
    <w:qFormat/>
    <w:uiPriority w:val="0"/>
    <w:pPr>
      <w:widowControl/>
      <w:tabs>
        <w:tab w:val="left" w:pos="1260"/>
      </w:tabs>
      <w:spacing w:afterLines="50" w:line="360" w:lineRule="auto"/>
      <w:ind w:left="840" w:hanging="420"/>
      <w:jc w:val="left"/>
    </w:pPr>
    <w:rPr>
      <w:rFonts w:hAnsi="宋体"/>
      <w:kern w:val="0"/>
      <w:sz w:val="24"/>
      <w:szCs w:val="20"/>
    </w:rPr>
  </w:style>
  <w:style w:type="paragraph" w:customStyle="1" w:styleId="1688">
    <w:name w:val="SubText"/>
    <w:basedOn w:val="1"/>
    <w:autoRedefine/>
    <w:qFormat/>
    <w:uiPriority w:val="0"/>
    <w:pPr>
      <w:widowControl/>
      <w:tabs>
        <w:tab w:val="left" w:pos="855"/>
      </w:tabs>
      <w:spacing w:before="72" w:line="360" w:lineRule="auto"/>
      <w:ind w:left="855"/>
      <w:jc w:val="left"/>
    </w:pPr>
    <w:rPr>
      <w:rFonts w:ascii="宋体" w:hAnsi="宋体"/>
      <w:snapToGrid w:val="0"/>
      <w:kern w:val="0"/>
      <w:sz w:val="24"/>
      <w:szCs w:val="20"/>
      <w:lang w:val="en-GB" w:eastAsia="en-US"/>
    </w:rPr>
  </w:style>
  <w:style w:type="paragraph" w:customStyle="1" w:styleId="1689">
    <w:name w:val="样式 标题 2 + 左侧:  0 厘米 首行缩进:  0 厘米1"/>
    <w:basedOn w:val="4"/>
    <w:autoRedefine/>
    <w:qFormat/>
    <w:uiPriority w:val="0"/>
    <w:pPr>
      <w:widowControl/>
      <w:tabs>
        <w:tab w:val="left" w:pos="0"/>
        <w:tab w:val="left" w:pos="1260"/>
      </w:tabs>
      <w:autoSpaceDE/>
      <w:autoSpaceDN/>
      <w:spacing w:before="0" w:beforeLines="50" w:afterLines="50" w:line="413" w:lineRule="auto"/>
      <w:ind w:left="1260" w:hanging="420"/>
      <w:jc w:val="left"/>
    </w:pPr>
    <w:rPr>
      <w:sz w:val="32"/>
    </w:rPr>
  </w:style>
  <w:style w:type="paragraph" w:customStyle="1" w:styleId="1690">
    <w:name w:val="Normal Cenered"/>
    <w:basedOn w:val="1"/>
    <w:autoRedefine/>
    <w:qFormat/>
    <w:uiPriority w:val="0"/>
    <w:pPr>
      <w:widowControl/>
      <w:tabs>
        <w:tab w:val="left" w:pos="6660"/>
      </w:tabs>
      <w:spacing w:before="240" w:after="120" w:line="288" w:lineRule="auto"/>
      <w:jc w:val="center"/>
    </w:pPr>
    <w:rPr>
      <w:kern w:val="0"/>
      <w:szCs w:val="20"/>
    </w:rPr>
  </w:style>
  <w:style w:type="paragraph" w:customStyle="1" w:styleId="1691">
    <w:name w:val="SOW bullet"/>
    <w:basedOn w:val="1"/>
    <w:autoRedefine/>
    <w:qFormat/>
    <w:uiPriority w:val="0"/>
    <w:pPr>
      <w:snapToGrid w:val="0"/>
      <w:spacing w:line="400" w:lineRule="exact"/>
    </w:pPr>
    <w:rPr>
      <w:snapToGrid w:val="0"/>
      <w:sz w:val="24"/>
      <w:szCs w:val="20"/>
    </w:rPr>
  </w:style>
  <w:style w:type="paragraph" w:customStyle="1" w:styleId="1692">
    <w:name w:val="缩进 Char Char"/>
    <w:basedOn w:val="1"/>
    <w:autoRedefine/>
    <w:qFormat/>
    <w:uiPriority w:val="0"/>
    <w:pPr>
      <w:adjustRightInd w:val="0"/>
      <w:snapToGrid w:val="0"/>
      <w:spacing w:beforeLines="50" w:afterLines="50" w:line="360" w:lineRule="auto"/>
      <w:ind w:firstLine="480" w:firstLineChars="200"/>
    </w:pPr>
    <w:rPr>
      <w:rFonts w:ascii="Verdana" w:hAnsi="Verdana"/>
      <w:sz w:val="24"/>
      <w:szCs w:val="20"/>
    </w:rPr>
  </w:style>
  <w:style w:type="paragraph" w:customStyle="1" w:styleId="1693">
    <w:name w:val="Char 字元 Char Char Char Char Char Char Char Char Char"/>
    <w:basedOn w:val="1"/>
    <w:autoRedefine/>
    <w:qFormat/>
    <w:uiPriority w:val="0"/>
    <w:pPr>
      <w:widowControl/>
      <w:spacing w:after="160" w:line="240" w:lineRule="exact"/>
      <w:jc w:val="left"/>
    </w:pPr>
    <w:rPr>
      <w:rFonts w:ascii="Verdana" w:hAnsi="Verdana"/>
      <w:kern w:val="0"/>
      <w:sz w:val="28"/>
      <w:szCs w:val="20"/>
      <w:lang w:eastAsia="en-US"/>
    </w:rPr>
  </w:style>
  <w:style w:type="paragraph" w:customStyle="1" w:styleId="1694">
    <w:name w:val="Char Char Char Char Char Char1 Char Char Char Char Char"/>
    <w:basedOn w:val="25"/>
    <w:autoRedefine/>
    <w:qFormat/>
    <w:uiPriority w:val="0"/>
    <w:pPr>
      <w:shd w:val="clear" w:color="auto" w:fill="auto"/>
      <w:spacing w:line="360" w:lineRule="auto"/>
      <w:ind w:firstLine="200" w:firstLineChars="200"/>
    </w:pPr>
    <w:rPr>
      <w:rFonts w:ascii="宋体"/>
      <w:kern w:val="0"/>
      <w:sz w:val="18"/>
      <w:szCs w:val="18"/>
    </w:rPr>
  </w:style>
  <w:style w:type="paragraph" w:customStyle="1" w:styleId="1695">
    <w:name w:val="表格文字1"/>
    <w:basedOn w:val="32"/>
    <w:autoRedefine/>
    <w:qFormat/>
    <w:uiPriority w:val="0"/>
    <w:pPr>
      <w:tabs>
        <w:tab w:val="clear" w:pos="567"/>
      </w:tabs>
      <w:spacing w:before="0" w:line="360" w:lineRule="auto"/>
      <w:jc w:val="center"/>
    </w:pPr>
    <w:rPr>
      <w:rFonts w:ascii="Times New Roman" w:hAnsi="Times New Roman"/>
    </w:rPr>
  </w:style>
  <w:style w:type="character" w:customStyle="1" w:styleId="1696">
    <w:name w:val="宏文本 Char1"/>
    <w:autoRedefine/>
    <w:qFormat/>
    <w:uiPriority w:val="0"/>
    <w:rPr>
      <w:rFonts w:ascii="Courier New" w:hAnsi="Courier New" w:cs="Courier New"/>
      <w:kern w:val="2"/>
      <w:sz w:val="24"/>
      <w:szCs w:val="24"/>
    </w:rPr>
  </w:style>
  <w:style w:type="paragraph" w:customStyle="1" w:styleId="1697">
    <w:name w:val="lh"/>
    <w:basedOn w:val="1"/>
    <w:autoRedefine/>
    <w:qFormat/>
    <w:uiPriority w:val="0"/>
    <w:pPr>
      <w:widowControl/>
      <w:spacing w:before="100" w:beforeAutospacing="1" w:after="100" w:afterAutospacing="1" w:line="255" w:lineRule="atLeast"/>
      <w:jc w:val="left"/>
    </w:pPr>
    <w:rPr>
      <w:rFonts w:ascii="宋体" w:hAnsi="宋体"/>
      <w:kern w:val="0"/>
      <w:sz w:val="24"/>
    </w:rPr>
  </w:style>
  <w:style w:type="paragraph" w:customStyle="1" w:styleId="1698">
    <w:name w:val="OT_Body_Text Bullet"/>
    <w:basedOn w:val="1"/>
    <w:autoRedefine/>
    <w:qFormat/>
    <w:uiPriority w:val="0"/>
    <w:pPr>
      <w:widowControl/>
      <w:ind w:left="720"/>
    </w:pPr>
    <w:rPr>
      <w:rFonts w:ascii="Arial" w:hAnsi="Arial" w:eastAsia="PMingLiU"/>
      <w:kern w:val="0"/>
      <w:sz w:val="20"/>
      <w:szCs w:val="20"/>
      <w:lang w:eastAsia="en-US"/>
    </w:rPr>
  </w:style>
  <w:style w:type="paragraph" w:customStyle="1" w:styleId="1699">
    <w:name w:val="项目符号"/>
    <w:basedOn w:val="1"/>
    <w:autoRedefine/>
    <w:qFormat/>
    <w:uiPriority w:val="0"/>
    <w:pPr>
      <w:ind w:left="1260" w:hanging="420"/>
    </w:pPr>
  </w:style>
  <w:style w:type="paragraph" w:customStyle="1" w:styleId="1700">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701">
    <w:name w:val="正文 1"/>
    <w:basedOn w:val="1"/>
    <w:link w:val="1702"/>
    <w:autoRedefine/>
    <w:qFormat/>
    <w:uiPriority w:val="0"/>
    <w:pPr>
      <w:widowControl/>
      <w:adjustRightInd w:val="0"/>
      <w:snapToGrid w:val="0"/>
      <w:spacing w:before="30" w:after="30" w:line="300" w:lineRule="auto"/>
      <w:ind w:left="680"/>
    </w:pPr>
    <w:rPr>
      <w:sz w:val="18"/>
      <w:szCs w:val="20"/>
    </w:rPr>
  </w:style>
  <w:style w:type="character" w:customStyle="1" w:styleId="1702">
    <w:name w:val="正文 1 Char"/>
    <w:link w:val="1701"/>
    <w:autoRedefine/>
    <w:qFormat/>
    <w:uiPriority w:val="0"/>
    <w:rPr>
      <w:kern w:val="2"/>
      <w:sz w:val="18"/>
    </w:rPr>
  </w:style>
  <w:style w:type="paragraph" w:customStyle="1" w:styleId="1703">
    <w:name w:val="表题"/>
    <w:autoRedefine/>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1704">
    <w:name w:val="图题"/>
    <w:basedOn w:val="1701"/>
    <w:autoRedefine/>
    <w:qFormat/>
    <w:uiPriority w:val="0"/>
    <w:pPr>
      <w:spacing w:before="40" w:after="80"/>
      <w:jc w:val="center"/>
    </w:pPr>
    <w:rPr>
      <w:rFonts w:ascii="Arial" w:hAnsi="Arial" w:eastAsia="黑体"/>
      <w:sz w:val="16"/>
    </w:rPr>
  </w:style>
  <w:style w:type="paragraph" w:customStyle="1" w:styleId="1705">
    <w:name w:val="图片（中）"/>
    <w:basedOn w:val="1704"/>
    <w:next w:val="1704"/>
    <w:autoRedefine/>
    <w:qFormat/>
    <w:uiPriority w:val="0"/>
  </w:style>
  <w:style w:type="paragraph" w:customStyle="1" w:styleId="1706">
    <w:name w:val="序号列举项"/>
    <w:basedOn w:val="1701"/>
    <w:autoRedefine/>
    <w:qFormat/>
    <w:uiPriority w:val="0"/>
    <w:pPr>
      <w:ind w:left="1134" w:hanging="227"/>
    </w:pPr>
  </w:style>
  <w:style w:type="paragraph" w:customStyle="1" w:styleId="1707">
    <w:name w:val="圆点列举项"/>
    <w:basedOn w:val="1701"/>
    <w:autoRedefine/>
    <w:qFormat/>
    <w:uiPriority w:val="0"/>
    <w:pPr>
      <w:ind w:left="1134" w:hanging="227"/>
    </w:pPr>
  </w:style>
  <w:style w:type="paragraph" w:customStyle="1" w:styleId="1708">
    <w:name w:val="表项"/>
    <w:next w:val="1709"/>
    <w:autoRedefine/>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1709">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710">
    <w:name w:val="表身（中）"/>
    <w:basedOn w:val="1709"/>
    <w:autoRedefine/>
    <w:qFormat/>
    <w:uiPriority w:val="0"/>
  </w:style>
  <w:style w:type="paragraph" w:customStyle="1" w:styleId="1711">
    <w:name w:val="headin"/>
    <w:basedOn w:val="1"/>
    <w:next w:val="1"/>
    <w:autoRedefine/>
    <w:qFormat/>
    <w:uiPriority w:val="0"/>
    <w:pPr>
      <w:keepNext/>
      <w:keepLines/>
      <w:adjustRightInd w:val="0"/>
      <w:spacing w:before="260" w:after="260" w:line="416" w:lineRule="auto"/>
      <w:textAlignment w:val="baseline"/>
    </w:pPr>
    <w:rPr>
      <w:rFonts w:ascii="Arial" w:hAnsi="Arial" w:eastAsia="黑体"/>
      <w:b/>
      <w:sz w:val="32"/>
      <w:szCs w:val="20"/>
    </w:rPr>
  </w:style>
  <w:style w:type="paragraph" w:customStyle="1" w:styleId="1712">
    <w:name w:val="模板普通正文"/>
    <w:basedOn w:val="44"/>
    <w:autoRedefine/>
    <w:qFormat/>
    <w:uiPriority w:val="0"/>
    <w:pPr>
      <w:adjustRightInd w:val="0"/>
      <w:snapToGrid w:val="0"/>
      <w:spacing w:beforeLines="50" w:after="10" w:line="360" w:lineRule="auto"/>
      <w:ind w:firstLine="490" w:firstLineChars="175"/>
      <w:jc w:val="left"/>
    </w:pPr>
    <w:rPr>
      <w:rFonts w:hint="default" w:ascii="Times New Roman" w:hAnsi="Times New Roman"/>
      <w:b/>
      <w:sz w:val="24"/>
      <w:szCs w:val="24"/>
    </w:rPr>
  </w:style>
  <w:style w:type="paragraph" w:customStyle="1" w:styleId="1713">
    <w:name w:val="样式 标题一 + 段前: 0.5 行 段后: 0.5 行"/>
    <w:basedOn w:val="3"/>
    <w:next w:val="1"/>
    <w:autoRedefine/>
    <w:qFormat/>
    <w:uiPriority w:val="0"/>
    <w:pPr>
      <w:keepNext w:val="0"/>
      <w:keepLines w:val="0"/>
      <w:tabs>
        <w:tab w:val="left" w:pos="420"/>
      </w:tabs>
      <w:autoSpaceDE/>
      <w:autoSpaceDN/>
      <w:adjustRightInd/>
      <w:spacing w:before="0" w:beforeLines="50" w:after="0" w:afterLines="50" w:line="240" w:lineRule="auto"/>
      <w:ind w:left="420" w:hanging="420"/>
      <w:jc w:val="both"/>
      <w:outlineLvl w:val="9"/>
    </w:pPr>
    <w:rPr>
      <w:rFonts w:ascii="Arial" w:hAnsi="Arial" w:cs="宋体"/>
      <w:bCs/>
      <w:kern w:val="2"/>
      <w:sz w:val="24"/>
    </w:rPr>
  </w:style>
  <w:style w:type="paragraph" w:customStyle="1" w:styleId="1714">
    <w:name w:val="正文字缩2字"/>
    <w:basedOn w:val="1"/>
    <w:autoRedefine/>
    <w:qFormat/>
    <w:uiPriority w:val="0"/>
    <w:pPr>
      <w:tabs>
        <w:tab w:val="left" w:pos="1860"/>
      </w:tabs>
      <w:adjustRightInd w:val="0"/>
      <w:spacing w:before="60" w:after="60" w:line="360" w:lineRule="auto"/>
      <w:ind w:left="200" w:leftChars="200" w:firstLine="200" w:firstLineChars="200"/>
      <w:textAlignment w:val="baseline"/>
    </w:pPr>
    <w:rPr>
      <w:sz w:val="24"/>
    </w:rPr>
  </w:style>
  <w:style w:type="paragraph" w:customStyle="1" w:styleId="1715">
    <w:name w:val="Numbered list 2.1"/>
    <w:basedOn w:val="3"/>
    <w:next w:val="1"/>
    <w:autoRedefine/>
    <w:qFormat/>
    <w:uiPriority w:val="0"/>
    <w:pPr>
      <w:keepLines w:val="0"/>
      <w:widowControl/>
      <w:tabs>
        <w:tab w:val="left" w:pos="360"/>
        <w:tab w:val="left" w:pos="720"/>
      </w:tabs>
      <w:autoSpaceDE/>
      <w:autoSpaceDN/>
      <w:adjustRightInd/>
      <w:spacing w:before="0" w:after="0" w:line="240" w:lineRule="auto"/>
      <w:ind w:left="360" w:hanging="360"/>
      <w:jc w:val="left"/>
    </w:pPr>
    <w:rPr>
      <w:rFonts w:ascii="Futura Bk" w:hAnsi="Futura Bk"/>
      <w:kern w:val="28"/>
      <w:sz w:val="28"/>
      <w:lang w:eastAsia="en-US"/>
    </w:rPr>
  </w:style>
  <w:style w:type="paragraph" w:customStyle="1" w:styleId="1716">
    <w:name w:val="Numbered list 2.2"/>
    <w:basedOn w:val="4"/>
    <w:next w:val="1"/>
    <w:autoRedefine/>
    <w:qFormat/>
    <w:uiPriority w:val="0"/>
    <w:pPr>
      <w:keepLines w:val="0"/>
      <w:widowControl/>
      <w:tabs>
        <w:tab w:val="left" w:pos="0"/>
        <w:tab w:val="left" w:pos="720"/>
        <w:tab w:val="left" w:pos="984"/>
      </w:tabs>
      <w:autoSpaceDE/>
      <w:autoSpaceDN/>
      <w:spacing w:before="0" w:beforeLines="50" w:afterLines="50" w:line="240" w:lineRule="auto"/>
      <w:ind w:left="624" w:hanging="360"/>
      <w:jc w:val="left"/>
    </w:pPr>
    <w:rPr>
      <w:rFonts w:ascii="Futura Bk" w:hAnsi="Futura Bk" w:eastAsia="宋体"/>
      <w:sz w:val="24"/>
      <w:lang w:eastAsia="en-US"/>
    </w:rPr>
  </w:style>
  <w:style w:type="paragraph" w:customStyle="1" w:styleId="1717">
    <w:name w:val="Numbered list 2.3"/>
    <w:basedOn w:val="5"/>
    <w:next w:val="1"/>
    <w:autoRedefine/>
    <w:qFormat/>
    <w:uiPriority w:val="0"/>
    <w:pPr>
      <w:keepLines w:val="0"/>
      <w:widowControl/>
      <w:tabs>
        <w:tab w:val="left" w:pos="0"/>
        <w:tab w:val="left" w:pos="1080"/>
        <w:tab w:val="left" w:pos="1440"/>
      </w:tabs>
      <w:autoSpaceDE/>
      <w:autoSpaceDN/>
      <w:adjustRightInd/>
      <w:spacing w:before="0" w:after="0"/>
      <w:ind w:left="1080" w:hanging="360"/>
    </w:pPr>
    <w:rPr>
      <w:rFonts w:ascii="Futura Bk" w:hAnsi="Futura Bk"/>
      <w:sz w:val="22"/>
      <w:u w:val="none"/>
      <w:lang w:eastAsia="en-US"/>
    </w:rPr>
  </w:style>
  <w:style w:type="paragraph" w:customStyle="1" w:styleId="1718">
    <w:name w:val="Numbered list 2.4"/>
    <w:basedOn w:val="8"/>
    <w:next w:val="1"/>
    <w:autoRedefine/>
    <w:qFormat/>
    <w:uiPriority w:val="0"/>
    <w:pPr>
      <w:keepLines w:val="0"/>
      <w:widowControl/>
      <w:tabs>
        <w:tab w:val="left" w:pos="1080"/>
        <w:tab w:val="left" w:pos="1440"/>
        <w:tab w:val="left" w:pos="1800"/>
        <w:tab w:val="left" w:pos="2880"/>
      </w:tabs>
      <w:adjustRightInd/>
      <w:spacing w:before="0" w:after="60" w:line="240" w:lineRule="auto"/>
      <w:ind w:left="2160" w:hanging="360"/>
      <w:jc w:val="left"/>
      <w:textAlignment w:val="auto"/>
    </w:pPr>
    <w:rPr>
      <w:rFonts w:ascii="Futura Bk" w:hAnsi="Futura Bk" w:eastAsia="宋体"/>
      <w:color w:val="365F91"/>
      <w:sz w:val="20"/>
      <w:lang w:eastAsia="en-US"/>
    </w:rPr>
  </w:style>
  <w:style w:type="paragraph" w:customStyle="1" w:styleId="1719">
    <w:name w:val="样式 (西文) 宋体 小四 首行缩进:  0.95 厘米 段前: 5 磅 段后: 5 磅 行距: 1.5 倍行距"/>
    <w:basedOn w:val="1"/>
    <w:autoRedefine/>
    <w:qFormat/>
    <w:uiPriority w:val="0"/>
    <w:pPr>
      <w:widowControl/>
      <w:spacing w:before="100" w:after="100" w:line="360" w:lineRule="auto"/>
      <w:ind w:firstLine="540"/>
      <w:jc w:val="left"/>
    </w:pPr>
    <w:rPr>
      <w:rFonts w:ascii="宋体" w:hAnsi="宋体" w:cs="宋体"/>
      <w:kern w:val="0"/>
      <w:sz w:val="24"/>
      <w:szCs w:val="20"/>
    </w:rPr>
  </w:style>
  <w:style w:type="paragraph" w:customStyle="1" w:styleId="1720">
    <w:name w:val="SOW正文"/>
    <w:basedOn w:val="1"/>
    <w:autoRedefine/>
    <w:qFormat/>
    <w:uiPriority w:val="0"/>
    <w:pPr>
      <w:snapToGrid w:val="0"/>
      <w:spacing w:before="120" w:line="400" w:lineRule="exact"/>
      <w:ind w:firstLine="425"/>
    </w:pPr>
    <w:rPr>
      <w:sz w:val="24"/>
    </w:rPr>
  </w:style>
  <w:style w:type="paragraph" w:customStyle="1" w:styleId="1721">
    <w:name w:val="Char Char1 Char Char Char Char Char Char Char Char1 Char Char Char Char Char Char1 Char Char"/>
    <w:basedOn w:val="1"/>
    <w:autoRedefine/>
    <w:qFormat/>
    <w:uiPriority w:val="0"/>
    <w:pPr>
      <w:widowControl/>
      <w:tabs>
        <w:tab w:val="left" w:pos="1380"/>
      </w:tabs>
      <w:spacing w:after="160" w:line="240" w:lineRule="exact"/>
      <w:ind w:left="1380"/>
      <w:jc w:val="left"/>
    </w:pPr>
    <w:rPr>
      <w:rFonts w:ascii="Arial" w:hAnsi="Arial"/>
      <w:kern w:val="0"/>
      <w:sz w:val="20"/>
      <w:szCs w:val="20"/>
      <w:lang w:eastAsia="en-US"/>
    </w:rPr>
  </w:style>
  <w:style w:type="paragraph" w:customStyle="1" w:styleId="1722">
    <w:name w:val="10PT_BULLET_FACTSHEET"/>
    <w:basedOn w:val="1"/>
    <w:autoRedefine/>
    <w:qFormat/>
    <w:uiPriority w:val="0"/>
    <w:pPr>
      <w:widowControl/>
      <w:tabs>
        <w:tab w:val="left" w:pos="1440"/>
      </w:tabs>
      <w:spacing w:before="120"/>
      <w:ind w:left="1440"/>
      <w:jc w:val="left"/>
    </w:pPr>
    <w:rPr>
      <w:rFonts w:ascii="Futura Bk" w:hAnsi="Futura Bk" w:eastAsia="Times"/>
      <w:snapToGrid w:val="0"/>
      <w:color w:val="000000"/>
      <w:kern w:val="0"/>
      <w:sz w:val="20"/>
      <w:szCs w:val="20"/>
      <w:lang w:eastAsia="en-US"/>
    </w:rPr>
  </w:style>
  <w:style w:type="paragraph" w:customStyle="1" w:styleId="1723">
    <w:name w:val="Char Char Char Char Char Char1 Char Char Char Char1 Char Char Char Char"/>
    <w:basedOn w:val="1"/>
    <w:autoRedefine/>
    <w:qFormat/>
    <w:uiPriority w:val="0"/>
    <w:pPr>
      <w:tabs>
        <w:tab w:val="left" w:pos="1080"/>
      </w:tabs>
      <w:ind w:left="432" w:hanging="432"/>
    </w:pPr>
    <w:rPr>
      <w:rFonts w:ascii="Arial" w:hAnsi="Arial"/>
      <w:kern w:val="0"/>
      <w:sz w:val="20"/>
      <w:szCs w:val="20"/>
      <w:lang w:eastAsia="en-US"/>
    </w:rPr>
  </w:style>
  <w:style w:type="character" w:customStyle="1" w:styleId="1724">
    <w:name w:val="正文首缩两字 Char"/>
    <w:autoRedefine/>
    <w:qFormat/>
    <w:uiPriority w:val="0"/>
    <w:rPr>
      <w:rFonts w:ascii="宋体" w:hAnsi="宋体"/>
      <w:kern w:val="2"/>
      <w:sz w:val="24"/>
      <w:szCs w:val="24"/>
    </w:rPr>
  </w:style>
  <w:style w:type="paragraph" w:customStyle="1" w:styleId="1725">
    <w:name w:val="样式 小四 段前: 3 磅 段后: 3 磅 行距: 1.5 倍行距"/>
    <w:basedOn w:val="1"/>
    <w:link w:val="1726"/>
    <w:autoRedefine/>
    <w:qFormat/>
    <w:uiPriority w:val="0"/>
    <w:pPr>
      <w:spacing w:before="60" w:after="60" w:line="360" w:lineRule="auto"/>
      <w:ind w:firstLine="540" w:firstLineChars="225"/>
    </w:pPr>
    <w:rPr>
      <w:rFonts w:cs="宋体"/>
      <w:sz w:val="24"/>
      <w:szCs w:val="20"/>
    </w:rPr>
  </w:style>
  <w:style w:type="character" w:customStyle="1" w:styleId="1726">
    <w:name w:val="样式 小四 段前: 3 磅 段后: 3 磅 行距: 1.5 倍行距 Char"/>
    <w:link w:val="1725"/>
    <w:autoRedefine/>
    <w:qFormat/>
    <w:uiPriority w:val="0"/>
    <w:rPr>
      <w:rFonts w:cs="宋体"/>
      <w:kern w:val="2"/>
      <w:sz w:val="24"/>
    </w:rPr>
  </w:style>
  <w:style w:type="paragraph" w:customStyle="1" w:styleId="1727">
    <w:name w:val="body3"/>
    <w:basedOn w:val="1"/>
    <w:next w:val="8"/>
    <w:autoRedefine/>
    <w:qFormat/>
    <w:uiPriority w:val="0"/>
    <w:pPr>
      <w:widowControl/>
      <w:overflowPunct w:val="0"/>
      <w:autoSpaceDE w:val="0"/>
      <w:autoSpaceDN w:val="0"/>
      <w:adjustRightInd w:val="0"/>
      <w:spacing w:line="0" w:lineRule="atLeast"/>
      <w:ind w:left="2610" w:right="210" w:firstLine="200" w:firstLineChars="200"/>
      <w:jc w:val="left"/>
      <w:textAlignment w:val="baseline"/>
    </w:pPr>
    <w:rPr>
      <w:rFonts w:ascii="宋体"/>
      <w:kern w:val="0"/>
      <w:sz w:val="28"/>
      <w:szCs w:val="20"/>
    </w:rPr>
  </w:style>
  <w:style w:type="paragraph" w:customStyle="1" w:styleId="1728">
    <w:name w:val="项目符号4"/>
    <w:autoRedefine/>
    <w:qFormat/>
    <w:uiPriority w:val="0"/>
    <w:pPr>
      <w:tabs>
        <w:tab w:val="left" w:pos="864"/>
      </w:tabs>
      <w:spacing w:line="360" w:lineRule="auto"/>
      <w:ind w:firstLine="480"/>
    </w:pPr>
    <w:rPr>
      <w:rFonts w:ascii="宋体" w:hAnsi="宋体" w:eastAsia="宋体" w:cs="Times New Roman"/>
      <w:sz w:val="24"/>
      <w:szCs w:val="28"/>
      <w:lang w:val="en-US" w:eastAsia="zh-CN" w:bidi="ar-SA"/>
    </w:rPr>
  </w:style>
  <w:style w:type="character" w:customStyle="1" w:styleId="1729">
    <w:name w:val="breakword"/>
    <w:autoRedefine/>
    <w:qFormat/>
    <w:uiPriority w:val="0"/>
  </w:style>
  <w:style w:type="paragraph" w:customStyle="1" w:styleId="1730">
    <w:name w:val="二级标题"/>
    <w:link w:val="1731"/>
    <w:autoRedefine/>
    <w:qFormat/>
    <w:uiPriority w:val="0"/>
    <w:pPr>
      <w:widowControl w:val="0"/>
      <w:spacing w:line="360" w:lineRule="auto"/>
      <w:ind w:left="900"/>
      <w:jc w:val="both"/>
    </w:pPr>
    <w:rPr>
      <w:rFonts w:ascii="Times New Roman" w:hAnsi="Times New Roman" w:eastAsia="宋体" w:cs="Times New Roman"/>
      <w:sz w:val="24"/>
      <w:szCs w:val="24"/>
      <w:lang w:val="en-US" w:eastAsia="zh-CN" w:bidi="ar-SA"/>
    </w:rPr>
  </w:style>
  <w:style w:type="character" w:customStyle="1" w:styleId="1731">
    <w:name w:val="二级标题 Char1"/>
    <w:link w:val="1730"/>
    <w:autoRedefine/>
    <w:qFormat/>
    <w:uiPriority w:val="0"/>
    <w:rPr>
      <w:sz w:val="24"/>
      <w:szCs w:val="24"/>
    </w:rPr>
  </w:style>
  <w:style w:type="paragraph" w:customStyle="1" w:styleId="1732">
    <w:name w:val="列举"/>
    <w:autoRedefine/>
    <w:qFormat/>
    <w:uiPriority w:val="0"/>
    <w:pPr>
      <w:spacing w:before="100" w:after="200" w:line="276" w:lineRule="auto"/>
      <w:ind w:left="432"/>
    </w:pPr>
    <w:rPr>
      <w:rFonts w:ascii="仿宋" w:hAnsi="仿宋" w:eastAsia="仿宋" w:cs="Times New Roman"/>
      <w:sz w:val="24"/>
      <w:szCs w:val="24"/>
      <w:lang w:val="en-US" w:eastAsia="zh-CN" w:bidi="ar-SA"/>
    </w:rPr>
  </w:style>
  <w:style w:type="paragraph" w:customStyle="1" w:styleId="1733">
    <w:name w:val="标题 2h2sect"/>
    <w:next w:val="1"/>
    <w:autoRedefine/>
    <w:qFormat/>
    <w:uiPriority w:val="0"/>
    <w:pPr>
      <w:spacing w:before="120" w:after="120" w:line="360" w:lineRule="auto"/>
      <w:ind w:left="1265" w:hanging="420"/>
      <w:jc w:val="center"/>
    </w:pPr>
    <w:rPr>
      <w:rFonts w:ascii="微软雅黑" w:hAnsi="微软雅黑" w:eastAsia="微软雅黑" w:cs="宋体"/>
      <w:b/>
      <w:bCs/>
      <w:color w:val="000000"/>
      <w:sz w:val="24"/>
      <w:szCs w:val="24"/>
      <w:lang w:val="en-US" w:eastAsia="zh-CN" w:bidi="ar-SA"/>
    </w:rPr>
  </w:style>
  <w:style w:type="character" w:customStyle="1" w:styleId="1734">
    <w:name w:val="font71"/>
    <w:autoRedefine/>
    <w:qFormat/>
    <w:uiPriority w:val="0"/>
    <w:rPr>
      <w:rFonts w:ascii="宋体" w:hAnsi="宋体" w:eastAsia="宋体" w:cs="宋体"/>
      <w:color w:val="000000"/>
      <w:sz w:val="20"/>
      <w:szCs w:val="20"/>
      <w:u w:val="none"/>
    </w:rPr>
  </w:style>
  <w:style w:type="paragraph" w:customStyle="1" w:styleId="1735">
    <w:name w:val="Char Char Char Char Char Char1 Char Char Char Char"/>
    <w:basedOn w:val="25"/>
    <w:autoRedefine/>
    <w:qFormat/>
    <w:uiPriority w:val="0"/>
    <w:rPr>
      <w:rFonts w:ascii="Tahoma" w:hAnsi="Tahoma"/>
      <w:sz w:val="24"/>
    </w:rPr>
  </w:style>
  <w:style w:type="character" w:customStyle="1" w:styleId="1736">
    <w:name w:val="样式1 Char Char"/>
    <w:autoRedefine/>
    <w:qFormat/>
    <w:uiPriority w:val="0"/>
    <w:rPr>
      <w:rFonts w:ascii="宋体" w:hAnsi="宋体"/>
      <w:sz w:val="21"/>
      <w:szCs w:val="21"/>
    </w:rPr>
  </w:style>
  <w:style w:type="character" w:customStyle="1" w:styleId="1737">
    <w:name w:val="NormalCharacter"/>
    <w:autoRedefine/>
    <w:qFormat/>
    <w:uiPriority w:val="0"/>
    <w:rPr>
      <w:kern w:val="1"/>
      <w:sz w:val="21"/>
      <w:szCs w:val="24"/>
      <w:lang w:val="en-US" w:eastAsia="zh-CN" w:bidi="ar-SA"/>
    </w:rPr>
  </w:style>
  <w:style w:type="character" w:customStyle="1" w:styleId="1738">
    <w:name w:val="Char Char82"/>
    <w:autoRedefine/>
    <w:qFormat/>
    <w:uiPriority w:val="0"/>
    <w:rPr>
      <w:rFonts w:ascii="仿宋_GB2312" w:hAnsi="仿宋_GB2312" w:eastAsia="Cambria"/>
      <w:b/>
      <w:bCs/>
      <w:kern w:val="2"/>
      <w:sz w:val="32"/>
      <w:szCs w:val="32"/>
      <w:lang w:val="en-US" w:eastAsia="zh-CN" w:bidi="ar-SA"/>
    </w:rPr>
  </w:style>
  <w:style w:type="character" w:customStyle="1" w:styleId="1739">
    <w:name w:val="cf01"/>
    <w:autoRedefine/>
    <w:qFormat/>
    <w:uiPriority w:val="0"/>
    <w:rPr>
      <w:rFonts w:hint="eastAsia" w:ascii="Microsoft YaHei UI" w:hAnsi="Microsoft YaHei UI" w:eastAsia="Microsoft YaHei UI" w:cs="Times New Roman"/>
      <w:sz w:val="18"/>
      <w:szCs w:val="18"/>
    </w:rPr>
  </w:style>
  <w:style w:type="paragraph" w:customStyle="1" w:styleId="1740">
    <w:name w:val="修订8"/>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741">
    <w:name w:val="修订9"/>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9" Type="http://schemas.openxmlformats.org/officeDocument/2006/relationships/fontTable" Target="fontTable.xml"/><Relationship Id="rId48" Type="http://schemas.openxmlformats.org/officeDocument/2006/relationships/customXml" Target="../customXml/item2.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1.wmf"/><Relationship Id="rId44" Type="http://schemas.openxmlformats.org/officeDocument/2006/relationships/theme" Target="theme/theme1.xml"/><Relationship Id="rId43" Type="http://schemas.openxmlformats.org/officeDocument/2006/relationships/footer" Target="footer24.xml"/><Relationship Id="rId42" Type="http://schemas.openxmlformats.org/officeDocument/2006/relationships/header" Target="header17.xml"/><Relationship Id="rId41" Type="http://schemas.openxmlformats.org/officeDocument/2006/relationships/footer" Target="footer23.xml"/><Relationship Id="rId40" Type="http://schemas.openxmlformats.org/officeDocument/2006/relationships/footer" Target="footer22.xml"/><Relationship Id="rId4" Type="http://schemas.openxmlformats.org/officeDocument/2006/relationships/header" Target="header2.xml"/><Relationship Id="rId39" Type="http://schemas.openxmlformats.org/officeDocument/2006/relationships/footer" Target="footer21.xml"/><Relationship Id="rId38" Type="http://schemas.openxmlformats.org/officeDocument/2006/relationships/header" Target="header16.xml"/><Relationship Id="rId37" Type="http://schemas.openxmlformats.org/officeDocument/2006/relationships/footer" Target="footer20.xml"/><Relationship Id="rId36" Type="http://schemas.openxmlformats.org/officeDocument/2006/relationships/header" Target="header15.xml"/><Relationship Id="rId35" Type="http://schemas.openxmlformats.org/officeDocument/2006/relationships/footer" Target="footer19.xml"/><Relationship Id="rId34" Type="http://schemas.openxmlformats.org/officeDocument/2006/relationships/header" Target="header14.xml"/><Relationship Id="rId33" Type="http://schemas.openxmlformats.org/officeDocument/2006/relationships/footer" Target="footer18.xml"/><Relationship Id="rId32" Type="http://schemas.openxmlformats.org/officeDocument/2006/relationships/header" Target="header13.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header" Target="header11.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C013BE-2BA1-44BA-B44E-1A87FE92ABE9}">
  <ds:schemaRefs/>
</ds:datastoreItem>
</file>

<file path=docProps/app.xml><?xml version="1.0" encoding="utf-8"?>
<Properties xmlns="http://schemas.openxmlformats.org/officeDocument/2006/extended-properties" xmlns:vt="http://schemas.openxmlformats.org/officeDocument/2006/docPropsVTypes">
  <Template>Normal</Template>
  <Pages>147</Pages>
  <Words>16640</Words>
  <Characters>17288</Characters>
  <Lines>110</Lines>
  <Paragraphs>204</Paragraphs>
  <TotalTime>12</TotalTime>
  <ScaleCrop>false</ScaleCrop>
  <LinksUpToDate>false</LinksUpToDate>
  <CharactersWithSpaces>17574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2025-04-24T02:40:00Z</dcterms:created>
  <dc:creator>ADMIN</dc:creator>
  <cp:lastModifiedBy>郭珉玮</cp:lastModifiedBy>
  <cp:lastPrinted>2023-04-15T11:36:00Z</cp:lastPrinted>
  <dcterms:modified xsi:type="dcterms:W3CDTF">2025-07-01T07:09:01Z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63df823053d34cfda12b12a0ed529184_23</vt:lpwstr>
  </property>
  <property fmtid="{D5CDD505-2E9C-101B-9397-08002B2CF9AE}" pid="4" name="KSOTemplateDocerSaveRecord">
    <vt:lpwstr>eyJoZGlkIjoiYzYxZjBhZDE1YWJhOGZkNDg2Mjk3YWQ0OGI4NWM1NWMiLCJ1c2VySWQiOiI0ODI2MzU4NjMifQ==</vt:lpwstr>
  </property>
</Properties>
</file>