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60"/>
          <w:szCs w:val="60"/>
        </w:rPr>
      </w:pPr>
      <w:r>
        <w:rPr>
          <w:rFonts w:hint="eastAsia"/>
          <w:sz w:val="60"/>
          <w:szCs w:val="60"/>
        </w:rPr>
        <w:drawing>
          <wp:inline distT="0" distB="0" distL="114300" distR="114300">
            <wp:extent cx="895350" cy="1047750"/>
            <wp:effectExtent l="0" t="0" r="0" b="0"/>
            <wp:docPr id="1" name="图片 1" descr="林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达logo"/>
                    <pic:cNvPicPr>
                      <a:picLocks noChangeAspect="1"/>
                    </pic:cNvPicPr>
                  </pic:nvPicPr>
                  <pic:blipFill>
                    <a:blip r:embed="rId19"/>
                    <a:stretch>
                      <a:fillRect/>
                    </a:stretch>
                  </pic:blipFill>
                  <pic:spPr>
                    <a:xfrm>
                      <a:off x="0" y="0"/>
                      <a:ext cx="895350" cy="1047750"/>
                    </a:xfrm>
                    <a:prstGeom prst="rect">
                      <a:avLst/>
                    </a:prstGeom>
                    <a:noFill/>
                    <a:ln w="9525" cap="flat" cmpd="sng">
                      <a:noFill/>
                      <a:prstDash val="solid"/>
                      <a:miter/>
                    </a:ln>
                  </pic:spPr>
                </pic:pic>
              </a:graphicData>
            </a:graphic>
          </wp:inline>
        </w:drawing>
      </w:r>
    </w:p>
    <w:p>
      <w:pPr>
        <w:spacing w:line="360" w:lineRule="auto"/>
        <w:ind w:firstLine="300" w:firstLineChars="50"/>
        <w:rPr>
          <w:sz w:val="60"/>
          <w:szCs w:val="60"/>
        </w:rPr>
      </w:pPr>
    </w:p>
    <w:p>
      <w:pPr>
        <w:jc w:val="center"/>
        <w:rPr>
          <w:rFonts w:hint="eastAsia"/>
          <w:b/>
          <w:bCs/>
          <w:sz w:val="52"/>
          <w:szCs w:val="52"/>
          <w:lang w:eastAsia="zh-CN"/>
        </w:rPr>
      </w:pPr>
      <w:r>
        <w:rPr>
          <w:rFonts w:hint="eastAsia"/>
          <w:b/>
          <w:bCs/>
          <w:sz w:val="52"/>
          <w:szCs w:val="52"/>
          <w:lang w:eastAsia="zh-CN"/>
        </w:rPr>
        <w:t>北京市计量检测科学研究院</w:t>
      </w:r>
    </w:p>
    <w:p>
      <w:pPr>
        <w:jc w:val="center"/>
        <w:rPr>
          <w:rFonts w:hint="eastAsia" w:eastAsia="宋体"/>
          <w:b/>
          <w:bCs/>
          <w:sz w:val="52"/>
          <w:szCs w:val="52"/>
          <w:lang w:eastAsia="zh-CN"/>
        </w:rPr>
      </w:pPr>
      <w:r>
        <w:rPr>
          <w:rFonts w:hint="eastAsia"/>
          <w:b/>
          <w:bCs/>
          <w:sz w:val="52"/>
          <w:szCs w:val="52"/>
          <w:lang w:eastAsia="zh-CN"/>
        </w:rPr>
        <w:t>业务管理系统并行维护项目（2025年）</w:t>
      </w:r>
    </w:p>
    <w:p>
      <w:pPr>
        <w:jc w:val="center"/>
        <w:rPr>
          <w:b/>
          <w:bCs/>
          <w:sz w:val="60"/>
          <w:szCs w:val="60"/>
        </w:rPr>
      </w:pPr>
    </w:p>
    <w:p>
      <w:pPr>
        <w:jc w:val="center"/>
        <w:rPr>
          <w:b/>
          <w:bCs/>
          <w:sz w:val="60"/>
          <w:szCs w:val="60"/>
        </w:rPr>
      </w:pPr>
      <w:r>
        <w:rPr>
          <w:rFonts w:hint="eastAsia"/>
          <w:b/>
          <w:bCs/>
          <w:sz w:val="60"/>
          <w:szCs w:val="60"/>
        </w:rPr>
        <w:t>招标文件</w:t>
      </w:r>
    </w:p>
    <w:p>
      <w:pPr>
        <w:spacing w:line="360" w:lineRule="auto"/>
        <w:jc w:val="center"/>
        <w:rPr>
          <w:sz w:val="60"/>
          <w:szCs w:val="60"/>
        </w:rPr>
      </w:pPr>
    </w:p>
    <w:p>
      <w:pPr>
        <w:spacing w:line="360" w:lineRule="auto"/>
        <w:jc w:val="center"/>
        <w:rPr>
          <w:sz w:val="60"/>
          <w:szCs w:val="60"/>
        </w:rPr>
      </w:pPr>
    </w:p>
    <w:p>
      <w:pPr>
        <w:spacing w:line="360" w:lineRule="auto"/>
        <w:jc w:val="center"/>
        <w:rPr>
          <w:sz w:val="60"/>
          <w:szCs w:val="60"/>
        </w:rPr>
      </w:pPr>
    </w:p>
    <w:p>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北京市计量检测科学研究院业务管理系统并行维护项目（2025年）</w:t>
      </w:r>
    </w:p>
    <w:p>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项目编号/包号：</w:t>
      </w:r>
      <w:bookmarkStart w:id="0" w:name="OLE_LINK2"/>
      <w:r>
        <w:rPr>
          <w:rFonts w:hint="eastAsia"/>
          <w:bCs/>
          <w:sz w:val="36"/>
          <w:szCs w:val="36"/>
          <w:highlight w:val="none"/>
        </w:rPr>
        <w:t>11000025210200140590-XM001</w:t>
      </w:r>
    </w:p>
    <w:bookmarkEnd w:id="0"/>
    <w:p>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北京市计量检测科学研究院</w:t>
      </w:r>
    </w:p>
    <w:p>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华夏林达咨询有限公司</w:t>
      </w:r>
      <w:r>
        <w:rPr>
          <w:bCs/>
          <w:sz w:val="36"/>
          <w:szCs w:val="36"/>
        </w:rPr>
        <w:t xml:space="preserve"> </w:t>
      </w:r>
    </w:p>
    <w:p>
      <w:pPr>
        <w:widowControl/>
        <w:jc w:val="left"/>
        <w:rPr>
          <w:b/>
          <w:bCs/>
          <w:sz w:val="44"/>
        </w:rPr>
      </w:pPr>
      <w:r>
        <w:rPr>
          <w:b/>
          <w:bCs/>
          <w:sz w:val="44"/>
        </w:rPr>
        <w:br w:type="page"/>
      </w:r>
    </w:p>
    <w:p>
      <w:pPr>
        <w:pStyle w:val="149"/>
        <w:spacing w:line="360" w:lineRule="auto"/>
        <w:ind w:firstLine="723" w:firstLineChars="200"/>
        <w:rPr>
          <w:rFonts w:ascii="Times New Roman" w:hAnsi="Times New Roman" w:cs="Times New Roman"/>
          <w:b/>
          <w:sz w:val="36"/>
          <w:szCs w:val="36"/>
        </w:rPr>
      </w:pPr>
      <w:bookmarkStart w:id="1" w:name="_Toc99301417"/>
      <w:bookmarkStart w:id="2" w:name="_Toc74227630"/>
    </w:p>
    <w:bookmarkEnd w:id="1"/>
    <w:bookmarkEnd w:id="2"/>
    <w:p>
      <w:pPr>
        <w:spacing w:line="360" w:lineRule="auto"/>
        <w:jc w:val="center"/>
        <w:outlineLvl w:val="0"/>
        <w:rPr>
          <w:b/>
          <w:sz w:val="36"/>
          <w:szCs w:val="36"/>
        </w:rPr>
      </w:pPr>
      <w:bookmarkStart w:id="3" w:name="_Toc99301418"/>
      <w:r>
        <w:rPr>
          <w:b/>
          <w:sz w:val="36"/>
          <w:szCs w:val="36"/>
        </w:rPr>
        <w:t>目      录</w:t>
      </w:r>
      <w:bookmarkEnd w:id="3"/>
    </w:p>
    <w:p/>
    <w:p/>
    <w:p/>
    <w:p>
      <w:pPr>
        <w:pStyle w:val="31"/>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1"/>
        <w:spacing w:line="360" w:lineRule="auto"/>
        <w:rPr>
          <w:rFonts w:ascii="Times New Roman" w:hAnsi="Times New Roman" w:eastAsia="宋体"/>
          <w:b w:val="0"/>
          <w:sz w:val="21"/>
          <w:szCs w:val="22"/>
        </w:rPr>
      </w:pPr>
      <w:r>
        <w:fldChar w:fldCharType="begin"/>
      </w:r>
      <w:r>
        <w:instrText xml:space="preserve"> HYPERLINK \l "_Toc99301419" </w:instrText>
      </w:r>
      <w:r>
        <w:fldChar w:fldCharType="separate"/>
      </w:r>
      <w:r>
        <w:rPr>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宋体"/>
          <w:b w:val="0"/>
          <w:sz w:val="21"/>
          <w:szCs w:val="22"/>
        </w:rPr>
      </w:pPr>
      <w:r>
        <w:fldChar w:fldCharType="begin"/>
      </w:r>
      <w:r>
        <w:instrText xml:space="preserve"> HYPERLINK \l "_Toc99301420" </w:instrText>
      </w:r>
      <w:r>
        <w:fldChar w:fldCharType="separate"/>
      </w:r>
      <w:r>
        <w:rPr>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宋体"/>
          <w:b w:val="0"/>
          <w:sz w:val="21"/>
          <w:szCs w:val="22"/>
        </w:rPr>
      </w:pPr>
      <w:r>
        <w:fldChar w:fldCharType="begin"/>
      </w:r>
      <w:r>
        <w:instrText xml:space="preserve"> HYPERLINK \l "_Toc99301421" </w:instrText>
      </w:r>
      <w:r>
        <w:fldChar w:fldCharType="separate"/>
      </w:r>
      <w:r>
        <w:rPr>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宋体"/>
          <w:b w:val="0"/>
          <w:sz w:val="21"/>
          <w:szCs w:val="22"/>
        </w:rPr>
      </w:pPr>
      <w:r>
        <w:fldChar w:fldCharType="begin"/>
      </w:r>
      <w:r>
        <w:instrText xml:space="preserve"> HYPERLINK \l "_Toc99301423" </w:instrText>
      </w:r>
      <w:r>
        <w:fldChar w:fldCharType="separate"/>
      </w:r>
      <w:r>
        <w:rPr>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宋体"/>
          <w:b w:val="0"/>
          <w:sz w:val="21"/>
          <w:szCs w:val="22"/>
        </w:rPr>
      </w:pPr>
      <w:r>
        <w:fldChar w:fldCharType="begin"/>
      </w:r>
      <w:r>
        <w:instrText xml:space="preserve"> HYPERLINK \l "_Toc99301424" </w:instrText>
      </w:r>
      <w:r>
        <w:fldChar w:fldCharType="separate"/>
      </w:r>
      <w:r>
        <w:rPr>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宋体"/>
          <w:b w:val="0"/>
          <w:sz w:val="21"/>
          <w:szCs w:val="22"/>
        </w:rPr>
      </w:pPr>
      <w:r>
        <w:fldChar w:fldCharType="begin"/>
      </w:r>
      <w:r>
        <w:instrText xml:space="preserve"> HYPERLINK \l "_Toc99301425" </w:instrText>
      </w:r>
      <w:r>
        <w:fldChar w:fldCharType="separate"/>
      </w:r>
      <w:r>
        <w:rPr>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pPr>
        <w:pStyle w:val="31"/>
        <w:spacing w:line="360" w:lineRule="auto"/>
        <w:rPr>
          <w:rFonts w:ascii="Times New Roman" w:hAnsi="Times New Roman" w:eastAsia="宋体"/>
          <w:b w:val="0"/>
          <w:sz w:val="21"/>
          <w:szCs w:val="22"/>
        </w:rPr>
      </w:pPr>
      <w:r>
        <w:fldChar w:fldCharType="begin"/>
      </w:r>
      <w:r>
        <w:instrText xml:space="preserve"> HYPERLINK \l "_Toc99301426" </w:instrText>
      </w:r>
      <w:r>
        <w:fldChar w:fldCharType="separate"/>
      </w:r>
      <w:r>
        <w:rPr>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r>
        <w:rPr>
          <w:rFonts w:ascii="Times New Roman" w:hAnsi="Times New Roman"/>
        </w:rPr>
        <w:fldChar w:fldCharType="end"/>
      </w:r>
    </w:p>
    <w:p>
      <w:pPr>
        <w:pStyle w:val="31"/>
        <w:spacing w:line="480" w:lineRule="auto"/>
        <w:rPr>
          <w:rFonts w:ascii="Times New Roman" w:hAnsi="Times New Roman" w:eastAsia="宋体"/>
          <w:b w:val="0"/>
        </w:rPr>
      </w:pPr>
      <w:r>
        <w:rPr>
          <w:rFonts w:ascii="Times New Roman" w:hAnsi="Times New Roman"/>
          <w:b w:val="0"/>
        </w:rPr>
        <w:fldChar w:fldCharType="end"/>
      </w:r>
    </w:p>
    <w:p/>
    <w:p>
      <w:pPr>
        <w:spacing w:line="360" w:lineRule="auto"/>
        <w:rPr>
          <w:sz w:val="24"/>
        </w:rPr>
      </w:pPr>
      <w:r>
        <w:rPr>
          <w:rFonts w:hint="eastAsia"/>
          <w:sz w:val="24"/>
        </w:rPr>
        <w:t>注：采购文件条款中以</w:t>
      </w:r>
      <w:r>
        <w:rPr>
          <w:sz w:val="24"/>
        </w:rPr>
        <w:t xml:space="preserve"> “</w:t>
      </w:r>
      <w:r>
        <w:rPr>
          <w:rFonts w:hint="eastAsia"/>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pPr>
        <w:pStyle w:val="31"/>
        <w:spacing w:line="360" w:lineRule="auto"/>
        <w:rPr>
          <w:rFonts w:ascii="Times New Roman" w:hAnsi="Times New Roman"/>
          <w:b w:val="0"/>
        </w:rPr>
      </w:pPr>
    </w:p>
    <w:p>
      <w:pPr>
        <w:spacing w:line="360" w:lineRule="auto"/>
        <w:jc w:val="center"/>
        <w:outlineLvl w:val="0"/>
        <w:rPr>
          <w:b/>
          <w:sz w:val="36"/>
          <w:szCs w:val="36"/>
        </w:rPr>
        <w:sectPr>
          <w:headerReference r:id="rId4" w:type="first"/>
          <w:footerReference r:id="rId5" w:type="first"/>
          <w:headerReference r:id="rId3" w:type="default"/>
          <w:type w:val="nextColumn"/>
          <w:pgSz w:w="11907" w:h="16840"/>
          <w:pgMar w:top="1418" w:right="1134" w:bottom="1418" w:left="1701" w:header="851" w:footer="851" w:gutter="0"/>
          <w:pgNumType w:start="0"/>
          <w:cols w:space="720" w:num="1"/>
          <w:titlePg/>
          <w:docGrid w:linePitch="462" w:charSpace="0"/>
        </w:sectPr>
      </w:pPr>
      <w:bookmarkStart w:id="4" w:name="_Toc99301419"/>
    </w:p>
    <w:p>
      <w:pPr>
        <w:spacing w:line="360" w:lineRule="auto"/>
        <w:jc w:val="center"/>
        <w:outlineLvl w:val="0"/>
        <w:rPr>
          <w:b/>
          <w:sz w:val="36"/>
          <w:szCs w:val="36"/>
        </w:rPr>
      </w:pPr>
      <w:r>
        <w:rPr>
          <w:b/>
          <w:sz w:val="36"/>
          <w:szCs w:val="36"/>
        </w:rPr>
        <w:t>第一章   投标邀请</w:t>
      </w:r>
      <w:bookmarkEnd w:id="4"/>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highlight w:val="none"/>
        </w:rPr>
      </w:pPr>
      <w:bookmarkStart w:id="5" w:name="_Toc28359002"/>
      <w:bookmarkStart w:id="6" w:name="_Toc28359079"/>
      <w:bookmarkStart w:id="7" w:name="_Toc35393790"/>
      <w:bookmarkStart w:id="8" w:name="_Toc35393621"/>
      <w:bookmarkStart w:id="9" w:name="_Hlk24379207"/>
      <w:r>
        <w:rPr>
          <w:rFonts w:ascii="Times New Roman" w:hAnsi="Times New Roman" w:eastAsia="宋体"/>
          <w:sz w:val="24"/>
          <w:szCs w:val="24"/>
        </w:rPr>
        <w:t>一、</w:t>
      </w:r>
      <w:r>
        <w:rPr>
          <w:rFonts w:ascii="Times New Roman" w:hAnsi="Times New Roman" w:eastAsia="宋体"/>
          <w:sz w:val="24"/>
          <w:szCs w:val="24"/>
          <w:highlight w:val="none"/>
        </w:rPr>
        <w:t>项目基本情况</w:t>
      </w:r>
      <w:bookmarkEnd w:id="5"/>
      <w:bookmarkEnd w:id="6"/>
      <w:bookmarkEnd w:id="7"/>
      <w:bookmarkEnd w:id="8"/>
    </w:p>
    <w:p>
      <w:pPr>
        <w:spacing w:line="360" w:lineRule="auto"/>
        <w:ind w:firstLine="480" w:firstLineChars="200"/>
        <w:rPr>
          <w:sz w:val="24"/>
          <w:highlight w:val="none"/>
        </w:rPr>
      </w:pPr>
      <w:r>
        <w:rPr>
          <w:sz w:val="24"/>
          <w:highlight w:val="none"/>
        </w:rPr>
        <w:t>1.项目编号：</w:t>
      </w:r>
      <w:r>
        <w:rPr>
          <w:rFonts w:hint="eastAsia"/>
          <w:sz w:val="24"/>
          <w:highlight w:val="none"/>
        </w:rPr>
        <w:t>11000025210200140590-XM001</w:t>
      </w:r>
    </w:p>
    <w:p>
      <w:pPr>
        <w:spacing w:line="360" w:lineRule="auto"/>
        <w:ind w:firstLine="480" w:firstLineChars="200"/>
        <w:rPr>
          <w:rFonts w:hint="eastAsia" w:eastAsia="宋体"/>
          <w:sz w:val="24"/>
          <w:lang w:eastAsia="zh-CN"/>
        </w:rPr>
      </w:pPr>
      <w:r>
        <w:rPr>
          <w:sz w:val="24"/>
          <w:highlight w:val="none"/>
        </w:rPr>
        <w:t>2.项目名称</w:t>
      </w:r>
      <w:r>
        <w:rPr>
          <w:sz w:val="24"/>
        </w:rPr>
        <w:t>：</w:t>
      </w:r>
      <w:bookmarkStart w:id="10" w:name="OLE_LINK3"/>
      <w:r>
        <w:rPr>
          <w:rFonts w:hint="eastAsia"/>
          <w:sz w:val="24"/>
          <w:lang w:eastAsia="zh-CN"/>
        </w:rPr>
        <w:t>北京市计量检测科学研究院业务管理系统并行维护项目（2025年）</w:t>
      </w:r>
      <w:bookmarkEnd w:id="10"/>
    </w:p>
    <w:bookmarkEnd w:id="9"/>
    <w:p>
      <w:pPr>
        <w:spacing w:line="360" w:lineRule="auto"/>
        <w:ind w:firstLine="480" w:firstLineChars="200"/>
        <w:rPr>
          <w:sz w:val="24"/>
        </w:rPr>
      </w:pPr>
      <w:r>
        <w:rPr>
          <w:sz w:val="24"/>
        </w:rPr>
        <w:t>3.项目预算金额：</w:t>
      </w:r>
      <w:r>
        <w:rPr>
          <w:rFonts w:hint="eastAsia"/>
          <w:sz w:val="24"/>
          <w:lang w:val="en-US" w:eastAsia="zh-CN"/>
        </w:rPr>
        <w:t>168</w:t>
      </w:r>
      <w:r>
        <w:rPr>
          <w:sz w:val="24"/>
        </w:rPr>
        <w:t>万元、项目最高限价（如有）：</w:t>
      </w:r>
      <w:r>
        <w:rPr>
          <w:rFonts w:hint="eastAsia"/>
          <w:sz w:val="24"/>
          <w:lang w:val="en-US" w:eastAsia="zh-CN"/>
        </w:rPr>
        <w:t>168</w:t>
      </w:r>
      <w:r>
        <w:rPr>
          <w:sz w:val="24"/>
        </w:rPr>
        <w:t>万元</w:t>
      </w:r>
    </w:p>
    <w:p>
      <w:pPr>
        <w:spacing w:line="360" w:lineRule="auto"/>
        <w:ind w:firstLine="480" w:firstLineChars="200"/>
        <w:rPr>
          <w:sz w:val="24"/>
        </w:rPr>
      </w:pPr>
      <w:r>
        <w:rPr>
          <w:sz w:val="24"/>
        </w:rPr>
        <w:t>4.采购需求：</w:t>
      </w:r>
    </w:p>
    <w:tbl>
      <w:tblPr>
        <w:tblStyle w:val="43"/>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955"/>
        <w:gridCol w:w="1545"/>
        <w:gridCol w:w="965"/>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pPr>
              <w:jc w:val="center"/>
              <w:rPr>
                <w:bCs/>
                <w:szCs w:val="21"/>
              </w:rPr>
            </w:pPr>
            <w:bookmarkStart w:id="11" w:name="OLE_LINK6"/>
            <w:r>
              <w:rPr>
                <w:bCs/>
                <w:szCs w:val="21"/>
              </w:rPr>
              <w:t>包号</w:t>
            </w:r>
          </w:p>
        </w:tc>
        <w:tc>
          <w:tcPr>
            <w:tcW w:w="2955" w:type="dxa"/>
            <w:vAlign w:val="center"/>
          </w:tcPr>
          <w:p>
            <w:pPr>
              <w:jc w:val="center"/>
              <w:rPr>
                <w:bCs/>
                <w:szCs w:val="21"/>
              </w:rPr>
            </w:pPr>
            <w:r>
              <w:rPr>
                <w:bCs/>
                <w:szCs w:val="21"/>
              </w:rPr>
              <w:t>标的名称</w:t>
            </w:r>
          </w:p>
        </w:tc>
        <w:tc>
          <w:tcPr>
            <w:tcW w:w="1545" w:type="dxa"/>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965" w:type="dxa"/>
            <w:vAlign w:val="center"/>
          </w:tcPr>
          <w:p>
            <w:pPr>
              <w:jc w:val="center"/>
              <w:rPr>
                <w:bCs/>
                <w:szCs w:val="21"/>
              </w:rPr>
            </w:pPr>
            <w:r>
              <w:rPr>
                <w:bCs/>
                <w:szCs w:val="21"/>
              </w:rPr>
              <w:t>数量</w:t>
            </w:r>
          </w:p>
        </w:tc>
        <w:tc>
          <w:tcPr>
            <w:tcW w:w="2858" w:type="dxa"/>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pPr>
              <w:jc w:val="center"/>
              <w:rPr>
                <w:bCs/>
                <w:color w:val="auto"/>
                <w:szCs w:val="21"/>
                <w:highlight w:val="none"/>
              </w:rPr>
            </w:pPr>
            <w:r>
              <w:rPr>
                <w:bCs/>
                <w:color w:val="auto"/>
                <w:szCs w:val="21"/>
                <w:highlight w:val="none"/>
              </w:rPr>
              <w:t>01</w:t>
            </w:r>
          </w:p>
        </w:tc>
        <w:tc>
          <w:tcPr>
            <w:tcW w:w="2955" w:type="dxa"/>
            <w:vAlign w:val="center"/>
          </w:tcPr>
          <w:p>
            <w:pPr>
              <w:jc w:val="center"/>
              <w:rPr>
                <w:rFonts w:hint="eastAsia" w:eastAsia="宋体"/>
                <w:bCs/>
                <w:color w:val="auto"/>
                <w:szCs w:val="21"/>
                <w:highlight w:val="none"/>
                <w:lang w:eastAsia="zh-CN"/>
              </w:rPr>
            </w:pPr>
            <w:bookmarkStart w:id="12" w:name="OLE_LINK1"/>
            <w:r>
              <w:rPr>
                <w:rFonts w:hint="eastAsia"/>
                <w:color w:val="auto"/>
                <w:sz w:val="24"/>
                <w:highlight w:val="none"/>
                <w:lang w:eastAsia="zh-CN"/>
              </w:rPr>
              <w:t>北京市计量检测科学研究院业务管理系统并行维护</w:t>
            </w:r>
            <w:bookmarkEnd w:id="12"/>
            <w:r>
              <w:rPr>
                <w:rFonts w:hint="eastAsia"/>
                <w:color w:val="auto"/>
                <w:sz w:val="24"/>
                <w:highlight w:val="none"/>
                <w:lang w:eastAsia="zh-CN"/>
              </w:rPr>
              <w:t>项目（2025年）</w:t>
            </w:r>
          </w:p>
        </w:tc>
        <w:tc>
          <w:tcPr>
            <w:tcW w:w="1545" w:type="dxa"/>
            <w:vAlign w:val="center"/>
          </w:tcPr>
          <w:p>
            <w:pPr>
              <w:jc w:val="center"/>
              <w:rPr>
                <w:rFonts w:hint="default" w:eastAsia="宋体"/>
                <w:bCs/>
                <w:color w:val="auto"/>
                <w:szCs w:val="21"/>
                <w:highlight w:val="none"/>
                <w:lang w:val="en-US" w:eastAsia="zh-CN"/>
              </w:rPr>
            </w:pPr>
            <w:r>
              <w:rPr>
                <w:rFonts w:hint="eastAsia"/>
                <w:color w:val="auto"/>
                <w:sz w:val="24"/>
                <w:highlight w:val="none"/>
                <w:lang w:val="en-US" w:eastAsia="zh-CN"/>
              </w:rPr>
              <w:t>168</w:t>
            </w:r>
          </w:p>
        </w:tc>
        <w:tc>
          <w:tcPr>
            <w:tcW w:w="965" w:type="dxa"/>
            <w:vAlign w:val="center"/>
          </w:tcPr>
          <w:p>
            <w:pPr>
              <w:jc w:val="center"/>
              <w:rPr>
                <w:bCs/>
                <w:color w:val="auto"/>
                <w:szCs w:val="21"/>
                <w:highlight w:val="none"/>
              </w:rPr>
            </w:pPr>
            <w:r>
              <w:rPr>
                <w:rFonts w:hint="eastAsia" w:ascii="宋体" w:cs="宋体"/>
                <w:bCs/>
                <w:color w:val="auto"/>
                <w:sz w:val="24"/>
                <w:highlight w:val="none"/>
              </w:rPr>
              <w:t>1项</w:t>
            </w:r>
          </w:p>
        </w:tc>
        <w:tc>
          <w:tcPr>
            <w:tcW w:w="2858" w:type="dxa"/>
            <w:vAlign w:val="center"/>
          </w:tcPr>
          <w:p>
            <w:pPr>
              <w:jc w:val="center"/>
              <w:rPr>
                <w:rFonts w:hint="eastAsia" w:eastAsia="宋体"/>
                <w:color w:val="auto"/>
                <w:kern w:val="0"/>
                <w:szCs w:val="21"/>
                <w:highlight w:val="none"/>
                <w:lang w:eastAsia="zh-CN"/>
              </w:rPr>
            </w:pPr>
            <w:r>
              <w:rPr>
                <w:rFonts w:hint="eastAsia"/>
                <w:color w:val="auto"/>
                <w:sz w:val="24"/>
                <w:highlight w:val="none"/>
                <w:lang w:eastAsia="zh-CN"/>
              </w:rPr>
              <w:t>北京市计量检测科学研究院业务管理系统并行维护</w:t>
            </w:r>
            <w:r>
              <w:rPr>
                <w:rFonts w:hint="eastAsia"/>
                <w:color w:val="auto"/>
                <w:sz w:val="24"/>
                <w:highlight w:val="none"/>
              </w:rPr>
              <w:t>，具体要求详见</w:t>
            </w:r>
            <w:r>
              <w:rPr>
                <w:rFonts w:hint="eastAsia"/>
                <w:color w:val="auto"/>
                <w:sz w:val="24"/>
                <w:highlight w:val="none"/>
                <w:lang w:val="en-US" w:eastAsia="zh-CN"/>
              </w:rPr>
              <w:t>招标文件。</w:t>
            </w:r>
          </w:p>
        </w:tc>
      </w:tr>
      <w:bookmarkEnd w:id="11"/>
    </w:tbl>
    <w:p>
      <w:pPr>
        <w:spacing w:line="360" w:lineRule="auto"/>
        <w:ind w:firstLine="480" w:firstLineChars="200"/>
        <w:rPr>
          <w:color w:val="auto"/>
          <w:sz w:val="24"/>
          <w:highlight w:val="none"/>
          <w:u w:val="single"/>
        </w:rPr>
      </w:pPr>
      <w:r>
        <w:rPr>
          <w:color w:val="auto"/>
          <w:sz w:val="24"/>
          <w:highlight w:val="none"/>
        </w:rPr>
        <w:t>5.合同履行期限：</w:t>
      </w:r>
      <w:bookmarkStart w:id="13" w:name="OLE_LINK5"/>
      <w:r>
        <w:rPr>
          <w:rFonts w:hint="eastAsia" w:asciiTheme="minorEastAsia" w:hAnsiTheme="minorEastAsia" w:eastAsiaTheme="minorEastAsia" w:cstheme="minorEastAsia"/>
          <w:color w:val="auto"/>
          <w:sz w:val="24"/>
          <w:highlight w:val="none"/>
          <w:u w:val="none"/>
        </w:rPr>
        <w:t>202</w:t>
      </w:r>
      <w:r>
        <w:rPr>
          <w:rFonts w:hint="eastAsia" w:asciiTheme="minorEastAsia" w:hAnsiTheme="minorEastAsia" w:eastAsiaTheme="minorEastAsia" w:cstheme="minorEastAsia"/>
          <w:color w:val="auto"/>
          <w:sz w:val="24"/>
          <w:highlight w:val="none"/>
          <w:u w:val="none"/>
          <w:lang w:val="en-US" w:eastAsia="zh-CN"/>
        </w:rPr>
        <w:t>5</w:t>
      </w:r>
      <w:r>
        <w:rPr>
          <w:rFonts w:hint="eastAsia" w:asciiTheme="minorEastAsia" w:hAnsiTheme="minorEastAsia" w:eastAsiaTheme="minorEastAsia" w:cstheme="minorEastAsia"/>
          <w:color w:val="auto"/>
          <w:sz w:val="24"/>
          <w:highlight w:val="none"/>
          <w:u w:val="none"/>
        </w:rPr>
        <w:t>年</w:t>
      </w:r>
      <w:r>
        <w:rPr>
          <w:rFonts w:hint="eastAsia" w:asciiTheme="minorEastAsia" w:hAnsiTheme="minorEastAsia" w:eastAsiaTheme="minorEastAsia" w:cstheme="minorEastAsia"/>
          <w:color w:val="auto"/>
          <w:sz w:val="24"/>
          <w:highlight w:val="none"/>
          <w:u w:val="none"/>
          <w:lang w:val="en-US" w:eastAsia="zh-CN"/>
        </w:rPr>
        <w:t>8</w:t>
      </w:r>
      <w:r>
        <w:rPr>
          <w:rFonts w:hint="eastAsia" w:asciiTheme="minorEastAsia" w:hAnsiTheme="minorEastAsia" w:eastAsiaTheme="minorEastAsia" w:cstheme="minorEastAsia"/>
          <w:color w:val="auto"/>
          <w:sz w:val="24"/>
          <w:highlight w:val="none"/>
          <w:u w:val="none"/>
        </w:rPr>
        <w:t>月</w:t>
      </w:r>
      <w:r>
        <w:rPr>
          <w:rFonts w:asciiTheme="minorEastAsia" w:hAnsiTheme="minorEastAsia" w:eastAsiaTheme="minorEastAsia" w:cstheme="minorEastAsia"/>
          <w:color w:val="auto"/>
          <w:sz w:val="24"/>
          <w:highlight w:val="none"/>
          <w:u w:val="none"/>
        </w:rPr>
        <w:t>3</w:t>
      </w:r>
      <w:r>
        <w:rPr>
          <w:rFonts w:hint="eastAsia" w:asciiTheme="minorEastAsia" w:hAnsiTheme="minorEastAsia" w:eastAsiaTheme="minorEastAsia" w:cstheme="minorEastAsia"/>
          <w:color w:val="auto"/>
          <w:sz w:val="24"/>
          <w:highlight w:val="none"/>
          <w:u w:val="none"/>
          <w:lang w:val="en-US" w:eastAsia="zh-CN"/>
        </w:rPr>
        <w:t>1</w:t>
      </w:r>
      <w:r>
        <w:rPr>
          <w:rFonts w:hint="eastAsia" w:asciiTheme="minorEastAsia" w:hAnsiTheme="minorEastAsia" w:eastAsiaTheme="minorEastAsia" w:cstheme="minorEastAsia"/>
          <w:color w:val="auto"/>
          <w:sz w:val="24"/>
          <w:highlight w:val="none"/>
          <w:u w:val="none"/>
          <w:lang w:eastAsia="zh-CN"/>
        </w:rPr>
        <w:t>日</w:t>
      </w:r>
      <w:r>
        <w:rPr>
          <w:rFonts w:hint="eastAsia" w:asciiTheme="minorEastAsia" w:hAnsiTheme="minorEastAsia" w:eastAsiaTheme="minorEastAsia" w:cstheme="minorEastAsia"/>
          <w:color w:val="auto"/>
          <w:sz w:val="24"/>
          <w:highlight w:val="none"/>
          <w:u w:val="none"/>
        </w:rPr>
        <w:t>至202</w:t>
      </w:r>
      <w:r>
        <w:rPr>
          <w:rFonts w:hint="eastAsia" w:asciiTheme="minorEastAsia" w:hAnsiTheme="minorEastAsia" w:eastAsiaTheme="minorEastAsia" w:cstheme="minorEastAsia"/>
          <w:color w:val="auto"/>
          <w:sz w:val="24"/>
          <w:highlight w:val="none"/>
          <w:u w:val="none"/>
          <w:lang w:val="en-US" w:eastAsia="zh-CN"/>
        </w:rPr>
        <w:t>6</w:t>
      </w:r>
      <w:r>
        <w:rPr>
          <w:rFonts w:hint="eastAsia" w:asciiTheme="minorEastAsia" w:hAnsiTheme="minorEastAsia" w:eastAsiaTheme="minorEastAsia" w:cstheme="minorEastAsia"/>
          <w:color w:val="auto"/>
          <w:sz w:val="24"/>
          <w:highlight w:val="none"/>
          <w:u w:val="none"/>
        </w:rPr>
        <w:t>年</w:t>
      </w:r>
      <w:r>
        <w:rPr>
          <w:rFonts w:hint="eastAsia" w:asciiTheme="minorEastAsia" w:hAnsiTheme="minorEastAsia" w:eastAsiaTheme="minorEastAsia" w:cstheme="minorEastAsia"/>
          <w:color w:val="auto"/>
          <w:sz w:val="24"/>
          <w:highlight w:val="none"/>
          <w:u w:val="none"/>
          <w:lang w:val="en-US" w:eastAsia="zh-CN"/>
        </w:rPr>
        <w:t>8</w:t>
      </w:r>
      <w:r>
        <w:rPr>
          <w:rFonts w:hint="eastAsia" w:asciiTheme="minorEastAsia" w:hAnsiTheme="minorEastAsia" w:eastAsiaTheme="minorEastAsia" w:cstheme="minorEastAsia"/>
          <w:color w:val="auto"/>
          <w:sz w:val="24"/>
          <w:highlight w:val="none"/>
          <w:u w:val="none"/>
        </w:rPr>
        <w:t>月</w:t>
      </w:r>
      <w:r>
        <w:rPr>
          <w:rFonts w:asciiTheme="minorEastAsia" w:hAnsiTheme="minorEastAsia" w:eastAsiaTheme="minorEastAsia" w:cstheme="minorEastAsia"/>
          <w:color w:val="auto"/>
          <w:sz w:val="24"/>
          <w:highlight w:val="none"/>
          <w:u w:val="none"/>
        </w:rPr>
        <w:t>30</w:t>
      </w:r>
      <w:r>
        <w:rPr>
          <w:rFonts w:hint="eastAsia" w:asciiTheme="minorEastAsia" w:hAnsiTheme="minorEastAsia" w:eastAsiaTheme="minorEastAsia" w:cstheme="minorEastAsia"/>
          <w:color w:val="auto"/>
          <w:sz w:val="24"/>
          <w:highlight w:val="none"/>
          <w:u w:val="none"/>
          <w:lang w:eastAsia="zh-CN"/>
        </w:rPr>
        <w:t>日</w:t>
      </w:r>
      <w:bookmarkEnd w:id="13"/>
      <w:r>
        <w:rPr>
          <w:rFonts w:hint="eastAsia"/>
          <w:color w:val="auto"/>
          <w:sz w:val="24"/>
          <w:highlight w:val="none"/>
          <w:u w:val="none"/>
        </w:rPr>
        <w:t>。</w:t>
      </w:r>
    </w:p>
    <w:p>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hint="eastAsia"/>
          <w:color w:val="auto"/>
          <w:sz w:val="24"/>
          <w:highlight w:val="none"/>
        </w:rPr>
        <w:t>☑</w:t>
      </w:r>
      <w:r>
        <w:rPr>
          <w:color w:val="auto"/>
          <w:sz w:val="24"/>
          <w:highlight w:val="none"/>
        </w:rPr>
        <w:t>否。</w:t>
      </w:r>
    </w:p>
    <w:p>
      <w:pPr>
        <w:pStyle w:val="4"/>
        <w:spacing w:before="0" w:line="360" w:lineRule="auto"/>
        <w:jc w:val="left"/>
        <w:rPr>
          <w:rFonts w:ascii="Times New Roman" w:hAnsi="Times New Roman" w:eastAsia="宋体"/>
          <w:sz w:val="24"/>
          <w:szCs w:val="24"/>
        </w:rPr>
      </w:pPr>
      <w:bookmarkStart w:id="14" w:name="_Toc28359003"/>
      <w:bookmarkStart w:id="15" w:name="_Toc35393622"/>
      <w:bookmarkStart w:id="16" w:name="_Toc35393791"/>
      <w:bookmarkStart w:id="17" w:name="_Toc28359080"/>
      <w:r>
        <w:rPr>
          <w:rFonts w:ascii="Times New Roman" w:hAnsi="Times New Roman" w:eastAsia="宋体"/>
          <w:color w:val="auto"/>
          <w:sz w:val="24"/>
          <w:szCs w:val="24"/>
          <w:highlight w:val="none"/>
        </w:rPr>
        <w:t>二、申请人的资格要求（须同时</w:t>
      </w:r>
      <w:r>
        <w:rPr>
          <w:rFonts w:ascii="Times New Roman" w:hAnsi="Times New Roman" w:eastAsia="宋体"/>
          <w:sz w:val="24"/>
          <w:szCs w:val="24"/>
        </w:rPr>
        <w:t>满足）</w:t>
      </w:r>
      <w:bookmarkEnd w:id="14"/>
      <w:bookmarkEnd w:id="15"/>
      <w:bookmarkEnd w:id="16"/>
      <w:bookmarkEnd w:id="17"/>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8" w:name="_Toc28359004"/>
      <w:bookmarkStart w:id="19" w:name="_Toc28359081"/>
      <w:r>
        <w:rPr>
          <w:sz w:val="24"/>
        </w:rPr>
        <w:t>2.落实政府采购政策需满足的资格要求：</w:t>
      </w:r>
    </w:p>
    <w:p>
      <w:pPr>
        <w:tabs>
          <w:tab w:val="left" w:pos="2940"/>
        </w:tabs>
        <w:spacing w:line="360" w:lineRule="auto"/>
        <w:ind w:firstLine="480" w:firstLineChars="200"/>
        <w:rPr>
          <w:color w:val="auto"/>
          <w:sz w:val="24"/>
          <w:highlight w:val="none"/>
        </w:rPr>
      </w:pPr>
      <w:r>
        <w:rPr>
          <w:color w:val="auto"/>
          <w:sz w:val="24"/>
          <w:highlight w:val="none"/>
        </w:rPr>
        <w:t>2.1 中小企业政策</w:t>
      </w:r>
    </w:p>
    <w:p>
      <w:pPr>
        <w:tabs>
          <w:tab w:val="left" w:pos="2940"/>
        </w:tabs>
        <w:spacing w:line="360" w:lineRule="auto"/>
        <w:ind w:firstLine="480" w:firstLineChars="200"/>
        <w:rPr>
          <w:color w:val="auto"/>
          <w:sz w:val="24"/>
          <w:highlight w:val="none"/>
        </w:rPr>
      </w:pPr>
      <w:r>
        <w:rPr>
          <w:color w:val="auto"/>
          <w:sz w:val="24"/>
          <w:highlight w:val="none"/>
        </w:rPr>
        <w:t>□本项目不专门面向中小企业预留采购份额。</w:t>
      </w:r>
    </w:p>
    <w:p>
      <w:pPr>
        <w:tabs>
          <w:tab w:val="left" w:pos="2940"/>
        </w:tabs>
        <w:spacing w:line="360" w:lineRule="auto"/>
        <w:ind w:firstLine="480" w:firstLineChars="200"/>
        <w:rPr>
          <w:sz w:val="24"/>
        </w:rPr>
      </w:pPr>
      <w:r>
        <w:rPr>
          <w:rFonts w:hint="eastAsia"/>
          <w:color w:val="auto"/>
          <w:sz w:val="24"/>
          <w:highlight w:val="none"/>
        </w:rPr>
        <w:t>☑</w:t>
      </w:r>
      <w:r>
        <w:rPr>
          <w:color w:val="auto"/>
          <w:sz w:val="24"/>
          <w:highlight w:val="none"/>
        </w:rPr>
        <w:t xml:space="preserve">本项目专门面向  □中小 </w:t>
      </w:r>
      <w:r>
        <w:rPr>
          <w:rFonts w:hint="eastAsia"/>
          <w:color w:val="auto"/>
          <w:sz w:val="24"/>
          <w:highlight w:val="none"/>
        </w:rPr>
        <w:t>☑</w:t>
      </w:r>
      <w:r>
        <w:rPr>
          <w:color w:val="auto"/>
          <w:sz w:val="24"/>
          <w:highlight w:val="none"/>
        </w:rPr>
        <w:t>小微企业  采购。即：</w:t>
      </w:r>
      <w:r>
        <w:rPr>
          <w:sz w:val="24"/>
        </w:rPr>
        <w:t>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89" w:leftChars="471" w:firstLine="2"/>
        <w:rPr>
          <w:sz w:val="24"/>
        </w:rPr>
      </w:pPr>
      <w:r>
        <w:rPr>
          <w:rFonts w:hint="eastAsia"/>
          <w:sz w:val="24"/>
        </w:rPr>
        <w:t>☑</w:t>
      </w:r>
      <w:r>
        <w:rPr>
          <w:sz w:val="24"/>
        </w:rPr>
        <w:t>否</w:t>
      </w:r>
    </w:p>
    <w:p>
      <w:pPr>
        <w:tabs>
          <w:tab w:val="left" w:pos="900"/>
          <w:tab w:val="left" w:pos="1134"/>
          <w:tab w:val="left" w:pos="1589"/>
          <w:tab w:val="left" w:pos="5521"/>
        </w:tabs>
        <w:snapToGrid w:val="0"/>
        <w:spacing w:line="360" w:lineRule="auto"/>
        <w:ind w:left="989" w:leftChars="471"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宋体"/>
          <w:sz w:val="24"/>
        </w:rPr>
      </w:pPr>
      <w:r>
        <w:rPr>
          <w:sz w:val="24"/>
        </w:rPr>
        <w:t>3.2其他特定资格要求</w:t>
      </w:r>
      <w:r>
        <w:rPr>
          <w:rFonts w:eastAsia="宋体"/>
          <w:sz w:val="24"/>
        </w:rPr>
        <w:t>：</w:t>
      </w:r>
    </w:p>
    <w:p>
      <w:pPr>
        <w:tabs>
          <w:tab w:val="left" w:pos="900"/>
          <w:tab w:val="left" w:pos="1134"/>
          <w:tab w:val="left" w:pos="1589"/>
          <w:tab w:val="left" w:pos="5521"/>
        </w:tabs>
        <w:snapToGrid w:val="0"/>
        <w:spacing w:line="360" w:lineRule="auto"/>
        <w:ind w:firstLine="480" w:firstLineChars="200"/>
        <w:rPr>
          <w:rFonts w:eastAsia="宋体"/>
          <w:sz w:val="24"/>
        </w:rPr>
      </w:pPr>
      <w:r>
        <w:rPr>
          <w:rFonts w:hint="eastAsia" w:eastAsia="宋体"/>
          <w:sz w:val="24"/>
        </w:rPr>
        <w:t>3.2.1单位负责人为同一人或者存在直接控股、管理关系的不同单位，不得参加本项目的投标活动；</w:t>
      </w:r>
    </w:p>
    <w:p>
      <w:pPr>
        <w:tabs>
          <w:tab w:val="left" w:pos="900"/>
          <w:tab w:val="left" w:pos="1134"/>
          <w:tab w:val="left" w:pos="1589"/>
          <w:tab w:val="left" w:pos="5521"/>
        </w:tabs>
        <w:snapToGrid w:val="0"/>
        <w:spacing w:line="360" w:lineRule="auto"/>
        <w:ind w:firstLine="480" w:firstLineChars="200"/>
        <w:rPr>
          <w:rFonts w:eastAsia="宋体"/>
          <w:sz w:val="24"/>
        </w:rPr>
      </w:pPr>
      <w:r>
        <w:rPr>
          <w:rFonts w:hint="eastAsia" w:eastAsia="宋体"/>
          <w:sz w:val="24"/>
        </w:rPr>
        <w:t>3.2.2凡受托为本次采购的服务进行管理、检测、监理和其相关的咨询公司，及相关联的附属机构，不得参加本项目投标。</w:t>
      </w:r>
    </w:p>
    <w:p>
      <w:pPr>
        <w:tabs>
          <w:tab w:val="left" w:pos="900"/>
          <w:tab w:val="left" w:pos="1134"/>
          <w:tab w:val="left" w:pos="1589"/>
          <w:tab w:val="left" w:pos="5521"/>
        </w:tabs>
        <w:snapToGrid w:val="0"/>
        <w:spacing w:line="360" w:lineRule="auto"/>
        <w:ind w:firstLine="480" w:firstLineChars="200"/>
        <w:rPr>
          <w:sz w:val="24"/>
        </w:rPr>
      </w:pPr>
      <w:r>
        <w:rPr>
          <w:rFonts w:hint="eastAsia" w:eastAsia="宋体"/>
          <w:sz w:val="24"/>
        </w:rPr>
        <w:t>3.2.3供应商必须为未被列入信用中国网站(www.creditchina.gov.cn)、中国政府采购网(www.ccgp.gov.cn)失信被执行人、重大税收违法失信主体、政府采购严重违法失信行为记录名单的投标人；</w:t>
      </w:r>
      <w:r>
        <w:rPr>
          <w:sz w:val="24"/>
        </w:rPr>
        <w:t>。</w:t>
      </w:r>
    </w:p>
    <w:p>
      <w:pPr>
        <w:spacing w:line="360" w:lineRule="auto"/>
        <w:ind w:firstLine="480" w:firstLineChars="200"/>
        <w:rPr>
          <w:i/>
          <w:iCs/>
          <w:sz w:val="24"/>
          <w:u w:val="single"/>
        </w:rPr>
      </w:pPr>
    </w:p>
    <w:bookmarkEnd w:id="18"/>
    <w:bookmarkEnd w:id="19"/>
    <w:p>
      <w:pPr>
        <w:pStyle w:val="4"/>
        <w:keepNext/>
        <w:keepLines/>
        <w:widowControl/>
        <w:spacing w:before="0" w:line="360" w:lineRule="auto"/>
        <w:jc w:val="left"/>
        <w:rPr>
          <w:rFonts w:ascii="Times New Roman" w:hAnsi="Times New Roman" w:eastAsia="宋体"/>
          <w:sz w:val="24"/>
          <w:szCs w:val="24"/>
        </w:rPr>
      </w:pPr>
      <w:bookmarkStart w:id="20" w:name="_Toc35393792"/>
      <w:bookmarkStart w:id="21" w:name="_Toc35393623"/>
      <w:r>
        <w:rPr>
          <w:rFonts w:ascii="Times New Roman" w:hAnsi="Times New Roman" w:eastAsia="宋体"/>
          <w:sz w:val="24"/>
          <w:szCs w:val="24"/>
        </w:rPr>
        <w:t>三、获取招标文件</w:t>
      </w:r>
      <w:bookmarkEnd w:id="20"/>
      <w:bookmarkEnd w:id="21"/>
    </w:p>
    <w:p>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 xml:space="preserve"> 7</w:t>
      </w:r>
      <w:r>
        <w:rPr>
          <w:sz w:val="24"/>
          <w:highlight w:val="none"/>
        </w:rPr>
        <w:t>月</w:t>
      </w:r>
      <w:r>
        <w:rPr>
          <w:rFonts w:hint="eastAsia"/>
          <w:sz w:val="24"/>
          <w:highlight w:val="none"/>
          <w:lang w:val="en-US" w:eastAsia="zh-CN"/>
        </w:rPr>
        <w:t>8</w:t>
      </w:r>
      <w:r>
        <w:rPr>
          <w:sz w:val="24"/>
          <w:highlight w:val="none"/>
        </w:rPr>
        <w:t>日至</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7</w:t>
      </w:r>
      <w:r>
        <w:rPr>
          <w:sz w:val="24"/>
          <w:highlight w:val="none"/>
        </w:rPr>
        <w:t>月</w:t>
      </w:r>
      <w:r>
        <w:rPr>
          <w:rFonts w:hint="eastAsia"/>
          <w:sz w:val="24"/>
          <w:highlight w:val="none"/>
          <w:lang w:val="en-US" w:eastAsia="zh-CN"/>
        </w:rPr>
        <w:t>14</w:t>
      </w:r>
      <w:r>
        <w:rPr>
          <w:sz w:val="24"/>
          <w:highlight w:val="none"/>
        </w:rPr>
        <w:t>日，</w:t>
      </w:r>
      <w:r>
        <w:rPr>
          <w:sz w:val="24"/>
          <w:highlight w:val="none"/>
        </w:rPr>
        <w:t>每天上午</w:t>
      </w:r>
      <w:r>
        <w:rPr>
          <w:rFonts w:ascii="宋体"/>
          <w:sz w:val="24"/>
          <w:highlight w:val="none"/>
        </w:rPr>
        <w:t>09:30</w:t>
      </w:r>
      <w:r>
        <w:rPr>
          <w:sz w:val="24"/>
          <w:highlight w:val="none"/>
        </w:rPr>
        <w:t>至</w:t>
      </w:r>
      <w:r>
        <w:rPr>
          <w:rFonts w:ascii="宋体"/>
          <w:sz w:val="24"/>
          <w:highlight w:val="none"/>
        </w:rPr>
        <w:t>11:30</w:t>
      </w:r>
      <w:r>
        <w:rPr>
          <w:sz w:val="24"/>
          <w:highlight w:val="none"/>
        </w:rPr>
        <w:t>，下午</w:t>
      </w:r>
      <w:r>
        <w:rPr>
          <w:rFonts w:ascii="宋体"/>
          <w:sz w:val="24"/>
          <w:highlight w:val="none"/>
        </w:rPr>
        <w:t>13:30</w:t>
      </w:r>
      <w:r>
        <w:rPr>
          <w:sz w:val="24"/>
          <w:highlight w:val="none"/>
        </w:rPr>
        <w:t>至</w:t>
      </w:r>
      <w:r>
        <w:rPr>
          <w:rFonts w:ascii="宋体"/>
          <w:sz w:val="24"/>
          <w:highlight w:val="none"/>
        </w:rPr>
        <w:t>16:</w:t>
      </w:r>
      <w:r>
        <w:rPr>
          <w:rFonts w:hint="eastAsia" w:ascii="宋体"/>
          <w:sz w:val="24"/>
          <w:highlight w:val="none"/>
        </w:rPr>
        <w:t>3</w:t>
      </w:r>
      <w:r>
        <w:rPr>
          <w:rFonts w:ascii="宋体"/>
          <w:sz w:val="24"/>
          <w:highlight w:val="none"/>
        </w:rPr>
        <w:t>0</w:t>
      </w:r>
      <w:r>
        <w:rPr>
          <w:sz w:val="24"/>
          <w:highlight w:val="none"/>
        </w:rPr>
        <w:t>（北京时间，法定节假日除外）。</w:t>
      </w:r>
    </w:p>
    <w:p>
      <w:pPr>
        <w:adjustRightInd w:val="0"/>
        <w:snapToGrid w:val="0"/>
        <w:spacing w:line="360" w:lineRule="auto"/>
        <w:ind w:firstLine="480" w:firstLineChars="200"/>
        <w:rPr>
          <w:sz w:val="24"/>
        </w:rPr>
      </w:pPr>
      <w:r>
        <w:rPr>
          <w:sz w:val="24"/>
        </w:rPr>
        <w:t>2.地点：北京市政府采购电子交易平台</w:t>
      </w:r>
    </w:p>
    <w:p>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rPr>
        <w:t>4.售价：0元。</w:t>
      </w:r>
    </w:p>
    <w:p>
      <w:pPr>
        <w:tabs>
          <w:tab w:val="left" w:pos="900"/>
          <w:tab w:val="left" w:pos="1980"/>
        </w:tabs>
        <w:snapToGrid w:val="0"/>
        <w:spacing w:line="360" w:lineRule="auto"/>
        <w:ind w:left="840"/>
        <w:rPr>
          <w:sz w:val="24"/>
        </w:rPr>
      </w:pPr>
    </w:p>
    <w:p>
      <w:pPr>
        <w:pStyle w:val="4"/>
        <w:keepNext/>
        <w:keepLines/>
        <w:widowControl/>
        <w:spacing w:before="0" w:line="360" w:lineRule="auto"/>
        <w:jc w:val="left"/>
        <w:rPr>
          <w:rFonts w:ascii="Times New Roman" w:hAnsi="Times New Roman" w:eastAsia="宋体"/>
          <w:sz w:val="24"/>
          <w:szCs w:val="24"/>
        </w:rPr>
      </w:pPr>
      <w:bookmarkStart w:id="22" w:name="_Toc28359005"/>
      <w:bookmarkStart w:id="23" w:name="_Toc28359082"/>
      <w:bookmarkStart w:id="24" w:name="_Toc35393793"/>
      <w:bookmarkStart w:id="25" w:name="_Toc35393624"/>
      <w:r>
        <w:rPr>
          <w:rFonts w:ascii="Times New Roman" w:hAnsi="Times New Roman" w:eastAsia="宋体"/>
          <w:sz w:val="24"/>
          <w:szCs w:val="24"/>
        </w:rPr>
        <w:t>四、提交投标文件</w:t>
      </w:r>
      <w:bookmarkEnd w:id="22"/>
      <w:bookmarkEnd w:id="23"/>
      <w:r>
        <w:rPr>
          <w:rFonts w:ascii="Times New Roman" w:hAnsi="Times New Roman" w:eastAsia="宋体"/>
          <w:sz w:val="24"/>
          <w:szCs w:val="24"/>
        </w:rPr>
        <w:t>截止时间、开标时间和地点</w:t>
      </w:r>
      <w:bookmarkEnd w:id="24"/>
      <w:bookmarkEnd w:id="25"/>
    </w:p>
    <w:p>
      <w:pPr>
        <w:spacing w:line="360" w:lineRule="auto"/>
        <w:ind w:firstLine="480" w:firstLineChars="200"/>
        <w:rPr>
          <w:bCs/>
          <w:sz w:val="24"/>
          <w:highlight w:val="none"/>
          <w:u w:val="single"/>
        </w:rPr>
      </w:pPr>
      <w:r>
        <w:rPr>
          <w:sz w:val="24"/>
        </w:rPr>
        <w:t>投标截止时间、开标时</w:t>
      </w:r>
      <w:r>
        <w:rPr>
          <w:sz w:val="24"/>
          <w:highlight w:val="none"/>
        </w:rPr>
        <w:t>间</w:t>
      </w:r>
      <w:r>
        <w:rPr>
          <w:sz w:val="24"/>
          <w:highlight w:val="none"/>
        </w:rPr>
        <w:t>：</w:t>
      </w:r>
      <w:r>
        <w:rPr>
          <w:rFonts w:hint="eastAsia"/>
          <w:sz w:val="24"/>
          <w:highlight w:val="none"/>
        </w:rPr>
        <w:t>2025</w:t>
      </w:r>
      <w:r>
        <w:rPr>
          <w:sz w:val="24"/>
          <w:highlight w:val="none"/>
        </w:rPr>
        <w:t>年</w:t>
      </w:r>
      <w:r>
        <w:rPr>
          <w:rFonts w:hint="eastAsia"/>
          <w:sz w:val="24"/>
          <w:highlight w:val="none"/>
          <w:lang w:val="en-US" w:eastAsia="zh-CN"/>
        </w:rPr>
        <w:t>7</w:t>
      </w:r>
      <w:r>
        <w:rPr>
          <w:sz w:val="24"/>
          <w:highlight w:val="none"/>
        </w:rPr>
        <w:t>月</w:t>
      </w:r>
      <w:r>
        <w:rPr>
          <w:rFonts w:hint="eastAsia"/>
          <w:color w:val="auto"/>
          <w:sz w:val="24"/>
          <w:highlight w:val="none"/>
          <w:lang w:val="en-US" w:eastAsia="zh-CN"/>
        </w:rPr>
        <w:t xml:space="preserve"> 28</w:t>
      </w:r>
      <w:r>
        <w:rPr>
          <w:sz w:val="24"/>
          <w:highlight w:val="none"/>
        </w:rPr>
        <w:t>日</w:t>
      </w:r>
      <w:r>
        <w:rPr>
          <w:rFonts w:hint="eastAsia"/>
          <w:sz w:val="24"/>
          <w:highlight w:val="none"/>
        </w:rPr>
        <w:t>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pPr>
        <w:spacing w:line="360" w:lineRule="auto"/>
        <w:ind w:firstLine="480" w:firstLineChars="200"/>
        <w:rPr>
          <w:sz w:val="24"/>
          <w:lang w:val="zh-TW"/>
        </w:rPr>
      </w:pPr>
      <w:r>
        <w:rPr>
          <w:sz w:val="24"/>
          <w:highlight w:val="none"/>
        </w:rPr>
        <w:t>地点：</w:t>
      </w:r>
      <w:r>
        <w:rPr>
          <w:rFonts w:hint="eastAsia" w:ascii="宋体"/>
          <w:sz w:val="24"/>
          <w:highlight w:val="none"/>
          <w:lang w:eastAsia="zh-CN"/>
        </w:rPr>
        <w:t>北京市丰台区富丰</w:t>
      </w:r>
      <w:r>
        <w:rPr>
          <w:rFonts w:hint="eastAsia" w:ascii="宋体"/>
          <w:sz w:val="24"/>
          <w:lang w:eastAsia="zh-CN"/>
        </w:rPr>
        <w:t>路4号工商联大厦A座10层1002</w:t>
      </w:r>
      <w:r>
        <w:rPr>
          <w:sz w:val="24"/>
          <w:lang w:val="zh-TW"/>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26" w:name="_Toc28359007"/>
      <w:bookmarkStart w:id="27" w:name="_Toc35393625"/>
      <w:bookmarkStart w:id="28" w:name="_Toc28359084"/>
      <w:bookmarkStart w:id="29" w:name="_Toc35393794"/>
      <w:r>
        <w:rPr>
          <w:rFonts w:ascii="Times New Roman" w:hAnsi="Times New Roman" w:eastAsia="宋体"/>
          <w:sz w:val="24"/>
          <w:szCs w:val="24"/>
        </w:rPr>
        <w:t>五、公告期限</w:t>
      </w:r>
      <w:bookmarkEnd w:id="26"/>
      <w:bookmarkEnd w:id="27"/>
      <w:bookmarkEnd w:id="28"/>
      <w:bookmarkEnd w:id="29"/>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30" w:name="_Toc35393795"/>
      <w:bookmarkStart w:id="31" w:name="_Toc35393626"/>
      <w:r>
        <w:rPr>
          <w:rFonts w:ascii="Times New Roman" w:hAnsi="Times New Roman" w:eastAsia="宋体"/>
          <w:sz w:val="24"/>
          <w:szCs w:val="24"/>
        </w:rPr>
        <w:t>六、其他补充事宜</w:t>
      </w:r>
      <w:bookmarkEnd w:id="30"/>
      <w:bookmarkEnd w:id="31"/>
    </w:p>
    <w:p>
      <w:pPr>
        <w:spacing w:line="360" w:lineRule="auto"/>
        <w:ind w:firstLine="480" w:firstLineChars="200"/>
        <w:rPr>
          <w:sz w:val="24"/>
        </w:rPr>
      </w:pPr>
      <w:r>
        <w:rPr>
          <w:sz w:val="24"/>
        </w:rPr>
        <w:t>1.本项目需要落实的政府采购政策：</w:t>
      </w:r>
      <w:r>
        <w:rPr>
          <w:rFonts w:hint="eastAsia"/>
          <w:sz w:val="24"/>
        </w:rPr>
        <w:t>节约能源、保护环境、扶持不发达地区和少数民族地区、促进中小企业发展、支持监狱企业发展、促进残疾人就业等</w:t>
      </w:r>
      <w:r>
        <w:rPr>
          <w:sz w:val="24"/>
        </w:rPr>
        <w:t xml:space="preserve">。 </w:t>
      </w:r>
    </w:p>
    <w:p>
      <w:pPr>
        <w:keepLines/>
        <w:widowControl w:val="0"/>
        <w:spacing w:line="360" w:lineRule="auto"/>
        <w:ind w:firstLine="436" w:firstLineChars="200"/>
        <w:rPr>
          <w:rFonts w:hint="eastAsia" w:ascii="宋体" w:cs="宋体"/>
          <w:spacing w:val="-11"/>
          <w:sz w:val="24"/>
        </w:rPr>
      </w:pPr>
      <w:r>
        <w:rPr>
          <w:rFonts w:hint="eastAsia" w:ascii="宋体" w:cs="宋体"/>
          <w:spacing w:val="-11"/>
          <w:sz w:val="24"/>
        </w:rPr>
        <w:t>2.本公告在中国政府采购网（http://www.ccgp.gov.cn）、北京市政府采购网 （http://www.ccgp-beijing.gov.cn/）上发布。</w:t>
      </w:r>
    </w:p>
    <w:p>
      <w:pPr>
        <w:spacing w:line="360" w:lineRule="auto"/>
        <w:ind w:firstLine="436" w:firstLineChars="200"/>
        <w:rPr>
          <w:rFonts w:hint="eastAsia" w:ascii="宋体" w:cs="宋体"/>
          <w:spacing w:val="-11"/>
          <w:sz w:val="24"/>
        </w:rPr>
      </w:pPr>
      <w:r>
        <w:rPr>
          <w:rFonts w:ascii="宋体" w:cs="宋体"/>
          <w:spacing w:val="-11"/>
          <w:sz w:val="24"/>
        </w:rPr>
        <w:t>3.</w:t>
      </w:r>
      <w:r>
        <w:rPr>
          <w:rFonts w:hint="eastAsia" w:ascii="宋体" w:cs="宋体"/>
          <w:spacing w:val="-11"/>
          <w:sz w:val="24"/>
        </w:rPr>
        <w:t>服务费</w:t>
      </w:r>
      <w:r>
        <w:rPr>
          <w:rFonts w:ascii="宋体" w:cs="宋体"/>
          <w:spacing w:val="-11"/>
          <w:sz w:val="24"/>
        </w:rPr>
        <w:t xml:space="preserve">账户： </w:t>
      </w:r>
    </w:p>
    <w:p>
      <w:pPr>
        <w:spacing w:line="360" w:lineRule="auto"/>
        <w:ind w:firstLine="436" w:firstLineChars="200"/>
        <w:rPr>
          <w:rFonts w:hint="eastAsia" w:ascii="宋体" w:cs="宋体"/>
          <w:spacing w:val="-11"/>
          <w:sz w:val="24"/>
        </w:rPr>
      </w:pPr>
      <w:r>
        <w:rPr>
          <w:rFonts w:ascii="宋体" w:cs="宋体"/>
          <w:spacing w:val="-11"/>
          <w:sz w:val="24"/>
        </w:rPr>
        <w:t>开户名称：</w:t>
      </w:r>
      <w:r>
        <w:rPr>
          <w:rFonts w:hint="eastAsia" w:ascii="宋体" w:cs="宋体"/>
          <w:spacing w:val="-11"/>
          <w:sz w:val="24"/>
        </w:rPr>
        <w:t>华夏林达咨询有限公司</w:t>
      </w:r>
    </w:p>
    <w:p>
      <w:pPr>
        <w:spacing w:line="360" w:lineRule="auto"/>
        <w:ind w:firstLine="436" w:firstLineChars="200"/>
        <w:rPr>
          <w:rFonts w:hint="eastAsia" w:ascii="宋体" w:cs="宋体"/>
          <w:spacing w:val="-11"/>
          <w:sz w:val="24"/>
        </w:rPr>
      </w:pPr>
      <w:r>
        <w:rPr>
          <w:rFonts w:ascii="宋体" w:cs="宋体"/>
          <w:spacing w:val="-11"/>
          <w:sz w:val="24"/>
        </w:rPr>
        <w:t>开户银行：</w:t>
      </w:r>
      <w:r>
        <w:rPr>
          <w:rFonts w:hint="eastAsia" w:ascii="宋体" w:cs="宋体"/>
          <w:spacing w:val="-11"/>
          <w:sz w:val="24"/>
        </w:rPr>
        <w:t>中国建设银行股份有限公司北京怀柔府前街支行</w:t>
      </w:r>
    </w:p>
    <w:p>
      <w:pPr>
        <w:spacing w:line="360" w:lineRule="auto"/>
        <w:ind w:firstLine="436" w:firstLineChars="200"/>
        <w:rPr>
          <w:rFonts w:hint="eastAsia" w:ascii="宋体" w:cs="宋体"/>
          <w:spacing w:val="-11"/>
          <w:sz w:val="24"/>
        </w:rPr>
      </w:pPr>
      <w:r>
        <w:rPr>
          <w:rFonts w:ascii="宋体" w:cs="宋体"/>
          <w:spacing w:val="-11"/>
          <w:sz w:val="24"/>
        </w:rPr>
        <w:t>银行账号：11050110071100000626</w:t>
      </w:r>
    </w:p>
    <w:p>
      <w:pPr>
        <w:spacing w:line="360" w:lineRule="auto"/>
        <w:ind w:firstLine="436" w:firstLineChars="200"/>
        <w:rPr>
          <w:rFonts w:hint="eastAsia" w:ascii="宋体" w:cs="宋体"/>
          <w:spacing w:val="-11"/>
          <w:sz w:val="24"/>
        </w:rPr>
      </w:pPr>
      <w:r>
        <w:rPr>
          <w:rFonts w:ascii="宋体" w:cs="宋体"/>
          <w:spacing w:val="-11"/>
          <w:sz w:val="24"/>
        </w:rPr>
        <w:t>请供应商在汇款时务必注明所投项目的</w:t>
      </w:r>
      <w:r>
        <w:rPr>
          <w:rFonts w:hint="eastAsia" w:ascii="宋体" w:cs="宋体"/>
          <w:spacing w:val="-11"/>
          <w:sz w:val="24"/>
        </w:rPr>
        <w:t>招标</w:t>
      </w:r>
      <w:r>
        <w:rPr>
          <w:rFonts w:ascii="宋体" w:cs="宋体"/>
          <w:spacing w:val="-11"/>
          <w:sz w:val="24"/>
        </w:rPr>
        <w:t>编号及用途，否则，因款项用途不明导致</w:t>
      </w:r>
      <w:r>
        <w:rPr>
          <w:rFonts w:hint="eastAsia" w:ascii="宋体" w:cs="宋体"/>
          <w:spacing w:val="-11"/>
          <w:sz w:val="24"/>
        </w:rPr>
        <w:t>投标</w:t>
      </w:r>
      <w:r>
        <w:rPr>
          <w:rFonts w:ascii="宋体" w:cs="宋体"/>
          <w:spacing w:val="-11"/>
          <w:sz w:val="24"/>
        </w:rPr>
        <w:t>无效等后果由供应商自行承担。</w:t>
      </w:r>
    </w:p>
    <w:p>
      <w:pPr>
        <w:spacing w:line="360" w:lineRule="auto"/>
        <w:ind w:firstLine="436" w:firstLineChars="200"/>
        <w:rPr>
          <w:rFonts w:hint="eastAsia" w:ascii="宋体" w:cs="宋体"/>
          <w:spacing w:val="-11"/>
          <w:sz w:val="24"/>
        </w:rPr>
      </w:pPr>
      <w:r>
        <w:rPr>
          <w:rFonts w:ascii="宋体" w:cs="宋体"/>
          <w:spacing w:val="-11"/>
          <w:sz w:val="24"/>
        </w:rPr>
        <w:t>4.评标方法和标准：综合评分法。</w:t>
      </w:r>
    </w:p>
    <w:p>
      <w:pPr>
        <w:spacing w:line="360" w:lineRule="auto"/>
        <w:ind w:firstLine="436" w:firstLineChars="200"/>
        <w:rPr>
          <w:rFonts w:hint="eastAsia" w:ascii="宋体" w:eastAsia="宋体" w:cs="宋体"/>
          <w:spacing w:val="-11"/>
          <w:sz w:val="24"/>
          <w:lang w:eastAsia="zh-CN"/>
        </w:rPr>
      </w:pPr>
      <w:r>
        <w:rPr>
          <w:rFonts w:hint="eastAsia" w:ascii="宋体" w:cs="宋体"/>
          <w:spacing w:val="-11"/>
          <w:sz w:val="24"/>
        </w:rPr>
        <w:t>5.</w:t>
      </w:r>
      <w:r>
        <w:rPr>
          <w:rFonts w:hint="eastAsia" w:ascii="宋体" w:cs="Arial"/>
          <w:sz w:val="24"/>
        </w:rPr>
        <w:t xml:space="preserve"> </w:t>
      </w:r>
      <w:r>
        <w:rPr>
          <w:rFonts w:hint="eastAsia" w:ascii="宋体" w:cs="宋体"/>
          <w:spacing w:val="-11"/>
          <w:sz w:val="24"/>
        </w:rPr>
        <w:t>招标编号：</w:t>
      </w:r>
      <w:bookmarkStart w:id="32" w:name="OLE_LINK4"/>
      <w:r>
        <w:rPr>
          <w:rFonts w:hint="eastAsia" w:ascii="宋体" w:cs="宋体"/>
          <w:spacing w:val="-11"/>
          <w:sz w:val="24"/>
          <w:lang w:eastAsia="zh-CN"/>
        </w:rPr>
        <w:t>HXLDZB-FW-20250208</w:t>
      </w:r>
    </w:p>
    <w:bookmarkEnd w:id="32"/>
    <w:p>
      <w:pPr>
        <w:widowControl/>
        <w:adjustRightInd w:val="0"/>
        <w:snapToGrid w:val="0"/>
        <w:spacing w:line="360" w:lineRule="auto"/>
        <w:ind w:firstLine="436" w:firstLineChars="200"/>
        <w:jc w:val="left"/>
        <w:rPr>
          <w:bCs/>
          <w:sz w:val="24"/>
        </w:rPr>
      </w:pPr>
      <w:r>
        <w:rPr>
          <w:rFonts w:hint="eastAsia" w:ascii="宋体" w:cs="宋体"/>
          <w:spacing w:val="-11"/>
          <w:sz w:val="24"/>
        </w:rPr>
        <w:t>6.本项</w:t>
      </w:r>
      <w:r>
        <w:rPr>
          <w:rFonts w:hint="eastAsia"/>
          <w:sz w:val="24"/>
        </w:rPr>
        <w:t>目采用线上与线下流程结合招标方式</w:t>
      </w:r>
      <w:r>
        <w:rPr>
          <w:sz w:val="24"/>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情况确认是否符合本项目采购流程要求。</w:t>
      </w:r>
    </w:p>
    <w:p>
      <w:pPr>
        <w:adjustRightInd w:val="0"/>
        <w:snapToGrid w:val="0"/>
        <w:spacing w:line="360" w:lineRule="auto"/>
        <w:ind w:firstLine="480" w:firstLineChars="200"/>
        <w:rPr>
          <w:sz w:val="24"/>
        </w:rPr>
      </w:pPr>
      <w:r>
        <w:rPr>
          <w:sz w:val="24"/>
        </w:rPr>
        <w:t>CA数字证书服务热线 010-58511086</w:t>
      </w:r>
    </w:p>
    <w:p>
      <w:pPr>
        <w:adjustRightInd w:val="0"/>
        <w:snapToGrid w:val="0"/>
        <w:spacing w:line="360" w:lineRule="auto"/>
        <w:ind w:firstLine="480" w:firstLineChars="200"/>
        <w:rPr>
          <w:sz w:val="24"/>
        </w:rPr>
      </w:pPr>
      <w:r>
        <w:rPr>
          <w:sz w:val="24"/>
        </w:rPr>
        <w:t>电子营业执照服务热线 400-699-7000</w:t>
      </w:r>
    </w:p>
    <w:p>
      <w:pPr>
        <w:adjustRightInd w:val="0"/>
        <w:snapToGrid w:val="0"/>
        <w:spacing w:line="360" w:lineRule="auto"/>
        <w:ind w:firstLine="480" w:firstLineChars="200"/>
        <w:rPr>
          <w:sz w:val="24"/>
        </w:rPr>
      </w:pPr>
      <w:r>
        <w:rPr>
          <w:sz w:val="24"/>
        </w:rPr>
        <w:t>技术支持服务热线    010-86483801</w:t>
      </w:r>
    </w:p>
    <w:p>
      <w:pPr>
        <w:widowControl/>
        <w:adjustRightInd w:val="0"/>
        <w:snapToGrid w:val="0"/>
        <w:spacing w:line="360" w:lineRule="auto"/>
        <w:ind w:firstLine="480" w:firstLineChars="200"/>
        <w:jc w:val="left"/>
        <w:rPr>
          <w:sz w:val="24"/>
        </w:rPr>
      </w:pPr>
      <w:r>
        <w:rPr>
          <w:rFonts w:hint="eastAsia"/>
          <w:sz w:val="24"/>
        </w:rPr>
        <w:t>6</w:t>
      </w:r>
      <w:r>
        <w:rPr>
          <w:sz w:val="24"/>
        </w:rPr>
        <w:t>.1办理CA数字证书或电子营业执照</w:t>
      </w:r>
    </w:p>
    <w:p>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rPr>
      </w:pPr>
      <w:r>
        <w:rPr>
          <w:rFonts w:hint="eastAsia"/>
          <w:sz w:val="24"/>
        </w:rPr>
        <w:t>6</w:t>
      </w:r>
      <w:r>
        <w:rPr>
          <w:sz w:val="24"/>
        </w:rPr>
        <w:t>.2注册</w:t>
      </w:r>
    </w:p>
    <w:p>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rPr>
      </w:pPr>
      <w:r>
        <w:rPr>
          <w:rFonts w:hint="eastAsia"/>
          <w:sz w:val="24"/>
        </w:rPr>
        <w:t>6</w:t>
      </w:r>
      <w:r>
        <w:rPr>
          <w:sz w:val="24"/>
        </w:rPr>
        <w:t>.3驱动、客户端下载</w:t>
      </w:r>
    </w:p>
    <w:p>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pPr>
        <w:adjustRightInd w:val="0"/>
        <w:snapToGrid w:val="0"/>
        <w:spacing w:line="360" w:lineRule="auto"/>
        <w:ind w:firstLine="480" w:firstLineChars="200"/>
        <w:rPr>
          <w:sz w:val="24"/>
        </w:rPr>
      </w:pPr>
      <w:r>
        <w:rPr>
          <w:rFonts w:hint="eastAsia"/>
          <w:sz w:val="24"/>
        </w:rPr>
        <w:t>6</w:t>
      </w:r>
      <w:r>
        <w:rPr>
          <w:sz w:val="24"/>
        </w:rPr>
        <w:t>.4 获取电子招标文件</w:t>
      </w:r>
    </w:p>
    <w:p>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sz w:val="24"/>
        </w:rPr>
        <w:t>参与后续投标</w:t>
      </w:r>
      <w:r>
        <w:rPr>
          <w:sz w:val="24"/>
        </w:rPr>
        <w:t>。</w:t>
      </w:r>
    </w:p>
    <w:p>
      <w:pPr>
        <w:spacing w:line="360" w:lineRule="auto"/>
        <w:ind w:firstLine="480" w:firstLineChars="200"/>
        <w:rPr>
          <w:sz w:val="24"/>
          <w:lang w:eastAsia="zh-TW"/>
        </w:rPr>
      </w:pP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33" w:name="_Toc28359008"/>
      <w:bookmarkStart w:id="34" w:name="_Toc35393796"/>
      <w:bookmarkStart w:id="35" w:name="_Toc28359085"/>
      <w:bookmarkStart w:id="36" w:name="_Toc35393627"/>
      <w:r>
        <w:rPr>
          <w:rFonts w:ascii="Times New Roman" w:hAnsi="Times New Roman" w:eastAsia="宋体"/>
          <w:sz w:val="24"/>
          <w:szCs w:val="24"/>
        </w:rPr>
        <w:t>七、对本次招标提出询问，请按以下方式联系。</w:t>
      </w:r>
      <w:bookmarkEnd w:id="33"/>
      <w:bookmarkEnd w:id="34"/>
      <w:bookmarkEnd w:id="35"/>
      <w:bookmarkEnd w:id="36"/>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rFonts w:hint="eastAsia" w:eastAsia="宋体"/>
          <w:sz w:val="24"/>
          <w:lang w:eastAsia="zh-CN"/>
        </w:rPr>
      </w:pPr>
      <w:bookmarkStart w:id="37" w:name="_Toc28359086"/>
      <w:bookmarkStart w:id="38" w:name="_Toc28359009"/>
      <w:r>
        <w:rPr>
          <w:sz w:val="24"/>
        </w:rPr>
        <w:t>名    称：</w:t>
      </w:r>
      <w:r>
        <w:rPr>
          <w:rFonts w:hint="eastAsia" w:ascii="宋体"/>
          <w:spacing w:val="-14"/>
          <w:sz w:val="24"/>
          <w:u w:val="single"/>
          <w:lang w:eastAsia="zh-CN"/>
        </w:rPr>
        <w:t>北京市计量检测科学研究院</w:t>
      </w:r>
    </w:p>
    <w:p>
      <w:pPr>
        <w:spacing w:line="360" w:lineRule="auto"/>
        <w:ind w:left="1079" w:leftChars="371" w:hanging="300" w:hangingChars="125"/>
        <w:jc w:val="left"/>
        <w:rPr>
          <w:rFonts w:hint="eastAsia" w:eastAsia="宋体"/>
          <w:color w:val="auto"/>
          <w:sz w:val="24"/>
          <w:highlight w:val="none"/>
          <w:lang w:eastAsia="zh-CN"/>
        </w:rPr>
      </w:pPr>
      <w:r>
        <w:rPr>
          <w:sz w:val="24"/>
        </w:rPr>
        <w:t>地    址：</w:t>
      </w:r>
      <w:r>
        <w:rPr>
          <w:rFonts w:hint="eastAsia" w:ascii="宋体" w:cs="宋体"/>
          <w:spacing w:val="-14"/>
          <w:sz w:val="24"/>
          <w:u w:val="single"/>
          <w:lang w:eastAsia="zh-CN"/>
        </w:rPr>
        <w:t>北京市朝</w:t>
      </w:r>
      <w:r>
        <w:rPr>
          <w:rFonts w:hint="eastAsia" w:ascii="宋体" w:cs="宋体"/>
          <w:color w:val="auto"/>
          <w:spacing w:val="-14"/>
          <w:sz w:val="24"/>
          <w:highlight w:val="none"/>
          <w:u w:val="single"/>
          <w:lang w:eastAsia="zh-CN"/>
        </w:rPr>
        <w:t>阳区安苑东里一区12号</w:t>
      </w:r>
    </w:p>
    <w:p>
      <w:pPr>
        <w:spacing w:line="360" w:lineRule="auto"/>
        <w:ind w:left="1079" w:leftChars="371" w:hanging="300" w:hangingChars="125"/>
        <w:jc w:val="left"/>
        <w:rPr>
          <w:rFonts w:hint="eastAsia" w:eastAsia="宋体"/>
          <w:color w:val="auto"/>
          <w:sz w:val="24"/>
          <w:highlight w:val="none"/>
          <w:u w:val="single"/>
          <w:lang w:eastAsia="zh-CN"/>
        </w:rPr>
      </w:pPr>
      <w:r>
        <w:rPr>
          <w:color w:val="auto"/>
          <w:sz w:val="24"/>
          <w:highlight w:val="none"/>
        </w:rPr>
        <w:t>联系方式：</w:t>
      </w:r>
      <w:r>
        <w:rPr>
          <w:rFonts w:hint="eastAsia"/>
          <w:color w:val="auto"/>
          <w:sz w:val="24"/>
          <w:highlight w:val="none"/>
          <w:u w:val="single"/>
          <w:lang w:eastAsia="zh-CN"/>
        </w:rPr>
        <w:t>卢</w:t>
      </w:r>
      <w:r>
        <w:rPr>
          <w:rFonts w:hint="eastAsia"/>
          <w:color w:val="auto"/>
          <w:sz w:val="24"/>
          <w:highlight w:val="none"/>
          <w:u w:val="single"/>
        </w:rPr>
        <w:t>老师 010-575215</w:t>
      </w:r>
      <w:r>
        <w:rPr>
          <w:rFonts w:hint="eastAsia"/>
          <w:color w:val="auto"/>
          <w:sz w:val="24"/>
          <w:highlight w:val="none"/>
          <w:u w:val="single"/>
          <w:lang w:val="en-US" w:eastAsia="zh-CN"/>
        </w:rPr>
        <w:t>4</w:t>
      </w:r>
      <w:r>
        <w:rPr>
          <w:rFonts w:hint="eastAsia"/>
          <w:color w:val="auto"/>
          <w:sz w:val="24"/>
          <w:highlight w:val="none"/>
          <w:u w:val="single"/>
        </w:rPr>
        <w:t>5</w:t>
      </w:r>
    </w:p>
    <w:p>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7"/>
      <w:bookmarkEnd w:id="38"/>
    </w:p>
    <w:p>
      <w:pPr>
        <w:spacing w:line="360" w:lineRule="auto"/>
        <w:ind w:left="1079" w:leftChars="371" w:hanging="300" w:hangingChars="125"/>
        <w:jc w:val="left"/>
        <w:rPr>
          <w:sz w:val="24"/>
        </w:rPr>
      </w:pPr>
      <w:bookmarkStart w:id="39" w:name="_Toc28359087"/>
      <w:bookmarkStart w:id="40" w:name="_Toc28359010"/>
      <w:r>
        <w:rPr>
          <w:sz w:val="24"/>
        </w:rPr>
        <w:t>名    称：</w:t>
      </w:r>
      <w:r>
        <w:rPr>
          <w:rFonts w:hint="eastAsia" w:ascii="宋体"/>
          <w:spacing w:val="-14"/>
          <w:sz w:val="24"/>
          <w:u w:val="single"/>
        </w:rPr>
        <w:t>华夏林达咨询有限公司</w:t>
      </w:r>
    </w:p>
    <w:p>
      <w:pPr>
        <w:spacing w:line="360" w:lineRule="auto"/>
        <w:ind w:left="1079" w:leftChars="371" w:hanging="300" w:hangingChars="125"/>
        <w:jc w:val="left"/>
        <w:rPr>
          <w:rFonts w:hint="eastAsia" w:eastAsia="宋体"/>
          <w:sz w:val="24"/>
          <w:lang w:eastAsia="zh-CN"/>
        </w:rPr>
      </w:pPr>
      <w:r>
        <w:rPr>
          <w:sz w:val="24"/>
        </w:rPr>
        <w:t>地    址：</w:t>
      </w:r>
      <w:r>
        <w:rPr>
          <w:rFonts w:hint="eastAsia" w:ascii="宋体"/>
          <w:sz w:val="24"/>
          <w:u w:val="single"/>
          <w:lang w:eastAsia="zh-CN"/>
        </w:rPr>
        <w:t>北京市丰台区富丰路4号工商联大厦A座10层1002</w:t>
      </w:r>
    </w:p>
    <w:p>
      <w:pPr>
        <w:spacing w:line="360" w:lineRule="auto"/>
        <w:ind w:left="1079" w:leftChars="371" w:hanging="300" w:hangingChars="125"/>
        <w:jc w:val="left"/>
        <w:rPr>
          <w:sz w:val="24"/>
          <w:u w:val="single"/>
        </w:rPr>
      </w:pPr>
      <w:r>
        <w:rPr>
          <w:sz w:val="24"/>
        </w:rPr>
        <w:t>联系方式：</w:t>
      </w:r>
      <w:r>
        <w:rPr>
          <w:rFonts w:hint="eastAsia" w:ascii="宋体" w:cs="宋体"/>
          <w:spacing w:val="-15"/>
          <w:sz w:val="24"/>
          <w:u w:val="single"/>
        </w:rPr>
        <w:t>林原、</w:t>
      </w:r>
      <w:r>
        <w:rPr>
          <w:rFonts w:hint="eastAsia" w:ascii="宋体"/>
          <w:bCs/>
          <w:spacing w:val="-15"/>
          <w:sz w:val="24"/>
          <w:u w:val="single"/>
        </w:rPr>
        <w:t>关鑫、王悦、</w:t>
      </w:r>
      <w:r>
        <w:rPr>
          <w:rFonts w:hint="eastAsia" w:ascii="宋体"/>
          <w:spacing w:val="-15"/>
          <w:sz w:val="24"/>
          <w:u w:val="single"/>
        </w:rPr>
        <w:t>刘红、李田，010-60716601-8002、15810593422</w:t>
      </w:r>
      <w:r>
        <w:rPr>
          <w:sz w:val="24"/>
        </w:rPr>
        <w:t>_</w:t>
      </w:r>
    </w:p>
    <w:p>
      <w:pPr>
        <w:spacing w:line="360" w:lineRule="auto"/>
        <w:ind w:left="1080" w:leftChars="371" w:hanging="301" w:hangingChars="125"/>
        <w:jc w:val="left"/>
        <w:rPr>
          <w:b/>
          <w:sz w:val="24"/>
          <w:u w:val="single"/>
        </w:rPr>
      </w:pPr>
      <w:r>
        <w:rPr>
          <w:b/>
          <w:sz w:val="24"/>
        </w:rPr>
        <w:t>3.项目联系方式</w:t>
      </w:r>
      <w:bookmarkEnd w:id="39"/>
      <w:bookmarkEnd w:id="40"/>
    </w:p>
    <w:p>
      <w:pPr>
        <w:spacing w:line="360" w:lineRule="auto"/>
        <w:ind w:left="1079" w:leftChars="371" w:hanging="300" w:hangingChars="125"/>
        <w:jc w:val="left"/>
        <w:rPr>
          <w:sz w:val="24"/>
        </w:rPr>
      </w:pPr>
      <w:r>
        <w:rPr>
          <w:sz w:val="24"/>
        </w:rPr>
        <w:t>项目联系人：</w:t>
      </w:r>
      <w:r>
        <w:rPr>
          <w:rFonts w:hint="eastAsia" w:ascii="宋体" w:cs="宋体"/>
          <w:spacing w:val="-15"/>
          <w:sz w:val="24"/>
          <w:u w:val="single"/>
        </w:rPr>
        <w:t>林原、</w:t>
      </w:r>
      <w:r>
        <w:rPr>
          <w:rFonts w:hint="eastAsia" w:ascii="宋体"/>
          <w:bCs/>
          <w:spacing w:val="-15"/>
          <w:sz w:val="24"/>
          <w:u w:val="single"/>
        </w:rPr>
        <w:t>关鑫、王悦、</w:t>
      </w:r>
      <w:r>
        <w:rPr>
          <w:rFonts w:hint="eastAsia" w:ascii="宋体"/>
          <w:spacing w:val="-15"/>
          <w:sz w:val="24"/>
          <w:u w:val="single"/>
        </w:rPr>
        <w:t>刘红、李田</w:t>
      </w:r>
    </w:p>
    <w:p>
      <w:pPr>
        <w:spacing w:line="360" w:lineRule="auto"/>
        <w:ind w:left="1079" w:leftChars="371" w:hanging="300" w:hangingChars="125"/>
        <w:jc w:val="left"/>
        <w:rPr>
          <w:sz w:val="24"/>
        </w:rPr>
      </w:pPr>
      <w:r>
        <w:rPr>
          <w:sz w:val="24"/>
        </w:rPr>
        <w:t>电      话：</w:t>
      </w:r>
      <w:r>
        <w:rPr>
          <w:rFonts w:hint="eastAsia" w:ascii="宋体"/>
          <w:spacing w:val="-15"/>
          <w:sz w:val="24"/>
          <w:u w:val="single"/>
        </w:rPr>
        <w:t>010-60716601-8002、15810593422</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41" w:name="_Toc264969275"/>
      <w:bookmarkStart w:id="42" w:name="_Toc305158928"/>
      <w:bookmarkStart w:id="43" w:name="_Toc226965856"/>
      <w:bookmarkStart w:id="44" w:name="_Toc265228423"/>
      <w:bookmarkStart w:id="45" w:name="_Toc99301420"/>
      <w:bookmarkStart w:id="46" w:name="_Toc305158854"/>
      <w:bookmarkStart w:id="47" w:name="_Toc512937850"/>
      <w:bookmarkStart w:id="48" w:name="_Toc127161488"/>
      <w:bookmarkStart w:id="49" w:name="_Toc195842950"/>
      <w:bookmarkStart w:id="50" w:name="_Toc127151777"/>
      <w:bookmarkStart w:id="51" w:name="_Toc150774783"/>
      <w:bookmarkStart w:id="52" w:name="_Toc353825548"/>
      <w:bookmarkStart w:id="53" w:name="_Toc353873938"/>
      <w:r>
        <w:rPr>
          <w:b/>
          <w:sz w:val="36"/>
          <w:szCs w:val="36"/>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ascii="Times New Roman" w:hAnsi="Times New Roman" w:eastAsia="宋体"/>
          <w:sz w:val="28"/>
        </w:rPr>
      </w:pPr>
      <w:bookmarkStart w:id="54" w:name="_Toc195842884"/>
      <w:bookmarkStart w:id="55" w:name="_Toc127161433"/>
      <w:bookmarkStart w:id="56" w:name="_Toc164351613"/>
      <w:bookmarkStart w:id="57" w:name="_Toc520356144"/>
      <w:bookmarkStart w:id="58" w:name="_Toc150480757"/>
      <w:bookmarkStart w:id="59" w:name="_Toc151193907"/>
      <w:bookmarkStart w:id="60" w:name="_Toc151193761"/>
      <w:bookmarkStart w:id="61" w:name="_Toc226337215"/>
      <w:bookmarkStart w:id="62" w:name="_Toc164229214"/>
      <w:bookmarkStart w:id="63" w:name="_Toc164229360"/>
      <w:bookmarkStart w:id="64" w:name="_Toc150774724"/>
      <w:bookmarkStart w:id="65" w:name="_Toc164608788"/>
      <w:bookmarkStart w:id="66" w:name="_Toc150509270"/>
      <w:bookmarkStart w:id="67" w:name="_Toc151190146"/>
      <w:bookmarkStart w:id="68" w:name="_Toc142311021"/>
      <w:bookmarkStart w:id="69" w:name="_Toc151193833"/>
      <w:bookmarkStart w:id="70" w:name="_Toc226965709"/>
      <w:bookmarkStart w:id="71" w:name="_Toc151193689"/>
      <w:bookmarkStart w:id="72" w:name="_Toc164608633"/>
      <w:bookmarkStart w:id="73" w:name="_Toc226965792"/>
      <w:bookmarkStart w:id="74" w:name="_Toc127151720"/>
      <w:bookmarkStart w:id="75" w:name="_Toc150774619"/>
      <w:bookmarkStart w:id="76" w:name="_Toc151193617"/>
      <w:bookmarkStart w:id="77" w:name="_Toc127151519"/>
      <w:bookmarkStart w:id="78" w:name="_Toc149720812"/>
      <w:bookmarkStart w:id="79" w:name="_Toc226309763"/>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rFonts w:hint="eastAsia"/>
                <w:sz w:val="24"/>
                <w:lang w:eastAsia="zh-CN"/>
              </w:rPr>
              <w:t>☑</w:t>
            </w:r>
            <w:r>
              <w:rPr>
                <w:sz w:val="24"/>
              </w:rPr>
              <w:t>服务</w:t>
            </w:r>
          </w:p>
          <w:p>
            <w:pPr>
              <w:jc w:val="left"/>
              <w:rPr>
                <w:sz w:val="24"/>
              </w:rPr>
            </w:pPr>
            <w:r>
              <w:rPr>
                <w:rFonts w:hint="eastAsia"/>
                <w:sz w:val="24"/>
                <w:lang w:eastAsia="zh-CN"/>
              </w:rPr>
              <w:t>□</w:t>
            </w: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hint="eastAsia"/>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4"/>
              <w:adjustRightInd w:val="0"/>
              <w:snapToGrid w:val="0"/>
              <w:rPr>
                <w:rFonts w:ascii="Times New Roman" w:hAnsi="Times New Roman"/>
                <w:sz w:val="24"/>
                <w:szCs w:val="24"/>
              </w:rPr>
            </w:pPr>
            <w:r>
              <w:rPr>
                <w:rFonts w:hint="eastAsia" w:ascii="Times New Roman"/>
                <w:sz w:val="24"/>
                <w:szCs w:val="24"/>
                <w:lang w:eastAsia="zh-CN"/>
              </w:rPr>
              <w:t>☑</w:t>
            </w:r>
            <w:r>
              <w:rPr>
                <w:rFonts w:ascii="Times New Roman" w:hAnsi="Times New Roman"/>
                <w:sz w:val="24"/>
                <w:szCs w:val="24"/>
              </w:rPr>
              <w:t>关于核心产品本项目__包不适用。</w:t>
            </w:r>
          </w:p>
          <w:p>
            <w:pPr>
              <w:pStyle w:val="24"/>
              <w:adjustRightInd w:val="0"/>
              <w:snapToGrid w:val="0"/>
              <w:rPr>
                <w:rFonts w:ascii="Times New Roman" w:hAnsi="Times New Roman"/>
                <w:sz w:val="24"/>
                <w:szCs w:val="24"/>
              </w:rPr>
            </w:pPr>
            <w:r>
              <w:rPr>
                <w:rFonts w:ascii="Times New Roman" w:hAnsi="Times New Roman"/>
                <w:sz w:val="24"/>
                <w:szCs w:val="24"/>
              </w:rPr>
              <w:t>□本项目__包为单一产品采购项目。</w:t>
            </w:r>
          </w:p>
          <w:p>
            <w:pPr>
              <w:jc w:val="left"/>
              <w:rPr>
                <w:sz w:val="24"/>
              </w:rPr>
            </w:pPr>
            <w:r>
              <w:rPr>
                <w:rFonts w:hint="eastAsia"/>
                <w:sz w:val="24"/>
                <w:lang w:eastAsia="zh-CN"/>
              </w:rPr>
              <w:t>□</w:t>
            </w:r>
            <w:r>
              <w:rPr>
                <w:sz w:val="24"/>
              </w:rPr>
              <w:t>本项目__包为非单一产品采购项目，核心产品为：__。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rFonts w:hint="eastAsia"/>
                <w:sz w:val="24"/>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4"/>
              <w:adjustRightInd w:val="0"/>
              <w:snapToGrid w:val="0"/>
              <w:rPr>
                <w:rFonts w:ascii="Times New Roman" w:hAnsi="Times New Roman"/>
                <w:sz w:val="24"/>
                <w:szCs w:val="24"/>
              </w:rPr>
            </w:pPr>
            <w:r>
              <w:rPr>
                <w:rFonts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rFonts w:hint="eastAsia"/>
                <w:sz w:val="24"/>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rFonts w:hint="eastAsia"/>
                <w:sz w:val="24"/>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宋体"/>
                      <w:bCs/>
                      <w:sz w:val="24"/>
                    </w:rPr>
                  </w:pPr>
                  <w:r>
                    <w:rPr>
                      <w:rFonts w:eastAsia="宋体"/>
                      <w:bCs/>
                      <w:sz w:val="24"/>
                    </w:rPr>
                    <w:t>包号</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eastAsia="宋体"/>
                      <w:bCs/>
                      <w:sz w:val="24"/>
                    </w:rPr>
                  </w:pPr>
                  <w:r>
                    <w:rPr>
                      <w:rFonts w:eastAsia="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4"/>
                    </w:rPr>
                  </w:pPr>
                  <w:r>
                    <w:rPr>
                      <w:rFonts w:eastAsia="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宋体"/>
                      <w:bCs/>
                      <w:sz w:val="24"/>
                    </w:rPr>
                  </w:pPr>
                  <w:r>
                    <w:rPr>
                      <w:rFonts w:hint="eastAsia" w:eastAsia="宋体"/>
                      <w:bCs/>
                      <w:sz w:val="24"/>
                    </w:rPr>
                    <w:t>1</w:t>
                  </w:r>
                </w:p>
              </w:tc>
              <w:tc>
                <w:tcPr>
                  <w:tcW w:w="280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eastAsia="zh-CN"/>
                    </w:rPr>
                  </w:pPr>
                  <w:r>
                    <w:rPr>
                      <w:rFonts w:hint="eastAsia"/>
                      <w:bCs/>
                      <w:sz w:val="24"/>
                      <w:lang w:eastAsia="zh-CN"/>
                    </w:rPr>
                    <w:t>北京市计量检测科学研究院业务管理系统并行维护项目（2025年）</w:t>
                  </w:r>
                </w:p>
              </w:tc>
              <w:tc>
                <w:tcPr>
                  <w:tcW w:w="3239"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4"/>
                    </w:rPr>
                  </w:pPr>
                  <w:r>
                    <w:rPr>
                      <w:rFonts w:hint="eastAsia" w:eastAsia="宋体"/>
                      <w:kern w:val="0"/>
                      <w:sz w:val="24"/>
                    </w:rPr>
                    <w:t>软件和信息技术服务业</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rPr>
              <w:br w:type="page"/>
            </w:r>
            <w:r>
              <w:rPr>
                <w:rFonts w:ascii="Times New Roman" w:hAnsi="Times New Roman"/>
                <w:sz w:val="24"/>
                <w:szCs w:val="24"/>
              </w:rPr>
              <w:t>11.2</w:t>
            </w:r>
          </w:p>
        </w:tc>
        <w:tc>
          <w:tcPr>
            <w:tcW w:w="1701" w:type="dxa"/>
            <w:vAlign w:val="center"/>
          </w:tcPr>
          <w:p>
            <w:pPr>
              <w:jc w:val="center"/>
              <w:rPr>
                <w:sz w:val="24"/>
              </w:rPr>
            </w:pPr>
            <w:r>
              <w:rPr>
                <w:sz w:val="24"/>
              </w:rPr>
              <w:t>投标报价</w:t>
            </w:r>
          </w:p>
        </w:tc>
        <w:tc>
          <w:tcPr>
            <w:tcW w:w="7540" w:type="dxa"/>
            <w:vAlign w:val="center"/>
          </w:tcPr>
          <w:p>
            <w:pPr>
              <w:jc w:val="left"/>
              <w:rPr>
                <w:sz w:val="24"/>
              </w:rPr>
            </w:pPr>
            <w:r>
              <w:rPr>
                <w:sz w:val="24"/>
              </w:rPr>
              <w:t>投标报价的特殊规定：</w:t>
            </w:r>
          </w:p>
          <w:p>
            <w:pPr>
              <w:jc w:val="left"/>
              <w:rPr>
                <w:sz w:val="24"/>
              </w:rPr>
            </w:pPr>
            <w:r>
              <w:rPr>
                <w:sz w:val="24"/>
              </w:rPr>
              <w:t>□无</w:t>
            </w:r>
          </w:p>
          <w:p>
            <w:pPr>
              <w:jc w:val="left"/>
              <w:rPr>
                <w:sz w:val="24"/>
              </w:rPr>
            </w:pPr>
            <w:r>
              <w:rPr>
                <w:rFonts w:hint="eastAsia"/>
                <w:sz w:val="24"/>
              </w:rPr>
              <w:t>☑</w:t>
            </w:r>
            <w:r>
              <w:rPr>
                <w:sz w:val="24"/>
              </w:rPr>
              <w:t>有，具体情形：</w:t>
            </w:r>
          </w:p>
          <w:p>
            <w:pPr>
              <w:jc w:val="left"/>
              <w:rPr>
                <w:sz w:val="24"/>
              </w:rPr>
            </w:pPr>
            <w:r>
              <w:rPr>
                <w:rFonts w:hint="eastAsia"/>
                <w:sz w:val="24"/>
              </w:rPr>
              <w:t>1、采购人就本合同约定内容将不再支付最后报价以外的费用。因响应发生的费用缺漏项将是供应商的风险，供应商将无条件给予补充完备，且最后报价不变，否则其响应无效。</w:t>
            </w:r>
          </w:p>
          <w:p>
            <w:pPr>
              <w:jc w:val="left"/>
              <w:rPr>
                <w:sz w:val="24"/>
              </w:rPr>
            </w:pPr>
            <w:r>
              <w:rPr>
                <w:rFonts w:hint="eastAsia"/>
                <w:sz w:val="24"/>
              </w:rPr>
              <w:t>2、总价填写无条件折扣后的总价，不得填写除价格外的任何其他优惠。有附加条件折扣的响应无效。</w:t>
            </w:r>
          </w:p>
          <w:p>
            <w:pPr>
              <w:jc w:val="left"/>
              <w:rPr>
                <w:sz w:val="24"/>
              </w:rPr>
            </w:pPr>
            <w:r>
              <w:rPr>
                <w:rFonts w:hint="eastAsia"/>
                <w:sz w:val="24"/>
              </w:rPr>
              <w:t>3、报价币种及单位：人民币元，币种及单位不符合该要求的 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pStyle w:val="24"/>
              <w:adjustRightInd w:val="0"/>
              <w:snapToGrid w:val="0"/>
              <w:rPr>
                <w:rFonts w:ascii="Times New Roman" w:hAnsi="Times New Roman"/>
                <w:sz w:val="24"/>
                <w:szCs w:val="24"/>
              </w:rPr>
            </w:pPr>
            <w:r>
              <w:rPr>
                <w:rFonts w:ascii="Times New Roman" w:hAnsi="Times New Roman"/>
                <w:sz w:val="24"/>
                <w:szCs w:val="24"/>
              </w:rPr>
              <w:t>投标保证金金额：</w:t>
            </w:r>
          </w:p>
          <w:p>
            <w:pPr>
              <w:pStyle w:val="24"/>
              <w:adjustRightInd w:val="0"/>
              <w:snapToGrid w:val="0"/>
              <w:rPr>
                <w:rFonts w:ascii="Times New Roman" w:hAnsi="Times New Roman"/>
                <w:sz w:val="24"/>
                <w:szCs w:val="24"/>
              </w:rPr>
            </w:pPr>
            <w:r>
              <w:rPr>
                <w:rFonts w:ascii="Times New Roman" w:hAnsi="Times New Roman"/>
                <w:sz w:val="24"/>
                <w:szCs w:val="24"/>
              </w:rPr>
              <w:t>01包：</w:t>
            </w:r>
            <w:r>
              <w:rPr>
                <w:rFonts w:hint="eastAsia" w:ascii="Times New Roman"/>
                <w:sz w:val="24"/>
                <w:u w:val="single"/>
                <w:lang w:val="en-US" w:eastAsia="zh-CN"/>
              </w:rPr>
              <w:t>336</w:t>
            </w:r>
            <w:r>
              <w:rPr>
                <w:rFonts w:ascii="Times New Roman" w:hAnsi="Times New Roman"/>
                <w:sz w:val="24"/>
                <w:u w:val="single"/>
              </w:rPr>
              <w:t>00.00元</w:t>
            </w:r>
            <w:r>
              <w:rPr>
                <w:rFonts w:ascii="Times New Roman" w:hAnsi="Times New Roman"/>
                <w:sz w:val="24"/>
                <w:szCs w:val="24"/>
              </w:rPr>
              <w:t>；</w:t>
            </w:r>
          </w:p>
          <w:p>
            <w:pPr>
              <w:jc w:val="left"/>
              <w:rPr>
                <w:sz w:val="24"/>
              </w:rPr>
            </w:pPr>
            <w:r>
              <w:rPr>
                <w:sz w:val="24"/>
              </w:rPr>
              <w:t>投标保证金收受人信息：</w:t>
            </w:r>
          </w:p>
          <w:p>
            <w:pPr>
              <w:jc w:val="left"/>
              <w:rPr>
                <w:sz w:val="24"/>
              </w:rPr>
            </w:pPr>
            <w:r>
              <w:rPr>
                <w:rFonts w:hint="eastAsia"/>
                <w:sz w:val="24"/>
              </w:rPr>
              <w:t>收 款 人：华夏林达咨询有限公司</w:t>
            </w:r>
          </w:p>
          <w:p>
            <w:pPr>
              <w:jc w:val="left"/>
              <w:rPr>
                <w:sz w:val="24"/>
              </w:rPr>
            </w:pPr>
            <w:r>
              <w:rPr>
                <w:rFonts w:hint="eastAsia"/>
                <w:sz w:val="24"/>
              </w:rPr>
              <w:t>开户银行：兴业银行北京石景山支行</w:t>
            </w:r>
          </w:p>
          <w:p>
            <w:pPr>
              <w:jc w:val="left"/>
              <w:rPr>
                <w:sz w:val="24"/>
              </w:rPr>
            </w:pPr>
            <w:r>
              <w:rPr>
                <w:rFonts w:hint="eastAsia"/>
                <w:sz w:val="24"/>
              </w:rPr>
              <w:t>银行账号：321350100100193347</w:t>
            </w:r>
          </w:p>
          <w:p>
            <w:pPr>
              <w:jc w:val="left"/>
              <w:rPr>
                <w:sz w:val="24"/>
              </w:rPr>
            </w:pPr>
            <w:r>
              <w:rPr>
                <w:rFonts w:hint="eastAsia"/>
                <w:sz w:val="24"/>
              </w:rPr>
              <w:t>1、投标保证金形式：</w:t>
            </w:r>
          </w:p>
          <w:p>
            <w:pPr>
              <w:jc w:val="left"/>
              <w:rPr>
                <w:sz w:val="24"/>
              </w:rPr>
            </w:pPr>
            <w:r>
              <w:rPr>
                <w:rFonts w:hint="eastAsia"/>
                <w:sz w:val="24"/>
              </w:rPr>
              <w:t>（1）银行转账（对公转账）、支票、汇票、本票等非现金形式，并在响应文件中附投标保证金缴纳凭证复印件。</w:t>
            </w:r>
          </w:p>
          <w:p>
            <w:pPr>
              <w:jc w:val="left"/>
              <w:rPr>
                <w:sz w:val="24"/>
              </w:rPr>
            </w:pPr>
            <w:r>
              <w:rPr>
                <w:rFonts w:hint="eastAsia"/>
                <w:sz w:val="24"/>
              </w:rPr>
              <w:t>（2）由具有融资性担保机构经营许可证的试点专业担保机构出具的投标担保函。</w:t>
            </w:r>
          </w:p>
          <w:p>
            <w:pPr>
              <w:jc w:val="left"/>
              <w:rPr>
                <w:sz w:val="24"/>
              </w:rPr>
            </w:pPr>
            <w:r>
              <w:rPr>
                <w:rFonts w:hint="eastAsia"/>
                <w:sz w:val="24"/>
              </w:rPr>
              <w:t>注：</w:t>
            </w:r>
          </w:p>
          <w:p>
            <w:pPr>
              <w:jc w:val="left"/>
              <w:rPr>
                <w:sz w:val="24"/>
              </w:rPr>
            </w:pPr>
            <w:r>
              <w:rPr>
                <w:rFonts w:hint="eastAsia"/>
                <w:sz w:val="24"/>
              </w:rPr>
              <w:t>（1）供应商应将投标保证金的凭证发到lindawenjian321@sina.com</w:t>
            </w:r>
          </w:p>
          <w:p>
            <w:pPr>
              <w:jc w:val="left"/>
              <w:rPr>
                <w:sz w:val="24"/>
              </w:rPr>
            </w:pPr>
            <w:r>
              <w:rPr>
                <w:rFonts w:hint="eastAsia"/>
                <w:sz w:val="24"/>
              </w:rPr>
              <w:t>（2）投标保证金在投标文件规定的响应文件递交截止时间未能到达采购代理机构指定账户的，均视为无投标保证金，投标保证金有效期与响应有效期一致。</w:t>
            </w:r>
          </w:p>
          <w:p>
            <w:pPr>
              <w:jc w:val="left"/>
              <w:rPr>
                <w:sz w:val="24"/>
              </w:rPr>
            </w:pPr>
            <w:r>
              <w:rPr>
                <w:rFonts w:hint="eastAsia"/>
                <w:sz w:val="24"/>
              </w:rPr>
              <w:t>（3）务必备注款项用途：投标保证金，因款项用途备注不明确或错误导致的错款，不可作为保证金使用，需要在规定时间内重新支付，错款在项目结束后统一退还。</w:t>
            </w:r>
          </w:p>
          <w:p>
            <w:pPr>
              <w:jc w:val="left"/>
              <w:rPr>
                <w:sz w:val="24"/>
              </w:rPr>
            </w:pPr>
            <w:r>
              <w:rPr>
                <w:rFonts w:hint="eastAsia"/>
                <w:sz w:val="24"/>
              </w:rPr>
              <w:t>（4）务必备注项目名称、招标编号及包号，可简写，不可不填。未备注项目名称、招标编号及包号财务部门不予受理，后果由供应商自行承担。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12.8.2</w:t>
            </w:r>
          </w:p>
        </w:tc>
        <w:tc>
          <w:tcPr>
            <w:tcW w:w="1701" w:type="dxa"/>
            <w:vMerge w:val="continue"/>
            <w:vAlign w:val="center"/>
          </w:tcPr>
          <w:p/>
        </w:tc>
        <w:tc>
          <w:tcPr>
            <w:tcW w:w="7540" w:type="dxa"/>
            <w:vAlign w:val="center"/>
          </w:tcPr>
          <w:p>
            <w:pPr>
              <w:jc w:val="left"/>
              <w:rPr>
                <w:sz w:val="24"/>
              </w:rPr>
            </w:pPr>
            <w:r>
              <w:rPr>
                <w:sz w:val="24"/>
              </w:rPr>
              <w:t>投标保证金可以不予退还的其他情形：</w:t>
            </w:r>
          </w:p>
          <w:p>
            <w:pPr>
              <w:jc w:val="left"/>
              <w:rPr>
                <w:sz w:val="24"/>
              </w:rPr>
            </w:pPr>
            <w:r>
              <w:rPr>
                <w:sz w:val="24"/>
              </w:rPr>
              <w:t>□无</w:t>
            </w:r>
          </w:p>
          <w:p>
            <w:pPr>
              <w:pStyle w:val="24"/>
              <w:adjustRightInd w:val="0"/>
              <w:snapToGrid w:val="0"/>
              <w:rPr>
                <w:rFonts w:ascii="Times New Roman" w:hAnsi="Times New Roman"/>
                <w:sz w:val="24"/>
              </w:rPr>
            </w:pPr>
            <w:r>
              <w:rPr>
                <w:rFonts w:ascii="Times New Roman" w:hAnsi="Times New Roman"/>
                <w:sz w:val="24"/>
              </w:rPr>
              <w:t>☑有，具体情形：</w:t>
            </w:r>
          </w:p>
          <w:p>
            <w:pPr>
              <w:pStyle w:val="24"/>
              <w:adjustRightInd w:val="0"/>
              <w:snapToGrid w:val="0"/>
              <w:rPr>
                <w:rFonts w:ascii="Times New Roman" w:hAnsi="Times New Roman"/>
                <w:sz w:val="24"/>
              </w:rPr>
            </w:pPr>
            <w:r>
              <w:rPr>
                <w:rFonts w:ascii="Times New Roman" w:hAnsi="Times New Roman"/>
                <w:sz w:val="24"/>
              </w:rPr>
              <w:t>（1）投标人递交投标文件后，投标人撤回其投标的；</w:t>
            </w:r>
          </w:p>
          <w:p>
            <w:pPr>
              <w:pStyle w:val="24"/>
              <w:adjustRightInd w:val="0"/>
              <w:snapToGrid w:val="0"/>
              <w:rPr>
                <w:rFonts w:ascii="Times New Roman" w:hAnsi="Times New Roman"/>
                <w:sz w:val="24"/>
              </w:rPr>
            </w:pPr>
            <w:r>
              <w:rPr>
                <w:rFonts w:ascii="Times New Roman" w:hAnsi="Times New Roman"/>
                <w:sz w:val="24"/>
              </w:rPr>
              <w:t>（2）中标人未与采购人签订合同，或在签订合同时向采购人提出</w:t>
            </w:r>
          </w:p>
          <w:p>
            <w:pPr>
              <w:pStyle w:val="24"/>
              <w:adjustRightInd w:val="0"/>
              <w:snapToGrid w:val="0"/>
              <w:rPr>
                <w:rFonts w:ascii="Times New Roman" w:hAnsi="Times New Roman"/>
                <w:sz w:val="24"/>
              </w:rPr>
            </w:pPr>
            <w:r>
              <w:rPr>
                <w:rFonts w:ascii="Times New Roman" w:hAnsi="Times New Roman"/>
                <w:sz w:val="24"/>
              </w:rPr>
              <w:t>附加条件的；</w:t>
            </w:r>
          </w:p>
          <w:p>
            <w:pPr>
              <w:pStyle w:val="24"/>
              <w:adjustRightInd w:val="0"/>
              <w:snapToGrid w:val="0"/>
              <w:rPr>
                <w:rFonts w:ascii="Times New Roman" w:hAnsi="Times New Roman"/>
                <w:sz w:val="24"/>
              </w:rPr>
            </w:pPr>
            <w:r>
              <w:rPr>
                <w:rFonts w:ascii="Times New Roman" w:hAnsi="Times New Roman"/>
                <w:sz w:val="24"/>
              </w:rPr>
              <w:t>（3）中标人放弃中标的；</w:t>
            </w:r>
          </w:p>
          <w:p>
            <w:pPr>
              <w:pStyle w:val="24"/>
              <w:adjustRightInd w:val="0"/>
              <w:snapToGrid w:val="0"/>
              <w:rPr>
                <w:rFonts w:ascii="Times New Roman" w:hAnsi="Times New Roman"/>
                <w:sz w:val="24"/>
                <w:szCs w:val="24"/>
              </w:rPr>
            </w:pPr>
            <w:r>
              <w:rPr>
                <w:rFonts w:ascii="Times New Roman" w:hAnsi="Times New Roman"/>
                <w:sz w:val="24"/>
              </w:rPr>
              <w:t>（4）中标人未按招标文件规定按时足额缴纳中标服务费的。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18.2</w:t>
            </w:r>
          </w:p>
        </w:tc>
        <w:tc>
          <w:tcPr>
            <w:tcW w:w="1701" w:type="dxa"/>
            <w:vAlign w:val="center"/>
          </w:tcPr>
          <w:p>
            <w:pPr>
              <w:jc w:val="center"/>
              <w:rPr>
                <w:sz w:val="24"/>
              </w:rPr>
            </w:pPr>
            <w:r>
              <w:rPr>
                <w:rFonts w:ascii="宋体" w:cs="宋体"/>
                <w:sz w:val="24"/>
              </w:rPr>
              <w:t>投标文件的递交</w:t>
            </w:r>
          </w:p>
        </w:tc>
        <w:tc>
          <w:tcPr>
            <w:tcW w:w="7540" w:type="dxa"/>
            <w:vAlign w:val="center"/>
          </w:tcPr>
          <w:p>
            <w:pPr>
              <w:jc w:val="left"/>
              <w:rPr>
                <w:sz w:val="24"/>
                <w:highlight w:val="none"/>
              </w:rPr>
            </w:pPr>
            <w:r>
              <w:rPr>
                <w:rFonts w:hint="eastAsia"/>
                <w:sz w:val="24"/>
              </w:rPr>
              <w:t>投标文件的递交截止</w:t>
            </w:r>
            <w:r>
              <w:rPr>
                <w:rFonts w:hint="eastAsia"/>
                <w:sz w:val="24"/>
                <w:highlight w:val="none"/>
              </w:rPr>
              <w:t>时间：2025年</w:t>
            </w:r>
            <w:r>
              <w:rPr>
                <w:rFonts w:hint="eastAsia"/>
                <w:sz w:val="24"/>
                <w:highlight w:val="none"/>
                <w:lang w:val="en-US" w:eastAsia="zh-CN"/>
              </w:rPr>
              <w:t>7</w:t>
            </w:r>
            <w:r>
              <w:rPr>
                <w:rFonts w:hint="eastAsia"/>
                <w:sz w:val="24"/>
                <w:highlight w:val="none"/>
              </w:rPr>
              <w:t>月</w:t>
            </w:r>
            <w:r>
              <w:rPr>
                <w:rFonts w:hint="eastAsia"/>
                <w:sz w:val="24"/>
                <w:highlight w:val="none"/>
                <w:lang w:val="en-US" w:eastAsia="zh-CN"/>
              </w:rPr>
              <w:t>28</w:t>
            </w:r>
            <w:r>
              <w:rPr>
                <w:rFonts w:hint="eastAsia"/>
                <w:sz w:val="24"/>
                <w:highlight w:val="none"/>
              </w:rPr>
              <w:t>日9点30分</w:t>
            </w:r>
            <w:r>
              <w:rPr>
                <w:rFonts w:hint="eastAsia"/>
                <w:sz w:val="24"/>
                <w:highlight w:val="none"/>
              </w:rPr>
              <w:t>（北京时间）</w:t>
            </w:r>
          </w:p>
          <w:p>
            <w:pPr>
              <w:jc w:val="left"/>
              <w:rPr>
                <w:rFonts w:hint="eastAsia" w:eastAsia="宋体"/>
                <w:sz w:val="24"/>
                <w:lang w:eastAsia="zh-CN"/>
              </w:rPr>
            </w:pPr>
            <w:r>
              <w:rPr>
                <w:rFonts w:hint="eastAsia"/>
                <w:sz w:val="24"/>
                <w:highlight w:val="none"/>
              </w:rPr>
              <w:t>递交地点：</w:t>
            </w:r>
            <w:r>
              <w:rPr>
                <w:rFonts w:hint="eastAsia"/>
                <w:sz w:val="24"/>
                <w:highlight w:val="none"/>
                <w:lang w:eastAsia="zh-CN"/>
              </w:rPr>
              <w:t>北京市丰台区</w:t>
            </w:r>
            <w:r>
              <w:rPr>
                <w:rFonts w:hint="eastAsia"/>
                <w:sz w:val="24"/>
                <w:lang w:eastAsia="zh-CN"/>
              </w:rPr>
              <w:t>富丰路4号工商联大厦A座10层1002</w:t>
            </w:r>
          </w:p>
          <w:p>
            <w:pPr>
              <w:jc w:val="left"/>
              <w:rPr>
                <w:sz w:val="24"/>
              </w:rPr>
            </w:pPr>
            <w:r>
              <w:rPr>
                <w:rFonts w:hint="eastAsia"/>
                <w:sz w:val="24"/>
              </w:rPr>
              <w:t>投标文件的数量和其他要求：</w:t>
            </w:r>
            <w:bookmarkStart w:id="926" w:name="_GoBack"/>
            <w:bookmarkEnd w:id="926"/>
          </w:p>
          <w:p>
            <w:pPr>
              <w:jc w:val="left"/>
              <w:rPr>
                <w:sz w:val="24"/>
              </w:rPr>
            </w:pPr>
            <w:r>
              <w:rPr>
                <w:rFonts w:hint="eastAsia"/>
                <w:sz w:val="24"/>
              </w:rPr>
              <w:t>投标文件：正本1份，副本4份，电子文档1份（采用U盘，应为正本的盖章扫描PDF彩色版及WORD可编辑电子文档）</w:t>
            </w:r>
          </w:p>
          <w:p>
            <w:pPr>
              <w:jc w:val="left"/>
              <w:rPr>
                <w:sz w:val="24"/>
              </w:rPr>
            </w:pPr>
            <w:r>
              <w:rPr>
                <w:rFonts w:hint="eastAsia"/>
                <w:sz w:val="24"/>
              </w:rPr>
              <w:t>注：本项目投标文件副本可以使用正本的复印件，当投标文件纸质版</w:t>
            </w:r>
          </w:p>
          <w:p>
            <w:pPr>
              <w:jc w:val="left"/>
              <w:rPr>
                <w:sz w:val="24"/>
              </w:rPr>
            </w:pPr>
            <w:r>
              <w:rPr>
                <w:rFonts w:hint="eastAsia"/>
                <w:sz w:val="24"/>
              </w:rPr>
              <w:t>正本与投标文件纸质版副本或投标文件电子版不一致时以投标文件纸</w:t>
            </w:r>
          </w:p>
          <w:p>
            <w:pPr>
              <w:jc w:val="left"/>
              <w:rPr>
                <w:sz w:val="24"/>
                <w:u w:val="single"/>
              </w:rPr>
            </w:pPr>
            <w:r>
              <w:rPr>
                <w:rFonts w:hint="eastAsia"/>
                <w:sz w:val="24"/>
              </w:rPr>
              <w:t>质版正本为准。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4"/>
              <w:adjustRightInd w:val="0"/>
              <w:snapToGrid w:val="0"/>
              <w:rPr>
                <w:rFonts w:ascii="Times New Roman" w:hAnsi="Times New Roman"/>
                <w:sz w:val="24"/>
              </w:rPr>
            </w:pPr>
            <w:r>
              <w:rPr>
                <w:rFonts w:ascii="Times New Roman" w:hAnsi="Times New Roman"/>
                <w:sz w:val="24"/>
              </w:rPr>
              <w:t>中标候选人并列的，采购人是否委托评标委员会确定中标人：</w:t>
            </w:r>
          </w:p>
          <w:p>
            <w:pPr>
              <w:pStyle w:val="24"/>
              <w:adjustRightInd w:val="0"/>
              <w:snapToGrid w:val="0"/>
              <w:rPr>
                <w:rFonts w:ascii="Times New Roman" w:hAnsi="Times New Roman"/>
                <w:sz w:val="24"/>
              </w:rPr>
            </w:pPr>
            <w:r>
              <w:rPr>
                <w:rFonts w:ascii="Times New Roman" w:hAnsi="Times New Roman"/>
                <w:sz w:val="24"/>
              </w:rPr>
              <w:t>☑否</w:t>
            </w:r>
          </w:p>
          <w:p>
            <w:pPr>
              <w:pStyle w:val="24"/>
              <w:adjustRightInd w:val="0"/>
              <w:snapToGrid w:val="0"/>
              <w:rPr>
                <w:rFonts w:ascii="Times New Roman" w:hAnsi="Times New Roman"/>
                <w:sz w:val="24"/>
              </w:rPr>
            </w:pPr>
            <w:r>
              <w:rPr>
                <w:rFonts w:ascii="Times New Roman" w:hAnsi="Times New Roman"/>
                <w:sz w:val="24"/>
              </w:rPr>
              <w:t>□是</w:t>
            </w:r>
          </w:p>
          <w:p>
            <w:pPr>
              <w:pStyle w:val="24"/>
              <w:adjustRightInd w:val="0"/>
              <w:snapToGrid w:val="0"/>
              <w:rPr>
                <w:rFonts w:ascii="Times New Roman" w:hAnsi="Times New Roman"/>
              </w:rPr>
            </w:pPr>
            <w:r>
              <w:rPr>
                <w:rFonts w:ascii="Times New Roman" w:hAnsi="Times New Roman"/>
                <w:sz w:val="24"/>
              </w:rPr>
              <w:t>中标候选人并列的，按照以下方式确定中标人：</w:t>
            </w:r>
            <w:r>
              <w:rPr>
                <w:rFonts w:ascii="Times New Roman" w:hAnsi="Times New Roman"/>
              </w:rPr>
              <w:t xml:space="preserve"> </w:t>
            </w:r>
          </w:p>
          <w:p>
            <w:pPr>
              <w:pStyle w:val="24"/>
              <w:adjustRightInd w:val="0"/>
              <w:snapToGrid w:val="0"/>
              <w:rPr>
                <w:rFonts w:ascii="Times New Roman" w:hAnsi="Times New Roman"/>
                <w:sz w:val="24"/>
              </w:rPr>
            </w:pPr>
            <w:r>
              <w:rPr>
                <w:rFonts w:ascii="Times New Roman" w:hAnsi="Times New Roman"/>
                <w:sz w:val="24"/>
              </w:rPr>
              <w:t>☑得分且投标报价均相同的，以技术分得分高者为中标人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rFonts w:hint="eastAsia"/>
                <w:sz w:val="24"/>
              </w:rPr>
              <w:t>☑</w:t>
            </w: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25.6</w:t>
            </w:r>
          </w:p>
        </w:tc>
        <w:tc>
          <w:tcPr>
            <w:tcW w:w="1701" w:type="dxa"/>
            <w:vAlign w:val="center"/>
          </w:tcPr>
          <w:p>
            <w:pPr>
              <w:jc w:val="center"/>
              <w:rPr>
                <w:sz w:val="24"/>
              </w:rPr>
            </w:pPr>
            <w:r>
              <w:rPr>
                <w:sz w:val="24"/>
              </w:rPr>
              <w:t>政采贷</w:t>
            </w:r>
          </w:p>
        </w:tc>
        <w:tc>
          <w:tcPr>
            <w:tcW w:w="7540"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w:t>
            </w:r>
            <w:r>
              <w:rPr>
                <w:rFonts w:hint="eastAsia"/>
                <w:sz w:val="24"/>
              </w:rPr>
              <w:t>提出</w:t>
            </w:r>
            <w:r>
              <w:rPr>
                <w:sz w:val="24"/>
              </w:rPr>
              <w:t>形式：</w:t>
            </w:r>
            <w:r>
              <w:rPr>
                <w:rFonts w:hint="eastAsia" w:ascii="宋体"/>
                <w:spacing w:val="-14"/>
                <w:sz w:val="24"/>
                <w:u w:val="single"/>
              </w:rPr>
              <w:t>纸质版，书面形式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w:t>
            </w:r>
            <w:r>
              <w:rPr>
                <w:rFonts w:hint="eastAsia"/>
                <w:sz w:val="24"/>
              </w:rPr>
              <w:t>采购部</w:t>
            </w:r>
            <w:r>
              <w:rPr>
                <w:sz w:val="24"/>
              </w:rPr>
              <w:t>；</w:t>
            </w:r>
          </w:p>
          <w:p>
            <w:pPr>
              <w:jc w:val="left"/>
              <w:rPr>
                <w:sz w:val="24"/>
              </w:rPr>
            </w:pPr>
            <w:r>
              <w:rPr>
                <w:sz w:val="24"/>
              </w:rPr>
              <w:t>联系电话：</w:t>
            </w:r>
            <w:r>
              <w:rPr>
                <w:rFonts w:hint="eastAsia"/>
                <w:sz w:val="24"/>
              </w:rPr>
              <w:t>010-60716601-8002</w:t>
            </w:r>
            <w:r>
              <w:rPr>
                <w:sz w:val="24"/>
              </w:rPr>
              <w:t>；</w:t>
            </w:r>
          </w:p>
          <w:p>
            <w:pPr>
              <w:jc w:val="left"/>
              <w:rPr>
                <w:sz w:val="24"/>
              </w:rPr>
            </w:pPr>
            <w:r>
              <w:rPr>
                <w:sz w:val="24"/>
              </w:rPr>
              <w:t>通讯地址：</w:t>
            </w:r>
            <w:r>
              <w:rPr>
                <w:rFonts w:hint="eastAsia"/>
                <w:sz w:val="24"/>
                <w:lang w:eastAsia="zh-CN"/>
              </w:rPr>
              <w:t>北京市丰台区富丰路4号工商联大厦A座10层1002</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ascii="Times New Roman" w:hAnsi="Times New Roman"/>
                <w:sz w:val="24"/>
                <w:szCs w:val="24"/>
              </w:rPr>
            </w:pPr>
            <w:r>
              <w:rPr>
                <w:rFonts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jc w:val="left"/>
              <w:rPr>
                <w:sz w:val="24"/>
              </w:rPr>
            </w:pPr>
            <w:r>
              <w:rPr>
                <w:rFonts w:hint="eastAsia"/>
                <w:sz w:val="24"/>
              </w:rPr>
              <w:t>☑</w:t>
            </w:r>
            <w:r>
              <w:rPr>
                <w:sz w:val="24"/>
              </w:rPr>
              <w:t>中标人</w:t>
            </w:r>
          </w:p>
          <w:p>
            <w:pPr>
              <w:jc w:val="left"/>
              <w:rPr>
                <w:sz w:val="24"/>
              </w:rPr>
            </w:pPr>
            <w:r>
              <w:rPr>
                <w:sz w:val="24"/>
              </w:rPr>
              <w:t>收费标准：</w:t>
            </w:r>
            <w:r>
              <w:rPr>
                <w:rFonts w:hint="eastAsia"/>
                <w:sz w:val="24"/>
              </w:rPr>
              <w:t>以原国家发展和改革委员会《招标代理服务收费管理暂行办法》（计价格〔2002〕1980号文、发改办价格〔2003〕857号文及发改办价格〔2011〕534号文件规定的招标代理费收取标准为基础，按上述标准计算出费用后乘以60%折扣率</w:t>
            </w:r>
            <w:r>
              <w:rPr>
                <w:sz w:val="24"/>
              </w:rPr>
              <w:t>；</w:t>
            </w:r>
          </w:p>
          <w:p>
            <w:pPr>
              <w:jc w:val="left"/>
              <w:rPr>
                <w:sz w:val="24"/>
              </w:rPr>
            </w:pPr>
            <w:r>
              <w:rPr>
                <w:sz w:val="24"/>
              </w:rPr>
              <w:t>缴纳时间：</w:t>
            </w:r>
            <w:r>
              <w:rPr>
                <w:rFonts w:hint="eastAsia" w:ascii="宋体"/>
                <w:spacing w:val="-16"/>
                <w:sz w:val="24"/>
                <w:u w:val="single"/>
              </w:rPr>
              <w:t>中标单位领取中标通知书后五日内一次性支付</w:t>
            </w:r>
            <w:r>
              <w:rPr>
                <w:sz w:val="24"/>
              </w:rPr>
              <w:t>。</w:t>
            </w:r>
          </w:p>
        </w:tc>
      </w:tr>
    </w:tbl>
    <w:p>
      <w:pPr>
        <w:tabs>
          <w:tab w:val="left" w:pos="5580"/>
        </w:tabs>
        <w:adjustRightInd w:val="0"/>
        <w:spacing w:line="360" w:lineRule="auto"/>
        <w:jc w:val="distribute"/>
        <w:rPr>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pPr>
        <w:spacing w:before="240" w:beforeLines="100" w:after="240" w:afterLines="100"/>
        <w:jc w:val="center"/>
        <w:rPr>
          <w:b/>
          <w:sz w:val="28"/>
          <w:szCs w:val="28"/>
        </w:rPr>
      </w:pPr>
      <w:bookmarkStart w:id="80" w:name="_Toc142311019"/>
      <w:bookmarkStart w:id="81" w:name="_Toc150480755"/>
      <w:bookmarkStart w:id="82" w:name="_Toc127151517"/>
      <w:bookmarkStart w:id="83" w:name="_Toc353825542"/>
      <w:bookmarkStart w:id="84" w:name="_Toc353873662"/>
      <w:bookmarkStart w:id="85" w:name="_Toc265228355"/>
      <w:bookmarkStart w:id="86" w:name="_Toc264969207"/>
      <w:bookmarkStart w:id="87" w:name="_Toc226965790"/>
      <w:bookmarkStart w:id="88" w:name="_Toc150774722"/>
      <w:bookmarkStart w:id="89" w:name="_Toc305158785"/>
      <w:bookmarkStart w:id="90" w:name="_Toc226337213"/>
      <w:bookmarkStart w:id="91" w:name="_Toc353873932"/>
      <w:bookmarkStart w:id="92" w:name="_Toc195842882"/>
      <w:bookmarkStart w:id="93" w:name="_Toc305158859"/>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ascii="Times New Roman" w:hAnsi="Times New Roman" w:eastAsia="宋体"/>
          <w:sz w:val="28"/>
        </w:rPr>
      </w:pPr>
      <w:bookmarkStart w:id="94" w:name="_Toc520356143"/>
      <w:bookmarkStart w:id="95" w:name="_Toc127151518"/>
      <w:r>
        <w:rPr>
          <w:rFonts w:ascii="Times New Roman" w:hAnsi="Times New Roman" w:eastAsia="宋体"/>
          <w:sz w:val="28"/>
        </w:rPr>
        <w:tab/>
      </w:r>
      <w:bookmarkStart w:id="96" w:name="_Toc195842883"/>
      <w:bookmarkStart w:id="97" w:name="_Toc150774618"/>
      <w:bookmarkStart w:id="98" w:name="_Toc150480756"/>
      <w:bookmarkStart w:id="99" w:name="_Toc150509269"/>
      <w:bookmarkStart w:id="100" w:name="_Toc305158786"/>
      <w:bookmarkStart w:id="101" w:name="_Toc264969208"/>
      <w:bookmarkStart w:id="102" w:name="_Toc305158860"/>
      <w:bookmarkStart w:id="103" w:name="_Toc226965708"/>
      <w:bookmarkStart w:id="104" w:name="_Toc142311020"/>
      <w:bookmarkStart w:id="105" w:name="_Toc226337214"/>
      <w:bookmarkStart w:id="106" w:name="_Toc226309762"/>
      <w:bookmarkStart w:id="107" w:name="_Toc151193906"/>
      <w:bookmarkStart w:id="108" w:name="_Toc226965791"/>
      <w:bookmarkStart w:id="109" w:name="_Toc150774723"/>
      <w:bookmarkStart w:id="110" w:name="_Toc265228356"/>
      <w:bookmarkStart w:id="111" w:name="_Toc151190145"/>
      <w:bookmarkStart w:id="112" w:name="_Toc151193688"/>
      <w:bookmarkStart w:id="113" w:name="_Toc151193832"/>
      <w:bookmarkStart w:id="114" w:name="_Toc151193760"/>
      <w:bookmarkStart w:id="115" w:name="_Toc151193616"/>
      <w:r>
        <w:rPr>
          <w:rFonts w:ascii="Times New Roman" w:hAnsi="Times New Roman"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sz w:val="28"/>
        </w:rPr>
        <w:tab/>
      </w:r>
    </w:p>
    <w:p>
      <w:pPr>
        <w:numPr>
          <w:ilvl w:val="0"/>
          <w:numId w:val="8"/>
        </w:numPr>
        <w:tabs>
          <w:tab w:val="left" w:pos="360"/>
        </w:tabs>
        <w:snapToGrid w:val="0"/>
        <w:spacing w:line="360" w:lineRule="auto"/>
        <w:ind w:left="357" w:hanging="357"/>
        <w:outlineLvl w:val="1"/>
        <w:rPr>
          <w:sz w:val="24"/>
        </w:rPr>
      </w:pPr>
      <w:bookmarkStart w:id="116" w:name="_Toc305158861"/>
      <w:bookmarkStart w:id="117" w:name="_Toc265228357"/>
      <w:bookmarkStart w:id="118" w:name="_Toc264969209"/>
      <w:bookmarkStart w:id="119" w:name="_Toc305158787"/>
      <w:r>
        <w:rPr>
          <w:sz w:val="24"/>
        </w:rPr>
        <w:t>采购人、采购代理机构、投标人</w:t>
      </w:r>
      <w:bookmarkEnd w:id="116"/>
      <w:bookmarkEnd w:id="117"/>
      <w:bookmarkEnd w:id="118"/>
      <w:bookmarkEnd w:id="119"/>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s>
        <w:snapToGrid w:val="0"/>
        <w:spacing w:line="360" w:lineRule="auto"/>
        <w:ind w:left="357" w:hanging="357"/>
        <w:outlineLvl w:val="1"/>
        <w:rPr>
          <w:sz w:val="24"/>
        </w:rPr>
      </w:pPr>
      <w:bookmarkStart w:id="120" w:name="_Toc150774725"/>
      <w:bookmarkStart w:id="121" w:name="_Toc127151721"/>
      <w:bookmarkStart w:id="122" w:name="_Toc226337216"/>
      <w:bookmarkStart w:id="123" w:name="_Toc265228358"/>
      <w:bookmarkStart w:id="124" w:name="_Toc151193762"/>
      <w:bookmarkStart w:id="125" w:name="_Toc149720813"/>
      <w:bookmarkStart w:id="126" w:name="_Toc150774620"/>
      <w:bookmarkStart w:id="127" w:name="_Toc226965710"/>
      <w:bookmarkStart w:id="128" w:name="_Toc151190147"/>
      <w:bookmarkStart w:id="129" w:name="_Toc305158788"/>
      <w:bookmarkStart w:id="130" w:name="_Toc127151520"/>
      <w:bookmarkStart w:id="131" w:name="_Toc150509271"/>
      <w:bookmarkStart w:id="132" w:name="_Toc151193690"/>
      <w:bookmarkStart w:id="133" w:name="_Toc305158862"/>
      <w:bookmarkStart w:id="134" w:name="_Toc226309764"/>
      <w:bookmarkStart w:id="135" w:name="_Toc226965793"/>
      <w:bookmarkStart w:id="136" w:name="_Toc151193908"/>
      <w:bookmarkStart w:id="137" w:name="_Toc164608634"/>
      <w:bookmarkStart w:id="138" w:name="_Toc164229361"/>
      <w:bookmarkStart w:id="139" w:name="_Toc151193618"/>
      <w:bookmarkStart w:id="140" w:name="_Toc195842885"/>
      <w:bookmarkStart w:id="141" w:name="_Toc127161434"/>
      <w:bookmarkStart w:id="142" w:name="_Toc164229215"/>
      <w:bookmarkStart w:id="143" w:name="_Toc150480758"/>
      <w:bookmarkStart w:id="144" w:name="_Toc142311022"/>
      <w:bookmarkStart w:id="145" w:name="_Toc164351614"/>
      <w:bookmarkStart w:id="146" w:name="_Toc264969210"/>
      <w:bookmarkStart w:id="147" w:name="_Toc151193834"/>
      <w:bookmarkStart w:id="148" w:name="_Toc164608789"/>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51190149"/>
      <w:bookmarkStart w:id="150" w:name="_Toc226337218"/>
      <w:bookmarkStart w:id="151" w:name="_Toc226965795"/>
      <w:bookmarkStart w:id="152" w:name="_Toc127151522"/>
      <w:bookmarkStart w:id="153" w:name="_Toc151193620"/>
      <w:bookmarkStart w:id="154" w:name="_Toc151193764"/>
      <w:bookmarkStart w:id="155" w:name="_Toc305158864"/>
      <w:bookmarkStart w:id="156" w:name="_Toc151193910"/>
      <w:bookmarkStart w:id="157" w:name="_Toc264969212"/>
      <w:bookmarkStart w:id="158" w:name="_Toc226965712"/>
      <w:bookmarkStart w:id="159" w:name="_Toc520356146"/>
      <w:bookmarkStart w:id="160" w:name="_Toc226309766"/>
      <w:bookmarkStart w:id="161" w:name="_Toc151193692"/>
      <w:bookmarkStart w:id="162" w:name="_Toc150509273"/>
      <w:bookmarkStart w:id="163" w:name="_Toc150480760"/>
      <w:bookmarkStart w:id="164" w:name="_Toc150774622"/>
      <w:bookmarkStart w:id="165" w:name="_Toc142311024"/>
      <w:bookmarkStart w:id="166" w:name="_Toc265228360"/>
      <w:bookmarkStart w:id="167" w:name="_Toc150774727"/>
      <w:bookmarkStart w:id="168" w:name="_Toc151193836"/>
      <w:bookmarkStart w:id="169" w:name="_Toc195842887"/>
      <w:bookmarkStart w:id="170" w:name="_Toc305158790"/>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6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9"/>
        </w:numPr>
        <w:tabs>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6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pStyle w:val="6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9"/>
        </w:numPr>
        <w:tabs>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color w:val="auto"/>
          <w:sz w:val="24"/>
        </w:rPr>
      </w:pPr>
      <w:r>
        <w:rPr>
          <w:color w:val="auto"/>
          <w:sz w:val="24"/>
        </w:rPr>
        <w:t>如本项目采购产品属于实施政府强制采购品目清单范围的节能产品，则投标人所报产品必须获得国家确定的认证机构出具的、处于有效期之内的节能产品认证证书，</w:t>
      </w:r>
      <w:r>
        <w:rPr>
          <w:color w:val="auto"/>
          <w:kern w:val="0"/>
          <w:sz w:val="24"/>
        </w:rPr>
        <w:t>否则</w:t>
      </w:r>
      <w:r>
        <w:rPr>
          <w:b/>
          <w:color w:val="auto"/>
          <w:kern w:val="0"/>
          <w:sz w:val="24"/>
        </w:rPr>
        <w:t>投标无效</w:t>
      </w:r>
      <w:r>
        <w:rPr>
          <w:color w:val="auto"/>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宋体"/>
          <w:sz w:val="24"/>
        </w:rPr>
        <w:t>网络安全专用产品</w:t>
      </w:r>
      <w:r>
        <w:rPr>
          <w:rFonts w:hint="eastAsia"/>
          <w:sz w:val="24"/>
          <w:lang w:eastAsia="zh-CN"/>
        </w:rPr>
        <w:t>（</w:t>
      </w:r>
      <w:r>
        <w:rPr>
          <w:rFonts w:hint="eastAsia"/>
          <w:sz w:val="24"/>
          <w:lang w:val="en-US" w:eastAsia="zh-CN"/>
        </w:rPr>
        <w:t>本项目不适用）</w:t>
      </w:r>
    </w:p>
    <w:p>
      <w:pPr>
        <w:numPr>
          <w:ilvl w:val="2"/>
          <w:numId w:val="8"/>
        </w:numPr>
        <w:tabs>
          <w:tab w:val="left" w:pos="900"/>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pPr>
        <w:numPr>
          <w:ilvl w:val="1"/>
          <w:numId w:val="8"/>
        </w:numPr>
        <w:tabs>
          <w:tab w:val="left" w:pos="1080"/>
          <w:tab w:val="left" w:pos="2014"/>
        </w:tabs>
        <w:snapToGrid w:val="0"/>
        <w:spacing w:line="360" w:lineRule="auto"/>
        <w:ind w:left="1080" w:hanging="720"/>
        <w:rPr>
          <w:color w:val="auto"/>
          <w:sz w:val="24"/>
        </w:rPr>
      </w:pPr>
      <w:r>
        <w:rPr>
          <w:color w:val="auto"/>
          <w:sz w:val="24"/>
        </w:rPr>
        <w:t>推广使用低挥发性有机化合物（VOCs）</w:t>
      </w:r>
      <w:r>
        <w:rPr>
          <w:rFonts w:hint="eastAsia"/>
          <w:sz w:val="24"/>
          <w:lang w:eastAsia="zh-CN"/>
        </w:rPr>
        <w:t>（</w:t>
      </w:r>
      <w:r>
        <w:rPr>
          <w:rFonts w:hint="eastAsia"/>
          <w:sz w:val="24"/>
          <w:lang w:val="en-US" w:eastAsia="zh-CN"/>
        </w:rPr>
        <w:t>本项目不适用）</w:t>
      </w:r>
    </w:p>
    <w:p>
      <w:pPr>
        <w:numPr>
          <w:ilvl w:val="2"/>
          <w:numId w:val="8"/>
        </w:numPr>
        <w:tabs>
          <w:tab w:val="left" w:pos="2014"/>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rPr>
        <w:t>否则</w:t>
      </w:r>
      <w:r>
        <w:rPr>
          <w:b/>
          <w:color w:val="auto"/>
          <w:kern w:val="0"/>
          <w:sz w:val="24"/>
        </w:rPr>
        <w:t>投标无效</w:t>
      </w:r>
      <w:r>
        <w:rPr>
          <w:color w:val="auto"/>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71" w:name="_Hlk164953935"/>
      <w:r>
        <w:rPr>
          <w:sz w:val="24"/>
        </w:rPr>
        <w:t xml:space="preserve">其他政府采购需求标准 </w:t>
      </w:r>
    </w:p>
    <w:bookmarkEnd w:id="171"/>
    <w:p>
      <w:pPr>
        <w:tabs>
          <w:tab w:val="left" w:pos="900"/>
          <w:tab w:val="left" w:pos="1980"/>
        </w:tabs>
        <w:snapToGrid w:val="0"/>
        <w:spacing w:line="360" w:lineRule="auto"/>
        <w:ind w:left="1980"/>
        <w:rPr>
          <w:sz w:val="24"/>
        </w:rPr>
      </w:pPr>
      <w:bookmarkStart w:id="172" w:name="_Hlk164955325"/>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73" w:name="_1.8_计量单位"/>
      <w:bookmarkEnd w:id="173"/>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8"/>
        </w:numPr>
        <w:tabs>
          <w:tab w:val="left" w:pos="360"/>
        </w:tabs>
        <w:snapToGrid w:val="0"/>
        <w:spacing w:line="360" w:lineRule="auto"/>
        <w:ind w:left="357" w:hanging="357"/>
        <w:outlineLvl w:val="1"/>
        <w:rPr>
          <w:sz w:val="24"/>
        </w:rPr>
      </w:pPr>
      <w:bookmarkStart w:id="174" w:name="_Toc151193621"/>
      <w:bookmarkStart w:id="175" w:name="_Toc305158791"/>
      <w:bookmarkStart w:id="176" w:name="_Toc151193911"/>
      <w:bookmarkStart w:id="177" w:name="_Toc226337219"/>
      <w:bookmarkStart w:id="178" w:name="_Toc226309767"/>
      <w:bookmarkStart w:id="179" w:name="_Toc142311025"/>
      <w:bookmarkStart w:id="180" w:name="_Toc127151724"/>
      <w:bookmarkStart w:id="181" w:name="_Toc164229364"/>
      <w:bookmarkStart w:id="182" w:name="_Toc151193837"/>
      <w:bookmarkStart w:id="183" w:name="_Toc151193693"/>
      <w:bookmarkStart w:id="184" w:name="_Toc150480761"/>
      <w:bookmarkStart w:id="185" w:name="_Toc226965713"/>
      <w:bookmarkStart w:id="186" w:name="_Toc265228361"/>
      <w:bookmarkStart w:id="187" w:name="_Toc164608637"/>
      <w:bookmarkStart w:id="188" w:name="_Toc151193765"/>
      <w:bookmarkStart w:id="189" w:name="_Toc151190150"/>
      <w:bookmarkStart w:id="190" w:name="_Toc264969213"/>
      <w:bookmarkStart w:id="191" w:name="_Toc149720816"/>
      <w:bookmarkStart w:id="192" w:name="_Toc150509274"/>
      <w:bookmarkStart w:id="193" w:name="_Toc195842888"/>
      <w:bookmarkStart w:id="194" w:name="_Toc164608792"/>
      <w:bookmarkStart w:id="195" w:name="_Toc520356147"/>
      <w:bookmarkStart w:id="196" w:name="_Toc164351617"/>
      <w:bookmarkStart w:id="197" w:name="_Toc127151523"/>
      <w:bookmarkStart w:id="198" w:name="_Toc150774728"/>
      <w:bookmarkStart w:id="199" w:name="_Toc164229218"/>
      <w:bookmarkStart w:id="200" w:name="_Toc150774623"/>
      <w:bookmarkStart w:id="201" w:name="_Toc305158865"/>
      <w:bookmarkStart w:id="202" w:name="_Toc127161437"/>
      <w:bookmarkStart w:id="203" w:name="_Toc226965796"/>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04" w:name="_Toc516367020"/>
      <w:bookmarkStart w:id="205" w:name="_Toc264969216"/>
      <w:bookmarkStart w:id="206" w:name="_Toc151193840"/>
      <w:bookmarkStart w:id="207" w:name="_Toc265228364"/>
      <w:bookmarkStart w:id="208" w:name="_Toc150774731"/>
      <w:bookmarkStart w:id="209" w:name="_Toc226965716"/>
      <w:bookmarkStart w:id="210" w:name="_Toc151193914"/>
      <w:bookmarkStart w:id="211" w:name="_Toc151193696"/>
      <w:bookmarkStart w:id="212" w:name="_Toc305158868"/>
      <w:bookmarkStart w:id="213" w:name="_Toc226309770"/>
      <w:bookmarkStart w:id="214" w:name="_Toc150774626"/>
      <w:bookmarkStart w:id="215" w:name="_Toc151193768"/>
      <w:bookmarkStart w:id="216" w:name="_Toc150480764"/>
      <w:bookmarkStart w:id="217" w:name="_Toc151193624"/>
      <w:bookmarkStart w:id="218" w:name="_Toc195842891"/>
      <w:bookmarkStart w:id="219" w:name="_Toc151190153"/>
      <w:bookmarkStart w:id="220" w:name="_Toc127151526"/>
      <w:bookmarkStart w:id="221" w:name="_Toc226337222"/>
      <w:bookmarkStart w:id="222" w:name="_Toc305158794"/>
      <w:bookmarkStart w:id="223" w:name="_Toc520356150"/>
      <w:bookmarkStart w:id="224" w:name="_Toc142311028"/>
      <w:bookmarkStart w:id="225" w:name="_Toc226965799"/>
      <w:bookmarkStart w:id="226" w:name="_Toc150509277"/>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4"/>
      <w:r>
        <w:rPr>
          <w:rFonts w:ascii="Times New Roman" w:hAnsi="Times New Roman" w:eastAsia="宋体"/>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numPr>
          <w:ilvl w:val="0"/>
          <w:numId w:val="8"/>
        </w:numPr>
        <w:tabs>
          <w:tab w:val="left" w:pos="360"/>
        </w:tabs>
        <w:snapToGrid w:val="0"/>
        <w:spacing w:line="360" w:lineRule="auto"/>
        <w:ind w:left="357" w:hanging="357"/>
        <w:outlineLvl w:val="1"/>
        <w:rPr>
          <w:sz w:val="24"/>
        </w:rPr>
      </w:pPr>
      <w:bookmarkStart w:id="227" w:name="_Toc151193697"/>
      <w:bookmarkStart w:id="228" w:name="_Toc151193625"/>
      <w:bookmarkStart w:id="229" w:name="_Toc305158795"/>
      <w:bookmarkStart w:id="230" w:name="_Toc150774732"/>
      <w:bookmarkStart w:id="231" w:name="_Toc150774627"/>
      <w:bookmarkStart w:id="232" w:name="_Toc226337223"/>
      <w:bookmarkStart w:id="233" w:name="_Toc305158869"/>
      <w:bookmarkStart w:id="234" w:name="_Toc226965800"/>
      <w:bookmarkStart w:id="235" w:name="_Toc264969217"/>
      <w:bookmarkStart w:id="236" w:name="_Toc516367021"/>
      <w:bookmarkStart w:id="237" w:name="_Toc127161441"/>
      <w:bookmarkStart w:id="238" w:name="_Toc226309771"/>
      <w:bookmarkStart w:id="239" w:name="_Toc164229222"/>
      <w:bookmarkStart w:id="240" w:name="_Toc164229368"/>
      <w:bookmarkStart w:id="241" w:name="_Toc265228365"/>
      <w:bookmarkStart w:id="242" w:name="_Toc142311029"/>
      <w:bookmarkStart w:id="243" w:name="_Toc151193841"/>
      <w:bookmarkStart w:id="244" w:name="_Toc151193915"/>
      <w:bookmarkStart w:id="245" w:name="_Toc226965717"/>
      <w:bookmarkStart w:id="246" w:name="_Toc520356151"/>
      <w:bookmarkStart w:id="247" w:name="_Toc195842892"/>
      <w:bookmarkStart w:id="248" w:name="_Toc164351621"/>
      <w:bookmarkStart w:id="249" w:name="_Toc164608641"/>
      <w:bookmarkStart w:id="250" w:name="_Toc127151728"/>
      <w:bookmarkStart w:id="251" w:name="_Toc150509278"/>
      <w:bookmarkStart w:id="252" w:name="_Toc164608796"/>
      <w:bookmarkStart w:id="253" w:name="_Toc127151527"/>
      <w:bookmarkStart w:id="254" w:name="_Toc150480765"/>
      <w:bookmarkStart w:id="255" w:name="_Toc151190154"/>
      <w:bookmarkStart w:id="256" w:name="_Toc151193769"/>
      <w:bookmarkStart w:id="257" w:name="_Toc149720820"/>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58" w:name="_Ref467306195"/>
      <w:bookmarkStart w:id="259" w:name="_Toc516367022"/>
      <w:bookmarkStart w:id="260" w:name="_Ref467306676"/>
      <w:bookmarkStart w:id="261" w:name="_Toc151193698"/>
      <w:bookmarkStart w:id="262" w:name="_Toc150774628"/>
      <w:bookmarkStart w:id="263" w:name="_Toc150774733"/>
      <w:bookmarkStart w:id="264" w:name="_Toc226337224"/>
      <w:bookmarkStart w:id="265" w:name="_Toc149720821"/>
      <w:bookmarkStart w:id="266" w:name="_Toc264969218"/>
      <w:bookmarkStart w:id="267" w:name="_Toc226965718"/>
      <w:bookmarkStart w:id="268" w:name="_Toc164351622"/>
      <w:bookmarkStart w:id="269" w:name="_Toc195842893"/>
      <w:bookmarkStart w:id="270" w:name="_Toc127151528"/>
      <w:bookmarkStart w:id="271" w:name="_Toc150480766"/>
      <w:bookmarkStart w:id="272" w:name="_Toc151193626"/>
      <w:bookmarkStart w:id="273" w:name="_Toc127151729"/>
      <w:bookmarkStart w:id="274" w:name="_Toc151190155"/>
      <w:bookmarkStart w:id="275" w:name="_Toc305158870"/>
      <w:bookmarkStart w:id="276" w:name="_Toc151193770"/>
      <w:bookmarkStart w:id="277" w:name="_Toc226965801"/>
      <w:bookmarkStart w:id="278" w:name="_Toc305158796"/>
      <w:bookmarkStart w:id="279" w:name="_Toc164229223"/>
      <w:bookmarkStart w:id="280" w:name="_Toc150509279"/>
      <w:bookmarkStart w:id="281" w:name="_Toc265228366"/>
      <w:bookmarkStart w:id="282" w:name="_Toc151193842"/>
      <w:bookmarkStart w:id="283" w:name="_Toc151193916"/>
      <w:bookmarkStart w:id="284" w:name="_Toc226309772"/>
      <w:bookmarkStart w:id="285" w:name="_Toc142311030"/>
      <w:bookmarkStart w:id="286" w:name="_Toc520356152"/>
      <w:bookmarkStart w:id="287" w:name="_Toc164608642"/>
      <w:bookmarkStart w:id="288" w:name="_Toc127161442"/>
      <w:bookmarkStart w:id="289" w:name="_Toc164229369"/>
      <w:bookmarkStart w:id="290" w:name="_Toc164608797"/>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1"/>
          <w:numId w:val="8"/>
        </w:numPr>
        <w:tabs>
          <w:tab w:val="left" w:pos="1080"/>
          <w:tab w:val="left" w:pos="2014"/>
        </w:tabs>
        <w:snapToGrid w:val="0"/>
        <w:spacing w:line="360" w:lineRule="auto"/>
        <w:ind w:left="1076"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6"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6"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6"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6" w:hanging="720"/>
        <w:rPr>
          <w:sz w:val="24"/>
        </w:rPr>
      </w:pPr>
      <w:r>
        <w:rPr>
          <w:sz w:val="24"/>
        </w:rPr>
        <w:t>投标人认为应附的其他材料。</w:t>
      </w:r>
      <w:bookmarkEnd w:id="291"/>
    </w:p>
    <w:p>
      <w:pPr>
        <w:numPr>
          <w:ilvl w:val="0"/>
          <w:numId w:val="8"/>
        </w:numPr>
        <w:tabs>
          <w:tab w:val="left" w:pos="360"/>
        </w:tabs>
        <w:snapToGrid w:val="0"/>
        <w:spacing w:line="360" w:lineRule="auto"/>
        <w:ind w:left="357" w:hanging="357"/>
        <w:outlineLvl w:val="1"/>
        <w:rPr>
          <w:sz w:val="24"/>
        </w:rPr>
      </w:pPr>
      <w:bookmarkStart w:id="292" w:name="_Toc164608799"/>
      <w:bookmarkStart w:id="293" w:name="_Toc149720823"/>
      <w:bookmarkStart w:id="294" w:name="_Toc127161444"/>
      <w:bookmarkStart w:id="295" w:name="_Toc150480768"/>
      <w:bookmarkStart w:id="296" w:name="_Toc142311032"/>
      <w:bookmarkStart w:id="297" w:name="_Toc150774630"/>
      <w:bookmarkStart w:id="298" w:name="_Toc195842895"/>
      <w:bookmarkStart w:id="299" w:name="_Toc151193844"/>
      <w:bookmarkStart w:id="300" w:name="_Toc151193700"/>
      <w:bookmarkStart w:id="301" w:name="_Toc164229371"/>
      <w:bookmarkStart w:id="302" w:name="_Toc520356155"/>
      <w:bookmarkStart w:id="303" w:name="_Toc164229225"/>
      <w:bookmarkStart w:id="304" w:name="_Toc164608644"/>
      <w:bookmarkStart w:id="305" w:name="_Toc150774735"/>
      <w:bookmarkStart w:id="306" w:name="_Toc151193628"/>
      <w:bookmarkStart w:id="307" w:name="_Toc151193918"/>
      <w:bookmarkStart w:id="308" w:name="_Toc127151731"/>
      <w:bookmarkStart w:id="309" w:name="_Toc127151530"/>
      <w:bookmarkStart w:id="310" w:name="_Toc151193772"/>
      <w:bookmarkStart w:id="311" w:name="_Toc151190157"/>
      <w:bookmarkStart w:id="312" w:name="_Toc164351624"/>
      <w:bookmarkStart w:id="313" w:name="_Toc150509281"/>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numPr>
          <w:ilvl w:val="1"/>
          <w:numId w:val="8"/>
        </w:numPr>
        <w:tabs>
          <w:tab w:val="left" w:pos="1080"/>
          <w:tab w:val="left" w:pos="2014"/>
        </w:tabs>
        <w:snapToGrid w:val="0"/>
        <w:spacing w:line="360" w:lineRule="auto"/>
        <w:ind w:left="1076" w:hanging="720"/>
        <w:rPr>
          <w:sz w:val="24"/>
        </w:rPr>
      </w:pPr>
      <w:r>
        <w:rPr>
          <w:sz w:val="24"/>
        </w:rPr>
        <w:t>所有投标均以人民币</w:t>
      </w:r>
      <w:r>
        <w:rPr>
          <w:rFonts w:hint="eastAsia" w:eastAsia="宋体"/>
          <w:sz w:val="24"/>
        </w:rPr>
        <w:t>为计价货币</w:t>
      </w:r>
      <w:r>
        <w:rPr>
          <w:sz w:val="24"/>
        </w:rPr>
        <w:t>。</w:t>
      </w:r>
    </w:p>
    <w:p>
      <w:pPr>
        <w:numPr>
          <w:ilvl w:val="1"/>
          <w:numId w:val="8"/>
        </w:numPr>
        <w:tabs>
          <w:tab w:val="left" w:pos="1080"/>
          <w:tab w:val="left" w:pos="2014"/>
        </w:tabs>
        <w:snapToGrid w:val="0"/>
        <w:spacing w:line="360" w:lineRule="auto"/>
        <w:ind w:left="1076"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14" w:name="_Toc226337227"/>
      <w:bookmarkStart w:id="315" w:name="_Toc127151531"/>
      <w:bookmarkStart w:id="316" w:name="_Toc151193919"/>
      <w:bookmarkStart w:id="317" w:name="_Toc164608645"/>
      <w:bookmarkStart w:id="318" w:name="_Toc226309775"/>
      <w:bookmarkStart w:id="319" w:name="_Toc150774736"/>
      <w:bookmarkStart w:id="320" w:name="_Ref467306513"/>
      <w:bookmarkStart w:id="321" w:name="_Toc150509282"/>
      <w:bookmarkStart w:id="322" w:name="_Toc164229372"/>
      <w:bookmarkStart w:id="323" w:name="_Toc226965721"/>
      <w:bookmarkStart w:id="324" w:name="_Toc164608800"/>
      <w:bookmarkStart w:id="325" w:name="_Toc151193629"/>
      <w:bookmarkStart w:id="326" w:name="_Toc150774631"/>
      <w:bookmarkStart w:id="327" w:name="_Toc151190158"/>
      <w:bookmarkStart w:id="328" w:name="_Toc151193701"/>
      <w:bookmarkStart w:id="329" w:name="_Toc127151732"/>
      <w:bookmarkStart w:id="330" w:name="_Toc264969221"/>
      <w:bookmarkStart w:id="331" w:name="_Toc195842896"/>
      <w:bookmarkStart w:id="332" w:name="_Toc226965804"/>
      <w:bookmarkStart w:id="333" w:name="_Toc305158799"/>
      <w:bookmarkStart w:id="334" w:name="_Toc149720824"/>
      <w:bookmarkStart w:id="335" w:name="_Toc164229226"/>
      <w:bookmarkStart w:id="336" w:name="_Toc150480769"/>
      <w:bookmarkStart w:id="337" w:name="_Toc127161445"/>
      <w:bookmarkStart w:id="338" w:name="_Toc265228369"/>
      <w:bookmarkStart w:id="339" w:name="_Toc164351625"/>
      <w:bookmarkStart w:id="340" w:name="_Toc142311033"/>
      <w:bookmarkStart w:id="341" w:name="_Toc151193845"/>
      <w:bookmarkStart w:id="342" w:name="_Toc151193773"/>
      <w:bookmarkStart w:id="343" w:name="_Toc520356156"/>
      <w:bookmarkStart w:id="344" w:name="_Toc305158873"/>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numPr>
          <w:ilvl w:val="1"/>
          <w:numId w:val="8"/>
        </w:numPr>
        <w:tabs>
          <w:tab w:val="left" w:pos="1080"/>
          <w:tab w:val="left" w:pos="2014"/>
        </w:tabs>
        <w:snapToGrid w:val="0"/>
        <w:spacing w:line="360" w:lineRule="auto"/>
        <w:ind w:left="1076"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pPr>
        <w:numPr>
          <w:ilvl w:val="1"/>
          <w:numId w:val="8"/>
        </w:numPr>
        <w:tabs>
          <w:tab w:val="left" w:pos="1080"/>
          <w:tab w:val="left" w:pos="2014"/>
        </w:tabs>
        <w:snapToGrid w:val="0"/>
        <w:spacing w:line="360" w:lineRule="auto"/>
        <w:ind w:left="1076"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6"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6"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6"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6" w:hanging="720"/>
        <w:rPr>
          <w:sz w:val="24"/>
        </w:rPr>
      </w:pPr>
      <w:r>
        <w:rPr>
          <w:sz w:val="24"/>
        </w:rPr>
        <w:t>采购人、采购代理机构将及时退还投标人的投标保证金，</w:t>
      </w:r>
      <w:r>
        <w:rPr>
          <w:rFonts w:eastAsia="宋体"/>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6"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47" w:name="_Toc164229227"/>
      <w:bookmarkStart w:id="348" w:name="_Toc142311034"/>
      <w:bookmarkStart w:id="349" w:name="_Toc164351626"/>
      <w:bookmarkStart w:id="350" w:name="_Toc151193702"/>
      <w:bookmarkStart w:id="351" w:name="_Toc520356157"/>
      <w:bookmarkStart w:id="352" w:name="_Toc305158874"/>
      <w:bookmarkStart w:id="353" w:name="_Toc264969222"/>
      <w:bookmarkStart w:id="354" w:name="_Toc226965805"/>
      <w:bookmarkStart w:id="355" w:name="_Toc305158800"/>
      <w:bookmarkStart w:id="356" w:name="_Toc265228370"/>
      <w:bookmarkStart w:id="357" w:name="_Toc195842897"/>
      <w:bookmarkStart w:id="358" w:name="_Toc164608801"/>
      <w:bookmarkStart w:id="359" w:name="_Toc226965722"/>
      <w:bookmarkStart w:id="360" w:name="_Toc127151532"/>
      <w:bookmarkStart w:id="361" w:name="_Toc151193630"/>
      <w:bookmarkStart w:id="362" w:name="_Toc151193846"/>
      <w:bookmarkStart w:id="363" w:name="_Toc150774737"/>
      <w:bookmarkStart w:id="364" w:name="_Toc150480770"/>
      <w:bookmarkStart w:id="365" w:name="_Toc164608646"/>
      <w:bookmarkStart w:id="366" w:name="_Toc151193920"/>
      <w:bookmarkStart w:id="367" w:name="_Toc226309776"/>
      <w:bookmarkStart w:id="368" w:name="_Toc164229373"/>
      <w:bookmarkStart w:id="369" w:name="_Toc151190159"/>
      <w:bookmarkStart w:id="370" w:name="_Toc127151733"/>
      <w:bookmarkStart w:id="371" w:name="_Toc150509283"/>
      <w:bookmarkStart w:id="372" w:name="_Toc150774632"/>
      <w:bookmarkStart w:id="373" w:name="_Toc151193774"/>
      <w:bookmarkStart w:id="374" w:name="_Toc127161446"/>
      <w:bookmarkStart w:id="375" w:name="_Toc149720825"/>
      <w:bookmarkStart w:id="376" w:name="_Toc226337228"/>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numPr>
          <w:ilvl w:val="1"/>
          <w:numId w:val="8"/>
        </w:numPr>
        <w:tabs>
          <w:tab w:val="left" w:pos="1080"/>
          <w:tab w:val="left" w:pos="2014"/>
        </w:tabs>
        <w:snapToGrid w:val="0"/>
        <w:spacing w:line="360" w:lineRule="auto"/>
        <w:ind w:left="1076"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77" w:name="_Toc164229374"/>
      <w:bookmarkStart w:id="378" w:name="_Toc226337229"/>
      <w:bookmarkStart w:id="379" w:name="_Toc142311035"/>
      <w:bookmarkStart w:id="380" w:name="_Toc127151734"/>
      <w:bookmarkStart w:id="381" w:name="_Toc127161447"/>
      <w:bookmarkStart w:id="382" w:name="_Toc226965723"/>
      <w:bookmarkStart w:id="383" w:name="_Toc151193847"/>
      <w:bookmarkStart w:id="384" w:name="_Toc305158801"/>
      <w:bookmarkStart w:id="385" w:name="_Toc226309777"/>
      <w:bookmarkStart w:id="386" w:name="_Toc151193775"/>
      <w:bookmarkStart w:id="387" w:name="_Toc150509284"/>
      <w:bookmarkStart w:id="388" w:name="_Toc151193921"/>
      <w:bookmarkStart w:id="389" w:name="_Toc127151533"/>
      <w:bookmarkStart w:id="390" w:name="_Toc264969223"/>
      <w:bookmarkStart w:id="391" w:name="_Toc164229228"/>
      <w:bookmarkStart w:id="392" w:name="_Toc265228371"/>
      <w:bookmarkStart w:id="393" w:name="_Toc164351627"/>
      <w:bookmarkStart w:id="394" w:name="_Toc520356158"/>
      <w:bookmarkStart w:id="395" w:name="_Toc226965806"/>
      <w:bookmarkStart w:id="396" w:name="_Toc151193631"/>
      <w:bookmarkStart w:id="397" w:name="_Toc164608647"/>
      <w:bookmarkStart w:id="398" w:name="_Toc150774633"/>
      <w:bookmarkStart w:id="399" w:name="_Toc150774738"/>
      <w:bookmarkStart w:id="400" w:name="_Toc149720826"/>
      <w:bookmarkStart w:id="401" w:name="_Toc195842898"/>
      <w:bookmarkStart w:id="402" w:name="_Toc150480771"/>
      <w:bookmarkStart w:id="403" w:name="_Toc164608802"/>
      <w:bookmarkStart w:id="404" w:name="_Toc151193703"/>
      <w:bookmarkStart w:id="405" w:name="_Toc151190160"/>
      <w:bookmarkStart w:id="406" w:name="_Toc305158875"/>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pPr>
        <w:numPr>
          <w:ilvl w:val="1"/>
          <w:numId w:val="8"/>
        </w:numPr>
        <w:tabs>
          <w:tab w:val="left" w:pos="1080"/>
          <w:tab w:val="left" w:pos="2014"/>
        </w:tabs>
        <w:snapToGrid w:val="0"/>
        <w:spacing w:line="360" w:lineRule="auto"/>
        <w:ind w:left="1076" w:hanging="720"/>
        <w:rPr>
          <w:sz w:val="24"/>
        </w:rPr>
      </w:pPr>
      <w:bookmarkStart w:id="407" w:name="_Toc226965807"/>
      <w:bookmarkStart w:id="408" w:name="_Toc226965724"/>
      <w:bookmarkStart w:id="409" w:name="_Toc226337230"/>
      <w:bookmarkStart w:id="410" w:name="_Toc305158802"/>
      <w:bookmarkStart w:id="411" w:name="_Toc150774634"/>
      <w:bookmarkStart w:id="412" w:name="_Toc226309778"/>
      <w:bookmarkStart w:id="413" w:name="_Toc151193776"/>
      <w:bookmarkStart w:id="414" w:name="_Toc150509285"/>
      <w:bookmarkStart w:id="415" w:name="_Toc150774739"/>
      <w:bookmarkStart w:id="416" w:name="_Toc142311036"/>
      <w:bookmarkStart w:id="417" w:name="_Toc151190161"/>
      <w:bookmarkStart w:id="418" w:name="_Toc151193922"/>
      <w:bookmarkStart w:id="419" w:name="_Toc264969224"/>
      <w:bookmarkStart w:id="420" w:name="_Toc520356159"/>
      <w:bookmarkStart w:id="421" w:name="_Toc151193632"/>
      <w:bookmarkStart w:id="422" w:name="_Toc195842899"/>
      <w:bookmarkStart w:id="423" w:name="_Toc151193704"/>
      <w:bookmarkStart w:id="424" w:name="_Toc265228372"/>
      <w:bookmarkStart w:id="425" w:name="_Toc127151534"/>
      <w:bookmarkStart w:id="426" w:name="_Toc151193848"/>
      <w:bookmarkStart w:id="427" w:name="_Toc305158876"/>
      <w:bookmarkStart w:id="428" w:name="_Toc150480772"/>
      <w:r>
        <w:rPr>
          <w:rFonts w:hint="eastAsia"/>
          <w:sz w:val="24"/>
        </w:rPr>
        <w:t>供应商应按投标文件正本1份，副本4份，电子文档1份（采用U盘，均应包含纸质投标文件全部内容（每份电子版中均应含 word 等可编辑文件与投标文件盖章扫描后的 pdf 文件各1份，投标文件包括的其他电子文档也应包含在内）准备投标文件</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sz w:val="24"/>
        </w:rPr>
        <w:t>招标文件要求盖章的内容，加盖供应商单位公章</w:t>
      </w:r>
      <w:r>
        <w:rPr>
          <w:sz w:val="24"/>
        </w:rPr>
        <w:t>。</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numPr>
          <w:ilvl w:val="0"/>
          <w:numId w:val="8"/>
        </w:numPr>
        <w:tabs>
          <w:tab w:val="left" w:pos="360"/>
        </w:tabs>
        <w:snapToGrid w:val="0"/>
        <w:spacing w:line="360" w:lineRule="auto"/>
        <w:ind w:left="357" w:hanging="357"/>
        <w:outlineLvl w:val="1"/>
        <w:rPr>
          <w:sz w:val="24"/>
        </w:rPr>
      </w:pPr>
      <w:bookmarkStart w:id="429" w:name="_Toc151193633"/>
      <w:bookmarkStart w:id="430" w:name="_Toc195842900"/>
      <w:bookmarkStart w:id="431" w:name="_Toc164351629"/>
      <w:bookmarkStart w:id="432" w:name="_Toc264969225"/>
      <w:bookmarkStart w:id="433" w:name="_Toc151193705"/>
      <w:bookmarkStart w:id="434" w:name="_Toc127151736"/>
      <w:bookmarkStart w:id="435" w:name="_Toc164229230"/>
      <w:bookmarkStart w:id="436" w:name="_Toc265228373"/>
      <w:bookmarkStart w:id="437" w:name="_Toc226965808"/>
      <w:bookmarkStart w:id="438" w:name="_Toc305158803"/>
      <w:bookmarkStart w:id="439" w:name="_Toc164608649"/>
      <w:bookmarkStart w:id="440" w:name="_Toc151193849"/>
      <w:bookmarkStart w:id="441" w:name="_Toc150480773"/>
      <w:bookmarkStart w:id="442" w:name="_Toc164608804"/>
      <w:bookmarkStart w:id="443" w:name="_Toc150774635"/>
      <w:bookmarkStart w:id="444" w:name="_Toc305158877"/>
      <w:bookmarkStart w:id="445" w:name="_Toc164229376"/>
      <w:bookmarkStart w:id="446" w:name="_Toc151193923"/>
      <w:bookmarkStart w:id="447" w:name="_Toc151193777"/>
      <w:bookmarkStart w:id="448" w:name="_Toc226337231"/>
      <w:bookmarkStart w:id="449" w:name="_Toc226965725"/>
      <w:bookmarkStart w:id="450" w:name="_Toc127151535"/>
      <w:bookmarkStart w:id="451" w:name="_Toc149720828"/>
      <w:bookmarkStart w:id="452" w:name="_Toc150509286"/>
      <w:bookmarkStart w:id="453" w:name="_Toc142311037"/>
      <w:bookmarkStart w:id="454" w:name="_Toc226309779"/>
      <w:bookmarkStart w:id="455" w:name="_Toc151190162"/>
      <w:bookmarkStart w:id="456" w:name="_Toc150774740"/>
      <w:bookmarkStart w:id="457" w:name="_Toc127161449"/>
      <w:bookmarkStart w:id="458" w:name="_Toc520356160"/>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pPr>
        <w:numPr>
          <w:ilvl w:val="1"/>
          <w:numId w:val="8"/>
        </w:numPr>
        <w:tabs>
          <w:tab w:val="left" w:pos="1080"/>
          <w:tab w:val="left" w:pos="2014"/>
        </w:tabs>
        <w:snapToGrid w:val="0"/>
        <w:spacing w:line="360" w:lineRule="auto"/>
        <w:ind w:left="1076" w:hanging="720"/>
        <w:rPr>
          <w:sz w:val="24"/>
        </w:rPr>
      </w:pPr>
      <w:r>
        <w:rPr>
          <w:rFonts w:hint="eastAsia" w:ascii="宋体"/>
          <w:sz w:val="24"/>
        </w:rPr>
        <w:t>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sz w:val="24"/>
        </w:rPr>
        <w:t>为方便开标唱标，供应商应当将 “开标一览表”单独密封，并在包装袋/箱上标明“开标一览表”字样，在投标时单独递交。“开标一览表”中报价应当与投标文件正本报价相一致，若不一致则以“开标一览表”价格为准</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ascii="宋体" w:cs="宋体"/>
          <w:sz w:val="24"/>
        </w:rPr>
        <w:t>为方便核查投标保证金，供应商应当将“投标保证金”单独密封，并在包装袋/箱上标明 “投标保证金”字样，在投标时单独递交。</w:t>
      </w:r>
    </w:p>
    <w:p>
      <w:pPr>
        <w:numPr>
          <w:ilvl w:val="1"/>
          <w:numId w:val="8"/>
        </w:numPr>
        <w:tabs>
          <w:tab w:val="left" w:pos="1080"/>
          <w:tab w:val="left" w:pos="2014"/>
        </w:tabs>
        <w:snapToGrid w:val="0"/>
        <w:spacing w:line="360" w:lineRule="auto"/>
        <w:ind w:left="1076" w:hanging="720"/>
        <w:rPr>
          <w:sz w:val="24"/>
        </w:rPr>
      </w:pPr>
      <w:r>
        <w:rPr>
          <w:rFonts w:hint="eastAsia" w:ascii="宋体" w:cs="宋体"/>
          <w:sz w:val="24"/>
        </w:rPr>
        <w:t>在第15.1、第 15.2、第 15.3规定的及其他有关包装袋/箱上均应当清楚标明递交至招标公告或投标邀请书中指明的地址。</w:t>
      </w:r>
    </w:p>
    <w:p>
      <w:pPr>
        <w:numPr>
          <w:ilvl w:val="1"/>
          <w:numId w:val="8"/>
        </w:numPr>
        <w:tabs>
          <w:tab w:val="left" w:pos="1080"/>
          <w:tab w:val="left" w:pos="2014"/>
        </w:tabs>
        <w:snapToGrid w:val="0"/>
        <w:spacing w:line="360" w:lineRule="auto"/>
        <w:ind w:left="1076" w:hanging="720"/>
        <w:rPr>
          <w:sz w:val="24"/>
        </w:rPr>
      </w:pPr>
      <w:r>
        <w:rPr>
          <w:rFonts w:hint="eastAsia" w:ascii="宋体" w:cs="宋体"/>
          <w:sz w:val="24"/>
        </w:rPr>
        <w:t>注明招标公告或投标邀请书中指明的服务名称、招标编号、包号（如有）和“在（投标截止时间）之前不得启封”的字样。</w:t>
      </w:r>
    </w:p>
    <w:p>
      <w:pPr>
        <w:numPr>
          <w:ilvl w:val="1"/>
          <w:numId w:val="8"/>
        </w:numPr>
        <w:tabs>
          <w:tab w:val="left" w:pos="1080"/>
          <w:tab w:val="left" w:pos="2014"/>
        </w:tabs>
        <w:snapToGrid w:val="0"/>
        <w:spacing w:line="360" w:lineRule="auto"/>
        <w:ind w:left="1076" w:hanging="720"/>
        <w:rPr>
          <w:sz w:val="24"/>
        </w:rPr>
      </w:pPr>
      <w:r>
        <w:rPr>
          <w:rFonts w:hint="eastAsia" w:ascii="宋体" w:cs="宋体"/>
          <w:sz w:val="24"/>
        </w:rPr>
        <w:t>所有包装袋/箱上还应当写明供应商名称和地址，以便其投标被宣布为“迟到”投标时，能原封退回。</w:t>
      </w:r>
    </w:p>
    <w:p>
      <w:pPr>
        <w:numPr>
          <w:ilvl w:val="1"/>
          <w:numId w:val="8"/>
        </w:numPr>
        <w:tabs>
          <w:tab w:val="left" w:pos="1080"/>
          <w:tab w:val="left" w:pos="2014"/>
        </w:tabs>
        <w:snapToGrid w:val="0"/>
        <w:spacing w:line="360" w:lineRule="auto"/>
        <w:ind w:left="1076" w:hanging="720"/>
        <w:rPr>
          <w:sz w:val="24"/>
        </w:rPr>
      </w:pPr>
      <w:r>
        <w:rPr>
          <w:rFonts w:hint="eastAsia" w:ascii="宋体" w:cs="宋体"/>
          <w:sz w:val="24"/>
        </w:rPr>
        <w:t>如果供应商未按上述要求密封及加写标记，招标采购单位对投标文件的误投或过早启封概不负责，其投标属于无效投标。</w:t>
      </w:r>
    </w:p>
    <w:p>
      <w:pPr>
        <w:numPr>
          <w:ilvl w:val="0"/>
          <w:numId w:val="8"/>
        </w:numPr>
        <w:tabs>
          <w:tab w:val="left" w:pos="360"/>
        </w:tabs>
        <w:snapToGrid w:val="0"/>
        <w:spacing w:line="360" w:lineRule="auto"/>
        <w:ind w:left="357" w:hanging="357"/>
        <w:outlineLvl w:val="1"/>
        <w:rPr>
          <w:sz w:val="24"/>
        </w:rPr>
      </w:pPr>
      <w:bookmarkStart w:id="459" w:name="_Toc151193850"/>
      <w:bookmarkStart w:id="460" w:name="_Toc142311038"/>
      <w:bookmarkStart w:id="461" w:name="_Toc305158804"/>
      <w:bookmarkStart w:id="462" w:name="_Toc164608805"/>
      <w:bookmarkStart w:id="463" w:name="_Toc226309780"/>
      <w:bookmarkStart w:id="464" w:name="_Toc127151536"/>
      <w:bookmarkStart w:id="465" w:name="_Toc149720829"/>
      <w:bookmarkStart w:id="466" w:name="_Toc226337232"/>
      <w:bookmarkStart w:id="467" w:name="_Toc265228374"/>
      <w:bookmarkStart w:id="468" w:name="_Toc164229377"/>
      <w:bookmarkStart w:id="469" w:name="_Toc151193924"/>
      <w:bookmarkStart w:id="470" w:name="_Toc164351630"/>
      <w:bookmarkStart w:id="471" w:name="_Toc150774636"/>
      <w:bookmarkStart w:id="472" w:name="_Toc305158878"/>
      <w:bookmarkStart w:id="473" w:name="_Toc226965726"/>
      <w:bookmarkStart w:id="474" w:name="_Toc151193706"/>
      <w:bookmarkStart w:id="475" w:name="_Toc164608650"/>
      <w:bookmarkStart w:id="476" w:name="_Toc150509287"/>
      <w:bookmarkStart w:id="477" w:name="_Toc150480774"/>
      <w:bookmarkStart w:id="478" w:name="_Toc150774741"/>
      <w:bookmarkStart w:id="479" w:name="_Toc226965809"/>
      <w:bookmarkStart w:id="480" w:name="_Toc127161450"/>
      <w:bookmarkStart w:id="481" w:name="_Toc151193634"/>
      <w:bookmarkStart w:id="482" w:name="_Toc127151737"/>
      <w:bookmarkStart w:id="483" w:name="_Toc520356161"/>
      <w:bookmarkStart w:id="484" w:name="_Toc164229231"/>
      <w:bookmarkStart w:id="485" w:name="_Toc151190163"/>
      <w:bookmarkStart w:id="486" w:name="_Toc195842901"/>
      <w:bookmarkStart w:id="487" w:name="_Toc151193778"/>
      <w:bookmarkStart w:id="488" w:name="_Toc264969226"/>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pPr>
        <w:numPr>
          <w:ilvl w:val="1"/>
          <w:numId w:val="8"/>
        </w:numPr>
        <w:tabs>
          <w:tab w:val="left" w:pos="1080"/>
          <w:tab w:val="left" w:pos="2014"/>
        </w:tabs>
        <w:snapToGrid w:val="0"/>
        <w:spacing w:line="360" w:lineRule="auto"/>
        <w:ind w:left="1076" w:hanging="720"/>
        <w:rPr>
          <w:sz w:val="24"/>
        </w:rPr>
      </w:pPr>
      <w:r>
        <w:rPr>
          <w:rFonts w:hint="eastAsia" w:ascii="宋体"/>
          <w:sz w:val="24"/>
        </w:rPr>
        <w:t>供应商应在招标公告或投标邀请书中规定的截止日期和时间内，将投标文件递交招标采购单位，递交地点应是招标公告或投标邀请书中规定的地址</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ascii="宋体"/>
          <w:sz w:val="24"/>
        </w:rPr>
        <w:t>招标采购单位有权按本须知的规定，通过修改招标文件延长投标截止时间。在此情况下，招标采购单位和供应商受投标截止时间制约的所有权利和义务均应当延长至新的截止期。</w:t>
      </w:r>
    </w:p>
    <w:p>
      <w:pPr>
        <w:numPr>
          <w:ilvl w:val="1"/>
          <w:numId w:val="8"/>
        </w:numPr>
        <w:tabs>
          <w:tab w:val="left" w:pos="1080"/>
          <w:tab w:val="left" w:pos="2014"/>
        </w:tabs>
        <w:snapToGrid w:val="0"/>
        <w:spacing w:line="360" w:lineRule="auto"/>
        <w:ind w:left="1076" w:hanging="720"/>
        <w:rPr>
          <w:sz w:val="24"/>
        </w:rPr>
      </w:pPr>
      <w:r>
        <w:rPr>
          <w:rFonts w:hint="eastAsia" w:ascii="宋体" w:cs="仿宋"/>
          <w:sz w:val="24"/>
        </w:rPr>
        <w:t>拒收情形：招标采购单位将拒绝接收并原封退回在本须知规定的投标截止时间后送达的任何投标文件。</w:t>
      </w:r>
    </w:p>
    <w:p>
      <w:pPr>
        <w:numPr>
          <w:ilvl w:val="0"/>
          <w:numId w:val="8"/>
        </w:numPr>
        <w:tabs>
          <w:tab w:val="left" w:pos="360"/>
        </w:tabs>
        <w:snapToGrid w:val="0"/>
        <w:spacing w:line="360" w:lineRule="auto"/>
        <w:ind w:left="357" w:hanging="357"/>
        <w:outlineLvl w:val="1"/>
        <w:rPr>
          <w:sz w:val="24"/>
        </w:rPr>
      </w:pPr>
      <w:bookmarkStart w:id="489" w:name="_Toc164351631"/>
      <w:bookmarkStart w:id="490" w:name="_Toc164229378"/>
      <w:bookmarkStart w:id="491" w:name="_Toc151190164"/>
      <w:bookmarkStart w:id="492" w:name="_Toc226965810"/>
      <w:bookmarkStart w:id="493" w:name="_Toc226965727"/>
      <w:bookmarkStart w:id="494" w:name="_Toc164229232"/>
      <w:bookmarkStart w:id="495" w:name="_Toc305158805"/>
      <w:bookmarkStart w:id="496" w:name="_Toc151193851"/>
      <w:bookmarkStart w:id="497" w:name="_Toc150480775"/>
      <w:bookmarkStart w:id="498" w:name="_Toc151193707"/>
      <w:bookmarkStart w:id="499" w:name="_Toc150774742"/>
      <w:bookmarkStart w:id="500" w:name="_Toc226337233"/>
      <w:bookmarkStart w:id="501" w:name="_Toc127151537"/>
      <w:bookmarkStart w:id="502" w:name="_Toc195842902"/>
      <w:bookmarkStart w:id="503" w:name="_Toc520356162"/>
      <w:bookmarkStart w:id="504" w:name="_Toc264969227"/>
      <w:bookmarkStart w:id="505" w:name="_Toc142311039"/>
      <w:bookmarkStart w:id="506" w:name="_Toc150774637"/>
      <w:bookmarkStart w:id="507" w:name="_Toc127151738"/>
      <w:bookmarkStart w:id="508" w:name="_Toc151193635"/>
      <w:bookmarkStart w:id="509" w:name="_Toc151193779"/>
      <w:bookmarkStart w:id="510" w:name="_Toc149720830"/>
      <w:bookmarkStart w:id="511" w:name="_Toc305158879"/>
      <w:bookmarkStart w:id="512" w:name="_Toc151193925"/>
      <w:bookmarkStart w:id="513" w:name="_Toc150509288"/>
      <w:bookmarkStart w:id="514" w:name="_Toc265228375"/>
      <w:bookmarkStart w:id="515" w:name="_Toc127161451"/>
      <w:bookmarkStart w:id="516" w:name="_Toc226309781"/>
      <w:bookmarkStart w:id="517" w:name="_Toc164608806"/>
      <w:bookmarkStart w:id="518" w:name="_Toc164608651"/>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numPr>
          <w:ilvl w:val="1"/>
          <w:numId w:val="8"/>
        </w:numPr>
        <w:tabs>
          <w:tab w:val="left" w:pos="1080"/>
          <w:tab w:val="left" w:pos="2014"/>
        </w:tabs>
        <w:snapToGrid w:val="0"/>
        <w:spacing w:line="360" w:lineRule="auto"/>
        <w:ind w:left="1076" w:hanging="720"/>
        <w:rPr>
          <w:sz w:val="24"/>
        </w:rPr>
      </w:pPr>
      <w:r>
        <w:rPr>
          <w:rFonts w:hint="eastAsia" w:ascii="宋体"/>
          <w:sz w:val="24"/>
        </w:rPr>
        <w:t>供应商在投标截止时间前，可以对所递交的投标文件进行补充、修改或者撤回，并书面通知招标采购单位。补充、修改的内容应当按招标文件要求签署、盖章，并作为投标文件的组成部分</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sz w:val="24"/>
        </w:rPr>
        <w:t>投标截止时间后，供应商不得对其投标文件做任何修改</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sz w:val="24"/>
        </w:rPr>
        <w:t>投标截止后，供应商不得撤销其投标，否则其投标保证金将按照本须知的规定不予退还。</w:t>
      </w:r>
    </w:p>
    <w:p>
      <w:pPr>
        <w:spacing w:line="360" w:lineRule="auto"/>
        <w:rPr>
          <w:sz w:val="24"/>
        </w:rPr>
      </w:pPr>
    </w:p>
    <w:p>
      <w:pPr>
        <w:pStyle w:val="4"/>
        <w:spacing w:before="0" w:line="360" w:lineRule="auto"/>
        <w:rPr>
          <w:rFonts w:ascii="Times New Roman" w:hAnsi="Times New Roman" w:eastAsia="宋体"/>
          <w:sz w:val="28"/>
        </w:rPr>
      </w:pPr>
      <w:bookmarkStart w:id="519" w:name="_Toc226309782"/>
      <w:bookmarkStart w:id="520" w:name="_Toc150480776"/>
      <w:bookmarkStart w:id="521" w:name="_Toc264969228"/>
      <w:bookmarkStart w:id="522" w:name="_Toc520356163"/>
      <w:bookmarkStart w:id="523" w:name="_Toc127151538"/>
      <w:bookmarkStart w:id="524" w:name="_Toc305158806"/>
      <w:bookmarkStart w:id="525" w:name="_Toc142311040"/>
      <w:bookmarkStart w:id="526" w:name="_Toc151193780"/>
      <w:bookmarkStart w:id="527" w:name="_Toc151193636"/>
      <w:bookmarkStart w:id="528" w:name="_Toc305158880"/>
      <w:bookmarkStart w:id="529" w:name="_Toc226965728"/>
      <w:bookmarkStart w:id="530" w:name="_Toc226337234"/>
      <w:bookmarkStart w:id="531" w:name="_Toc151190165"/>
      <w:bookmarkStart w:id="532" w:name="_Toc151193926"/>
      <w:bookmarkStart w:id="533" w:name="_Toc265228376"/>
      <w:bookmarkStart w:id="534" w:name="_Toc195842903"/>
      <w:bookmarkStart w:id="535" w:name="_Toc150774743"/>
      <w:bookmarkStart w:id="536" w:name="_Toc150774638"/>
      <w:bookmarkStart w:id="537" w:name="_Toc226965811"/>
      <w:bookmarkStart w:id="538" w:name="_Toc151193852"/>
      <w:bookmarkStart w:id="539" w:name="_Toc150509289"/>
      <w:bookmarkStart w:id="540" w:name="_Toc151193708"/>
      <w:r>
        <w:rPr>
          <w:rFonts w:ascii="Times New Roman" w:hAnsi="Times New Roman" w:eastAsia="宋体"/>
          <w:sz w:val="28"/>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numPr>
          <w:ilvl w:val="0"/>
          <w:numId w:val="8"/>
        </w:numPr>
        <w:tabs>
          <w:tab w:val="left" w:pos="360"/>
        </w:tabs>
        <w:snapToGrid w:val="0"/>
        <w:spacing w:line="360" w:lineRule="auto"/>
        <w:ind w:left="357" w:hanging="357"/>
        <w:outlineLvl w:val="1"/>
        <w:rPr>
          <w:sz w:val="24"/>
        </w:rPr>
      </w:pPr>
      <w:bookmarkStart w:id="541" w:name="_Toc150480777"/>
      <w:bookmarkStart w:id="542" w:name="_Toc226965729"/>
      <w:bookmarkStart w:id="543" w:name="_Toc150774744"/>
      <w:bookmarkStart w:id="544" w:name="_Toc226309783"/>
      <w:bookmarkStart w:id="545" w:name="_Toc127161453"/>
      <w:bookmarkStart w:id="546" w:name="_Toc150774639"/>
      <w:bookmarkStart w:id="547" w:name="_Toc149720832"/>
      <w:bookmarkStart w:id="548" w:name="_Toc151193637"/>
      <w:bookmarkStart w:id="549" w:name="_Toc164229234"/>
      <w:bookmarkStart w:id="550" w:name="_Toc305158807"/>
      <w:bookmarkStart w:id="551" w:name="_Toc164351633"/>
      <w:bookmarkStart w:id="552" w:name="_Toc151193927"/>
      <w:bookmarkStart w:id="553" w:name="_Toc265228377"/>
      <w:bookmarkStart w:id="554" w:name="_Toc305158881"/>
      <w:bookmarkStart w:id="555" w:name="_Toc151190166"/>
      <w:bookmarkStart w:id="556" w:name="_Toc520356164"/>
      <w:bookmarkStart w:id="557" w:name="_Toc127151539"/>
      <w:bookmarkStart w:id="558" w:name="_Toc164608653"/>
      <w:bookmarkStart w:id="559" w:name="_Toc127151740"/>
      <w:bookmarkStart w:id="560" w:name="_Toc164229380"/>
      <w:bookmarkStart w:id="561" w:name="_Toc195842904"/>
      <w:bookmarkStart w:id="562" w:name="_Toc151193709"/>
      <w:bookmarkStart w:id="563" w:name="_Toc164608808"/>
      <w:bookmarkStart w:id="564" w:name="_Toc264969229"/>
      <w:bookmarkStart w:id="565" w:name="_Toc142311041"/>
      <w:bookmarkStart w:id="566" w:name="_Toc226965812"/>
      <w:bookmarkStart w:id="567" w:name="_Toc150509290"/>
      <w:bookmarkStart w:id="568" w:name="_Toc226337235"/>
      <w:bookmarkStart w:id="569" w:name="_Toc151193781"/>
      <w:bookmarkStart w:id="570" w:name="_Toc151193853"/>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numPr>
          <w:ilvl w:val="1"/>
          <w:numId w:val="8"/>
        </w:numPr>
        <w:tabs>
          <w:tab w:val="left" w:pos="1080"/>
          <w:tab w:val="left" w:pos="2014"/>
        </w:tabs>
        <w:snapToGrid w:val="0"/>
        <w:spacing w:line="360" w:lineRule="auto"/>
        <w:ind w:left="1076"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6" w:hanging="720"/>
        <w:rPr>
          <w:sz w:val="24"/>
        </w:rPr>
      </w:pPr>
      <w:r>
        <w:rPr>
          <w:rFonts w:hint="eastAsia" w:ascii="宋体"/>
          <w:sz w:val="24"/>
        </w:rPr>
        <w:t>开标时邀请所有供应商代表、采购人和有关方面代表参加。参加开标的代表应签名报到以证明其出席</w:t>
      </w:r>
      <w:r>
        <w:rPr>
          <w:sz w:val="24"/>
        </w:rPr>
        <w:t>。</w:t>
      </w:r>
    </w:p>
    <w:p>
      <w:pPr>
        <w:numPr>
          <w:ilvl w:val="1"/>
          <w:numId w:val="8"/>
        </w:numPr>
        <w:tabs>
          <w:tab w:val="left" w:pos="1080"/>
          <w:tab w:val="left" w:pos="2014"/>
        </w:tabs>
        <w:snapToGrid w:val="0"/>
        <w:spacing w:line="360" w:lineRule="auto"/>
        <w:ind w:left="1076" w:hanging="720"/>
        <w:rPr>
          <w:sz w:val="24"/>
        </w:rPr>
      </w:pPr>
      <w:bookmarkStart w:id="571" w:name="_Hlk143533942"/>
      <w:bookmarkStart w:id="572" w:name="_Toc520356165"/>
      <w:r>
        <w:rPr>
          <w:rFonts w:hint="eastAsia" w:ascii="宋体" w:cs="仿宋"/>
          <w:sz w:val="24"/>
        </w:rPr>
        <w:t>开标时，由供应商或者其推选的代表检查投标文件的密封情况，也可以由采购人委托的、公证机构检查并公证；经确认无误后，由招标代理单位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sz w:val="24"/>
        </w:rPr>
        <w:t>。</w:t>
      </w:r>
      <w:bookmarkEnd w:id="571"/>
    </w:p>
    <w:p>
      <w:pPr>
        <w:numPr>
          <w:ilvl w:val="1"/>
          <w:numId w:val="8"/>
        </w:numPr>
        <w:tabs>
          <w:tab w:val="left" w:pos="1080"/>
          <w:tab w:val="left" w:pos="2014"/>
        </w:tabs>
        <w:snapToGrid w:val="0"/>
        <w:spacing w:line="360" w:lineRule="auto"/>
        <w:ind w:left="1076" w:hanging="720"/>
        <w:rPr>
          <w:sz w:val="24"/>
        </w:rPr>
      </w:pPr>
      <w:r>
        <w:rPr>
          <w:rFonts w:hint="eastAsia" w:ascii="宋体" w:cs="仿宋"/>
          <w:sz w:val="24"/>
        </w:rPr>
        <w:t>除了按照本须知的规定原封退回迟到的投标文件之外，招标采购单位开标时不得拒绝任何投标截止时间前的投标</w:t>
      </w:r>
      <w:r>
        <w:rPr>
          <w:sz w:val="24"/>
        </w:rPr>
        <w:t>。</w:t>
      </w:r>
    </w:p>
    <w:p>
      <w:pPr>
        <w:numPr>
          <w:ilvl w:val="1"/>
          <w:numId w:val="8"/>
        </w:numPr>
        <w:tabs>
          <w:tab w:val="left" w:pos="1080"/>
          <w:tab w:val="left" w:pos="2014"/>
        </w:tabs>
        <w:snapToGrid w:val="0"/>
        <w:spacing w:line="360" w:lineRule="auto"/>
        <w:ind w:left="1076" w:hanging="720"/>
        <w:rPr>
          <w:sz w:val="24"/>
        </w:rPr>
      </w:pPr>
      <w:r>
        <w:rPr>
          <w:rFonts w:hint="eastAsia"/>
          <w:sz w:val="24"/>
        </w:rPr>
        <w:t>招标采购单位将对开标过程做开标记录，由供应商授权代表签字确认。</w:t>
      </w:r>
    </w:p>
    <w:p>
      <w:pPr>
        <w:numPr>
          <w:ilvl w:val="1"/>
          <w:numId w:val="8"/>
        </w:numPr>
        <w:tabs>
          <w:tab w:val="left" w:pos="1080"/>
          <w:tab w:val="left" w:pos="2014"/>
        </w:tabs>
        <w:snapToGrid w:val="0"/>
        <w:spacing w:line="360" w:lineRule="auto"/>
        <w:ind w:left="1076" w:hanging="720"/>
        <w:rPr>
          <w:sz w:val="24"/>
        </w:rPr>
      </w:pPr>
      <w:r>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8"/>
        </w:numPr>
        <w:tabs>
          <w:tab w:val="left" w:pos="1080"/>
          <w:tab w:val="left" w:pos="2014"/>
        </w:tabs>
        <w:snapToGrid w:val="0"/>
        <w:spacing w:line="360" w:lineRule="auto"/>
        <w:ind w:left="1076"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6" w:hanging="720"/>
        <w:rPr>
          <w:sz w:val="24"/>
        </w:rPr>
      </w:pPr>
      <w:r>
        <w:rPr>
          <w:sz w:val="24"/>
        </w:rPr>
        <w:t>见第三章《资格审查》。</w:t>
      </w:r>
    </w:p>
    <w:bookmarkEnd w:id="572"/>
    <w:p>
      <w:pPr>
        <w:numPr>
          <w:ilvl w:val="0"/>
          <w:numId w:val="8"/>
        </w:numPr>
        <w:tabs>
          <w:tab w:val="left" w:pos="360"/>
        </w:tabs>
        <w:snapToGrid w:val="0"/>
        <w:spacing w:line="360" w:lineRule="auto"/>
        <w:ind w:left="357" w:hanging="357"/>
        <w:outlineLvl w:val="1"/>
        <w:rPr>
          <w:sz w:val="24"/>
        </w:rPr>
      </w:pPr>
      <w:bookmarkStart w:id="573" w:name="_Toc164608809"/>
      <w:bookmarkStart w:id="574" w:name="_Toc150509291"/>
      <w:bookmarkStart w:id="575" w:name="_Toc226337236"/>
      <w:bookmarkStart w:id="576" w:name="_Toc127151741"/>
      <w:bookmarkStart w:id="577" w:name="_Toc150480778"/>
      <w:bookmarkStart w:id="578" w:name="_Toc305158808"/>
      <w:bookmarkStart w:id="579" w:name="_Toc265228378"/>
      <w:bookmarkStart w:id="580" w:name="_Toc226309784"/>
      <w:bookmarkStart w:id="581" w:name="_Toc150774745"/>
      <w:bookmarkStart w:id="582" w:name="_Toc151190167"/>
      <w:bookmarkStart w:id="583" w:name="_Toc127161454"/>
      <w:bookmarkStart w:id="584" w:name="_Toc164351634"/>
      <w:bookmarkStart w:id="585" w:name="_Toc151193928"/>
      <w:bookmarkStart w:id="586" w:name="_Toc151193710"/>
      <w:bookmarkStart w:id="587" w:name="_Toc149720833"/>
      <w:bookmarkStart w:id="588" w:name="_Toc150774640"/>
      <w:bookmarkStart w:id="589" w:name="_Toc226965813"/>
      <w:bookmarkStart w:id="590" w:name="_Toc151193854"/>
      <w:bookmarkStart w:id="591" w:name="_Toc305158882"/>
      <w:bookmarkStart w:id="592" w:name="_Toc164229235"/>
      <w:bookmarkStart w:id="593" w:name="_Toc151193638"/>
      <w:bookmarkStart w:id="594" w:name="_Toc164229381"/>
      <w:bookmarkStart w:id="595" w:name="_Toc151193782"/>
      <w:bookmarkStart w:id="596" w:name="_Toc226965730"/>
      <w:bookmarkStart w:id="597" w:name="_Toc164608654"/>
      <w:bookmarkStart w:id="598" w:name="_Toc195842905"/>
      <w:bookmarkStart w:id="599" w:name="_Toc127151540"/>
      <w:bookmarkStart w:id="600" w:name="_Toc264969230"/>
      <w:bookmarkStart w:id="601" w:name="_Toc142311042"/>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numPr>
          <w:ilvl w:val="1"/>
          <w:numId w:val="8"/>
        </w:numPr>
        <w:tabs>
          <w:tab w:val="left" w:pos="1080"/>
          <w:tab w:val="left" w:pos="2014"/>
        </w:tabs>
        <w:snapToGrid w:val="0"/>
        <w:spacing w:line="360" w:lineRule="auto"/>
        <w:ind w:left="1076" w:hanging="720"/>
        <w:rPr>
          <w:sz w:val="24"/>
        </w:rPr>
      </w:pPr>
      <w:r>
        <w:rPr>
          <w:sz w:val="24"/>
        </w:rPr>
        <w:t>评标委员会根据政府采购有关规定和本次采购项目的特点进行组建，并负责具体评标事务，独立履行职责。</w:t>
      </w:r>
      <w:bookmarkStart w:id="602" w:name="_Toc520356166"/>
    </w:p>
    <w:p>
      <w:pPr>
        <w:numPr>
          <w:ilvl w:val="1"/>
          <w:numId w:val="8"/>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6"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04" w:name="_Toc151193859"/>
      <w:bookmarkStart w:id="605" w:name="_Toc151193715"/>
      <w:bookmarkStart w:id="606" w:name="_Toc151190172"/>
      <w:bookmarkStart w:id="607" w:name="_Toc226309789"/>
      <w:bookmarkStart w:id="608" w:name="_Toc151193787"/>
      <w:bookmarkStart w:id="609" w:name="_Toc150480783"/>
      <w:bookmarkStart w:id="610" w:name="_Toc305158887"/>
      <w:bookmarkStart w:id="611" w:name="_Toc151193643"/>
      <w:bookmarkStart w:id="612" w:name="_Toc150774750"/>
      <w:bookmarkStart w:id="613" w:name="_Toc305158813"/>
      <w:bookmarkStart w:id="614" w:name="_Toc265228383"/>
      <w:bookmarkStart w:id="615" w:name="_Toc226337241"/>
      <w:bookmarkStart w:id="616" w:name="_Toc150774645"/>
      <w:bookmarkStart w:id="617" w:name="_Toc142311047"/>
      <w:bookmarkStart w:id="618" w:name="_Toc226965735"/>
      <w:bookmarkStart w:id="619" w:name="_Toc151193933"/>
      <w:bookmarkStart w:id="620" w:name="_Toc264969235"/>
      <w:bookmarkStart w:id="621" w:name="_Toc226965818"/>
      <w:bookmarkStart w:id="622" w:name="_Toc127151545"/>
      <w:bookmarkStart w:id="623" w:name="_Toc195842910"/>
      <w:bookmarkStart w:id="624" w:name="_Toc150509296"/>
      <w:r>
        <w:rPr>
          <w:rFonts w:ascii="Times New Roman" w:hAnsi="Times New Roman" w:eastAsia="宋体"/>
          <w:sz w:val="28"/>
        </w:rPr>
        <w:t xml:space="preserve">六   </w:t>
      </w:r>
      <w:bookmarkEnd w:id="603"/>
      <w:r>
        <w:rPr>
          <w:rFonts w:ascii="Times New Roman" w:hAnsi="Times New Roman" w:eastAsia="宋体"/>
          <w:sz w:val="28"/>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226309791"/>
      <w:bookmarkStart w:id="626" w:name="_Toc151190174"/>
      <w:bookmarkStart w:id="627" w:name="_Toc305158889"/>
      <w:bookmarkStart w:id="628" w:name="_Toc127151547"/>
      <w:bookmarkStart w:id="629" w:name="_Toc150480785"/>
      <w:bookmarkStart w:id="630" w:name="_Toc151193645"/>
      <w:bookmarkStart w:id="631" w:name="_Toc226337243"/>
      <w:bookmarkStart w:id="632" w:name="_Toc142311049"/>
      <w:bookmarkStart w:id="633" w:name="_Toc127151748"/>
      <w:bookmarkStart w:id="634" w:name="_Toc151193861"/>
      <w:bookmarkStart w:id="635" w:name="_Toc151193789"/>
      <w:bookmarkStart w:id="636" w:name="_Toc151193717"/>
      <w:bookmarkStart w:id="637" w:name="_Toc149720840"/>
      <w:bookmarkStart w:id="638" w:name="_Toc164351641"/>
      <w:bookmarkStart w:id="639" w:name="_Toc264969237"/>
      <w:bookmarkStart w:id="640" w:name="_Toc150509298"/>
      <w:bookmarkStart w:id="641" w:name="_Toc164608816"/>
      <w:bookmarkStart w:id="642" w:name="_Toc150774752"/>
      <w:bookmarkStart w:id="643" w:name="_Toc305158815"/>
      <w:bookmarkStart w:id="644" w:name="_Toc151193935"/>
      <w:bookmarkStart w:id="645" w:name="_Toc164608661"/>
      <w:bookmarkStart w:id="646" w:name="_Toc127161461"/>
      <w:bookmarkStart w:id="647" w:name="_Toc150774647"/>
      <w:bookmarkStart w:id="648" w:name="_Toc226965820"/>
      <w:bookmarkStart w:id="649" w:name="_Toc164229388"/>
      <w:bookmarkStart w:id="650" w:name="_Toc265228385"/>
      <w:bookmarkStart w:id="651" w:name="_Toc195842912"/>
      <w:bookmarkStart w:id="652" w:name="_Toc226965737"/>
      <w:bookmarkStart w:id="653" w:name="_Toc164229242"/>
    </w:p>
    <w:p>
      <w:pPr>
        <w:numPr>
          <w:ilvl w:val="0"/>
          <w:numId w:val="8"/>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numPr>
          <w:ilvl w:val="1"/>
          <w:numId w:val="8"/>
        </w:numPr>
        <w:tabs>
          <w:tab w:val="left" w:pos="1080"/>
          <w:tab w:val="left" w:pos="2014"/>
        </w:tabs>
        <w:snapToGrid w:val="0"/>
        <w:spacing w:line="360" w:lineRule="auto"/>
        <w:ind w:left="1076"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宋体"/>
          <w:sz w:val="24"/>
        </w:rPr>
        <w:t>采购人是否</w:t>
      </w:r>
      <w:r>
        <w:rPr>
          <w:sz w:val="24"/>
        </w:rPr>
        <w:t>委托评标委员会</w:t>
      </w:r>
      <w:r>
        <w:rPr>
          <w:rFonts w:eastAsia="宋体"/>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54" w:name="_Toc305158891"/>
      <w:bookmarkStart w:id="655" w:name="_Toc305158817"/>
      <w:bookmarkStart w:id="656" w:name="_Toc150509300"/>
      <w:bookmarkStart w:id="657" w:name="_Toc164229244"/>
      <w:bookmarkStart w:id="658" w:name="_Toc265228387"/>
      <w:bookmarkStart w:id="659" w:name="_Toc195842914"/>
      <w:bookmarkStart w:id="660" w:name="_Toc164608663"/>
      <w:bookmarkStart w:id="661" w:name="_Toc226965739"/>
      <w:bookmarkStart w:id="662" w:name="_Toc151190176"/>
      <w:bookmarkStart w:id="663" w:name="_Toc151193647"/>
      <w:bookmarkStart w:id="664" w:name="_Toc164229390"/>
      <w:bookmarkStart w:id="665" w:name="_Toc150774754"/>
      <w:bookmarkStart w:id="666" w:name="_Toc226309793"/>
      <w:bookmarkStart w:id="667" w:name="_Toc164608818"/>
      <w:bookmarkStart w:id="668" w:name="_Toc127151549"/>
      <w:bookmarkStart w:id="669" w:name="_Toc226965822"/>
      <w:bookmarkStart w:id="670" w:name="_Toc127161463"/>
      <w:bookmarkStart w:id="671" w:name="_Toc151193791"/>
      <w:bookmarkStart w:id="672" w:name="_Toc127151750"/>
      <w:bookmarkStart w:id="673" w:name="_Toc150774649"/>
      <w:bookmarkStart w:id="674" w:name="_Toc151193719"/>
      <w:bookmarkStart w:id="675" w:name="_Toc164351643"/>
      <w:bookmarkStart w:id="676" w:name="_Toc264969239"/>
      <w:bookmarkStart w:id="677" w:name="_Toc151193937"/>
      <w:bookmarkStart w:id="678" w:name="_Toc150480787"/>
      <w:bookmarkStart w:id="679" w:name="_Toc142311051"/>
      <w:bookmarkStart w:id="680" w:name="_Toc226337245"/>
      <w:bookmarkStart w:id="681" w:name="_Toc151193863"/>
      <w:bookmarkStart w:id="682" w:name="_Toc149720842"/>
      <w:bookmarkStart w:id="683" w:name="_Ref467307090"/>
      <w:bookmarkStart w:id="684" w:name="_Ref467306425"/>
      <w:bookmarkStart w:id="685" w:name="_Toc520356176"/>
      <w:r>
        <w:rPr>
          <w:sz w:val="24"/>
        </w:rPr>
        <w:t>中标公告与中标通知书</w:t>
      </w:r>
      <w:bookmarkEnd w:id="654"/>
      <w:bookmarkEnd w:id="655"/>
    </w:p>
    <w:p>
      <w:pPr>
        <w:numPr>
          <w:ilvl w:val="1"/>
          <w:numId w:val="8"/>
        </w:numPr>
        <w:tabs>
          <w:tab w:val="left" w:pos="1080"/>
          <w:tab w:val="left" w:pos="2014"/>
        </w:tabs>
        <w:snapToGrid w:val="0"/>
        <w:spacing w:line="360" w:lineRule="auto"/>
        <w:ind w:left="1076"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中国政府采购网、</w:t>
      </w:r>
      <w:r>
        <w:rPr>
          <w:color w:val="000000"/>
          <w:kern w:val="0"/>
          <w:sz w:val="24"/>
        </w:rPr>
        <w:t>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6"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6"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rFonts w:ascii="宋体"/>
          <w:sz w:val="24"/>
        </w:rPr>
        <w:t>投标人的</w:t>
      </w:r>
      <w:r>
        <w:rPr>
          <w:rFonts w:hint="eastAsia" w:ascii="宋体"/>
          <w:sz w:val="24"/>
        </w:rPr>
        <w:t>报价不是固定唯一报价；</w:t>
      </w:r>
    </w:p>
    <w:p>
      <w:pPr>
        <w:numPr>
          <w:ilvl w:val="2"/>
          <w:numId w:val="8"/>
        </w:numPr>
        <w:snapToGrid w:val="0"/>
        <w:spacing w:line="360" w:lineRule="auto"/>
        <w:rPr>
          <w:sz w:val="24"/>
        </w:rPr>
      </w:pPr>
      <w:r>
        <w:rPr>
          <w:rFonts w:hint="eastAsia" w:ascii="宋体"/>
          <w:sz w:val="24"/>
        </w:rPr>
        <w:t>应交而未交/未足额交纳/未按招标文件规定形式交纳投标保证金的；</w:t>
      </w:r>
    </w:p>
    <w:p>
      <w:pPr>
        <w:numPr>
          <w:ilvl w:val="2"/>
          <w:numId w:val="8"/>
        </w:numPr>
        <w:snapToGrid w:val="0"/>
        <w:spacing w:line="360" w:lineRule="auto"/>
        <w:rPr>
          <w:sz w:val="24"/>
        </w:rPr>
      </w:pPr>
      <w:r>
        <w:rPr>
          <w:rFonts w:hint="eastAsia" w:ascii="宋体"/>
          <w:sz w:val="24"/>
        </w:rPr>
        <w:t>未按照招标文件规定要求密封、签署、盖章的；</w:t>
      </w:r>
    </w:p>
    <w:p>
      <w:pPr>
        <w:numPr>
          <w:ilvl w:val="2"/>
          <w:numId w:val="8"/>
        </w:numPr>
        <w:snapToGrid w:val="0"/>
        <w:spacing w:line="360" w:lineRule="auto"/>
        <w:rPr>
          <w:sz w:val="24"/>
        </w:rPr>
      </w:pPr>
      <w:r>
        <w:rPr>
          <w:rFonts w:hint="eastAsia" w:ascii="宋体"/>
          <w:sz w:val="24"/>
        </w:rPr>
        <w:t>不具备招标文件中规定资格要求的；</w:t>
      </w:r>
    </w:p>
    <w:p>
      <w:pPr>
        <w:numPr>
          <w:ilvl w:val="2"/>
          <w:numId w:val="8"/>
        </w:numPr>
        <w:snapToGrid w:val="0"/>
        <w:spacing w:line="360" w:lineRule="auto"/>
        <w:rPr>
          <w:sz w:val="24"/>
        </w:rPr>
      </w:pPr>
      <w:r>
        <w:rPr>
          <w:rFonts w:hint="eastAsia" w:ascii="宋体"/>
          <w:sz w:val="24"/>
        </w:rPr>
        <w:t>投标有限期未体现或不足的；</w:t>
      </w:r>
    </w:p>
    <w:p>
      <w:pPr>
        <w:numPr>
          <w:ilvl w:val="2"/>
          <w:numId w:val="8"/>
        </w:numPr>
        <w:snapToGrid w:val="0"/>
        <w:spacing w:line="360" w:lineRule="auto"/>
        <w:rPr>
          <w:sz w:val="24"/>
        </w:rPr>
      </w:pPr>
      <w:r>
        <w:rPr>
          <w:rFonts w:hint="eastAsia" w:ascii="宋体"/>
          <w:sz w:val="24"/>
        </w:rPr>
        <w:t>投标文件内容不全、图片或字迹模糊辨认不清，导致投标文件不满足招标文件实质性要求的；</w:t>
      </w:r>
    </w:p>
    <w:p>
      <w:pPr>
        <w:numPr>
          <w:ilvl w:val="2"/>
          <w:numId w:val="8"/>
        </w:numPr>
        <w:snapToGrid w:val="0"/>
        <w:spacing w:line="360" w:lineRule="auto"/>
        <w:rPr>
          <w:sz w:val="24"/>
        </w:rPr>
      </w:pPr>
      <w:r>
        <w:rPr>
          <w:rFonts w:hint="eastAsia" w:ascii="宋体"/>
          <w:sz w:val="24"/>
        </w:rPr>
        <w:t>投标文件中提供虚假或失实材料的；</w:t>
      </w:r>
    </w:p>
    <w:p>
      <w:pPr>
        <w:numPr>
          <w:ilvl w:val="2"/>
          <w:numId w:val="8"/>
        </w:numPr>
        <w:snapToGrid w:val="0"/>
        <w:spacing w:line="360" w:lineRule="auto"/>
        <w:rPr>
          <w:sz w:val="24"/>
        </w:rPr>
      </w:pPr>
      <w:r>
        <w:rPr>
          <w:sz w:val="24"/>
        </w:rPr>
        <w:t>因重大变故，采购任务取消的</w:t>
      </w:r>
    </w:p>
    <w:p>
      <w:pPr>
        <w:numPr>
          <w:ilvl w:val="2"/>
          <w:numId w:val="8"/>
        </w:numPr>
        <w:snapToGrid w:val="0"/>
        <w:spacing w:line="360" w:lineRule="auto"/>
        <w:rPr>
          <w:sz w:val="24"/>
        </w:rPr>
      </w:pPr>
      <w:r>
        <w:rPr>
          <w:rFonts w:hint="eastAsia" w:ascii="宋体"/>
          <w:sz w:val="24"/>
        </w:rPr>
        <w:t>不符合法律、法规和招标文件中规定的其他实质性要求的</w:t>
      </w:r>
      <w:r>
        <w:rPr>
          <w:sz w:val="24"/>
        </w:rPr>
        <w:t>。</w:t>
      </w:r>
    </w:p>
    <w:p>
      <w:pPr>
        <w:numPr>
          <w:ilvl w:val="1"/>
          <w:numId w:val="8"/>
        </w:numPr>
        <w:tabs>
          <w:tab w:val="left" w:pos="1080"/>
          <w:tab w:val="left" w:pos="2014"/>
        </w:tabs>
        <w:snapToGrid w:val="0"/>
        <w:spacing w:line="360" w:lineRule="auto"/>
        <w:ind w:left="1076" w:hanging="720"/>
        <w:rPr>
          <w:sz w:val="24"/>
        </w:rPr>
      </w:pPr>
      <w:r>
        <w:rPr>
          <w:sz w:val="24"/>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Pr>
        <w:numPr>
          <w:ilvl w:val="0"/>
          <w:numId w:val="8"/>
        </w:numPr>
        <w:tabs>
          <w:tab w:val="left" w:pos="360"/>
        </w:tabs>
        <w:snapToGrid w:val="0"/>
        <w:spacing w:line="360" w:lineRule="auto"/>
        <w:ind w:left="357" w:hanging="357"/>
        <w:outlineLvl w:val="1"/>
        <w:rPr>
          <w:sz w:val="24"/>
        </w:rPr>
      </w:pPr>
      <w:bookmarkStart w:id="686" w:name="_Toc150509301"/>
      <w:bookmarkStart w:id="687" w:name="_Toc151193864"/>
      <w:bookmarkStart w:id="688" w:name="_Toc164229391"/>
      <w:bookmarkStart w:id="689" w:name="_Toc151190177"/>
      <w:bookmarkStart w:id="690" w:name="_Toc164608819"/>
      <w:bookmarkStart w:id="691" w:name="_Toc226337246"/>
      <w:bookmarkStart w:id="692" w:name="_Toc305158892"/>
      <w:bookmarkStart w:id="693" w:name="_Toc151193648"/>
      <w:bookmarkStart w:id="694" w:name="_Toc195842915"/>
      <w:bookmarkStart w:id="695" w:name="_Ref467306978"/>
      <w:bookmarkStart w:id="696" w:name="_Toc127151550"/>
      <w:bookmarkStart w:id="697" w:name="_Toc265228388"/>
      <w:bookmarkStart w:id="698" w:name="_Ref467306377"/>
      <w:bookmarkStart w:id="699" w:name="_Toc305158818"/>
      <w:bookmarkStart w:id="700" w:name="_Toc142311052"/>
      <w:bookmarkStart w:id="701" w:name="_Toc150774755"/>
      <w:bookmarkStart w:id="702" w:name="_Toc520356175"/>
      <w:bookmarkStart w:id="703" w:name="_Toc127151751"/>
      <w:bookmarkStart w:id="704" w:name="_Toc164608664"/>
      <w:bookmarkStart w:id="705" w:name="_Toc264969240"/>
      <w:bookmarkStart w:id="706" w:name="_Toc226965823"/>
      <w:bookmarkStart w:id="707" w:name="_Toc164229245"/>
      <w:bookmarkStart w:id="708" w:name="_Toc226309794"/>
      <w:bookmarkStart w:id="709" w:name="_Toc151193938"/>
      <w:bookmarkStart w:id="710" w:name="_Toc151193720"/>
      <w:bookmarkStart w:id="711" w:name="_Toc127161464"/>
      <w:bookmarkStart w:id="712" w:name="_Toc150774650"/>
      <w:bookmarkStart w:id="713" w:name="_Toc150480788"/>
      <w:bookmarkStart w:id="714" w:name="_Toc164351644"/>
      <w:bookmarkStart w:id="715" w:name="_Toc151193792"/>
      <w:bookmarkStart w:id="716" w:name="_Toc149720843"/>
      <w:bookmarkStart w:id="717" w:name="_Ref467307062"/>
      <w:bookmarkStart w:id="718" w:name="_Toc226965740"/>
      <w:bookmarkStart w:id="719" w:name="_Ref467307204"/>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numPr>
          <w:ilvl w:val="1"/>
          <w:numId w:val="8"/>
        </w:numPr>
        <w:tabs>
          <w:tab w:val="left" w:pos="1080"/>
          <w:tab w:val="left" w:pos="2014"/>
        </w:tabs>
        <w:snapToGrid w:val="0"/>
        <w:spacing w:line="360" w:lineRule="auto"/>
        <w:ind w:left="1076"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6"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6"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6" w:hanging="720"/>
        <w:rPr>
          <w:sz w:val="24"/>
        </w:rPr>
      </w:pPr>
      <w:r>
        <w:rPr>
          <w:sz w:val="24"/>
        </w:rPr>
        <w:t>政府采购合同不能转包。</w:t>
      </w:r>
    </w:p>
    <w:p>
      <w:pPr>
        <w:numPr>
          <w:ilvl w:val="1"/>
          <w:numId w:val="8"/>
        </w:numPr>
        <w:tabs>
          <w:tab w:val="left" w:pos="1080"/>
          <w:tab w:val="left" w:pos="2014"/>
        </w:tabs>
        <w:snapToGrid w:val="0"/>
        <w:spacing w:line="360" w:lineRule="auto"/>
        <w:ind w:left="1076"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6" w:hanging="720"/>
        <w:rPr>
          <w:sz w:val="24"/>
        </w:rPr>
      </w:pPr>
      <w:r>
        <w:rPr>
          <w:sz w:val="24"/>
        </w:rPr>
        <w:t>“政采贷”融资指引：详见</w:t>
      </w:r>
      <w:r>
        <w:rPr>
          <w:rFonts w:eastAsia="宋体"/>
          <w:sz w:val="24"/>
        </w:rPr>
        <w:t>《投标人须知资料表》。</w:t>
      </w:r>
    </w:p>
    <w:bookmarkEnd w:id="683"/>
    <w:bookmarkEnd w:id="684"/>
    <w:bookmarkEnd w:id="685"/>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6" w:hanging="720"/>
        <w:rPr>
          <w:sz w:val="24"/>
        </w:rPr>
      </w:pPr>
      <w:r>
        <w:rPr>
          <w:sz w:val="24"/>
        </w:rPr>
        <w:t>询问</w:t>
      </w:r>
    </w:p>
    <w:p>
      <w:pPr>
        <w:numPr>
          <w:ilvl w:val="2"/>
          <w:numId w:val="8"/>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6"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6"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6"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21" w:name="_Toc265228392"/>
      <w:bookmarkStart w:id="722" w:name="_Toc353873664"/>
      <w:bookmarkStart w:id="723" w:name="_Toc127151554"/>
      <w:bookmarkStart w:id="724" w:name="_Toc226337250"/>
      <w:bookmarkStart w:id="725" w:name="_Toc264969244"/>
      <w:bookmarkStart w:id="726" w:name="_Toc226965827"/>
      <w:bookmarkStart w:id="727" w:name="_Toc353873934"/>
      <w:bookmarkStart w:id="728" w:name="_Toc150480792"/>
      <w:bookmarkStart w:id="729" w:name="_Toc150774759"/>
      <w:bookmarkStart w:id="730" w:name="_Toc142311056"/>
      <w:bookmarkStart w:id="731" w:name="_Toc305158822"/>
      <w:bookmarkStart w:id="732" w:name="_Toc305158896"/>
      <w:bookmarkStart w:id="733" w:name="_Toc353825544"/>
      <w:r>
        <w:rPr>
          <w:sz w:val="24"/>
        </w:rPr>
        <w:br w:type="page"/>
      </w:r>
      <w:bookmarkStart w:id="734" w:name="_Toc99301421"/>
      <w:r>
        <w:rPr>
          <w:b/>
          <w:sz w:val="36"/>
          <w:szCs w:val="36"/>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End w:id="734"/>
      <w:bookmarkStart w:id="735" w:name="_Toc487900382"/>
    </w:p>
    <w:p>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pPr>
        <w:numPr>
          <w:ilvl w:val="0"/>
          <w:numId w:val="11"/>
        </w:numPr>
        <w:tabs>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pPr>
              <w:tabs>
                <w:tab w:val="left" w:pos="1080"/>
              </w:tabs>
              <w:snapToGrid w:val="0"/>
              <w:jc w:val="center"/>
              <w:rPr>
                <w:b/>
                <w:sz w:val="24"/>
              </w:rPr>
            </w:pPr>
            <w:bookmarkStart w:id="738" w:name="_Hlt487972895"/>
            <w:bookmarkEnd w:id="738"/>
            <w:bookmarkStart w:id="739" w:name="_Hlk143693460"/>
            <w:r>
              <w:rPr>
                <w:b/>
                <w:sz w:val="24"/>
              </w:rPr>
              <w:t>序号</w:t>
            </w:r>
          </w:p>
        </w:tc>
        <w:tc>
          <w:tcPr>
            <w:tcW w:w="1934" w:type="dxa"/>
            <w:vAlign w:val="center"/>
          </w:tcPr>
          <w:p>
            <w:pPr>
              <w:tabs>
                <w:tab w:val="left" w:pos="1080"/>
              </w:tabs>
              <w:snapToGrid w:val="0"/>
              <w:jc w:val="center"/>
              <w:rPr>
                <w:b/>
                <w:sz w:val="24"/>
              </w:rPr>
            </w:pPr>
            <w:r>
              <w:rPr>
                <w:b/>
                <w:sz w:val="24"/>
              </w:rPr>
              <w:t>审查因素</w:t>
            </w:r>
          </w:p>
        </w:tc>
        <w:tc>
          <w:tcPr>
            <w:tcW w:w="4705" w:type="dxa"/>
            <w:vAlign w:val="center"/>
          </w:tcPr>
          <w:p>
            <w:pPr>
              <w:tabs>
                <w:tab w:val="left" w:pos="1080"/>
              </w:tabs>
              <w:snapToGrid w:val="0"/>
              <w:jc w:val="center"/>
              <w:rPr>
                <w:b/>
                <w:sz w:val="24"/>
              </w:rPr>
            </w:pPr>
            <w:r>
              <w:rPr>
                <w:b/>
                <w:sz w:val="24"/>
              </w:rPr>
              <w:t>审查内容</w:t>
            </w:r>
          </w:p>
        </w:tc>
        <w:tc>
          <w:tcPr>
            <w:tcW w:w="159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w:t>
            </w:r>
          </w:p>
        </w:tc>
        <w:tc>
          <w:tcPr>
            <w:tcW w:w="1934" w:type="dxa"/>
            <w:vAlign w:val="center"/>
          </w:tcPr>
          <w:p>
            <w:pPr>
              <w:tabs>
                <w:tab w:val="left" w:pos="1080"/>
              </w:tabs>
              <w:snapToGrid w:val="0"/>
              <w:rPr>
                <w:sz w:val="24"/>
              </w:rPr>
            </w:pPr>
            <w:r>
              <w:rPr>
                <w:sz w:val="24"/>
              </w:rPr>
              <w:t>满足《中华人民共和国政府采购法》第二十二条规定</w:t>
            </w:r>
          </w:p>
        </w:tc>
        <w:tc>
          <w:tcPr>
            <w:tcW w:w="4705" w:type="dxa"/>
            <w:vAlign w:val="center"/>
          </w:tcPr>
          <w:p>
            <w:pPr>
              <w:tabs>
                <w:tab w:val="left" w:pos="1080"/>
              </w:tabs>
              <w:snapToGrid w:val="0"/>
              <w:rPr>
                <w:sz w:val="24"/>
              </w:rPr>
            </w:pPr>
            <w:r>
              <w:rPr>
                <w:sz w:val="24"/>
              </w:rPr>
              <w:t>具体规定见第一章《投标邀请》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1-1</w:t>
            </w:r>
          </w:p>
        </w:tc>
        <w:tc>
          <w:tcPr>
            <w:tcW w:w="1934" w:type="dxa"/>
            <w:vAlign w:val="center"/>
          </w:tcPr>
          <w:p>
            <w:pPr>
              <w:tabs>
                <w:tab w:val="left" w:pos="1080"/>
              </w:tabs>
              <w:snapToGrid w:val="0"/>
              <w:rPr>
                <w:sz w:val="24"/>
              </w:rPr>
            </w:pPr>
            <w:r>
              <w:rPr>
                <w:sz w:val="24"/>
              </w:rPr>
              <w:t>营业执照等证明文件</w:t>
            </w:r>
          </w:p>
        </w:tc>
        <w:tc>
          <w:tcPr>
            <w:tcW w:w="4705"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pPr>
              <w:tabs>
                <w:tab w:val="left" w:pos="1080"/>
              </w:tabs>
              <w:snapToGrid w:val="0"/>
              <w:rPr>
                <w:sz w:val="24"/>
              </w:rPr>
            </w:pPr>
            <w:r>
              <w:rPr>
                <w:sz w:val="24"/>
              </w:rPr>
              <w:t>提供证明文件的</w:t>
            </w:r>
            <w:r>
              <w:rPr>
                <w:rFonts w:hint="eastAsia"/>
                <w:sz w:val="24"/>
              </w:rPr>
              <w:t>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1-2</w:t>
            </w:r>
          </w:p>
        </w:tc>
        <w:tc>
          <w:tcPr>
            <w:tcW w:w="1934" w:type="dxa"/>
            <w:vAlign w:val="center"/>
          </w:tcPr>
          <w:p>
            <w:pPr>
              <w:tabs>
                <w:tab w:val="left" w:pos="1080"/>
              </w:tabs>
              <w:snapToGrid w:val="0"/>
              <w:rPr>
                <w:sz w:val="24"/>
              </w:rPr>
            </w:pPr>
            <w:r>
              <w:rPr>
                <w:sz w:val="24"/>
              </w:rPr>
              <w:t>投标人资格声明书</w:t>
            </w:r>
          </w:p>
        </w:tc>
        <w:tc>
          <w:tcPr>
            <w:tcW w:w="4705" w:type="dxa"/>
            <w:vAlign w:val="center"/>
          </w:tcPr>
          <w:p>
            <w:pPr>
              <w:tabs>
                <w:tab w:val="left" w:pos="1080"/>
              </w:tabs>
              <w:snapToGrid w:val="0"/>
              <w:rPr>
                <w:sz w:val="24"/>
              </w:rPr>
            </w:pPr>
            <w:r>
              <w:rPr>
                <w:sz w:val="24"/>
              </w:rPr>
              <w:t>提供了符合招标文件要求的《投标人资格声明书》。</w:t>
            </w:r>
          </w:p>
        </w:tc>
        <w:tc>
          <w:tcPr>
            <w:tcW w:w="159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1-3</w:t>
            </w:r>
          </w:p>
        </w:tc>
        <w:tc>
          <w:tcPr>
            <w:tcW w:w="1934" w:type="dxa"/>
            <w:vAlign w:val="center"/>
          </w:tcPr>
          <w:p>
            <w:pPr>
              <w:tabs>
                <w:tab w:val="left" w:pos="1080"/>
              </w:tabs>
              <w:snapToGrid w:val="0"/>
              <w:rPr>
                <w:sz w:val="24"/>
              </w:rPr>
            </w:pPr>
            <w:r>
              <w:rPr>
                <w:sz w:val="24"/>
              </w:rPr>
              <w:t>投标人信用记录</w:t>
            </w:r>
          </w:p>
        </w:tc>
        <w:tc>
          <w:tcPr>
            <w:tcW w:w="4705"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w:t>
            </w:r>
            <w:r>
              <w:rPr>
                <w:rFonts w:hint="eastAsia"/>
                <w:color w:val="auto"/>
                <w:sz w:val="24"/>
                <w:lang w:val="en-US" w:eastAsia="zh-CN"/>
              </w:rPr>
              <w:t>如</w:t>
            </w:r>
            <w:r>
              <w:rPr>
                <w:color w:val="auto"/>
                <w:sz w:val="24"/>
              </w:rPr>
              <w:t>联合体形式投标的，联合体成员存在不良信用记录，视同联合体存在不良信用记录。</w:t>
            </w:r>
          </w:p>
        </w:tc>
        <w:tc>
          <w:tcPr>
            <w:tcW w:w="1599" w:type="dxa"/>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1-4</w:t>
            </w:r>
          </w:p>
        </w:tc>
        <w:tc>
          <w:tcPr>
            <w:tcW w:w="1934" w:type="dxa"/>
            <w:vAlign w:val="center"/>
          </w:tcPr>
          <w:p>
            <w:pPr>
              <w:tabs>
                <w:tab w:val="left" w:pos="1080"/>
              </w:tabs>
              <w:snapToGrid w:val="0"/>
              <w:rPr>
                <w:sz w:val="24"/>
              </w:rPr>
            </w:pPr>
            <w:r>
              <w:rPr>
                <w:sz w:val="24"/>
              </w:rPr>
              <w:t>法律、行政法规规定的其他条件</w:t>
            </w:r>
          </w:p>
        </w:tc>
        <w:tc>
          <w:tcPr>
            <w:tcW w:w="4705" w:type="dxa"/>
            <w:vAlign w:val="center"/>
          </w:tcPr>
          <w:p>
            <w:pPr>
              <w:tabs>
                <w:tab w:val="left" w:pos="1080"/>
              </w:tabs>
              <w:snapToGrid w:val="0"/>
              <w:rPr>
                <w:sz w:val="24"/>
              </w:rPr>
            </w:pPr>
            <w:r>
              <w:rPr>
                <w:sz w:val="24"/>
              </w:rPr>
              <w:t>法律、行政法规规定的其他条件</w:t>
            </w:r>
          </w:p>
        </w:tc>
        <w:tc>
          <w:tcPr>
            <w:tcW w:w="1599" w:type="dxa"/>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w:t>
            </w:r>
          </w:p>
        </w:tc>
        <w:tc>
          <w:tcPr>
            <w:tcW w:w="1934" w:type="dxa"/>
            <w:vAlign w:val="center"/>
          </w:tcPr>
          <w:p>
            <w:pPr>
              <w:tabs>
                <w:tab w:val="left" w:pos="1080"/>
              </w:tabs>
              <w:snapToGrid w:val="0"/>
              <w:rPr>
                <w:sz w:val="24"/>
              </w:rPr>
            </w:pPr>
            <w:r>
              <w:rPr>
                <w:sz w:val="24"/>
              </w:rPr>
              <w:t>落实政府采购政策需满足的资格要求</w:t>
            </w:r>
          </w:p>
        </w:tc>
        <w:tc>
          <w:tcPr>
            <w:tcW w:w="4705" w:type="dxa"/>
            <w:vAlign w:val="center"/>
          </w:tcPr>
          <w:p>
            <w:pPr>
              <w:tabs>
                <w:tab w:val="left" w:pos="1080"/>
              </w:tabs>
              <w:snapToGrid w:val="0"/>
              <w:rPr>
                <w:sz w:val="24"/>
              </w:rPr>
            </w:pPr>
            <w:r>
              <w:rPr>
                <w:sz w:val="24"/>
              </w:rPr>
              <w:t>具体要求见第一章《投标邀请》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w:t>
            </w:r>
          </w:p>
        </w:tc>
        <w:tc>
          <w:tcPr>
            <w:tcW w:w="1934" w:type="dxa"/>
            <w:vAlign w:val="center"/>
          </w:tcPr>
          <w:p>
            <w:pPr>
              <w:tabs>
                <w:tab w:val="left" w:pos="1080"/>
              </w:tabs>
              <w:snapToGrid w:val="0"/>
              <w:rPr>
                <w:sz w:val="24"/>
              </w:rPr>
            </w:pPr>
            <w:r>
              <w:rPr>
                <w:sz w:val="24"/>
              </w:rPr>
              <w:t>中小企业政策证明文件</w:t>
            </w:r>
          </w:p>
        </w:tc>
        <w:tc>
          <w:tcPr>
            <w:tcW w:w="4705" w:type="dxa"/>
            <w:vAlign w:val="center"/>
          </w:tcPr>
          <w:p>
            <w:pPr>
              <w:tabs>
                <w:tab w:val="left" w:pos="1080"/>
              </w:tabs>
              <w:snapToGrid w:val="0"/>
              <w:rPr>
                <w:sz w:val="24"/>
              </w:rPr>
            </w:pPr>
            <w:r>
              <w:rPr>
                <w:sz w:val="24"/>
              </w:rPr>
              <w:t>具体要求见第一章《投标邀请》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2-1-1</w:t>
            </w:r>
          </w:p>
        </w:tc>
        <w:tc>
          <w:tcPr>
            <w:tcW w:w="1934" w:type="dxa"/>
            <w:vAlign w:val="center"/>
          </w:tcPr>
          <w:p>
            <w:pPr>
              <w:tabs>
                <w:tab w:val="left" w:pos="1080"/>
              </w:tabs>
              <w:snapToGrid w:val="0"/>
              <w:rPr>
                <w:sz w:val="24"/>
              </w:rPr>
            </w:pPr>
            <w:r>
              <w:rPr>
                <w:sz w:val="24"/>
              </w:rPr>
              <w:t>中小企业证明文件</w:t>
            </w:r>
          </w:p>
        </w:tc>
        <w:tc>
          <w:tcPr>
            <w:tcW w:w="4705" w:type="dxa"/>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2-1-2</w:t>
            </w:r>
          </w:p>
        </w:tc>
        <w:tc>
          <w:tcPr>
            <w:tcW w:w="1934" w:type="dxa"/>
            <w:vAlign w:val="center"/>
          </w:tcPr>
          <w:p>
            <w:pPr>
              <w:tabs>
                <w:tab w:val="left" w:pos="1080"/>
              </w:tabs>
              <w:snapToGrid w:val="0"/>
              <w:rPr>
                <w:sz w:val="24"/>
              </w:rPr>
            </w:pPr>
            <w:r>
              <w:rPr>
                <w:sz w:val="24"/>
              </w:rPr>
              <w:t>拟分包情况说明及分包意向协议</w:t>
            </w:r>
          </w:p>
        </w:tc>
        <w:tc>
          <w:tcPr>
            <w:tcW w:w="4705"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2-2</w:t>
            </w:r>
          </w:p>
        </w:tc>
        <w:tc>
          <w:tcPr>
            <w:tcW w:w="1934" w:type="dxa"/>
            <w:vAlign w:val="center"/>
          </w:tcPr>
          <w:p>
            <w:pPr>
              <w:tabs>
                <w:tab w:val="left" w:pos="1080"/>
              </w:tabs>
              <w:snapToGrid w:val="0"/>
              <w:rPr>
                <w:sz w:val="24"/>
              </w:rPr>
            </w:pPr>
            <w:r>
              <w:rPr>
                <w:sz w:val="24"/>
              </w:rPr>
              <w:t>其它落实政府采购政策的资格要求</w:t>
            </w:r>
          </w:p>
        </w:tc>
        <w:tc>
          <w:tcPr>
            <w:tcW w:w="4705" w:type="dxa"/>
            <w:vAlign w:val="center"/>
          </w:tcPr>
          <w:p>
            <w:pPr>
              <w:tabs>
                <w:tab w:val="left" w:pos="1080"/>
              </w:tabs>
              <w:snapToGrid w:val="0"/>
              <w:rPr>
                <w:sz w:val="24"/>
              </w:rPr>
            </w:pPr>
            <w:r>
              <w:rPr>
                <w:sz w:val="24"/>
              </w:rPr>
              <w:t>如有，见第一章《投标邀请》</w:t>
            </w:r>
          </w:p>
        </w:tc>
        <w:tc>
          <w:tcPr>
            <w:tcW w:w="1599" w:type="dxa"/>
            <w:vAlign w:val="center"/>
          </w:tcPr>
          <w:p>
            <w:pPr>
              <w:tabs>
                <w:tab w:val="left" w:pos="1080"/>
              </w:tabs>
              <w:snapToGrid w:val="0"/>
              <w:rPr>
                <w:sz w:val="24"/>
              </w:rPr>
            </w:pPr>
            <w:r>
              <w:rPr>
                <w:sz w:val="24"/>
              </w:rPr>
              <w:t>提供证明文件的</w:t>
            </w:r>
            <w:r>
              <w:rPr>
                <w:rFonts w:hint="eastAsia"/>
                <w:sz w:val="24"/>
              </w:rPr>
              <w:t>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w:t>
            </w:r>
          </w:p>
        </w:tc>
        <w:tc>
          <w:tcPr>
            <w:tcW w:w="1934" w:type="dxa"/>
            <w:vAlign w:val="center"/>
          </w:tcPr>
          <w:p>
            <w:pPr>
              <w:tabs>
                <w:tab w:val="left" w:pos="1080"/>
              </w:tabs>
              <w:snapToGrid w:val="0"/>
              <w:rPr>
                <w:sz w:val="24"/>
              </w:rPr>
            </w:pPr>
            <w:r>
              <w:rPr>
                <w:sz w:val="24"/>
              </w:rPr>
              <w:t>本项目的特定资格要求</w:t>
            </w:r>
          </w:p>
        </w:tc>
        <w:tc>
          <w:tcPr>
            <w:tcW w:w="4705" w:type="dxa"/>
            <w:vAlign w:val="center"/>
          </w:tcPr>
          <w:p>
            <w:pPr>
              <w:tabs>
                <w:tab w:val="left" w:pos="1080"/>
              </w:tabs>
              <w:snapToGrid w:val="0"/>
              <w:rPr>
                <w:sz w:val="24"/>
              </w:rPr>
            </w:pPr>
            <w:r>
              <w:rPr>
                <w:sz w:val="24"/>
              </w:rPr>
              <w:t>如有，见第一章《投标邀请》</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3-1</w:t>
            </w:r>
          </w:p>
        </w:tc>
        <w:tc>
          <w:tcPr>
            <w:tcW w:w="1934" w:type="dxa"/>
            <w:vAlign w:val="center"/>
          </w:tcPr>
          <w:p>
            <w:pPr>
              <w:tabs>
                <w:tab w:val="left" w:pos="1080"/>
              </w:tabs>
              <w:snapToGrid w:val="0"/>
              <w:rPr>
                <w:sz w:val="24"/>
              </w:rPr>
            </w:pPr>
            <w:r>
              <w:rPr>
                <w:sz w:val="24"/>
              </w:rPr>
              <w:t>本项目对于联合体的要求</w:t>
            </w:r>
          </w:p>
        </w:tc>
        <w:tc>
          <w:tcPr>
            <w:tcW w:w="4705"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1599" w:type="dxa"/>
            <w:vAlign w:val="center"/>
          </w:tcPr>
          <w:p>
            <w:pPr>
              <w:tabs>
                <w:tab w:val="left" w:pos="1080"/>
              </w:tabs>
              <w:snapToGrid w:val="0"/>
              <w:rPr>
                <w:sz w:val="24"/>
              </w:rPr>
            </w:pPr>
            <w:r>
              <w:rPr>
                <w:sz w:val="24"/>
              </w:rPr>
              <w:t>提供《联合协议》原件</w:t>
            </w:r>
            <w:r>
              <w:rPr>
                <w:rFonts w:hint="eastAsia"/>
                <w:sz w:val="24"/>
              </w:rPr>
              <w:t>并加盖公章</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3-2</w:t>
            </w:r>
          </w:p>
        </w:tc>
        <w:tc>
          <w:tcPr>
            <w:tcW w:w="1934" w:type="dxa"/>
            <w:vAlign w:val="center"/>
          </w:tcPr>
          <w:p>
            <w:pPr>
              <w:tabs>
                <w:tab w:val="left" w:pos="1080"/>
              </w:tabs>
              <w:snapToGrid w:val="0"/>
              <w:rPr>
                <w:sz w:val="24"/>
              </w:rPr>
            </w:pPr>
            <w:r>
              <w:rPr>
                <w:sz w:val="24"/>
              </w:rPr>
              <w:t>政府购买服务承接主体的要求</w:t>
            </w:r>
          </w:p>
        </w:tc>
        <w:tc>
          <w:tcPr>
            <w:tcW w:w="4705" w:type="dxa"/>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pPr>
              <w:tabs>
                <w:tab w:val="left" w:pos="1080"/>
              </w:tabs>
              <w:snapToGrid w:val="0"/>
              <w:jc w:val="center"/>
              <w:rPr>
                <w:sz w:val="24"/>
              </w:rPr>
            </w:pPr>
            <w:r>
              <w:rPr>
                <w:sz w:val="24"/>
              </w:rPr>
              <w:t>3-3</w:t>
            </w:r>
          </w:p>
        </w:tc>
        <w:tc>
          <w:tcPr>
            <w:tcW w:w="1934" w:type="dxa"/>
            <w:vAlign w:val="center"/>
          </w:tcPr>
          <w:p>
            <w:pPr>
              <w:tabs>
                <w:tab w:val="left" w:pos="1080"/>
              </w:tabs>
              <w:snapToGrid w:val="0"/>
              <w:rPr>
                <w:sz w:val="24"/>
              </w:rPr>
            </w:pPr>
            <w:r>
              <w:rPr>
                <w:sz w:val="24"/>
              </w:rPr>
              <w:t>其他特定资格要求</w:t>
            </w:r>
          </w:p>
        </w:tc>
        <w:tc>
          <w:tcPr>
            <w:tcW w:w="4705" w:type="dxa"/>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pPr>
              <w:tabs>
                <w:tab w:val="left" w:pos="1080"/>
              </w:tabs>
              <w:snapToGrid w:val="0"/>
              <w:rPr>
                <w:sz w:val="24"/>
              </w:rPr>
            </w:pPr>
            <w:r>
              <w:rPr>
                <w:sz w:val="24"/>
              </w:rPr>
              <w:t>提供证明文件的</w:t>
            </w:r>
            <w:r>
              <w:rPr>
                <w:rFonts w:hint="eastAsia"/>
                <w:sz w:val="24"/>
              </w:rPr>
              <w:t>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4</w:t>
            </w:r>
          </w:p>
        </w:tc>
        <w:tc>
          <w:tcPr>
            <w:tcW w:w="1934" w:type="dxa"/>
            <w:vAlign w:val="center"/>
          </w:tcPr>
          <w:p>
            <w:pPr>
              <w:tabs>
                <w:tab w:val="left" w:pos="1080"/>
              </w:tabs>
              <w:snapToGrid w:val="0"/>
              <w:rPr>
                <w:sz w:val="24"/>
              </w:rPr>
            </w:pPr>
            <w:r>
              <w:rPr>
                <w:sz w:val="24"/>
              </w:rPr>
              <w:t>投标保证金</w:t>
            </w:r>
          </w:p>
        </w:tc>
        <w:tc>
          <w:tcPr>
            <w:tcW w:w="4705" w:type="dxa"/>
            <w:vAlign w:val="center"/>
          </w:tcPr>
          <w:p>
            <w:pPr>
              <w:tabs>
                <w:tab w:val="left" w:pos="1080"/>
              </w:tabs>
              <w:snapToGrid w:val="0"/>
              <w:rPr>
                <w:sz w:val="24"/>
              </w:rPr>
            </w:pPr>
            <w:r>
              <w:rPr>
                <w:color w:val="000000"/>
                <w:kern w:val="0"/>
                <w:sz w:val="24"/>
              </w:rPr>
              <w:t>按照招标文件的规定提交投标保证金。</w:t>
            </w:r>
          </w:p>
        </w:tc>
        <w:tc>
          <w:tcPr>
            <w:tcW w:w="159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pPr>
              <w:tabs>
                <w:tab w:val="left" w:pos="1080"/>
              </w:tabs>
              <w:snapToGrid w:val="0"/>
              <w:jc w:val="center"/>
              <w:rPr>
                <w:sz w:val="24"/>
              </w:rPr>
            </w:pPr>
            <w:r>
              <w:rPr>
                <w:sz w:val="24"/>
              </w:rPr>
              <w:t>5</w:t>
            </w:r>
          </w:p>
        </w:tc>
        <w:tc>
          <w:tcPr>
            <w:tcW w:w="1934" w:type="dxa"/>
            <w:vAlign w:val="center"/>
          </w:tcPr>
          <w:p>
            <w:pPr>
              <w:tabs>
                <w:tab w:val="left" w:pos="1080"/>
              </w:tabs>
              <w:snapToGrid w:val="0"/>
              <w:rPr>
                <w:sz w:val="24"/>
              </w:rPr>
            </w:pPr>
            <w:r>
              <w:rPr>
                <w:sz w:val="24"/>
              </w:rPr>
              <w:t>获取招标文件</w:t>
            </w:r>
          </w:p>
        </w:tc>
        <w:tc>
          <w:tcPr>
            <w:tcW w:w="4705" w:type="dxa"/>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599" w:type="dxa"/>
            <w:vAlign w:val="center"/>
          </w:tcPr>
          <w:p>
            <w:pPr>
              <w:tabs>
                <w:tab w:val="left" w:pos="1080"/>
              </w:tabs>
              <w:snapToGrid w:val="0"/>
              <w:rPr>
                <w:sz w:val="24"/>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5"/>
      <w:bookmarkEnd w:id="739"/>
    </w:tbl>
    <w:p>
      <w:pPr>
        <w:widowControl/>
        <w:jc w:val="left"/>
        <w:rPr>
          <w:sz w:val="24"/>
        </w:rPr>
      </w:pPr>
      <w:bookmarkStart w:id="740" w:name="_Hlt487900425"/>
      <w:bookmarkEnd w:id="740"/>
      <w:bookmarkStart w:id="741" w:name="_Hlt522424701"/>
      <w:bookmarkEnd w:id="741"/>
      <w:bookmarkStart w:id="742" w:name="_Toc353825550"/>
      <w:bookmarkStart w:id="743" w:name="_Toc127161490"/>
      <w:bookmarkStart w:id="744" w:name="_Toc353873940"/>
      <w:bookmarkStart w:id="745" w:name="_Toc226965858"/>
      <w:bookmarkStart w:id="746" w:name="_Toc127151779"/>
      <w:r>
        <w:rPr>
          <w:sz w:val="24"/>
        </w:rPr>
        <w:br w:type="page"/>
      </w:r>
    </w:p>
    <w:p>
      <w:pPr>
        <w:spacing w:line="360" w:lineRule="auto"/>
        <w:jc w:val="center"/>
        <w:outlineLvl w:val="0"/>
        <w:rPr>
          <w:b/>
          <w:sz w:val="36"/>
          <w:szCs w:val="36"/>
        </w:rPr>
      </w:pPr>
      <w:bookmarkStart w:id="747" w:name="_Toc99301423"/>
      <w:r>
        <w:rPr>
          <w:b/>
          <w:sz w:val="36"/>
          <w:szCs w:val="36"/>
        </w:rPr>
        <w:t xml:space="preserve">第四章   </w:t>
      </w:r>
      <w:bookmarkEnd w:id="742"/>
      <w:bookmarkEnd w:id="743"/>
      <w:bookmarkEnd w:id="744"/>
      <w:bookmarkEnd w:id="745"/>
      <w:bookmarkEnd w:id="746"/>
      <w:bookmarkStart w:id="748" w:name="_Hlt164229061"/>
      <w:bookmarkEnd w:id="748"/>
      <w:r>
        <w:rPr>
          <w:b/>
          <w:sz w:val="36"/>
          <w:szCs w:val="36"/>
        </w:rPr>
        <w:t>评标程序、评标方法和评标标准</w:t>
      </w:r>
      <w:bookmarkEnd w:id="747"/>
    </w:p>
    <w:p>
      <w:pPr>
        <w:tabs>
          <w:tab w:val="left" w:pos="360"/>
          <w:tab w:val="left" w:pos="900"/>
        </w:tabs>
        <w:snapToGrid w:val="0"/>
        <w:spacing w:line="360" w:lineRule="auto"/>
        <w:jc w:val="center"/>
        <w:outlineLvl w:val="1"/>
        <w:rPr>
          <w:b/>
        </w:rPr>
      </w:pPr>
      <w:r>
        <w:rPr>
          <w:b/>
          <w:sz w:val="24"/>
        </w:rPr>
        <w:t>一、评标方法</w:t>
      </w:r>
    </w:p>
    <w:p>
      <w:pPr>
        <w:numPr>
          <w:ilvl w:val="0"/>
          <w:numId w:val="12"/>
        </w:numPr>
        <w:tabs>
          <w:tab w:val="left" w:pos="360"/>
        </w:tabs>
        <w:snapToGrid w:val="0"/>
        <w:spacing w:line="360" w:lineRule="auto"/>
        <w:outlineLvl w:val="1"/>
        <w:rPr>
          <w:sz w:val="24"/>
        </w:rPr>
      </w:pPr>
      <w:bookmarkStart w:id="749" w:name="_Toc150774746"/>
      <w:bookmarkStart w:id="750" w:name="_Toc151193855"/>
      <w:bookmarkStart w:id="751" w:name="_Toc164608655"/>
      <w:bookmarkStart w:id="752" w:name="_Toc151190168"/>
      <w:bookmarkStart w:id="753" w:name="_Toc195842906"/>
      <w:bookmarkStart w:id="754" w:name="_Toc164608810"/>
      <w:bookmarkStart w:id="755" w:name="_Toc150774641"/>
      <w:bookmarkStart w:id="756" w:name="_Toc226309785"/>
      <w:bookmarkStart w:id="757" w:name="_Toc305158883"/>
      <w:bookmarkStart w:id="758" w:name="_Toc151193929"/>
      <w:bookmarkStart w:id="759" w:name="_Toc127161455"/>
      <w:bookmarkStart w:id="760" w:name="_Toc226965814"/>
      <w:bookmarkStart w:id="761" w:name="_Toc164229382"/>
      <w:bookmarkStart w:id="762" w:name="_Toc151193711"/>
      <w:bookmarkStart w:id="763" w:name="_Toc264969231"/>
      <w:bookmarkStart w:id="764" w:name="_Toc226965731"/>
      <w:bookmarkStart w:id="765" w:name="_Toc150509292"/>
      <w:bookmarkStart w:id="766" w:name="_Toc142311043"/>
      <w:bookmarkStart w:id="767" w:name="_Toc127151541"/>
      <w:bookmarkStart w:id="768" w:name="_Toc226337237"/>
      <w:bookmarkStart w:id="769" w:name="_Toc164229236"/>
      <w:bookmarkStart w:id="770" w:name="_Toc265228379"/>
      <w:bookmarkStart w:id="771" w:name="_Toc127151742"/>
      <w:bookmarkStart w:id="772" w:name="_Toc151193783"/>
      <w:bookmarkStart w:id="773" w:name="_Toc150480779"/>
      <w:bookmarkStart w:id="774" w:name="_Toc164351635"/>
      <w:bookmarkStart w:id="775" w:name="_Toc305158809"/>
      <w:bookmarkStart w:id="776" w:name="_Toc151193639"/>
      <w:bookmarkStart w:id="777" w:name="_Toc149720834"/>
      <w:bookmarkStart w:id="778" w:name="_Toc353825551"/>
      <w:bookmarkStart w:id="779" w:name="_Toc353873941"/>
      <w:bookmarkStart w:id="780" w:name="_Toc150774760"/>
      <w:bookmarkStart w:id="781" w:name="_Toc264969245"/>
      <w:bookmarkStart w:id="782" w:name="_Toc265228393"/>
      <w:bookmarkStart w:id="783" w:name="_Toc226965828"/>
      <w:bookmarkStart w:id="784" w:name="_Toc226337251"/>
      <w:bookmarkStart w:id="785" w:name="_Toc150480793"/>
      <w:bookmarkStart w:id="786" w:name="_Toc127151555"/>
      <w:bookmarkStart w:id="787" w:name="_Toc353873665"/>
      <w:bookmarkStart w:id="788" w:name="_Toc305158823"/>
      <w:bookmarkStart w:id="789" w:name="_Toc353873935"/>
      <w:bookmarkStart w:id="790" w:name="_Toc353825545"/>
      <w:bookmarkStart w:id="791" w:name="_Toc195842920"/>
      <w:bookmarkStart w:id="792" w:name="_Toc305158897"/>
      <w:bookmarkStart w:id="793" w:name="_Toc142311057"/>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pPr>
        <w:numPr>
          <w:ilvl w:val="1"/>
          <w:numId w:val="12"/>
        </w:numPr>
        <w:tabs>
          <w:tab w:val="left" w:pos="1080"/>
        </w:tabs>
        <w:snapToGrid w:val="0"/>
        <w:spacing w:line="360" w:lineRule="auto"/>
        <w:ind w:left="1076" w:hanging="720"/>
        <w:rPr>
          <w:sz w:val="24"/>
        </w:rPr>
      </w:pPr>
      <w:r>
        <w:rPr>
          <w:sz w:val="24"/>
        </w:rPr>
        <w:t>评标委员会对资格审查合格的投标人的投标文件进行符合性审查，以确定其是否满足招标文件的实质性要求。</w:t>
      </w:r>
      <w:bookmarkStart w:id="794" w:name="_Toc520356167"/>
    </w:p>
    <w:p>
      <w:pPr>
        <w:numPr>
          <w:ilvl w:val="1"/>
          <w:numId w:val="12"/>
        </w:numPr>
        <w:tabs>
          <w:tab w:val="left" w:pos="1080"/>
        </w:tabs>
        <w:snapToGrid w:val="0"/>
        <w:spacing w:line="360" w:lineRule="auto"/>
        <w:ind w:left="1076"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pPr>
        <w:tabs>
          <w:tab w:val="left" w:pos="900"/>
          <w:tab w:val="left" w:pos="1080"/>
          <w:tab w:val="left" w:pos="1589"/>
        </w:tabs>
        <w:snapToGrid w:val="0"/>
        <w:spacing w:line="360" w:lineRule="auto"/>
        <w:ind w:left="0" w:leftChars="-170" w:hanging="357" w:hangingChars="148"/>
        <w:jc w:val="center"/>
        <w:rPr>
          <w:b/>
          <w:color w:val="000000"/>
          <w:sz w:val="24"/>
        </w:rPr>
      </w:pPr>
      <w:r>
        <w:rPr>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pPr>
              <w:widowControl/>
              <w:jc w:val="center"/>
              <w:rPr>
                <w:b/>
                <w:color w:val="000000"/>
                <w:kern w:val="0"/>
                <w:sz w:val="24"/>
              </w:rPr>
            </w:pPr>
            <w:r>
              <w:rPr>
                <w:b/>
                <w:color w:val="000000"/>
                <w:kern w:val="0"/>
                <w:sz w:val="24"/>
              </w:rPr>
              <w:t>序号</w:t>
            </w:r>
          </w:p>
        </w:tc>
        <w:tc>
          <w:tcPr>
            <w:tcW w:w="1769" w:type="dxa"/>
            <w:shd w:val="clear" w:color="auto" w:fill="auto"/>
            <w:vAlign w:val="center"/>
          </w:tcPr>
          <w:p>
            <w:pPr>
              <w:widowControl/>
              <w:jc w:val="center"/>
              <w:rPr>
                <w:b/>
                <w:color w:val="000000"/>
                <w:kern w:val="0"/>
                <w:sz w:val="24"/>
              </w:rPr>
            </w:pPr>
            <w:r>
              <w:rPr>
                <w:b/>
                <w:color w:val="000000"/>
                <w:kern w:val="0"/>
                <w:sz w:val="24"/>
              </w:rPr>
              <w:t>审查因素</w:t>
            </w:r>
          </w:p>
        </w:tc>
        <w:tc>
          <w:tcPr>
            <w:tcW w:w="6561"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w:t>
            </w:r>
          </w:p>
        </w:tc>
        <w:tc>
          <w:tcPr>
            <w:tcW w:w="1769" w:type="dxa"/>
            <w:shd w:val="clear" w:color="auto" w:fill="auto"/>
            <w:vAlign w:val="center"/>
          </w:tcPr>
          <w:p>
            <w:pPr>
              <w:widowControl/>
              <w:jc w:val="left"/>
              <w:rPr>
                <w:color w:val="000000"/>
                <w:kern w:val="0"/>
                <w:sz w:val="24"/>
              </w:rPr>
            </w:pPr>
            <w:r>
              <w:rPr>
                <w:color w:val="000000"/>
                <w:kern w:val="0"/>
                <w:sz w:val="24"/>
              </w:rPr>
              <w:t>授权委托书</w:t>
            </w:r>
          </w:p>
        </w:tc>
        <w:tc>
          <w:tcPr>
            <w:tcW w:w="6561"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2</w:t>
            </w:r>
          </w:p>
        </w:tc>
        <w:tc>
          <w:tcPr>
            <w:tcW w:w="1769" w:type="dxa"/>
            <w:shd w:val="clear" w:color="auto" w:fill="auto"/>
            <w:vAlign w:val="center"/>
          </w:tcPr>
          <w:p>
            <w:pPr>
              <w:widowControl/>
              <w:jc w:val="left"/>
              <w:rPr>
                <w:color w:val="000000"/>
                <w:kern w:val="0"/>
                <w:sz w:val="24"/>
              </w:rPr>
            </w:pPr>
            <w:r>
              <w:rPr>
                <w:color w:val="000000"/>
                <w:kern w:val="0"/>
                <w:sz w:val="24"/>
              </w:rPr>
              <w:t>投标完整性</w:t>
            </w:r>
          </w:p>
        </w:tc>
        <w:tc>
          <w:tcPr>
            <w:tcW w:w="6561" w:type="dxa"/>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3</w:t>
            </w:r>
          </w:p>
        </w:tc>
        <w:tc>
          <w:tcPr>
            <w:tcW w:w="1769" w:type="dxa"/>
            <w:shd w:val="clear" w:color="auto" w:fill="auto"/>
            <w:vAlign w:val="center"/>
          </w:tcPr>
          <w:p>
            <w:pPr>
              <w:widowControl/>
              <w:jc w:val="left"/>
              <w:rPr>
                <w:color w:val="000000"/>
                <w:kern w:val="0"/>
                <w:sz w:val="24"/>
              </w:rPr>
            </w:pPr>
            <w:r>
              <w:rPr>
                <w:color w:val="000000"/>
                <w:kern w:val="0"/>
                <w:sz w:val="24"/>
              </w:rPr>
              <w:t>投标报价</w:t>
            </w:r>
          </w:p>
        </w:tc>
        <w:tc>
          <w:tcPr>
            <w:tcW w:w="6561" w:type="dxa"/>
            <w:shd w:val="clear" w:color="auto" w:fill="auto"/>
            <w:vAlign w:val="center"/>
          </w:tcPr>
          <w:p>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4</w:t>
            </w:r>
          </w:p>
        </w:tc>
        <w:tc>
          <w:tcPr>
            <w:tcW w:w="1769" w:type="dxa"/>
            <w:shd w:val="clear" w:color="auto" w:fill="auto"/>
            <w:vAlign w:val="center"/>
          </w:tcPr>
          <w:p>
            <w:pPr>
              <w:widowControl/>
              <w:jc w:val="left"/>
              <w:rPr>
                <w:color w:val="000000"/>
                <w:kern w:val="0"/>
                <w:sz w:val="24"/>
              </w:rPr>
            </w:pPr>
            <w:r>
              <w:rPr>
                <w:color w:val="000000"/>
                <w:kern w:val="0"/>
                <w:sz w:val="24"/>
              </w:rPr>
              <w:t>报价唯一性</w:t>
            </w:r>
          </w:p>
        </w:tc>
        <w:tc>
          <w:tcPr>
            <w:tcW w:w="6561" w:type="dxa"/>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5</w:t>
            </w:r>
          </w:p>
        </w:tc>
        <w:tc>
          <w:tcPr>
            <w:tcW w:w="1769" w:type="dxa"/>
            <w:shd w:val="clear" w:color="auto" w:fill="auto"/>
            <w:vAlign w:val="center"/>
          </w:tcPr>
          <w:p>
            <w:pPr>
              <w:widowControl/>
              <w:jc w:val="left"/>
              <w:rPr>
                <w:color w:val="000000"/>
                <w:kern w:val="0"/>
                <w:sz w:val="24"/>
              </w:rPr>
            </w:pPr>
            <w:r>
              <w:rPr>
                <w:color w:val="000000"/>
                <w:kern w:val="0"/>
                <w:sz w:val="24"/>
              </w:rPr>
              <w:t>投标有效期</w:t>
            </w:r>
          </w:p>
        </w:tc>
        <w:tc>
          <w:tcPr>
            <w:tcW w:w="6561" w:type="dxa"/>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6</w:t>
            </w:r>
          </w:p>
        </w:tc>
        <w:tc>
          <w:tcPr>
            <w:tcW w:w="1769" w:type="dxa"/>
            <w:shd w:val="clear" w:color="auto" w:fill="auto"/>
            <w:vAlign w:val="center"/>
          </w:tcPr>
          <w:p>
            <w:pPr>
              <w:widowControl/>
              <w:jc w:val="left"/>
              <w:rPr>
                <w:color w:val="000000"/>
                <w:kern w:val="0"/>
                <w:sz w:val="24"/>
              </w:rPr>
            </w:pPr>
            <w:r>
              <w:rPr>
                <w:color w:val="000000"/>
                <w:kern w:val="0"/>
                <w:sz w:val="24"/>
              </w:rPr>
              <w:t>实质性格式</w:t>
            </w:r>
          </w:p>
        </w:tc>
        <w:tc>
          <w:tcPr>
            <w:tcW w:w="6561" w:type="dxa"/>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7</w:t>
            </w:r>
          </w:p>
        </w:tc>
        <w:tc>
          <w:tcPr>
            <w:tcW w:w="1769" w:type="dxa"/>
            <w:shd w:val="clear" w:color="auto" w:fill="auto"/>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8</w:t>
            </w:r>
          </w:p>
        </w:tc>
        <w:tc>
          <w:tcPr>
            <w:tcW w:w="1769" w:type="dxa"/>
            <w:shd w:val="clear" w:color="auto" w:fill="auto"/>
            <w:vAlign w:val="center"/>
          </w:tcPr>
          <w:p>
            <w:pPr>
              <w:widowControl/>
              <w:jc w:val="left"/>
              <w:rPr>
                <w:color w:val="000000"/>
                <w:kern w:val="0"/>
                <w:sz w:val="24"/>
              </w:rPr>
            </w:pPr>
            <w:r>
              <w:rPr>
                <w:sz w:val="24"/>
              </w:rPr>
              <w:t>拟分包情况说明（如有）</w:t>
            </w:r>
          </w:p>
        </w:tc>
        <w:tc>
          <w:tcPr>
            <w:tcW w:w="6561" w:type="dxa"/>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9</w:t>
            </w:r>
          </w:p>
        </w:tc>
        <w:tc>
          <w:tcPr>
            <w:tcW w:w="1769" w:type="dxa"/>
            <w:shd w:val="clear" w:color="auto" w:fill="auto"/>
            <w:vAlign w:val="center"/>
          </w:tcPr>
          <w:p>
            <w:pPr>
              <w:widowControl/>
              <w:jc w:val="left"/>
              <w:rPr>
                <w:color w:val="000000"/>
                <w:kern w:val="0"/>
                <w:sz w:val="24"/>
              </w:rPr>
            </w:pPr>
            <w:r>
              <w:rPr>
                <w:color w:val="000000"/>
                <w:kern w:val="0"/>
                <w:sz w:val="24"/>
              </w:rPr>
              <w:t>分包其他要求（如有）</w:t>
            </w:r>
          </w:p>
        </w:tc>
        <w:tc>
          <w:tcPr>
            <w:tcW w:w="6561" w:type="dxa"/>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10</w:t>
            </w:r>
          </w:p>
        </w:tc>
        <w:tc>
          <w:tcPr>
            <w:tcW w:w="1769" w:type="dxa"/>
            <w:shd w:val="clear" w:color="auto" w:fill="auto"/>
            <w:vAlign w:val="center"/>
          </w:tcPr>
          <w:p>
            <w:pPr>
              <w:widowControl/>
              <w:jc w:val="left"/>
              <w:rPr>
                <w:color w:val="000000"/>
                <w:kern w:val="0"/>
                <w:sz w:val="24"/>
              </w:rPr>
            </w:pPr>
            <w:r>
              <w:rPr>
                <w:color w:val="000000"/>
                <w:kern w:val="0"/>
                <w:sz w:val="24"/>
              </w:rPr>
              <w:t>报价的修正（如有）</w:t>
            </w:r>
          </w:p>
        </w:tc>
        <w:tc>
          <w:tcPr>
            <w:tcW w:w="6561" w:type="dxa"/>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11</w:t>
            </w:r>
          </w:p>
        </w:tc>
        <w:tc>
          <w:tcPr>
            <w:tcW w:w="1769" w:type="dxa"/>
            <w:shd w:val="clear" w:color="auto" w:fill="auto"/>
            <w:vAlign w:val="center"/>
          </w:tcPr>
          <w:p>
            <w:pPr>
              <w:widowControl/>
              <w:jc w:val="left"/>
              <w:rPr>
                <w:color w:val="000000"/>
                <w:kern w:val="0"/>
                <w:sz w:val="24"/>
              </w:rPr>
            </w:pPr>
            <w:r>
              <w:rPr>
                <w:color w:val="000000"/>
                <w:kern w:val="0"/>
                <w:sz w:val="24"/>
              </w:rPr>
              <w:t>报价合理性</w:t>
            </w:r>
          </w:p>
        </w:tc>
        <w:tc>
          <w:tcPr>
            <w:tcW w:w="6561" w:type="dxa"/>
            <w:shd w:val="clear" w:color="auto" w:fill="auto"/>
            <w:vAlign w:val="center"/>
          </w:tcPr>
          <w:p>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12</w:t>
            </w:r>
          </w:p>
        </w:tc>
        <w:tc>
          <w:tcPr>
            <w:tcW w:w="1769" w:type="dxa"/>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561" w:type="dxa"/>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13</w:t>
            </w:r>
          </w:p>
        </w:tc>
        <w:tc>
          <w:tcPr>
            <w:tcW w:w="1769"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6561"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hint="default" w:eastAsia="宋体"/>
                <w:sz w:val="24"/>
                <w:lang w:val="en-US" w:eastAsia="zh-CN"/>
              </w:rPr>
            </w:pPr>
            <w:r>
              <w:rPr>
                <w:color w:val="000000"/>
                <w:kern w:val="0"/>
                <w:sz w:val="24"/>
              </w:rPr>
              <w:t>2）</w:t>
            </w:r>
            <w:r>
              <w:rPr>
                <w:rFonts w:hint="eastAsia"/>
                <w:color w:val="000000"/>
                <w:kern w:val="0"/>
                <w:sz w:val="24"/>
                <w:lang w:val="en-US" w:eastAsia="zh-CN"/>
              </w:rPr>
              <w:t>如</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r>
              <w:rPr>
                <w:rFonts w:hint="eastAsia"/>
                <w:sz w:val="24"/>
                <w:lang w:eastAsia="zh-CN"/>
              </w:rPr>
              <w:t>（</w:t>
            </w:r>
            <w:r>
              <w:rPr>
                <w:rFonts w:hint="eastAsia"/>
                <w:sz w:val="24"/>
                <w:lang w:val="en-US" w:eastAsia="zh-CN"/>
              </w:rPr>
              <w:t>本项目不适用）</w:t>
            </w:r>
          </w:p>
          <w:p>
            <w:pPr>
              <w:widowControl/>
              <w:jc w:val="left"/>
              <w:rPr>
                <w:color w:val="000000"/>
                <w:kern w:val="0"/>
                <w:sz w:val="24"/>
              </w:rPr>
            </w:pPr>
            <w:r>
              <w:rPr>
                <w:sz w:val="24"/>
              </w:rPr>
              <w:t>3）</w:t>
            </w:r>
            <w:r>
              <w:rPr>
                <w:rFonts w:hint="eastAsia"/>
                <w:sz w:val="24"/>
                <w:lang w:val="en-US" w:eastAsia="zh-CN"/>
              </w:rPr>
              <w:t>如</w:t>
            </w:r>
            <w:r>
              <w:rPr>
                <w:sz w:val="24"/>
              </w:rPr>
              <w:t>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14</w:t>
            </w:r>
          </w:p>
        </w:tc>
        <w:tc>
          <w:tcPr>
            <w:tcW w:w="1769" w:type="dxa"/>
            <w:shd w:val="clear" w:color="auto" w:fill="auto"/>
            <w:vAlign w:val="center"/>
          </w:tcPr>
          <w:p>
            <w:pPr>
              <w:widowControl/>
              <w:jc w:val="left"/>
              <w:rPr>
                <w:color w:val="000000"/>
                <w:kern w:val="0"/>
                <w:sz w:val="24"/>
              </w:rPr>
            </w:pPr>
            <w:r>
              <w:rPr>
                <w:color w:val="000000"/>
                <w:kern w:val="0"/>
                <w:sz w:val="24"/>
              </w:rPr>
              <w:t>公平竞争</w:t>
            </w:r>
          </w:p>
        </w:tc>
        <w:tc>
          <w:tcPr>
            <w:tcW w:w="6561" w:type="dxa"/>
            <w:shd w:val="clear" w:color="auto" w:fill="auto"/>
            <w:vAlign w:val="center"/>
          </w:tcPr>
          <w:p>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15</w:t>
            </w:r>
          </w:p>
        </w:tc>
        <w:tc>
          <w:tcPr>
            <w:tcW w:w="1769" w:type="dxa"/>
            <w:shd w:val="clear" w:color="auto" w:fill="auto"/>
            <w:vAlign w:val="center"/>
          </w:tcPr>
          <w:p>
            <w:pPr>
              <w:widowControl/>
              <w:jc w:val="left"/>
              <w:rPr>
                <w:color w:val="000000"/>
                <w:kern w:val="0"/>
                <w:sz w:val="24"/>
              </w:rPr>
            </w:pPr>
            <w:r>
              <w:rPr>
                <w:color w:val="000000"/>
                <w:kern w:val="0"/>
                <w:sz w:val="24"/>
              </w:rPr>
              <w:t>串通投标</w:t>
            </w:r>
          </w:p>
        </w:tc>
        <w:tc>
          <w:tcPr>
            <w:tcW w:w="6561" w:type="dxa"/>
            <w:shd w:val="clear" w:color="auto" w:fill="auto"/>
            <w:vAlign w:val="center"/>
          </w:tcPr>
          <w:p>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16</w:t>
            </w:r>
          </w:p>
        </w:tc>
        <w:tc>
          <w:tcPr>
            <w:tcW w:w="1769" w:type="dxa"/>
            <w:shd w:val="clear" w:color="auto" w:fill="auto"/>
            <w:vAlign w:val="center"/>
          </w:tcPr>
          <w:p>
            <w:pPr>
              <w:widowControl/>
              <w:jc w:val="left"/>
              <w:rPr>
                <w:color w:val="000000"/>
                <w:kern w:val="0"/>
                <w:sz w:val="24"/>
              </w:rPr>
            </w:pPr>
            <w:r>
              <w:rPr>
                <w:color w:val="000000"/>
                <w:kern w:val="0"/>
                <w:sz w:val="24"/>
              </w:rPr>
              <w:t>附加条件</w:t>
            </w:r>
          </w:p>
        </w:tc>
        <w:tc>
          <w:tcPr>
            <w:tcW w:w="6561" w:type="dxa"/>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pPr>
              <w:widowControl/>
              <w:jc w:val="center"/>
              <w:rPr>
                <w:color w:val="000000"/>
                <w:kern w:val="0"/>
                <w:sz w:val="24"/>
              </w:rPr>
            </w:pPr>
            <w:r>
              <w:rPr>
                <w:color w:val="000000"/>
                <w:kern w:val="0"/>
                <w:sz w:val="24"/>
              </w:rPr>
              <w:t>17</w:t>
            </w:r>
          </w:p>
        </w:tc>
        <w:tc>
          <w:tcPr>
            <w:tcW w:w="1769" w:type="dxa"/>
            <w:shd w:val="clear" w:color="auto" w:fill="auto"/>
            <w:vAlign w:val="center"/>
          </w:tcPr>
          <w:p>
            <w:pPr>
              <w:widowControl/>
              <w:jc w:val="left"/>
              <w:rPr>
                <w:color w:val="000000"/>
                <w:kern w:val="0"/>
                <w:sz w:val="24"/>
              </w:rPr>
            </w:pPr>
            <w:r>
              <w:rPr>
                <w:color w:val="000000"/>
                <w:kern w:val="0"/>
                <w:sz w:val="24"/>
              </w:rPr>
              <w:t>其他无效情形</w:t>
            </w:r>
          </w:p>
        </w:tc>
        <w:tc>
          <w:tcPr>
            <w:tcW w:w="6561" w:type="dxa"/>
            <w:shd w:val="clear" w:color="auto" w:fill="auto"/>
            <w:vAlign w:val="center"/>
          </w:tcPr>
          <w:p>
            <w:pPr>
              <w:widowControl/>
              <w:jc w:val="left"/>
              <w:rPr>
                <w:color w:val="000000"/>
                <w:kern w:val="0"/>
                <w:sz w:val="24"/>
              </w:rPr>
            </w:pPr>
            <w:r>
              <w:rPr>
                <w:color w:val="000000"/>
                <w:sz w:val="24"/>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6"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6"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1076"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6"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无，按下述2.4.2-2.4.8项规定修正。</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6" w:hanging="72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3</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sz w:val="24"/>
        </w:rPr>
      </w:pPr>
      <w:r>
        <w:rPr>
          <w:sz w:val="24"/>
        </w:rPr>
        <w:t>投标文件的比较和评价</w:t>
      </w:r>
      <w:bookmarkEnd w:id="778"/>
      <w:bookmarkEnd w:id="779"/>
    </w:p>
    <w:p>
      <w:pPr>
        <w:numPr>
          <w:ilvl w:val="1"/>
          <w:numId w:val="12"/>
        </w:numPr>
        <w:tabs>
          <w:tab w:val="left" w:pos="1080"/>
        </w:tabs>
        <w:snapToGrid w:val="0"/>
        <w:spacing w:line="360" w:lineRule="auto"/>
        <w:ind w:left="1076"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6"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2"/>
        </w:numPr>
        <w:tabs>
          <w:tab w:val="left" w:pos="360"/>
        </w:tabs>
        <w:snapToGrid w:val="0"/>
        <w:spacing w:line="360" w:lineRule="auto"/>
        <w:outlineLvl w:val="1"/>
        <w:rPr>
          <w:sz w:val="24"/>
        </w:rPr>
      </w:pPr>
      <w:r>
        <w:rPr>
          <w:sz w:val="24"/>
        </w:rPr>
        <w:t>确定</w:t>
      </w:r>
      <w:bookmarkStart w:id="796" w:name="_Toc305158814"/>
      <w:bookmarkStart w:id="797" w:name="_Toc150509297"/>
      <w:bookmarkStart w:id="798" w:name="_Toc151190173"/>
      <w:bookmarkStart w:id="799" w:name="_Toc127151546"/>
      <w:bookmarkStart w:id="800" w:name="_Toc226309790"/>
      <w:bookmarkStart w:id="801" w:name="_Toc226965819"/>
      <w:bookmarkStart w:id="802" w:name="_Toc151193716"/>
      <w:bookmarkStart w:id="803" w:name="_Toc164608660"/>
      <w:bookmarkStart w:id="804" w:name="_Toc151193788"/>
      <w:bookmarkStart w:id="805" w:name="_Toc226337242"/>
      <w:bookmarkStart w:id="806" w:name="_Toc142311048"/>
      <w:bookmarkStart w:id="807" w:name="_Toc150774751"/>
      <w:bookmarkStart w:id="808" w:name="_Ref467307010"/>
      <w:bookmarkStart w:id="809" w:name="_Toc520356170"/>
      <w:bookmarkStart w:id="810" w:name="_Toc164608815"/>
      <w:bookmarkStart w:id="811" w:name="_Toc150480784"/>
      <w:bookmarkStart w:id="812" w:name="_Toc195842911"/>
      <w:bookmarkStart w:id="813" w:name="_Toc164229241"/>
      <w:bookmarkStart w:id="814" w:name="_Toc226965736"/>
      <w:bookmarkStart w:id="815" w:name="_Toc127161460"/>
      <w:bookmarkStart w:id="816" w:name="_Toc150774646"/>
      <w:bookmarkStart w:id="817" w:name="_Toc151193644"/>
      <w:bookmarkStart w:id="818" w:name="_Toc151193934"/>
      <w:bookmarkStart w:id="819" w:name="_Toc265228384"/>
      <w:bookmarkStart w:id="820" w:name="_Toc127151747"/>
      <w:bookmarkStart w:id="821" w:name="_Toc164229387"/>
      <w:bookmarkStart w:id="822" w:name="_Toc149720839"/>
      <w:bookmarkStart w:id="823" w:name="_Toc151193860"/>
      <w:bookmarkStart w:id="824" w:name="_Toc164351640"/>
      <w:bookmarkStart w:id="825" w:name="_Toc305158888"/>
      <w:bookmarkStart w:id="826" w:name="_Toc264969236"/>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numPr>
          <w:ilvl w:val="1"/>
          <w:numId w:val="12"/>
        </w:numPr>
        <w:tabs>
          <w:tab w:val="left" w:pos="1080"/>
        </w:tabs>
        <w:snapToGrid w:val="0"/>
        <w:spacing w:line="360" w:lineRule="auto"/>
        <w:ind w:left="1076"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ascii="Times New Roman" w:hAnsi="Times New Roman"/>
          <w:sz w:val="24"/>
          <w:szCs w:val="24"/>
        </w:rPr>
      </w:pPr>
      <w:r>
        <w:rPr>
          <w:rFonts w:ascii="Times New Roman" w:hAnsi="Times New Roman"/>
          <w:sz w:val="24"/>
          <w:szCs w:val="24"/>
        </w:rPr>
        <w:t>□随机抽取</w:t>
      </w:r>
    </w:p>
    <w:p>
      <w:pPr>
        <w:pStyle w:val="24"/>
        <w:tabs>
          <w:tab w:val="left" w:pos="900"/>
          <w:tab w:val="left" w:pos="2127"/>
        </w:tabs>
        <w:adjustRightInd w:val="0"/>
        <w:snapToGrid w:val="0"/>
        <w:spacing w:line="360" w:lineRule="auto"/>
        <w:ind w:left="993" w:firstLine="136" w:firstLineChars="57"/>
        <w:rPr>
          <w:rFonts w:ascii="Times New Roman" w:hAnsi="Times New Roman"/>
          <w:sz w:val="24"/>
          <w:szCs w:val="24"/>
        </w:rPr>
      </w:pPr>
      <w:r>
        <w:rPr>
          <w:rFonts w:ascii="Times New Roman" w:hAnsi="Times New Roman"/>
          <w:sz w:val="24"/>
          <w:szCs w:val="24"/>
        </w:rPr>
        <w:t>□其他方式，具体要求：</w:t>
      </w:r>
      <w:r>
        <w:rPr>
          <w:rFonts w:cs="宋体"/>
          <w:sz w:val="24"/>
        </w:rPr>
        <w:t>得分相同的，按投标报价由低到高顺序排列，得分与投标报价均相同的，按技术指标优劣顺序排列。</w:t>
      </w:r>
    </w:p>
    <w:p>
      <w:pPr>
        <w:numPr>
          <w:ilvl w:val="1"/>
          <w:numId w:val="12"/>
        </w:numPr>
        <w:tabs>
          <w:tab w:val="left" w:pos="1080"/>
        </w:tabs>
        <w:snapToGrid w:val="0"/>
        <w:spacing w:line="360" w:lineRule="auto"/>
        <w:ind w:left="1076"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6"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6"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6"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6"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tbl>
      <w:tblPr>
        <w:tblStyle w:val="43"/>
        <w:tblW w:w="92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1096"/>
        <w:gridCol w:w="1096"/>
        <w:gridCol w:w="620"/>
        <w:gridCol w:w="3968"/>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9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评分因素</w:t>
            </w:r>
          </w:p>
        </w:tc>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分值</w:t>
            </w:r>
          </w:p>
        </w:tc>
        <w:tc>
          <w:tcPr>
            <w:tcW w:w="396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评分标准</w:t>
            </w:r>
          </w:p>
        </w:tc>
        <w:tc>
          <w:tcPr>
            <w:tcW w:w="20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5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9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投标报价</w:t>
            </w:r>
          </w:p>
        </w:tc>
        <w:tc>
          <w:tcPr>
            <w:tcW w:w="6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9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满足招标文件要求且投标价格最低的投标报价为评标基准价，其价格分为满分。其他投标人的价格分统一按照下列公式计算：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投标报价得分＝（评标基准价/投标报价）×分值。</w:t>
            </w:r>
          </w:p>
        </w:tc>
        <w:tc>
          <w:tcPr>
            <w:tcW w:w="2044"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此处投标报价指经过报价修正，及因落实政府采购政策进行价格调整后的报价，详见第四章《评标程序、评标方法和评标标准》2.4及2.5。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企业业绩</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2022年6月1日以来（以签订合同时间为准），投标人承接的类似项目业绩（需提供项目业绩的合同关键页复印件，合同关键页包含合同的甲乙双方，合同详细标的、金额页和双方签章页），每提供一份有效业绩得0.5分，最高为4分。项目时间以合同签署时间为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不提供或提供内容有误则不得分。</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企业实力</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投标人具有信息技术服务运行维护标准符合性资质证书（ITSS）3级或以上证书的得2分；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投标人具有ISO9001质量管理体系认证证书的得2分；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投标人具有ISO27001信息安全管理体系证书的得2分；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投标人具有职业健康安全管理体系证书的得2分；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投标人具有信息系统建设和服务能力等级证书的得2分；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投标人具有数据管理能力成熟度认证3级或以上证书的得2分；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投标人须提供上述认证证书原件扫描件，否则不得分。</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96"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技术方案</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背景及需求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分析</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投标人对本项目所提供的项目需求分析方案（包括对项目现状的理解、业务流程分析、系统功能需求分析等）进行评分。方案内容满足上述要求得6分，每缺少一项内容或内容不能满足本项目实际需求的，每一项扣 2分，扣完为止；每出现一处不完善或不合理或相对弱势减 1 分，扣完为止。</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96" w:type="dxa"/>
            <w:vMerge w:val="continue"/>
            <w:tcBorders>
              <w:top w:val="nil"/>
              <w:left w:val="nil"/>
              <w:bottom w:val="nil"/>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项目实施方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案</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根据投标人提供的项目实施方案（包括项目实施组织、项目配置管理、项目需求管理、项目质量管理、项目风险管理、项目变更管理）进行评分。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方案内容满足上述要求得 18 分，每缺少一项内容或内容不能满足本项目实际需求的，每一项扣 3 分，扣完为止；每出现一处不完善或不合理或相对弱势减 1 分，扣完为止。</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096" w:type="dxa"/>
            <w:vMerge w:val="continue"/>
            <w:tcBorders>
              <w:top w:val="nil"/>
              <w:left w:val="nil"/>
              <w:bottom w:val="nil"/>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项目运维方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案</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根据投标人提供的项目运维方案（包括运维服务内容、运维服务措施、运维安全保障、运维质量保障、应急预案保障、灾难恢复保障）进行评分。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方案内容满足上述要求得 24 分，每缺少一项内容或内容不能满足本项目实际需求的，每一项扣 4 分，扣完为止；每出现一处不完善或不合理或相对弱势减 2 分，扣完为止；若投标人未对采购需求中非 “★” 号项和驻场人员要求项之外的需求要求作出明确响应，在上述评分结果基础上，对运维方案的每一项内容各扣 1 分，扣完为止。</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096" w:type="dxa"/>
            <w:vMerge w:val="continue"/>
            <w:tcBorders>
              <w:top w:val="nil"/>
              <w:left w:val="nil"/>
              <w:bottom w:val="nil"/>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保密方案</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投标人对本项目所提供的项目保密方案（包括对保密管理体系、技术保密保障措施、应急保密处置等）进行评分。方案内容满足上述要求得3分，每缺少一项内容或内容不完善、不合理或不能满足本项目实际需求的，每一项扣 1 分，扣完为止。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的数据安全技术能力：投标人每提供1项与数据安全或保密技术相关的有效著作权得1.5分，最高得3分，投标人须提供上述著作权的原件扫描件（证书的发证日期必须早于本项目招标公告公布日期），否则不得分。</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096" w:type="dxa"/>
            <w:vMerge w:val="continue"/>
            <w:tcBorders>
              <w:top w:val="nil"/>
              <w:left w:val="nil"/>
              <w:bottom w:val="nil"/>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培训方案</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根据投标人提供详细的培训方案（包括培训内容、培训方式、培训目标、培训质量保障措施）进行评分。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方案内容满足上述要求得 4分，每缺少一项内容或内容不完善、不合理或不能满足本项目实际需求的，每一项扣 1 分，扣完为止。</w:t>
            </w:r>
          </w:p>
        </w:tc>
        <w:tc>
          <w:tcPr>
            <w:tcW w:w="2044"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57"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096"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团队实力</w:t>
            </w:r>
          </w:p>
        </w:tc>
        <w:tc>
          <w:tcPr>
            <w:tcW w:w="10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项目经理</w:t>
            </w:r>
          </w:p>
        </w:tc>
        <w:tc>
          <w:tcPr>
            <w:tcW w:w="6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9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拟安排的项目经理（1名）具有IT 服务项目经理、PMP项目经理证书，每提供一类得1分，本项最多得2分。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投标人须提供证书复印件及近6个月的在本单位缴纳社会保险缴费证明或社保网站打印的社保证明，公司注册成立不足6个月的公司可依据公司实际情况提供证明材料，未提供或提供不全的不得分</w:t>
            </w:r>
          </w:p>
        </w:tc>
        <w:tc>
          <w:tcPr>
            <w:tcW w:w="2044"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57"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96"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项目实施负责人</w:t>
            </w:r>
          </w:p>
        </w:tc>
        <w:tc>
          <w:tcPr>
            <w:tcW w:w="6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9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拟安排的项目实施负责人（1名）具有高级信息系统项目管理师、PMP 项目经理证书，每提供一类得1分，本项最多得2分。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投标人须提供证书复印件及近6个月的在本单位缴纳社会保险缴费证明或社保网站打印的社保证明，公司注册成立不足6个月的公司可依据公司实际情况提供证明材料，未提供或提供不全的不得分。</w:t>
            </w:r>
          </w:p>
        </w:tc>
        <w:tc>
          <w:tcPr>
            <w:tcW w:w="2044"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57"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096"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项目团队人员</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对投标人拟投入本项目的团队人员进行能力评价，团队人员中拥有证书包括以下种类：信息系统项目管理师、系统集成项目管理工程师、软件测评师、软件设计师、IT 服务工程师、IT 服务项目经理，每具备一类得1分，一人多证不重复加分，本项最多得6分。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人须提供证书复印件及近6个月的在本单位缴纳社会保险缴费证明或社保网站打印的社保证明，公司注册成立不足6个月的公司可依据公司实际情况提供证明材料，未提供或提供不全的不得分。（项目经理及项目实施负责人不参与此项得分）</w:t>
            </w:r>
          </w:p>
        </w:tc>
        <w:tc>
          <w:tcPr>
            <w:tcW w:w="2044" w:type="dxa"/>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45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096"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驻场人员</w:t>
            </w:r>
          </w:p>
        </w:tc>
        <w:tc>
          <w:tcPr>
            <w:tcW w:w="62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96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驻场人人员数量不少于 4 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驻场人员需熟练掌握 SpringBoot、SpringMVC 等主流框架开发，具备扎实的面向对象及 B/S 开发能力，精通 Vue+elementUI 等前端技术、服务器配置部署、各类环境配置及数据库相关技术，具有程序员证书或国产化中间件、数据库厂商的服务认证证书，从而能高效满足日常运维开发和培训服务，每一人得1.5分，本项最多得6分（不足4人本项不得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提供以上团队人员简历、相关证书复印件及近6个月的在本单位缴纳社会保险缴费证明或社保网站打印的社保证明，公司注册成立不足6个月的公司可依据公司实际情况提供证明材料，未提供或提供不全的不得分。</w:t>
            </w:r>
          </w:p>
        </w:tc>
        <w:tc>
          <w:tcPr>
            <w:tcW w:w="2044"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4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62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3968" w:type="dxa"/>
            <w:tcBorders>
              <w:top w:val="single" w:color="000000" w:sz="8"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2044" w:type="dxa"/>
            <w:tcBorders>
              <w:top w:val="single" w:color="000000" w:sz="8" w:space="0"/>
              <w:left w:val="single" w:color="000000" w:sz="4"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2"/>
                <w:szCs w:val="22"/>
                <w:u w:val="none"/>
              </w:rPr>
            </w:pPr>
          </w:p>
        </w:tc>
      </w:tr>
    </w:tbl>
    <w:p>
      <w:pPr>
        <w:spacing w:line="360" w:lineRule="auto"/>
        <w:jc w:val="center"/>
        <w:outlineLvl w:val="0"/>
        <w:rPr>
          <w:b/>
          <w:sz w:val="36"/>
          <w:szCs w:val="36"/>
        </w:rPr>
      </w:pPr>
      <w:r>
        <w:rPr>
          <w:b/>
          <w:sz w:val="36"/>
          <w:szCs w:val="36"/>
        </w:rPr>
        <w:br w:type="page"/>
      </w:r>
      <w:bookmarkStart w:id="827" w:name="_Toc99301424"/>
      <w:r>
        <w:rPr>
          <w:b/>
          <w:sz w:val="36"/>
          <w:szCs w:val="36"/>
        </w:rPr>
        <w:t>第五章   采购需求</w:t>
      </w:r>
      <w:bookmarkEnd w:id="827"/>
    </w:p>
    <w:p>
      <w:pPr>
        <w:pStyle w:val="65"/>
        <w:numPr>
          <w:ilvl w:val="0"/>
          <w:numId w:val="14"/>
        </w:numPr>
        <w:spacing w:line="360" w:lineRule="auto"/>
        <w:ind w:firstLineChars="0"/>
        <w:contextualSpacing/>
        <w:rPr>
          <w:rFonts w:ascii="Times New Roman" w:hAnsi="Times New Roman"/>
          <w:b/>
          <w:sz w:val="24"/>
          <w:szCs w:val="24"/>
        </w:rPr>
      </w:pPr>
      <w:bookmarkStart w:id="828" w:name="OLE_LINK7"/>
      <w:r>
        <w:rPr>
          <w:rFonts w:ascii="Times New Roman" w:hAnsi="Times New Roman"/>
          <w:b/>
          <w:sz w:val="24"/>
          <w:szCs w:val="24"/>
        </w:rPr>
        <w:t>采购标的</w:t>
      </w:r>
    </w:p>
    <w:p>
      <w:pPr>
        <w:spacing w:line="360" w:lineRule="auto"/>
        <w:ind w:firstLine="482" w:firstLineChars="200"/>
        <w:contextualSpacing/>
        <w:rPr>
          <w:rFonts w:hint="eastAsia" w:eastAsia="宋体"/>
          <w:b w:val="0"/>
          <w:bCs/>
          <w:sz w:val="24"/>
          <w:lang w:eastAsia="zh-CN"/>
        </w:rPr>
      </w:pPr>
      <w:r>
        <w:rPr>
          <w:b/>
          <w:sz w:val="24"/>
        </w:rPr>
        <w:t>1. 采购标的</w:t>
      </w:r>
      <w:r>
        <w:rPr>
          <w:rFonts w:hint="eastAsia"/>
          <w:b/>
          <w:sz w:val="24"/>
        </w:rPr>
        <w:t>:</w:t>
      </w:r>
      <w:bookmarkStart w:id="829" w:name="OLE_LINK9"/>
      <w:r>
        <w:rPr>
          <w:rFonts w:hint="eastAsia" w:ascii="宋体" w:hAnsi="宋体" w:cs="宋体"/>
          <w:b w:val="0"/>
          <w:bCs/>
          <w:sz w:val="24"/>
        </w:rPr>
        <w:t>北京市计量检测科学研究院业务管理系统并行维护项目（2025年）</w:t>
      </w:r>
    </w:p>
    <w:bookmarkEnd w:id="829"/>
    <w:p>
      <w:pPr>
        <w:spacing w:line="360" w:lineRule="auto"/>
        <w:ind w:firstLine="482" w:firstLineChars="200"/>
        <w:contextualSpacing/>
        <w:rPr>
          <w:bCs/>
          <w:sz w:val="24"/>
        </w:rPr>
      </w:pPr>
      <w:r>
        <w:rPr>
          <w:b/>
          <w:sz w:val="24"/>
        </w:rPr>
        <w:t xml:space="preserve">2. </w:t>
      </w:r>
      <w:r>
        <w:rPr>
          <w:rFonts w:hint="eastAsia"/>
          <w:b/>
          <w:sz w:val="24"/>
          <w:lang w:val="en-US" w:eastAsia="zh-CN"/>
        </w:rPr>
        <w:t>项目概况</w:t>
      </w:r>
    </w:p>
    <w:p>
      <w:pPr>
        <w:adjustRightInd w:val="0"/>
        <w:snapToGrid w:val="0"/>
        <w:spacing w:line="440" w:lineRule="exact"/>
        <w:ind w:firstLine="480" w:firstLineChars="200"/>
        <w:contextualSpacing/>
        <w:rPr>
          <w:rFonts w:hint="eastAsia" w:ascii="宋体" w:hAnsi="宋体" w:cs="宋体"/>
          <w:color w:val="auto"/>
          <w:sz w:val="24"/>
          <w:highlight w:val="none"/>
        </w:rPr>
      </w:pPr>
      <w:r>
        <w:rPr>
          <w:rFonts w:hint="eastAsia" w:ascii="宋体" w:hAnsi="宋体" w:cs="宋体"/>
          <w:sz w:val="24"/>
        </w:rPr>
        <w:t>甲方委托第三方公司开发了业务管理系统V1.0，业务系统框架为OFBIZ，服务器为1台，数据库为mysql，实现了送检仪器委托、流转、入库，检测证书录入、打印，检测业务结算、收费，检测人员资质管理，证书和原始记录模板管理，检测用标准器管理和资质管理，检测业务及绩效统计，检测延误统计，客户管理，库房管理等功能。业务管理系统V1.0于2018年3月至今，由第三方公司开展维护，维护内容包括系统的代码、功能结构、数据结构等，完善了开发文档和使用文档，解决系统bug，保障了业务系统V1.0的安全可靠运行。由于业务系统V1.0的框架结构、数据对接兼容性以及在数据安全等方面存在一定问题，在后续电子证书功能开发、与金税系统、预约系统等信息系统的接口对接中出现不兼容及数据安全问题，甲方于2020年期间开发升级了业务系统2.0，新系统前端采用VUE+elementUI，后端采用SpringMVC，前后端分离式开发，实现了电子防伪证书、可视化统计、与其它项目数据可安全接口交互等功能，还包括本身送检仪器委托、流转、入库，检测证书录入、打印，检测业务结算、收费，检测人员资质管理，证书和原始记录模板管理，检测用标准器管理和资质管理，检测业务及绩效统计，检测延误统计，客户管理，库房管理等功能，并实现接口的高度兼容性，为后续升级开发提供了很好的基础。目前，业务系统V1.0还负担着历史证书管理（查询、变更），在途业务处理、结算、业务统计等功能用途，业务系统2.0已经上线运行，为保障业务系统V1.0、V2.0的稳定可靠运行，</w:t>
      </w:r>
      <w:r>
        <w:rPr>
          <w:rFonts w:hint="eastAsia" w:ascii="宋体" w:hAnsi="宋体" w:cs="宋体"/>
          <w:color w:val="000000"/>
          <w:sz w:val="24"/>
        </w:rPr>
        <w:t>满足对业务系统V2.0功能优化升级、小型功能开发等工作需要，特启动了</w:t>
      </w:r>
      <w:r>
        <w:rPr>
          <w:rFonts w:hint="eastAsia" w:ascii="宋体" w:hAnsi="宋体" w:cs="宋体"/>
          <w:color w:val="auto"/>
          <w:sz w:val="24"/>
          <w:highlight w:val="none"/>
        </w:rPr>
        <w:t>业务系统V1.0、V2.0的并行维护服务招标工作。</w:t>
      </w:r>
    </w:p>
    <w:p>
      <w:pPr>
        <w:spacing w:line="360" w:lineRule="auto"/>
        <w:ind w:firstLine="482" w:firstLineChars="200"/>
        <w:contextualSpacing/>
        <w:rPr>
          <w:b/>
          <w:color w:val="auto"/>
          <w:sz w:val="24"/>
          <w:highlight w:val="none"/>
        </w:rPr>
      </w:pPr>
    </w:p>
    <w:p>
      <w:pPr>
        <w:pStyle w:val="65"/>
        <w:numPr>
          <w:ilvl w:val="0"/>
          <w:numId w:val="14"/>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pPr>
        <w:numPr>
          <w:ilvl w:val="0"/>
          <w:numId w:val="15"/>
        </w:numPr>
        <w:spacing w:line="360" w:lineRule="auto"/>
        <w:ind w:firstLine="482" w:firstLineChars="200"/>
        <w:contextualSpacing/>
        <w:rPr>
          <w:rFonts w:hint="eastAsia"/>
          <w:b/>
          <w:bCs/>
          <w:color w:val="auto"/>
          <w:sz w:val="24"/>
          <w:highlight w:val="none"/>
        </w:rPr>
      </w:pPr>
      <w:r>
        <w:rPr>
          <w:rFonts w:hint="eastAsia"/>
          <w:b/>
          <w:bCs/>
          <w:color w:val="auto"/>
          <w:sz w:val="24"/>
          <w:highlight w:val="none"/>
          <w:lang w:val="en-US" w:eastAsia="zh-CN"/>
        </w:rPr>
        <w:t>服务期限</w:t>
      </w:r>
      <w:r>
        <w:rPr>
          <w:rFonts w:hint="eastAsia"/>
          <w:b/>
          <w:bCs/>
          <w:color w:val="auto"/>
          <w:sz w:val="24"/>
          <w:highlight w:val="none"/>
        </w:rPr>
        <w:t>：</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8</w:t>
      </w:r>
      <w:r>
        <w:rPr>
          <w:rFonts w:hint="eastAsia" w:asciiTheme="minorEastAsia" w:hAnsiTheme="minorEastAsia" w:eastAsiaTheme="minorEastAsia" w:cstheme="minorEastAsia"/>
          <w:color w:val="auto"/>
          <w:sz w:val="24"/>
          <w:highlight w:val="none"/>
          <w:u w:val="single"/>
        </w:rPr>
        <w:t>月</w:t>
      </w:r>
      <w:r>
        <w:rPr>
          <w:rFonts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u w:val="single"/>
          <w:lang w:val="en-US" w:eastAsia="zh-CN"/>
        </w:rPr>
        <w:t>1</w:t>
      </w:r>
      <w:r>
        <w:rPr>
          <w:rFonts w:hint="eastAsia" w:asciiTheme="minorEastAsia" w:hAnsiTheme="minorEastAsia" w:eastAsiaTheme="minorEastAsia" w:cstheme="minorEastAsia"/>
          <w:color w:val="auto"/>
          <w:sz w:val="24"/>
          <w:highlight w:val="none"/>
          <w:u w:val="single"/>
          <w:lang w:eastAsia="zh-CN"/>
        </w:rPr>
        <w:t>日</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rPr>
        <w:t>年</w:t>
      </w:r>
      <w:r>
        <w:rPr>
          <w:rFonts w:hint="eastAsia" w:asciiTheme="minorEastAsia" w:hAnsiTheme="minorEastAsia" w:eastAsiaTheme="minorEastAsia" w:cstheme="minorEastAsia"/>
          <w:color w:val="auto"/>
          <w:sz w:val="24"/>
          <w:highlight w:val="none"/>
          <w:u w:val="single"/>
          <w:lang w:val="en-US" w:eastAsia="zh-CN"/>
        </w:rPr>
        <w:t>8</w:t>
      </w:r>
      <w:r>
        <w:rPr>
          <w:rFonts w:hint="eastAsia" w:asciiTheme="minorEastAsia" w:hAnsiTheme="minorEastAsia" w:eastAsiaTheme="minorEastAsia" w:cstheme="minorEastAsia"/>
          <w:color w:val="auto"/>
          <w:sz w:val="24"/>
          <w:highlight w:val="none"/>
          <w:u w:val="single"/>
        </w:rPr>
        <w:t>月</w:t>
      </w:r>
      <w:r>
        <w:rPr>
          <w:rFonts w:asciiTheme="minorEastAsia" w:hAnsiTheme="minorEastAsia" w:eastAsiaTheme="minorEastAsia" w:cstheme="minorEastAsia"/>
          <w:color w:val="auto"/>
          <w:sz w:val="24"/>
          <w:highlight w:val="none"/>
          <w:u w:val="single"/>
        </w:rPr>
        <w:t>30</w:t>
      </w:r>
      <w:r>
        <w:rPr>
          <w:rFonts w:hint="eastAsia" w:asciiTheme="minorEastAsia" w:hAnsiTheme="minorEastAsia" w:eastAsiaTheme="minorEastAsia" w:cstheme="minorEastAsia"/>
          <w:color w:val="auto"/>
          <w:sz w:val="24"/>
          <w:highlight w:val="none"/>
          <w:u w:val="single"/>
          <w:lang w:eastAsia="zh-CN"/>
        </w:rPr>
        <w:t>日</w:t>
      </w:r>
      <w:r>
        <w:rPr>
          <w:rFonts w:hint="eastAsia"/>
          <w:b/>
          <w:bCs/>
          <w:color w:val="auto"/>
          <w:sz w:val="24"/>
          <w:highlight w:val="none"/>
        </w:rPr>
        <w:t>。</w:t>
      </w:r>
    </w:p>
    <w:p>
      <w:pPr>
        <w:spacing w:line="360" w:lineRule="auto"/>
        <w:ind w:firstLine="482" w:firstLineChars="200"/>
        <w:contextualSpacing/>
        <w:rPr>
          <w:i/>
          <w:color w:val="auto"/>
          <w:sz w:val="24"/>
          <w:highlight w:val="none"/>
        </w:rPr>
      </w:pPr>
      <w:r>
        <w:rPr>
          <w:rFonts w:hint="eastAsia"/>
          <w:b/>
          <w:bCs/>
          <w:color w:val="auto"/>
          <w:sz w:val="24"/>
          <w:highlight w:val="none"/>
        </w:rPr>
        <w:t>2.</w:t>
      </w:r>
      <w:r>
        <w:rPr>
          <w:rFonts w:hint="eastAsia"/>
          <w:b/>
          <w:bCs/>
          <w:color w:val="auto"/>
          <w:sz w:val="24"/>
          <w:highlight w:val="none"/>
          <w:lang w:val="en-US" w:eastAsia="zh-CN"/>
        </w:rPr>
        <w:t xml:space="preserve"> 服务</w:t>
      </w:r>
      <w:r>
        <w:rPr>
          <w:rFonts w:hint="eastAsia"/>
          <w:b/>
          <w:bCs/>
          <w:color w:val="auto"/>
          <w:sz w:val="24"/>
          <w:highlight w:val="none"/>
        </w:rPr>
        <w:t>地点：</w:t>
      </w:r>
      <w:r>
        <w:rPr>
          <w:rFonts w:hint="eastAsia" w:asciiTheme="minorEastAsia" w:hAnsiTheme="minorEastAsia" w:eastAsiaTheme="minorEastAsia" w:cstheme="minorEastAsia"/>
          <w:color w:val="auto"/>
          <w:sz w:val="24"/>
          <w:highlight w:val="none"/>
        </w:rPr>
        <w:t>北京市朝阳区安苑东里一区12号</w:t>
      </w:r>
      <w:r>
        <w:rPr>
          <w:rFonts w:hint="eastAsia"/>
          <w:color w:val="auto"/>
          <w:sz w:val="24"/>
          <w:highlight w:val="none"/>
        </w:rPr>
        <w:t>。</w:t>
      </w:r>
    </w:p>
    <w:p>
      <w:pPr>
        <w:spacing w:line="360" w:lineRule="auto"/>
        <w:ind w:firstLine="482" w:firstLineChars="200"/>
        <w:contextualSpacing/>
        <w:rPr>
          <w:color w:val="auto"/>
          <w:sz w:val="24"/>
          <w:highlight w:val="none"/>
        </w:rPr>
      </w:pPr>
      <w:r>
        <w:rPr>
          <w:rFonts w:hint="eastAsia"/>
          <w:b/>
          <w:bCs/>
          <w:color w:val="auto"/>
          <w:sz w:val="24"/>
          <w:highlight w:val="none"/>
        </w:rPr>
        <w:t>3</w:t>
      </w:r>
      <w:r>
        <w:rPr>
          <w:b/>
          <w:bCs/>
          <w:color w:val="auto"/>
          <w:sz w:val="24"/>
          <w:highlight w:val="none"/>
        </w:rPr>
        <w:t>. 付款条件</w:t>
      </w:r>
      <w:r>
        <w:rPr>
          <w:rFonts w:hint="eastAsia"/>
          <w:b/>
          <w:bCs/>
          <w:color w:val="auto"/>
          <w:sz w:val="24"/>
          <w:highlight w:val="none"/>
        </w:rPr>
        <w:t>：</w:t>
      </w:r>
      <w:r>
        <w:rPr>
          <w:rFonts w:hint="eastAsia"/>
          <w:b/>
          <w:bCs/>
          <w:color w:val="auto"/>
          <w:sz w:val="24"/>
          <w:highlight w:val="none"/>
          <w:lang w:val="en-US" w:eastAsia="zh-CN"/>
        </w:rPr>
        <w:t>详见合同</w:t>
      </w:r>
    </w:p>
    <w:p>
      <w:pPr>
        <w:pStyle w:val="65"/>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highlight w:val="none"/>
        </w:rPr>
      </w:pPr>
      <w:r>
        <w:rPr>
          <w:sz w:val="24"/>
        </w:rPr>
        <w:t>1.1 采购标的需实现的功能或者目标</w:t>
      </w:r>
      <w:r>
        <w:rPr>
          <w:rFonts w:hint="eastAsia"/>
          <w:sz w:val="24"/>
        </w:rPr>
        <w:t>：北京市计量检测科学研究院业务管理系统并行维护项</w:t>
      </w:r>
      <w:r>
        <w:rPr>
          <w:rFonts w:hint="eastAsia"/>
          <w:sz w:val="24"/>
          <w:highlight w:val="none"/>
        </w:rPr>
        <w:t>目（2025年）</w:t>
      </w:r>
      <w:r>
        <w:rPr>
          <w:rFonts w:hint="eastAsia" w:ascii="宋体" w:cs="宋体"/>
          <w:sz w:val="24"/>
          <w:highlight w:val="none"/>
        </w:rPr>
        <w:t>。</w:t>
      </w:r>
    </w:p>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pacing w:line="360" w:lineRule="auto"/>
        <w:ind w:firstLine="480" w:firstLineChars="200"/>
        <w:contextualSpacing/>
        <w:rPr>
          <w:sz w:val="24"/>
        </w:rPr>
      </w:pPr>
      <w:r>
        <w:rPr>
          <w:rFonts w:hint="eastAsia" w:ascii="宋体"/>
          <w:sz w:val="24"/>
          <w:highlight w:val="none"/>
        </w:rPr>
        <w:t>注：投标人提供的货物及服务应符合国家有关标准、规范。规范要求，如有更新，以现行标准为准</w:t>
      </w:r>
      <w:r>
        <w:rPr>
          <w:rFonts w:hint="eastAsia" w:ascii="宋体"/>
          <w:sz w:val="24"/>
        </w:rPr>
        <w:t>。</w:t>
      </w:r>
    </w:p>
    <w:p>
      <w:pPr>
        <w:spacing w:line="360" w:lineRule="auto"/>
        <w:contextualSpacing/>
        <w:rPr>
          <w:sz w:val="24"/>
        </w:rPr>
      </w:pPr>
    </w:p>
    <w:p>
      <w:pPr>
        <w:spacing w:line="360" w:lineRule="auto"/>
        <w:contextualSpacing/>
        <w:rPr>
          <w:sz w:val="24"/>
        </w:rPr>
      </w:pPr>
      <w:r>
        <w:rPr>
          <w:sz w:val="24"/>
        </w:rPr>
        <w:t xml:space="preserve">2. </w:t>
      </w:r>
      <w:r>
        <w:rPr>
          <w:rFonts w:hint="eastAsia"/>
          <w:sz w:val="24"/>
          <w:lang w:val="en-US" w:eastAsia="zh-CN"/>
        </w:rPr>
        <w:t>项目需</w:t>
      </w:r>
      <w:r>
        <w:rPr>
          <w:sz w:val="24"/>
        </w:rPr>
        <w:t>求</w:t>
      </w:r>
    </w:p>
    <w:p>
      <w:pPr>
        <w:adjustRightInd w:val="0"/>
        <w:snapToGrid w:val="0"/>
        <w:spacing w:line="440" w:lineRule="exact"/>
        <w:ind w:firstLine="480" w:firstLineChars="200"/>
        <w:contextualSpacing/>
        <w:rPr>
          <w:rFonts w:hint="eastAsia" w:ascii="宋体" w:hAnsi="宋体" w:cs="宋体"/>
          <w:color w:val="000000"/>
          <w:sz w:val="24"/>
        </w:rPr>
      </w:pPr>
      <w:r>
        <w:rPr>
          <w:rFonts w:ascii="Segoe UI Symbol" w:hAnsi="Segoe UI Symbol" w:cs="Segoe UI Symbol"/>
          <w:color w:val="000000"/>
          <w:kern w:val="0"/>
          <w:sz w:val="24"/>
        </w:rPr>
        <w:t>★</w:t>
      </w:r>
      <w:r>
        <w:rPr>
          <w:rFonts w:hint="eastAsia" w:ascii="宋体" w:hAnsi="宋体" w:cs="宋体"/>
          <w:color w:val="000000"/>
          <w:sz w:val="24"/>
          <w:lang w:val="en-US" w:eastAsia="zh-CN"/>
        </w:rPr>
        <w:t>2.1</w:t>
      </w:r>
      <w:r>
        <w:rPr>
          <w:rFonts w:hint="eastAsia" w:ascii="宋体" w:hAnsi="宋体" w:cs="宋体"/>
          <w:color w:val="000000"/>
          <w:sz w:val="24"/>
        </w:rPr>
        <w:t>提供业务系统V1.0/V2.0日常运维服务，及时解决系统常规性问题，保障系统可持续运行；</w:t>
      </w:r>
    </w:p>
    <w:p>
      <w:pPr>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color w:val="000000"/>
          <w:sz w:val="24"/>
          <w:lang w:val="en-US" w:eastAsia="zh-CN"/>
        </w:rPr>
        <w:t>2.2</w:t>
      </w:r>
      <w:r>
        <w:rPr>
          <w:rFonts w:hint="eastAsia" w:ascii="宋体" w:hAnsi="宋体" w:cs="宋体"/>
          <w:color w:val="000000"/>
          <w:sz w:val="24"/>
        </w:rPr>
        <w:t>建立系统备份与恢复机制，制定防勒索病毒专项防护方案并实施</w:t>
      </w:r>
      <w:r>
        <w:rPr>
          <w:rFonts w:hint="eastAsia" w:ascii="宋体" w:hAnsi="宋体" w:cs="宋体"/>
          <w:sz w:val="24"/>
        </w:rPr>
        <w:t>，做好物理隔离备份，确保数据不丢失；</w:t>
      </w:r>
    </w:p>
    <w:p>
      <w:pPr>
        <w:adjustRightInd w:val="0"/>
        <w:snapToGrid w:val="0"/>
        <w:spacing w:line="440" w:lineRule="exact"/>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2.3</w:t>
      </w:r>
      <w:r>
        <w:rPr>
          <w:rFonts w:hint="eastAsia" w:ascii="宋体" w:hAnsi="宋体" w:cs="宋体"/>
          <w:color w:val="000000"/>
          <w:sz w:val="24"/>
        </w:rPr>
        <w:t>协助甲方梳理建立业务架构图、开发框架、数据库、数据表（主要业务表）、页面、部署方案；</w:t>
      </w:r>
    </w:p>
    <w:p>
      <w:pPr>
        <w:adjustRightInd w:val="0"/>
        <w:snapToGrid w:val="0"/>
        <w:spacing w:line="440" w:lineRule="exact"/>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2.4</w:t>
      </w:r>
      <w:r>
        <w:rPr>
          <w:rFonts w:hint="eastAsia" w:ascii="宋体" w:hAnsi="宋体" w:cs="宋体"/>
          <w:color w:val="000000"/>
          <w:sz w:val="24"/>
        </w:rPr>
        <w:t>维护业务系统与预约系统、金税K8系统、市局CA认证签章系统、质量型式评价系统、OA系统、呼叫系统等其它系统的功能对接、数据对接，做到统一数据源，业务数据互调互通；</w:t>
      </w:r>
    </w:p>
    <w:p>
      <w:pPr>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sz w:val="24"/>
          <w:lang w:val="en-US" w:eastAsia="zh-CN"/>
        </w:rPr>
        <w:t>2.5</w:t>
      </w:r>
      <w:r>
        <w:rPr>
          <w:rFonts w:hint="eastAsia" w:ascii="宋体" w:hAnsi="宋体" w:cs="宋体"/>
          <w:sz w:val="24"/>
        </w:rPr>
        <w:t>维护OA系统数据同步，审批流程和人员变动与业务数据同步；</w:t>
      </w:r>
    </w:p>
    <w:p>
      <w:pPr>
        <w:adjustRightInd w:val="0"/>
        <w:snapToGrid w:val="0"/>
        <w:spacing w:line="440" w:lineRule="exact"/>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2.6</w:t>
      </w:r>
      <w:r>
        <w:rPr>
          <w:rFonts w:hint="eastAsia" w:ascii="宋体" w:hAnsi="宋体" w:cs="宋体"/>
          <w:color w:val="000000"/>
          <w:sz w:val="24"/>
        </w:rPr>
        <w:t>完成双方协商认可的其它相关工作，对新需求进行梳理，给出合理化开发建议，</w:t>
      </w:r>
      <w:r>
        <w:rPr>
          <w:rFonts w:hint="eastAsia" w:ascii="宋体" w:hAnsi="宋体" w:cs="宋体"/>
          <w:sz w:val="24"/>
        </w:rPr>
        <w:t>并提供小型功能模块优化与升级服务；</w:t>
      </w:r>
    </w:p>
    <w:p>
      <w:pPr>
        <w:pStyle w:val="2"/>
        <w:adjustRightInd w:val="0"/>
        <w:snapToGrid w:val="0"/>
        <w:spacing w:line="440" w:lineRule="exact"/>
        <w:ind w:firstLine="480" w:firstLineChars="200"/>
        <w:contextualSpacing/>
        <w:jc w:val="left"/>
        <w:rPr>
          <w:rFonts w:hint="eastAsia" w:cs="宋体"/>
          <w:color w:val="auto"/>
          <w:highlight w:val="none"/>
        </w:rPr>
      </w:pPr>
      <w:r>
        <w:rPr>
          <w:rFonts w:ascii="Segoe UI Symbol" w:hAnsi="Segoe UI Symbol" w:cs="Segoe UI Symbol"/>
          <w:color w:val="000000"/>
          <w:kern w:val="0"/>
          <w:sz w:val="24"/>
        </w:rPr>
        <w:t>★</w:t>
      </w:r>
      <w:r>
        <w:rPr>
          <w:rFonts w:hint="eastAsia" w:cs="宋体"/>
          <w:color w:val="auto"/>
          <w:highlight w:val="none"/>
          <w:lang w:val="en-US" w:eastAsia="zh-CN"/>
        </w:rPr>
        <w:t>2.7</w:t>
      </w:r>
      <w:r>
        <w:rPr>
          <w:rFonts w:hint="eastAsia" w:cs="宋体"/>
          <w:color w:val="auto"/>
          <w:highlight w:val="none"/>
        </w:rPr>
        <w:t>完成双方协商认可的其它相关工作，包括客户服务端功能开发，扩展线上检测服务、提供下场/送检线上预约及配套服务、拓展完善线上电子报告功能，打通线上支付结算与电子发票全流程管理、拓展完善客户信息标准化管理、并统一基础数据与检测信息标准化管理、持续性开发实验设备及其他体系系统与业务系统数据互通功能、按需求开发新增业务统计功能、新增功能操作培训动态图制作等，根据具体需求制定功能开发需求，并实施开发。</w:t>
      </w:r>
    </w:p>
    <w:p>
      <w:pPr>
        <w:adjustRightInd w:val="0"/>
        <w:snapToGrid w:val="0"/>
        <w:spacing w:line="440" w:lineRule="exact"/>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业务系统V2.0主干流程优化升级，确保其兼容各浏览器版本，支持国产化系统和配置，根据具体需求制定功能开发需求，并实施开发，且对相应功能进行升级改造；</w:t>
      </w:r>
    </w:p>
    <w:p>
      <w:pPr>
        <w:adjustRightInd w:val="0"/>
        <w:snapToGrid w:val="0"/>
        <w:spacing w:line="440" w:lineRule="exact"/>
        <w:ind w:firstLine="480" w:firstLineChars="200"/>
        <w:contextualSpacing/>
        <w:rPr>
          <w:rFonts w:hint="eastAsia" w:ascii="宋体" w:hAnsi="宋体" w:cs="宋体"/>
          <w:color w:val="000000"/>
          <w:sz w:val="24"/>
        </w:rPr>
      </w:pPr>
      <w:r>
        <w:rPr>
          <w:rFonts w:hint="eastAsia" w:ascii="宋体" w:hAnsi="宋体" w:cs="宋体"/>
          <w:color w:val="000000"/>
          <w:sz w:val="24"/>
          <w:lang w:val="en-US" w:eastAsia="zh-CN"/>
        </w:rPr>
        <w:t>2.9</w:t>
      </w:r>
      <w:r>
        <w:rPr>
          <w:rFonts w:hint="eastAsia" w:ascii="宋体" w:hAnsi="宋体" w:cs="宋体"/>
          <w:color w:val="000000"/>
          <w:sz w:val="24"/>
        </w:rPr>
        <w:t>现场驻场运维人员依照项目实际情况调配，满足日常运维管理工作的同时，提供系统操作培训及知识转移服务，不少于4人；技术要求为：（熟悉主流框架SpringBoot、SpringMVC、SSH、SMM的开发；具有面向对象分析、设计、开发能力及B/S开发经验；熟悉Vue+elementUI、JavaScript、HTML、DIV/CSS、Json、Dwr等技术；掌握Linux和Windows Server服务器的配置和部署；掌握Apache、Tomcat、Eclipse、SVN环境配置；熟练运用MySQL数据库，能够编写存储过程、触发器、事务；掌握数据库优化技术）。</w:t>
      </w:r>
    </w:p>
    <w:p>
      <w:pPr>
        <w:spacing w:line="360" w:lineRule="auto"/>
        <w:contextualSpacing/>
        <w:rPr>
          <w:rFonts w:hint="eastAsia"/>
          <w:sz w:val="24"/>
          <w:lang w:val="en-US" w:eastAsia="zh-CN"/>
        </w:rPr>
      </w:pPr>
      <w:r>
        <w:rPr>
          <w:sz w:val="24"/>
        </w:rPr>
        <w:t xml:space="preserve">3. </w:t>
      </w:r>
      <w:r>
        <w:rPr>
          <w:rFonts w:hint="eastAsia"/>
          <w:sz w:val="24"/>
          <w:lang w:val="en-US" w:eastAsia="zh-CN"/>
        </w:rPr>
        <w:t>服务方式</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3.1</w:t>
      </w:r>
      <w:r>
        <w:rPr>
          <w:rFonts w:hint="eastAsia" w:ascii="宋体" w:hAnsi="宋体" w:cs="宋体"/>
          <w:sz w:val="24"/>
        </w:rPr>
        <w:t>维护期间乙方人员需要驻场为甲方提供服务。</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3.2</w:t>
      </w:r>
      <w:r>
        <w:rPr>
          <w:rFonts w:hint="eastAsia" w:ascii="宋体" w:hAnsi="宋体" w:cs="宋体"/>
          <w:sz w:val="24"/>
        </w:rPr>
        <w:t>乙方人员应听从甲方要求并完成指定的工作任务，乙方可提出合理化建议并完成实施。</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3.3</w:t>
      </w:r>
      <w:r>
        <w:rPr>
          <w:rFonts w:hint="eastAsia" w:ascii="宋体" w:hAnsi="宋体" w:cs="宋体"/>
          <w:sz w:val="24"/>
        </w:rPr>
        <w:t>运维期间，甲方有权对项目需求进行调整，如调整规模或范围较大时，应和乙方进行协商。</w:t>
      </w:r>
    </w:p>
    <w:p>
      <w:pPr>
        <w:spacing w:line="360" w:lineRule="auto"/>
        <w:ind w:firstLine="480" w:firstLineChars="200"/>
        <w:contextualSpacing/>
        <w:rPr>
          <w:rFonts w:hint="eastAsia"/>
          <w:sz w:val="24"/>
          <w:lang w:val="en-US" w:eastAsia="zh-CN"/>
        </w:rPr>
      </w:pPr>
      <w:r>
        <w:rPr>
          <w:rFonts w:hint="eastAsia" w:ascii="宋体" w:hAnsi="宋体" w:cs="宋体"/>
          <w:sz w:val="24"/>
          <w:lang w:val="en-US" w:eastAsia="zh-CN"/>
        </w:rPr>
        <w:t>3.4</w:t>
      </w:r>
      <w:r>
        <w:rPr>
          <w:rFonts w:hint="eastAsia" w:ascii="宋体" w:hAnsi="宋体" w:cs="宋体"/>
          <w:sz w:val="24"/>
        </w:rPr>
        <w:t>运维结束后，甲方根据梳理需求说明书对乙方工作进行验收。验收未通过，乙方应修正未通过项，直至通过。</w:t>
      </w:r>
    </w:p>
    <w:p>
      <w:pPr>
        <w:spacing w:line="360" w:lineRule="auto"/>
        <w:contextualSpacing/>
        <w:rPr>
          <w:rFonts w:hint="eastAsia"/>
          <w:sz w:val="24"/>
          <w:lang w:val="en-US" w:eastAsia="zh-CN"/>
        </w:rPr>
      </w:pPr>
    </w:p>
    <w:p>
      <w:pPr>
        <w:spacing w:line="360" w:lineRule="auto"/>
        <w:contextualSpacing/>
        <w:rPr>
          <w:sz w:val="24"/>
        </w:rPr>
      </w:pPr>
      <w:r>
        <w:rPr>
          <w:rFonts w:hint="eastAsia"/>
          <w:sz w:val="24"/>
          <w:lang w:val="en-US" w:eastAsia="zh-CN"/>
        </w:rPr>
        <w:t>4.</w:t>
      </w:r>
      <w:r>
        <w:rPr>
          <w:sz w:val="24"/>
        </w:rPr>
        <w:t>验收标准</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rPr>
        <w:t>验收时由甲、乙双方人员共同组成验收小组，</w:t>
      </w:r>
      <w:r>
        <w:rPr>
          <w:rFonts w:hint="eastAsia" w:ascii="宋体" w:hAnsi="宋体" w:cs="宋体"/>
          <w:sz w:val="24"/>
          <w:lang w:eastAsia="zh-CN"/>
        </w:rPr>
        <w:t>按照</w:t>
      </w:r>
      <w:r>
        <w:rPr>
          <w:rFonts w:hint="eastAsia" w:ascii="宋体" w:hAnsi="宋体" w:cs="宋体"/>
          <w:sz w:val="24"/>
        </w:rPr>
        <w:t>项目内容要求由双方确认签字。</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4.1</w:t>
      </w:r>
      <w:r>
        <w:rPr>
          <w:rFonts w:hint="eastAsia" w:ascii="宋体" w:hAnsi="宋体" w:cs="宋体"/>
          <w:sz w:val="24"/>
        </w:rPr>
        <w:t>测试项目</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rPr>
        <w:t>验收项目根据项目要求、1至2项维护需求问题解决案例说明为准。</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4.2</w:t>
      </w:r>
      <w:r>
        <w:rPr>
          <w:rFonts w:hint="eastAsia" w:ascii="宋体" w:hAnsi="宋体" w:cs="宋体"/>
          <w:sz w:val="24"/>
        </w:rPr>
        <w:t>验收交接</w:t>
      </w:r>
    </w:p>
    <w:p>
      <w:pPr>
        <w:widowControl/>
        <w:spacing w:line="360" w:lineRule="auto"/>
        <w:ind w:firstLine="482"/>
        <w:contextualSpacing/>
        <w:rPr>
          <w:b/>
          <w:sz w:val="24"/>
        </w:rPr>
      </w:pPr>
      <w:r>
        <w:rPr>
          <w:rFonts w:hint="eastAsia" w:ascii="宋体" w:hAnsi="宋体" w:cs="宋体"/>
          <w:sz w:val="24"/>
        </w:rPr>
        <w:t>乙方在验收时应向甲方提交项目相关技术文档的电子版本，文档应包括：系统运行维护文档、开发手册、用户使用手册、设计说明、接口文档、数据库设计文档、部署文档（根据项目运维内容进行提交）。</w:t>
      </w:r>
    </w:p>
    <w:p>
      <w:pPr>
        <w:spacing w:line="360" w:lineRule="auto"/>
        <w:contextualSpacing/>
        <w:rPr>
          <w:sz w:val="24"/>
        </w:rPr>
      </w:pPr>
    </w:p>
    <w:p>
      <w:pPr>
        <w:spacing w:line="360" w:lineRule="auto"/>
        <w:contextualSpacing/>
        <w:rPr>
          <w:sz w:val="24"/>
        </w:rPr>
      </w:pPr>
      <w:r>
        <w:rPr>
          <w:rFonts w:hint="eastAsia"/>
          <w:sz w:val="24"/>
          <w:lang w:val="en-US" w:eastAsia="zh-CN"/>
        </w:rPr>
        <w:t>5</w:t>
      </w:r>
      <w:r>
        <w:rPr>
          <w:sz w:val="24"/>
        </w:rPr>
        <w:t xml:space="preserve">. </w:t>
      </w:r>
      <w:r>
        <w:rPr>
          <w:rFonts w:hint="eastAsia"/>
          <w:sz w:val="24"/>
          <w:lang w:val="en-US" w:eastAsia="zh-CN"/>
        </w:rPr>
        <w:t>保密</w:t>
      </w:r>
      <w:r>
        <w:rPr>
          <w:sz w:val="24"/>
        </w:rPr>
        <w:t>要求</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5.1</w:t>
      </w:r>
      <w:r>
        <w:rPr>
          <w:rFonts w:hint="eastAsia" w:ascii="宋体" w:hAnsi="宋体" w:cs="宋体"/>
          <w:sz w:val="24"/>
        </w:rPr>
        <w:t>信息传递</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rPr>
        <w:t>在本项目的履行期内，任何一方可以获得与本项目相关的对方的保密信息，对此双方皆应谨慎接受并不得向第三方披露。</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5.2</w:t>
      </w:r>
      <w:r>
        <w:rPr>
          <w:rFonts w:hint="eastAsia" w:ascii="宋体" w:hAnsi="宋体" w:cs="宋体"/>
          <w:sz w:val="24"/>
        </w:rPr>
        <w:t>信息披露</w:t>
      </w:r>
    </w:p>
    <w:p>
      <w:pPr>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sz w:val="24"/>
        </w:rPr>
        <w:t>获取对方保密信息的一方仅可将该信息用于履行其在本项目下的义务，且只能由相关的工程技术人员使用。获取对方保密信息的一方应当采取适当有效的方式保护所获取的信息，未经授权不得使用、传播或者公开。上述信息的保密时间为永久，各方的保密义务不因本项目的终止、解除而免除。</w:t>
      </w:r>
    </w:p>
    <w:p>
      <w:pPr>
        <w:adjustRightInd w:val="0"/>
        <w:snapToGrid w:val="0"/>
        <w:spacing w:line="440" w:lineRule="exact"/>
        <w:ind w:firstLine="480" w:firstLineChars="200"/>
        <w:contextualSpacing/>
        <w:rPr>
          <w:rFonts w:hint="eastAsia" w:ascii="宋体" w:hAnsi="宋体" w:cs="宋体"/>
          <w:sz w:val="24"/>
          <w:lang w:val="en-US" w:eastAsia="zh-CN"/>
        </w:rPr>
      </w:pPr>
      <w:r>
        <w:rPr>
          <w:rFonts w:hint="eastAsia" w:ascii="宋体" w:hAnsi="宋体" w:cs="宋体"/>
          <w:sz w:val="24"/>
          <w:lang w:val="en-US" w:eastAsia="zh-CN"/>
        </w:rPr>
        <w:t>5.3保密措施</w:t>
      </w:r>
    </w:p>
    <w:p>
      <w:pPr>
        <w:adjustRightInd w:val="0"/>
        <w:snapToGrid w:val="0"/>
        <w:spacing w:line="440" w:lineRule="exact"/>
        <w:ind w:firstLine="480" w:firstLineChars="200"/>
        <w:contextualSpacing/>
        <w:rPr>
          <w:rFonts w:hint="eastAsia" w:ascii="宋体" w:hAnsi="宋体" w:cs="宋体"/>
          <w:sz w:val="24"/>
          <w:lang w:val="en-US" w:eastAsia="zh-CN"/>
        </w:rPr>
      </w:pPr>
      <w:r>
        <w:rPr>
          <w:rFonts w:hint="eastAsia" w:ascii="宋体" w:hAnsi="宋体" w:cs="宋体"/>
          <w:sz w:val="24"/>
          <w:lang w:val="en-US" w:eastAsia="zh-CN"/>
        </w:rPr>
        <w:t>双方同意采取相应的安全措施，遵守和履行上述约定，并做好以下保密措施。</w:t>
      </w:r>
    </w:p>
    <w:p>
      <w:pPr>
        <w:adjustRightInd w:val="0"/>
        <w:snapToGrid w:val="0"/>
        <w:spacing w:line="440" w:lineRule="exact"/>
        <w:contextualSpacing/>
        <w:rPr>
          <w:rFonts w:hint="eastAsia" w:ascii="宋体" w:hAnsi="宋体" w:cs="宋体"/>
          <w:sz w:val="24"/>
          <w:lang w:val="en-US" w:eastAsia="zh-CN"/>
        </w:rPr>
      </w:pPr>
      <w:r>
        <w:rPr>
          <w:rFonts w:hint="eastAsia" w:ascii="宋体" w:hAnsi="宋体" w:cs="宋体"/>
          <w:sz w:val="24"/>
          <w:lang w:val="en-US" w:eastAsia="zh-CN"/>
        </w:rPr>
        <w:t>未经批准不得将有关甲方管理、技术等方面的秘密对外泄密。</w:t>
      </w:r>
    </w:p>
    <w:p>
      <w:pPr>
        <w:adjustRightInd w:val="0"/>
        <w:snapToGrid w:val="0"/>
        <w:spacing w:line="440" w:lineRule="exact"/>
        <w:contextualSpacing/>
        <w:rPr>
          <w:rFonts w:hint="eastAsia" w:ascii="宋体" w:hAnsi="宋体" w:cs="宋体"/>
          <w:sz w:val="24"/>
          <w:lang w:val="en-US" w:eastAsia="zh-CN"/>
        </w:rPr>
      </w:pPr>
    </w:p>
    <w:p>
      <w:pPr>
        <w:adjustRightInd w:val="0"/>
        <w:snapToGrid w:val="0"/>
        <w:spacing w:line="440" w:lineRule="exact"/>
        <w:contextualSpacing/>
        <w:rPr>
          <w:rFonts w:hint="eastAsia" w:ascii="宋体" w:hAnsi="宋体" w:cs="宋体"/>
          <w:sz w:val="24"/>
          <w:lang w:val="en-US" w:eastAsia="zh-CN"/>
        </w:rPr>
      </w:pPr>
      <w:r>
        <w:rPr>
          <w:rFonts w:hint="eastAsia" w:ascii="宋体" w:hAnsi="宋体" w:cs="宋体"/>
          <w:sz w:val="24"/>
          <w:lang w:val="en-US" w:eastAsia="zh-CN"/>
        </w:rPr>
        <w:t>6.知识产权</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6.1</w:t>
      </w:r>
      <w:r>
        <w:rPr>
          <w:rFonts w:hint="eastAsia" w:ascii="宋体" w:hAnsi="宋体" w:cs="宋体"/>
          <w:sz w:val="24"/>
        </w:rPr>
        <w:t>乙方在项目期间形成的代码、文档等关于业务管理系统的知识产权归甲方所有。甲方及其下级分支机构等与甲方有直接或间接产权关系的单位可以使用和复制此软件，拥有该软件的使用权和复制权，还享有该软件的署名权、修改权、翻译权、信息网络传播权、出租权、许可权、转让权。</w:t>
      </w:r>
    </w:p>
    <w:p>
      <w:pPr>
        <w:adjustRightInd w:val="0"/>
        <w:snapToGrid w:val="0"/>
        <w:spacing w:line="440" w:lineRule="exact"/>
        <w:ind w:firstLine="480" w:firstLineChars="200"/>
        <w:contextualSpacing/>
        <w:rPr>
          <w:rFonts w:ascii="宋体" w:hAnsi="宋体" w:cs="宋体"/>
          <w:sz w:val="24"/>
        </w:rPr>
      </w:pPr>
      <w:r>
        <w:rPr>
          <w:rFonts w:hint="eastAsia" w:ascii="宋体" w:hAnsi="宋体" w:cs="宋体"/>
          <w:sz w:val="24"/>
          <w:lang w:val="en-US" w:eastAsia="zh-CN"/>
        </w:rPr>
        <w:t>6.2</w:t>
      </w:r>
      <w:r>
        <w:rPr>
          <w:rFonts w:hint="eastAsia" w:ascii="宋体" w:hAnsi="宋体" w:cs="宋体"/>
          <w:sz w:val="24"/>
        </w:rPr>
        <w:t>乙方只能将甲方提供的代码、数据及流程，用于业务管理系统的梳理、测试和使用，不得用于其它任何用途。</w:t>
      </w:r>
    </w:p>
    <w:p>
      <w:pPr>
        <w:adjustRightInd w:val="0"/>
        <w:snapToGrid w:val="0"/>
        <w:spacing w:line="440" w:lineRule="exact"/>
        <w:ind w:firstLine="480" w:firstLineChars="200"/>
        <w:contextualSpacing/>
        <w:rPr>
          <w:rFonts w:hint="default" w:ascii="宋体" w:hAnsi="宋体" w:eastAsia="宋体" w:cs="宋体"/>
          <w:sz w:val="24"/>
          <w:lang w:val="en-US" w:eastAsia="zh-CN"/>
        </w:rPr>
      </w:pPr>
      <w:r>
        <w:rPr>
          <w:rFonts w:hint="eastAsia" w:ascii="宋体" w:hAnsi="宋体" w:cs="宋体"/>
          <w:sz w:val="24"/>
          <w:lang w:val="en-US" w:eastAsia="zh-CN"/>
        </w:rPr>
        <w:t>6.3</w:t>
      </w:r>
      <w:r>
        <w:rPr>
          <w:rFonts w:hint="eastAsia" w:ascii="宋体" w:hAnsi="宋体" w:cs="宋体"/>
          <w:sz w:val="24"/>
        </w:rPr>
        <w:t>乙方在代码梳理过程中，不得有侵犯他人知识产权的行为，否则，应对外承担全部侵权责任。</w:t>
      </w:r>
    </w:p>
    <w:p>
      <w:pPr>
        <w:ind w:firstLine="420" w:firstLineChars="200"/>
      </w:pPr>
    </w:p>
    <w:bookmarkEnd w:id="828"/>
    <w:p>
      <w:pPr>
        <w:spacing w:line="360" w:lineRule="auto"/>
        <w:jc w:val="center"/>
        <w:outlineLvl w:val="0"/>
        <w:rPr>
          <w:b/>
          <w:sz w:val="36"/>
          <w:szCs w:val="36"/>
        </w:rPr>
      </w:pPr>
      <w:r>
        <w:rPr>
          <w:b/>
          <w:sz w:val="36"/>
          <w:szCs w:val="36"/>
        </w:rPr>
        <w:br w:type="page"/>
      </w:r>
      <w:bookmarkStart w:id="830" w:name="_Toc99301425"/>
      <w:r>
        <w:rPr>
          <w:b/>
          <w:sz w:val="36"/>
          <w:szCs w:val="36"/>
        </w:rPr>
        <w:t>第六章   拟签订的合同文本</w:t>
      </w:r>
      <w:bookmarkEnd w:id="830"/>
    </w:p>
    <w:p>
      <w:pPr>
        <w:tabs>
          <w:tab w:val="left" w:pos="900"/>
          <w:tab w:val="left" w:pos="1080"/>
        </w:tabs>
        <w:snapToGrid w:val="0"/>
        <w:spacing w:line="360" w:lineRule="auto"/>
        <w:rPr>
          <w:kern w:val="0"/>
          <w:sz w:val="18"/>
          <w:szCs w:val="18"/>
        </w:rPr>
      </w:pPr>
    </w:p>
    <w:p>
      <w:pPr>
        <w:spacing w:line="360" w:lineRule="auto"/>
        <w:jc w:val="center"/>
        <w:outlineLvl w:val="0"/>
        <w:rPr>
          <w:b/>
          <w:sz w:val="24"/>
        </w:rPr>
      </w:pPr>
      <w:r>
        <w:rPr>
          <w:rFonts w:hint="eastAsia"/>
          <w:b/>
          <w:sz w:val="24"/>
        </w:rPr>
        <w:t>（仅供参考以最终签订为准）</w:t>
      </w:r>
    </w:p>
    <w:p/>
    <w:p>
      <w:pPr>
        <w:tabs>
          <w:tab w:val="left" w:pos="326"/>
        </w:tabs>
        <w:jc w:val="left"/>
      </w:pPr>
      <w:r>
        <w:rPr>
          <w:rFonts w:hint="eastAsia"/>
        </w:rPr>
        <w:tab/>
      </w:r>
    </w:p>
    <w:p>
      <w:pPr>
        <w:pStyle w:val="2"/>
      </w:pPr>
    </w:p>
    <w:p>
      <w:pPr>
        <w:spacing w:line="360" w:lineRule="auto"/>
        <w:ind w:firstLine="960"/>
        <w:rPr>
          <w:rFonts w:ascii="仿宋" w:hAnsi="仿宋" w:eastAsia="仿宋"/>
          <w:sz w:val="48"/>
          <w:szCs w:val="48"/>
        </w:rPr>
      </w:pPr>
    </w:p>
    <w:p>
      <w:pPr>
        <w:spacing w:line="360" w:lineRule="auto"/>
        <w:ind w:firstLine="960"/>
        <w:rPr>
          <w:rFonts w:ascii="仿宋" w:hAnsi="仿宋" w:eastAsia="仿宋"/>
          <w:sz w:val="48"/>
          <w:szCs w:val="48"/>
        </w:rPr>
      </w:pPr>
    </w:p>
    <w:p>
      <w:pPr>
        <w:spacing w:line="360" w:lineRule="auto"/>
        <w:ind w:firstLine="960"/>
        <w:rPr>
          <w:rFonts w:ascii="仿宋" w:hAnsi="仿宋" w:eastAsia="仿宋"/>
          <w:sz w:val="48"/>
          <w:szCs w:val="48"/>
        </w:rPr>
      </w:pPr>
    </w:p>
    <w:p>
      <w:pPr>
        <w:spacing w:line="360" w:lineRule="auto"/>
        <w:jc w:val="center"/>
        <w:rPr>
          <w:rFonts w:ascii="仿宋" w:hAnsi="仿宋" w:eastAsia="仿宋"/>
          <w:b/>
          <w:bCs/>
          <w:sz w:val="44"/>
          <w:szCs w:val="44"/>
        </w:rPr>
      </w:pPr>
      <w:r>
        <w:rPr>
          <w:rFonts w:hint="eastAsia" w:ascii="仿宋" w:hAnsi="仿宋" w:eastAsia="仿宋"/>
          <w:b/>
          <w:bCs/>
          <w:sz w:val="44"/>
          <w:szCs w:val="44"/>
        </w:rPr>
        <w:t>北京市计量检测科学研究院</w:t>
      </w:r>
    </w:p>
    <w:p>
      <w:pPr>
        <w:spacing w:line="360" w:lineRule="auto"/>
        <w:jc w:val="center"/>
        <w:rPr>
          <w:rFonts w:hint="eastAsia" w:ascii="仿宋" w:hAnsi="仿宋" w:eastAsia="仿宋"/>
          <w:b/>
          <w:bCs/>
          <w:sz w:val="44"/>
          <w:szCs w:val="44"/>
        </w:rPr>
      </w:pPr>
      <w:r>
        <w:rPr>
          <w:rFonts w:hint="eastAsia" w:ascii="仿宋" w:hAnsi="仿宋" w:eastAsia="仿宋"/>
          <w:b/>
          <w:bCs/>
          <w:sz w:val="44"/>
          <w:szCs w:val="44"/>
        </w:rPr>
        <w:t xml:space="preserve">业务管理系统并行维护项目（2025年） </w:t>
      </w:r>
    </w:p>
    <w:p>
      <w:pPr>
        <w:spacing w:line="360" w:lineRule="auto"/>
        <w:jc w:val="center"/>
        <w:rPr>
          <w:rFonts w:ascii="仿宋" w:hAnsi="仿宋" w:eastAsia="仿宋"/>
          <w:b/>
          <w:bCs/>
          <w:sz w:val="44"/>
          <w:szCs w:val="44"/>
        </w:rPr>
      </w:pPr>
      <w:r>
        <w:rPr>
          <w:rFonts w:hint="eastAsia" w:ascii="仿宋" w:hAnsi="仿宋" w:eastAsia="仿宋"/>
          <w:b/>
          <w:bCs/>
          <w:sz w:val="44"/>
          <w:szCs w:val="44"/>
        </w:rPr>
        <w:t>技术合同</w:t>
      </w:r>
    </w:p>
    <w:p>
      <w:pPr>
        <w:spacing w:line="360" w:lineRule="auto"/>
        <w:ind w:firstLine="960"/>
        <w:rPr>
          <w:rFonts w:ascii="仿宋" w:hAnsi="仿宋" w:eastAsia="仿宋"/>
          <w:sz w:val="48"/>
          <w:szCs w:val="48"/>
        </w:rPr>
      </w:pPr>
    </w:p>
    <w:p>
      <w:pPr>
        <w:spacing w:line="360" w:lineRule="auto"/>
        <w:ind w:firstLine="960"/>
        <w:rPr>
          <w:rFonts w:ascii="仿宋" w:hAnsi="仿宋" w:eastAsia="仿宋"/>
          <w:sz w:val="48"/>
          <w:szCs w:val="48"/>
        </w:rPr>
      </w:pPr>
    </w:p>
    <w:p>
      <w:pPr>
        <w:spacing w:line="360" w:lineRule="auto"/>
        <w:ind w:firstLine="960"/>
        <w:rPr>
          <w:rFonts w:ascii="仿宋" w:hAnsi="仿宋" w:eastAsia="仿宋"/>
          <w:sz w:val="48"/>
          <w:szCs w:val="48"/>
        </w:rPr>
      </w:pPr>
    </w:p>
    <w:p>
      <w:pPr>
        <w:spacing w:line="360" w:lineRule="auto"/>
        <w:ind w:firstLine="960"/>
        <w:rPr>
          <w:rFonts w:ascii="仿宋" w:hAnsi="仿宋" w:eastAsia="仿宋"/>
          <w:sz w:val="48"/>
          <w:szCs w:val="48"/>
        </w:rPr>
      </w:pPr>
    </w:p>
    <w:p>
      <w:pPr>
        <w:spacing w:line="360" w:lineRule="auto"/>
        <w:ind w:firstLine="960"/>
        <w:rPr>
          <w:rFonts w:ascii="仿宋" w:hAnsi="仿宋" w:eastAsia="仿宋"/>
          <w:sz w:val="48"/>
          <w:szCs w:val="48"/>
        </w:rPr>
      </w:pPr>
    </w:p>
    <w:p>
      <w:pPr>
        <w:pStyle w:val="216"/>
        <w:jc w:val="center"/>
      </w:pPr>
      <w:r>
        <w:rPr>
          <w:rFonts w:hint="eastAsia"/>
        </w:rPr>
        <w:t>二○二</w:t>
      </w:r>
      <w:r>
        <w:rPr>
          <w:rFonts w:hint="eastAsia"/>
          <w:lang w:eastAsia="zh-CN"/>
        </w:rPr>
        <w:t>五</w:t>
      </w:r>
      <w:r>
        <w:rPr>
          <w:rFonts w:hint="eastAsia"/>
        </w:rPr>
        <w:t>年</w:t>
      </w:r>
      <w:r>
        <w:rPr>
          <w:rFonts w:hint="eastAsia"/>
          <w:lang w:val="en-US" w:eastAsia="zh-CN"/>
        </w:rPr>
        <w:t>七</w:t>
      </w:r>
      <w:r>
        <w:rPr>
          <w:rFonts w:hint="eastAsia"/>
        </w:rPr>
        <w:t>月</w:t>
      </w:r>
    </w:p>
    <w:p>
      <w:pPr>
        <w:rPr>
          <w:rFonts w:ascii="仿宋" w:hAnsi="仿宋" w:eastAsia="仿宋"/>
        </w:rPr>
      </w:pPr>
      <w:r>
        <w:rPr>
          <w:rFonts w:ascii="仿宋" w:hAnsi="仿宋" w:eastAsia="仿宋"/>
        </w:rPr>
        <w:br w:type="page"/>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根据《中华人民共和国民法典》及相关法律法规的规定，甲乙双方在平等、自愿、协商一致的基础上达成如下协议：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一、合同文件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下列文件构成本合同的组成部分，应该认为是一个整体，彼 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a.本合同书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b.中标通知书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d.投标文件 （含澄清文件）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e.招标文件 （含招标文件补充通知）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f.实施方案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000000"/>
          <w:sz w:val="24"/>
        </w:rPr>
      </w:pPr>
      <w:r>
        <w:rPr>
          <w:rFonts w:hint="eastAsia" w:ascii="宋体" w:hAnsi="宋体" w:cs="宋体"/>
          <w:sz w:val="24"/>
        </w:rPr>
        <w:t>甲方委托第三方公司开发了业务管理系统V1.0，业务系统框架为OFBIZ，服务器为1台，数据库为mysql，实现了送检仪器委托、流转、入库，检测证书录入、打印，检测业务结算、收费，检测人员资质管理，证书和原始记录模板管理，检测用标准器管理和资质管理，检测业务及绩效统计，检测延误统计，客户管理，库房管理等功能。业务管理系统V1.0于2018年3月至今，由第三方公司开展维护，维护内容包括系统的代码、功能结构、数据结构等，完善了开发文档和使用文档，解决系统bug，保障了业务系统V1.0的安全可靠运行。由于业务系统V1.0的框架结构、数据对接兼容性以及在数据安全等方面存在一定问题，在后续电子证书功能开发、与金税系统、预约系统等信息系统的接口对接中出现不兼容及数据安全问题，甲方于2020年期间开发升级了业务系统2.0，新系统前端采用VUE+elementUI，后端采用SpringMVC，前后端分离式开发，实现了电子防伪证书、可视化统计、与其它项目数据可安全接口交互等功能，还包括本身送检仪器委托、流转、入库，检测证书录入、打印，检测业务结算、收费，检测人员资质管理，证书和原始记录模板管理，检测用标准器管理和资质管理，检测业务及绩效统计，检测延误统计，客户管理，库房管理等功能，并实现接口的高度兼容性，为后续升级开发提供了很好的基础。目前，业务系统V1.0还负担着历史证书管理（查询、变更），在途业务处理、结算、业务统计等功能用途，业务系统2.0已经上线运行，为保障业务系统V1.0、V2.0的稳定可靠运行，</w:t>
      </w:r>
      <w:r>
        <w:rPr>
          <w:rFonts w:hint="eastAsia" w:ascii="宋体" w:hAnsi="宋体" w:cs="宋体"/>
          <w:color w:val="000000"/>
          <w:sz w:val="24"/>
        </w:rPr>
        <w:t>满足对业务系统V2.0功能优化升级、小型功能开发等工作需要，特启动了业务系统V1.0、V2.0的并行维护服务招标工作。</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三、项目需求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000000"/>
          <w:sz w:val="24"/>
        </w:rPr>
      </w:pPr>
      <w:r>
        <w:rPr>
          <w:rFonts w:hint="eastAsia" w:ascii="宋体" w:hAnsi="宋体" w:cs="宋体"/>
          <w:color w:val="000000"/>
          <w:sz w:val="24"/>
        </w:rPr>
        <w:t>1、提供业务系统V1.0/V2.0日常运维服务，及时解决系统常规性问题，保障系统可持续运行；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sz w:val="24"/>
        </w:rPr>
      </w:pPr>
      <w:r>
        <w:rPr>
          <w:rFonts w:hint="eastAsia" w:ascii="宋体" w:hAnsi="宋体" w:cs="宋体"/>
          <w:color w:val="000000"/>
          <w:sz w:val="24"/>
        </w:rPr>
        <w:t>2、建立系统备份与恢复机制，制定防勒索病毒专项防护方案并实施</w:t>
      </w:r>
      <w:r>
        <w:rPr>
          <w:rFonts w:hint="eastAsia" w:ascii="宋体" w:hAnsi="宋体" w:cs="宋体"/>
          <w:sz w:val="24"/>
        </w:rPr>
        <w:t>，做好物理隔离备份，确保数据不丢失；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000000"/>
          <w:sz w:val="24"/>
        </w:rPr>
      </w:pPr>
      <w:r>
        <w:rPr>
          <w:rFonts w:hint="eastAsia" w:ascii="宋体" w:hAnsi="宋体" w:cs="宋体"/>
          <w:color w:val="000000"/>
          <w:sz w:val="24"/>
        </w:rPr>
        <w:t>3、协助甲方梳理建立业务架构图、开发框架、数据库、数据表（主要业务表）、页面、部署方案；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000000"/>
          <w:sz w:val="24"/>
        </w:rPr>
      </w:pPr>
      <w:r>
        <w:rPr>
          <w:rFonts w:hint="eastAsia" w:ascii="宋体" w:hAnsi="宋体" w:cs="宋体"/>
          <w:color w:val="000000"/>
          <w:sz w:val="24"/>
        </w:rPr>
        <w:t>4、维护业务系统与预约系统、金税K8系统、市局CA认证签章系统、质量型式评价系统、OA系统、呼叫系统等其它系统的功能对接、数据对接，做到统一数据源，业务数据互调互通；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sz w:val="24"/>
        </w:rPr>
      </w:pPr>
      <w:r>
        <w:rPr>
          <w:rFonts w:hint="eastAsia" w:ascii="宋体" w:hAnsi="宋体" w:cs="宋体"/>
          <w:sz w:val="24"/>
        </w:rPr>
        <w:t>5、维护OA系统数据同步，审批流程和人员变动与业务数据同步；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000000"/>
          <w:sz w:val="24"/>
        </w:rPr>
      </w:pPr>
      <w:r>
        <w:rPr>
          <w:rFonts w:hint="eastAsia" w:ascii="宋体" w:hAnsi="宋体" w:cs="宋体"/>
          <w:color w:val="000000"/>
          <w:sz w:val="24"/>
        </w:rPr>
        <w:t>6、完成双方协商认可的其它相关工作，对新需求进行梳理，给出合理化开发建议，</w:t>
      </w:r>
      <w:r>
        <w:rPr>
          <w:rFonts w:hint="eastAsia" w:ascii="宋体" w:hAnsi="宋体" w:cs="宋体"/>
          <w:sz w:val="24"/>
        </w:rPr>
        <w:t>并提供小型功能模块优化与升级服务；</w:t>
      </w:r>
    </w:p>
    <w:p>
      <w:pPr>
        <w:pStyle w:val="2"/>
        <w:keepNext w:val="0"/>
        <w:keepLines w:val="0"/>
        <w:pageBreakBefore w:val="0"/>
        <w:widowControl w:val="0"/>
        <w:kinsoku/>
        <w:wordWrap/>
        <w:overflowPunct/>
        <w:topLinePunct w:val="0"/>
        <w:autoSpaceDE/>
        <w:autoSpaceDN/>
        <w:bidi w:val="0"/>
        <w:adjustRightInd/>
        <w:snapToGrid/>
        <w:spacing w:before="0" w:line="400" w:lineRule="exact"/>
        <w:ind w:firstLine="480" w:firstLineChars="200"/>
        <w:contextualSpacing/>
        <w:jc w:val="left"/>
        <w:textAlignment w:val="auto"/>
        <w:outlineLvl w:val="9"/>
        <w:rPr>
          <w:rFonts w:hint="eastAsia" w:eastAsia="宋体" w:cs="宋体"/>
          <w:color w:val="auto"/>
          <w:highlight w:val="none"/>
          <w:lang w:val="en-US" w:eastAsia="zh-CN"/>
        </w:rPr>
      </w:pPr>
      <w:r>
        <w:rPr>
          <w:rFonts w:hint="eastAsia" w:cs="宋体"/>
          <w:color w:val="auto"/>
          <w:highlight w:val="none"/>
        </w:rPr>
        <w:t>7、完成双方协商认可的其它相关工作，包括客户服务端功能开发，扩展线上检测服务、提供下场/送检线上预约及配套服务、拓展完善线上电子报告功能，打通线上支付结算与电子发票全流程管理、拓展完善客户信息标准化管理、并统一基础数据与检测信息标准化管理、持续性开发实验设备及其他体系系统与业务系统数据互通功能、按需求开发新增业务统计功能、新增功能操作培训动态图制作等，根据具体需求制定功能开发需求，并实施开发</w:t>
      </w:r>
      <w:r>
        <w:rPr>
          <w:rFonts w:hint="eastAsia"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8、业务系统V2.0主干流程优化升级，确保其兼容各浏览器版本，支持国产化系统和配置，根据具体需求制定功能开发需求，并实施开发，且对相应功能进行升级改造；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9、现场驻场运维人员依照项目实际情况调配，满足日常运维管理工作的同时，</w:t>
      </w:r>
      <w:r>
        <w:rPr>
          <w:rFonts w:ascii="宋体" w:hAnsi="宋体" w:cs="宋体"/>
          <w:color w:val="auto"/>
          <w:sz w:val="24"/>
          <w:highlight w:val="none"/>
        </w:rPr>
        <w:t>提供系统操作培训及知识转移服务</w:t>
      </w:r>
      <w:r>
        <w:rPr>
          <w:rFonts w:hint="eastAsia" w:ascii="宋体" w:hAnsi="宋体" w:cs="宋体"/>
          <w:color w:val="auto"/>
          <w:sz w:val="24"/>
          <w:highlight w:val="none"/>
        </w:rPr>
        <w:t>，不少于4人；技术要求为：（熟悉主流框架SpringBoot、SpringMVC、SSH、SMM的开发；具有面向对象分析、设计、开发能力及B/S开发经验；熟悉Vue+elementUI、JavaScript、HTML、DIV/CSS、Json、Dwr等技术；掌握Linux和Windows Server服务器的配置和部署；掌握Apache、Tomcat、Eclipse、SVN环境配置；熟练运用MySQL数据库，能够编写存储过程、触发器、事务；掌握数据库优化技术）。</w:t>
      </w: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四、项目期限与地点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1.项目期限：</w:t>
      </w:r>
      <w:r>
        <w:rPr>
          <w:rFonts w:hint="eastAsia" w:asciiTheme="minorEastAsia" w:hAnsiTheme="minorEastAsia" w:eastAsiaTheme="minorEastAsia" w:cstheme="minorEastAsia"/>
          <w:color w:val="auto"/>
          <w:sz w:val="24"/>
          <w:u w:val="single"/>
        </w:rPr>
        <w:t>202</w:t>
      </w:r>
      <w:r>
        <w:rPr>
          <w:rFonts w:hint="eastAsia" w:asciiTheme="minorEastAsia" w:hAnsiTheme="minorEastAsia" w:eastAsiaTheme="minorEastAsia" w:cstheme="minorEastAsia"/>
          <w:color w:val="auto"/>
          <w:sz w:val="24"/>
          <w:u w:val="single"/>
          <w:lang w:val="en-US" w:eastAsia="zh-CN"/>
        </w:rPr>
        <w:t>5</w:t>
      </w:r>
      <w:r>
        <w:rPr>
          <w:rFonts w:hint="eastAsia" w:asciiTheme="minorEastAsia" w:hAnsiTheme="minorEastAsia" w:eastAsiaTheme="minorEastAsia" w:cstheme="minorEastAsia"/>
          <w:color w:val="auto"/>
          <w:sz w:val="24"/>
          <w:u w:val="single"/>
        </w:rPr>
        <w:t>年</w:t>
      </w:r>
      <w:r>
        <w:rPr>
          <w:rFonts w:hint="eastAsia" w:asciiTheme="minorEastAsia" w:hAnsiTheme="minorEastAsia" w:eastAsiaTheme="minorEastAsia" w:cstheme="minorEastAsia"/>
          <w:color w:val="auto"/>
          <w:sz w:val="24"/>
          <w:u w:val="single"/>
          <w:lang w:val="en-US" w:eastAsia="zh-CN"/>
        </w:rPr>
        <w:t>8</w:t>
      </w:r>
      <w:r>
        <w:rPr>
          <w:rFonts w:hint="eastAsia" w:asciiTheme="minorEastAsia" w:hAnsiTheme="minorEastAsia" w:eastAsiaTheme="minorEastAsia" w:cstheme="minorEastAsia"/>
          <w:color w:val="auto"/>
          <w:sz w:val="24"/>
          <w:u w:val="single"/>
        </w:rPr>
        <w:t>月</w:t>
      </w:r>
      <w:r>
        <w:rPr>
          <w:rFonts w:asciiTheme="minorEastAsia" w:hAnsiTheme="minorEastAsia" w:eastAsiaTheme="minorEastAsia" w:cstheme="minorEastAsia"/>
          <w:color w:val="auto"/>
          <w:sz w:val="24"/>
          <w:u w:val="single"/>
        </w:rPr>
        <w:t>3</w:t>
      </w:r>
      <w:r>
        <w:rPr>
          <w:rFonts w:hint="eastAsia" w:asciiTheme="minorEastAsia" w:hAnsiTheme="minorEastAsia" w:eastAsiaTheme="minorEastAsia" w:cstheme="minorEastAsia"/>
          <w:color w:val="auto"/>
          <w:sz w:val="24"/>
          <w:u w:val="single"/>
          <w:lang w:val="en-US" w:eastAsia="zh-CN"/>
        </w:rPr>
        <w:t>1</w:t>
      </w:r>
      <w:r>
        <w:rPr>
          <w:rFonts w:hint="eastAsia" w:asciiTheme="minorEastAsia" w:hAnsiTheme="minorEastAsia" w:eastAsiaTheme="minorEastAsia" w:cstheme="minorEastAsia"/>
          <w:color w:val="auto"/>
          <w:sz w:val="24"/>
          <w:u w:val="single"/>
          <w:lang w:eastAsia="zh-CN"/>
        </w:rPr>
        <w:t>日</w:t>
      </w:r>
      <w:r>
        <w:rPr>
          <w:rFonts w:hint="eastAsia" w:asciiTheme="minorEastAsia" w:hAnsiTheme="minorEastAsia" w:eastAsiaTheme="minorEastAsia" w:cstheme="minorEastAsia"/>
          <w:color w:val="auto"/>
          <w:sz w:val="24"/>
        </w:rPr>
        <w:t>至</w:t>
      </w:r>
      <w:r>
        <w:rPr>
          <w:rFonts w:hint="eastAsia" w:asciiTheme="minorEastAsia" w:hAnsiTheme="minorEastAsia" w:eastAsiaTheme="minorEastAsia" w:cstheme="minorEastAsia"/>
          <w:color w:val="auto"/>
          <w:sz w:val="24"/>
          <w:u w:val="single"/>
        </w:rPr>
        <w:t>202</w:t>
      </w:r>
      <w:r>
        <w:rPr>
          <w:rFonts w:hint="eastAsia" w:asciiTheme="minorEastAsia" w:hAnsiTheme="minorEastAsia" w:eastAsiaTheme="minorEastAsia" w:cstheme="minorEastAsia"/>
          <w:color w:val="auto"/>
          <w:sz w:val="24"/>
          <w:u w:val="single"/>
          <w:lang w:val="en-US" w:eastAsia="zh-CN"/>
        </w:rPr>
        <w:t>6</w:t>
      </w:r>
      <w:r>
        <w:rPr>
          <w:rFonts w:hint="eastAsia" w:asciiTheme="minorEastAsia" w:hAnsiTheme="minorEastAsia" w:eastAsiaTheme="minorEastAsia" w:cstheme="minorEastAsia"/>
          <w:color w:val="auto"/>
          <w:sz w:val="24"/>
          <w:u w:val="single"/>
        </w:rPr>
        <w:t>年</w:t>
      </w:r>
      <w:r>
        <w:rPr>
          <w:rFonts w:hint="eastAsia" w:asciiTheme="minorEastAsia" w:hAnsiTheme="minorEastAsia" w:eastAsiaTheme="minorEastAsia" w:cstheme="minorEastAsia"/>
          <w:color w:val="auto"/>
          <w:sz w:val="24"/>
          <w:u w:val="single"/>
          <w:lang w:val="en-US" w:eastAsia="zh-CN"/>
        </w:rPr>
        <w:t>8</w:t>
      </w:r>
      <w:r>
        <w:rPr>
          <w:rFonts w:hint="eastAsia" w:asciiTheme="minorEastAsia" w:hAnsiTheme="minorEastAsia" w:eastAsiaTheme="minorEastAsia" w:cstheme="minorEastAsia"/>
          <w:color w:val="auto"/>
          <w:sz w:val="24"/>
          <w:u w:val="single"/>
        </w:rPr>
        <w:t>月</w:t>
      </w:r>
      <w:r>
        <w:rPr>
          <w:rFonts w:asciiTheme="minorEastAsia" w:hAnsiTheme="minorEastAsia" w:eastAsiaTheme="minorEastAsia" w:cstheme="minorEastAsia"/>
          <w:color w:val="auto"/>
          <w:sz w:val="24"/>
          <w:u w:val="single"/>
        </w:rPr>
        <w:t>30</w:t>
      </w:r>
      <w:r>
        <w:rPr>
          <w:rFonts w:hint="eastAsia" w:asciiTheme="minorEastAsia" w:hAnsiTheme="minorEastAsia" w:eastAsiaTheme="minorEastAsia" w:cstheme="minorEastAsia"/>
          <w:color w:val="auto"/>
          <w:sz w:val="24"/>
          <w:u w:val="single"/>
          <w:lang w:eastAsia="zh-CN"/>
        </w:rPr>
        <w:t>日</w:t>
      </w:r>
      <w:r>
        <w:rPr>
          <w:rFonts w:hint="eastAsia" w:asciiTheme="minorEastAsia" w:hAnsiTheme="minorEastAsia" w:eastAsia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2.项目周期：十二个月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3.服务地点：北京市朝阳区安苑东里一区12号。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1、维护期间乙方人员需要驻场为甲方提供服务。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2、乙方人员应听从甲方要求并完成指定的工作任务，乙方可提出合理化建议并完成实施。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3、运维期间，甲方有权对项目需求进行调整，如调整规模或范围较大时，应和乙方进行协商。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hint="eastAsia" w:ascii="宋体" w:hAnsi="宋体" w:cs="宋体"/>
          <w:sz w:val="24"/>
          <w:lang w:eastAsia="zh-CN"/>
        </w:rPr>
      </w:pPr>
      <w:r>
        <w:rPr>
          <w:rFonts w:hint="eastAsia" w:ascii="宋体" w:hAnsi="宋体" w:cs="宋体"/>
          <w:sz w:val="24"/>
        </w:rPr>
        <w:t>4、运维结束后，甲方根据梳理需求说明书对乙方工作进行验收。验收未通过，乙方应修正未通过项，直至通过</w:t>
      </w:r>
      <w:r>
        <w:rPr>
          <w:rFonts w:hint="eastAsia" w:ascii="宋体" w:hAnsi="宋体" w:cs="宋体"/>
          <w:sz w:val="24"/>
          <w:lang w:eastAsia="zh-CN"/>
        </w:rPr>
        <w:t>。</w:t>
      </w: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六、项目验收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color w:val="auto"/>
          <w:sz w:val="24"/>
        </w:rPr>
      </w:pPr>
      <w:r>
        <w:rPr>
          <w:rFonts w:hint="eastAsia" w:ascii="宋体" w:hAnsi="宋体" w:cs="宋体"/>
          <w:color w:val="auto"/>
          <w:sz w:val="24"/>
        </w:rPr>
        <w:t>验收时由甲、乙双方人员共同组成验收小组，</w:t>
      </w:r>
      <w:r>
        <w:rPr>
          <w:rFonts w:hint="eastAsia" w:ascii="宋体" w:hAnsi="宋体" w:cs="宋体"/>
          <w:color w:val="auto"/>
          <w:sz w:val="24"/>
          <w:lang w:eastAsia="zh-CN"/>
        </w:rPr>
        <w:t>按照</w:t>
      </w:r>
      <w:r>
        <w:rPr>
          <w:rFonts w:hint="eastAsia" w:ascii="宋体" w:hAnsi="宋体" w:cs="宋体"/>
          <w:color w:val="auto"/>
          <w:sz w:val="24"/>
        </w:rPr>
        <w:t>项目内容要求由双方确认签字。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color w:val="auto"/>
          <w:sz w:val="24"/>
        </w:rPr>
      </w:pPr>
      <w:r>
        <w:rPr>
          <w:rFonts w:hint="eastAsia" w:ascii="宋体" w:hAnsi="宋体" w:cs="宋体"/>
          <w:color w:val="auto"/>
          <w:sz w:val="24"/>
        </w:rPr>
        <w:t>1、测试项目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color w:val="auto"/>
          <w:sz w:val="24"/>
        </w:rPr>
      </w:pPr>
      <w:r>
        <w:rPr>
          <w:rFonts w:hint="eastAsia" w:ascii="宋体" w:hAnsi="宋体" w:cs="宋体"/>
          <w:color w:val="auto"/>
          <w:sz w:val="24"/>
        </w:rPr>
        <w:t>验收项目根据项目要求、1至2项维护需求问题解决案例说明为准。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color w:val="auto"/>
          <w:sz w:val="24"/>
        </w:rPr>
      </w:pPr>
      <w:r>
        <w:rPr>
          <w:rFonts w:hint="eastAsia" w:ascii="宋体" w:hAnsi="宋体" w:cs="宋体"/>
          <w:color w:val="auto"/>
          <w:sz w:val="24"/>
        </w:rPr>
        <w:t>2、验收交接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color w:val="auto"/>
          <w:sz w:val="24"/>
        </w:rPr>
      </w:pPr>
      <w:r>
        <w:rPr>
          <w:rFonts w:hint="eastAsia" w:ascii="宋体" w:hAnsi="宋体" w:cs="宋体"/>
          <w:color w:val="auto"/>
          <w:sz w:val="24"/>
        </w:rPr>
        <w:t>乙方在验收时应向甲方提交项目相关技术文档的电子版本，文档应包括：系统运行维护文档、开发手册、用户使用手册、设计说明、接口文档、数据库设计文档、部署文档（根据项目运维内容进行提交）。</w:t>
      </w: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七、保密要求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1、信息传递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在本项目的履行期内，任何一方可以获得与本项目相关的对方的保密信息，对此双方皆应谨慎接受并不得向第三方披露。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2、信息披露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获取对方保密信息的一方仅可将该信息用于履行其在本项目下的义务，且只能由相关的工程技术人员使用。获取对方保密信息的一方应当采取适当有效的方式保护所获取的信息，未经授权不得使用、传播或者公开。上述信息的保密时间为永久，各方的保密义务不因本项目的终止、解除而免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3、保密措施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双方同意采取相应的安全措施，遵守和履行上述约定，并做好以下保密措施。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未经批准不得将有关甲方管理、技术等方面的秘密对外泄密。</w:t>
      </w: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pPr>
    </w:p>
    <w:p>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知识产权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1、乙方在项目期间形成的代码、文档等关于业务管理系统的知识产权归甲方所有。甲方及其下级分支机构等与甲方有直接或间接产权关系的单位可以使用和复制此软件，拥有该软件的使用权和复制权，还享有该软件的署名权、修改权、翻译权、信息网络传播权、出租权、许可权、转让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2、乙方只能将甲方提供的代码、数据及流程，用于业务管理系统的梳理、测试和使用，不得用于其它任何用途。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outlineLvl w:val="9"/>
        <w:rPr>
          <w:rFonts w:ascii="宋体" w:hAnsi="宋体" w:cs="宋体"/>
          <w:sz w:val="24"/>
        </w:rPr>
      </w:pPr>
      <w:r>
        <w:rPr>
          <w:rFonts w:hint="eastAsia" w:ascii="宋体" w:hAnsi="宋体" w:cs="宋体"/>
          <w:sz w:val="24"/>
        </w:rPr>
        <w:t>3、乙方在代码梳理过程中，不得有侵犯他人知识产权的行为，否则，应对外承担全部侵权责任。</w:t>
      </w: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九、价格与付款方式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 xml:space="preserve">本合同总价为 </w:t>
      </w:r>
      <w:r>
        <w:rPr>
          <w:rFonts w:hint="eastAsia" w:asciiTheme="minorEastAsia" w:hAnsiTheme="minorEastAsia" w:eastAsiaTheme="minorEastAsia" w:cstheme="minorEastAsia"/>
          <w:color w:val="FF0000"/>
          <w:sz w:val="24"/>
          <w:lang w:val="en-US" w:eastAsia="zh-CN"/>
        </w:rPr>
        <w:t>XXX</w:t>
      </w:r>
      <w:r>
        <w:rPr>
          <w:rFonts w:hint="eastAsia" w:asciiTheme="minorEastAsia" w:hAnsiTheme="minorEastAsia" w:eastAsiaTheme="minorEastAsia" w:cstheme="minorEastAsia"/>
          <w:color w:val="FF0000"/>
          <w:sz w:val="24"/>
        </w:rPr>
        <w:t xml:space="preserve"> ，人民币大写金额为</w:t>
      </w:r>
      <w:r>
        <w:rPr>
          <w:rFonts w:hint="eastAsia" w:asciiTheme="minorEastAsia" w:hAnsiTheme="minorEastAsia" w:eastAsiaTheme="minorEastAsia" w:cstheme="minorEastAsia"/>
          <w:color w:val="FF0000"/>
          <w:sz w:val="24"/>
          <w:lang w:val="en-US" w:eastAsia="zh-CN"/>
        </w:rPr>
        <w:t>XXX</w:t>
      </w:r>
      <w:r>
        <w:rPr>
          <w:rFonts w:hint="eastAsia" w:asciiTheme="minorEastAsia" w:hAnsiTheme="minorEastAsia" w:eastAsiaTheme="minorEastAsia" w:cstheme="minorEastAsia"/>
          <w:color w:val="FF0000"/>
          <w:sz w:val="24"/>
        </w:rPr>
        <w:t>元整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合同生效后15个工作日内甲方支付乙方合同总价的</w:t>
      </w:r>
      <w:r>
        <w:rPr>
          <w:rFonts w:hint="eastAsia" w:asciiTheme="minorEastAsia" w:hAnsiTheme="minorEastAsia" w:eastAsiaTheme="minorEastAsia" w:cstheme="minorEastAsia"/>
          <w:color w:val="FF0000"/>
          <w:sz w:val="24"/>
          <w:lang w:val="en-US" w:eastAsia="zh-CN"/>
        </w:rPr>
        <w:t>5</w:t>
      </w:r>
      <w:r>
        <w:rPr>
          <w:rFonts w:hint="eastAsia" w:asciiTheme="minorEastAsia" w:hAnsiTheme="minorEastAsia" w:eastAsiaTheme="minorEastAsia" w:cstheme="minorEastAsia"/>
          <w:color w:val="FF0000"/>
          <w:sz w:val="24"/>
        </w:rPr>
        <w:t>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color w:val="FF0000"/>
          <w:sz w:val="24"/>
          <w:lang w:val="en-US" w:eastAsia="zh-CN"/>
        </w:rPr>
        <w:t>2025年12月，</w:t>
      </w:r>
      <w:r>
        <w:rPr>
          <w:rFonts w:hint="eastAsia" w:asciiTheme="minorEastAsia" w:hAnsiTheme="minorEastAsia" w:eastAsiaTheme="minorEastAsia" w:cstheme="minorEastAsia"/>
          <w:color w:val="FF0000"/>
          <w:sz w:val="24"/>
        </w:rPr>
        <w:t>甲方支付乙方合同总价的</w:t>
      </w:r>
      <w:r>
        <w:rPr>
          <w:rFonts w:hint="eastAsia" w:asciiTheme="minorEastAsia" w:hAnsiTheme="minorEastAsia" w:eastAsiaTheme="minorEastAsia" w:cstheme="minorEastAsia"/>
          <w:color w:val="FF0000"/>
          <w:sz w:val="24"/>
          <w:lang w:val="en-US" w:eastAsia="zh-CN"/>
        </w:rPr>
        <w:t>2</w:t>
      </w:r>
      <w:r>
        <w:rPr>
          <w:rFonts w:hint="eastAsia" w:asciiTheme="minorEastAsia" w:hAnsiTheme="minorEastAsia" w:eastAsiaTheme="minorEastAsia" w:cstheme="minorEastAsia"/>
          <w:color w:val="FF0000"/>
          <w:sz w:val="24"/>
        </w:rPr>
        <w:t>0％</w:t>
      </w:r>
      <w:r>
        <w:rPr>
          <w:rFonts w:hint="eastAsia" w:asciiTheme="minorEastAsia" w:hAnsiTheme="minorEastAsia" w:eastAsiaTheme="minorEastAsia" w:cstheme="minorEastAsia"/>
          <w:color w:val="FF0000"/>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乙方在服务期内按照合同要求履行合同内容,经甲方确认,项目验收完成后15日内向乙方支付合同总价的</w:t>
      </w:r>
      <w:r>
        <w:rPr>
          <w:rFonts w:asciiTheme="minorEastAsia" w:hAnsiTheme="minorEastAsia" w:eastAsiaTheme="minorEastAsia" w:cstheme="minorEastAsia"/>
          <w:color w:val="FF0000"/>
          <w:sz w:val="24"/>
        </w:rPr>
        <w:t>3</w:t>
      </w:r>
      <w:r>
        <w:rPr>
          <w:rFonts w:hint="eastAsia" w:asciiTheme="minorEastAsia" w:hAnsiTheme="minorEastAsia" w:eastAsiaTheme="minorEastAsia" w:cstheme="minorEastAsia"/>
          <w:color w:val="FF0000"/>
          <w:sz w:val="24"/>
        </w:rPr>
        <w:t>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十、义务与责任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（1）甲方应当向乙方提供必要的工作条件，包括必要的技术资料、技术准备，协助乙方做好维护服务。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（2）甲方应当保证其要求乙方维护的硬件以及相关的文档未侵犯第三方知识产权。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（1）乙方保证维护工作的过程未侵犯第三方合法权益。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所承担的维护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（3）未经甲方同意，乙方不得将本合同项目的部分或者全部维护工作转包给第三方承担。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（4）当双方决定中止合同或当合同结束后不再续签合同的情况下，乙方有义务与运维工作的继任方进行交接。</w:t>
      </w:r>
    </w:p>
    <w:p>
      <w:pPr>
        <w:pStyle w:val="2"/>
        <w:keepNext w:val="0"/>
        <w:keepLines w:val="0"/>
        <w:pageBreakBefore w:val="0"/>
        <w:widowControl w:val="0"/>
        <w:kinsoku/>
        <w:wordWrap/>
        <w:overflowPunct/>
        <w:topLinePunct w:val="0"/>
        <w:autoSpaceDE/>
        <w:autoSpaceDN/>
        <w:bidi w:val="0"/>
        <w:adjustRightInd/>
        <w:snapToGrid/>
        <w:spacing w:before="0" w:line="40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十一、争议解决本合同发生争议的，由双方协商解决，协商不成的，由甲方所在地人民法院管辖。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十二、合同的生效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1.本合同经双方各自指定的代表签字并盖章后生效。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2.本合同一经签署，未经双方同意，任何一方不得随意更改。本合同所列的附件经双方代表签字并盖章后成为本合同的组成部分。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3.本合同一式六份，甲方执四份，乙方执二份，双方签字盖章即生效。</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p>
    <w:tbl>
      <w:tblPr>
        <w:tblStyle w:val="4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148" w:type="dxa"/>
          </w:tcPr>
          <w:p>
            <w:pPr>
              <w:pStyle w:val="216"/>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甲方：北京市计量检测科学研究</w:t>
            </w:r>
            <w:r>
              <w:rPr>
                <w:rFonts w:hint="eastAsia" w:asciiTheme="minorEastAsia" w:hAnsiTheme="minorEastAsia" w:eastAsiaTheme="minorEastAsia" w:cstheme="minorEastAsia"/>
                <w:sz w:val="24"/>
                <w:szCs w:val="24"/>
                <w:lang w:eastAsia="zh-CN"/>
              </w:rPr>
              <w:t>院</w:t>
            </w:r>
          </w:p>
          <w:p>
            <w:pPr>
              <w:pStyle w:val="216"/>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rPr>
              <w:t>）</w:t>
            </w:r>
          </w:p>
        </w:tc>
        <w:tc>
          <w:tcPr>
            <w:tcW w:w="4148" w:type="dxa"/>
          </w:tcPr>
          <w:p>
            <w:pPr>
              <w:pStyle w:val="216"/>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pStyle w:val="216"/>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盖</w:t>
            </w:r>
            <w:r>
              <w:rPr>
                <w:rFonts w:hint="eastAsia" w:asciiTheme="minorEastAsia" w:hAnsiTheme="minorEastAsia" w:eastAsiaTheme="minorEastAsia" w:cstheme="minorEastAsia"/>
                <w:sz w:val="24"/>
                <w:szCs w:val="24"/>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148" w:type="dxa"/>
          </w:tcPr>
          <w:p>
            <w:pPr>
              <w:pStyle w:val="216"/>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tc>
        <w:tc>
          <w:tcPr>
            <w:tcW w:w="4148" w:type="dxa"/>
          </w:tcPr>
          <w:p>
            <w:pPr>
              <w:pStyle w:val="216"/>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4148" w:type="dxa"/>
          </w:tcPr>
          <w:p>
            <w:pPr>
              <w:pStyle w:val="216"/>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签约日期：    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w:t>
            </w:r>
          </w:p>
        </w:tc>
        <w:tc>
          <w:tcPr>
            <w:tcW w:w="4148" w:type="dxa"/>
          </w:tcPr>
          <w:p>
            <w:pPr>
              <w:pStyle w:val="216"/>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签约日期：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w:t>
            </w:r>
          </w:p>
        </w:tc>
      </w:tr>
    </w:tbl>
    <w:p>
      <w:pPr>
        <w:widowControl/>
      </w:pPr>
    </w:p>
    <w:p>
      <w:pPr>
        <w:widowControl/>
        <w:jc w:val="center"/>
        <w:rPr>
          <w:b/>
          <w:sz w:val="36"/>
          <w:szCs w:val="36"/>
        </w:rPr>
      </w:pPr>
      <w:r>
        <w:br w:type="page"/>
      </w:r>
      <w:bookmarkStart w:id="831" w:name="_Toc99301426"/>
      <w:r>
        <w:rPr>
          <w:b/>
          <w:sz w:val="36"/>
          <w:szCs w:val="36"/>
        </w:rPr>
        <w:t>第七章   投标文件格式</w:t>
      </w:r>
      <w:bookmarkEnd w:id="83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Pr>
        <w:keepNext/>
        <w:keepLines/>
        <w:widowControl w:val="0"/>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hAnsi="Times New Roman"/>
          <w:b w:val="0"/>
          <w:bCs/>
          <w:color w:val="000000"/>
          <w:u w:val="none"/>
        </w:rPr>
      </w:pPr>
      <w:r>
        <w:rPr>
          <w:rFonts w:ascii="Times New Roman" w:hAns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8"/>
        </w:numPr>
        <w:spacing w:line="360" w:lineRule="auto"/>
        <w:ind w:left="1134"/>
        <w:rPr>
          <w:sz w:val="24"/>
          <w:szCs w:val="22"/>
        </w:rPr>
      </w:pPr>
      <w:r>
        <w:rPr>
          <w:sz w:val="24"/>
          <w:szCs w:val="22"/>
        </w:rPr>
        <w:t>具有良好的商业信誉和健全的财务会计制度；</w:t>
      </w:r>
    </w:p>
    <w:p>
      <w:pPr>
        <w:numPr>
          <w:ilvl w:val="0"/>
          <w:numId w:val="18"/>
        </w:numPr>
        <w:spacing w:line="360" w:lineRule="auto"/>
        <w:ind w:left="1134"/>
        <w:rPr>
          <w:sz w:val="24"/>
          <w:szCs w:val="22"/>
        </w:rPr>
      </w:pPr>
      <w:r>
        <w:rPr>
          <w:sz w:val="24"/>
          <w:szCs w:val="22"/>
        </w:rPr>
        <w:t>具有履行合同所必需的设备和专业技术能力；</w:t>
      </w:r>
    </w:p>
    <w:p>
      <w:pPr>
        <w:numPr>
          <w:ilvl w:val="0"/>
          <w:numId w:val="18"/>
        </w:numPr>
        <w:spacing w:line="360" w:lineRule="auto"/>
        <w:ind w:left="1134"/>
        <w:rPr>
          <w:sz w:val="24"/>
          <w:szCs w:val="22"/>
        </w:rPr>
      </w:pPr>
      <w:r>
        <w:rPr>
          <w:sz w:val="24"/>
          <w:szCs w:val="22"/>
        </w:rPr>
        <w:t>有依法缴纳税收和社会保障资金的良好记录；</w:t>
      </w:r>
    </w:p>
    <w:p>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p>
    <w:p>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7"/>
      </w:pPr>
      <w:r>
        <w:t>2-1-1 中小企业证明文件</w:t>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line="360" w:lineRule="auto"/>
        <w:ind w:right="360" w:firstLine="480"/>
        <w:jc w:val="right"/>
        <w:rPr>
          <w:color w:val="000000"/>
          <w:sz w:val="24"/>
          <w:szCs w:val="20"/>
        </w:rPr>
      </w:pPr>
      <w:r>
        <w:rPr>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7"/>
      </w:pPr>
      <w:r>
        <w:t>2-1-2 拟分包情况说明及分包意向协议</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7"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分包承担</w:t>
            </w:r>
          </w:p>
          <w:p>
            <w:pPr>
              <w:pStyle w:val="210"/>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3"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1"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拟分包</w:t>
            </w:r>
          </w:p>
          <w:p>
            <w:pPr>
              <w:pStyle w:val="210"/>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8"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4"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占该采购包</w:t>
            </w:r>
          </w:p>
          <w:p>
            <w:pPr>
              <w:pStyle w:val="210"/>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合同金额的</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比例（</w:t>
            </w:r>
            <w:r>
              <w:rPr>
                <w:rFonts w:ascii="Times New Roman" w:hAnsi="Times New Roman" w:eastAsia="Times New Roman" w:cs="Times New Roman"/>
                <w:sz w:val="24"/>
                <w:lang w:eastAsia="zh-CN"/>
              </w:rPr>
              <w:t>%</w:t>
            </w:r>
            <w:r>
              <w:rPr>
                <w:rFonts w:ascii="Times New Roman" w:hAnsi="Times New Roman" w:eastAsia="宋体" w:cs="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1</w:t>
            </w:r>
          </w:p>
        </w:tc>
        <w:tc>
          <w:tcPr>
            <w:tcW w:w="1287" w:type="dxa"/>
            <w:vAlign w:val="center"/>
          </w:tcPr>
          <w:p>
            <w:pPr>
              <w:pStyle w:val="210"/>
              <w:jc w:val="center"/>
              <w:rPr>
                <w:rFonts w:ascii="Times New Roman" w:hAnsi="Times New Roman" w:eastAsia="宋体" w:cs="Times New Roman"/>
                <w:sz w:val="30"/>
              </w:rPr>
            </w:pPr>
          </w:p>
        </w:tc>
        <w:tc>
          <w:tcPr>
            <w:tcW w:w="1513" w:type="dxa"/>
            <w:vAlign w:val="center"/>
          </w:tcPr>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vAlign w:val="center"/>
          </w:tcPr>
          <w:p>
            <w:pPr>
              <w:pStyle w:val="210"/>
              <w:jc w:val="center"/>
              <w:rPr>
                <w:rFonts w:ascii="Times New Roman" w:hAnsi="Times New Roman" w:eastAsia="宋体" w:cs="Times New Roman"/>
                <w:sz w:val="30"/>
                <w:lang w:eastAsia="zh-CN"/>
              </w:rPr>
            </w:pPr>
          </w:p>
        </w:tc>
        <w:tc>
          <w:tcPr>
            <w:tcW w:w="1561" w:type="dxa"/>
            <w:vAlign w:val="center"/>
          </w:tcPr>
          <w:p>
            <w:pPr>
              <w:pStyle w:val="210"/>
              <w:jc w:val="center"/>
              <w:rPr>
                <w:rFonts w:ascii="Times New Roman" w:hAnsi="Times New Roman" w:eastAsia="宋体" w:cs="Times New Roman"/>
                <w:sz w:val="30"/>
                <w:lang w:eastAsia="zh-CN"/>
              </w:rPr>
            </w:pPr>
          </w:p>
        </w:tc>
        <w:tc>
          <w:tcPr>
            <w:tcW w:w="1498" w:type="dxa"/>
            <w:vAlign w:val="center"/>
          </w:tcPr>
          <w:p>
            <w:pPr>
              <w:pStyle w:val="210"/>
              <w:jc w:val="center"/>
              <w:rPr>
                <w:rFonts w:ascii="Times New Roman" w:hAnsi="Times New Roman" w:eastAsia="宋体" w:cs="Times New Roman"/>
                <w:sz w:val="30"/>
                <w:lang w:eastAsia="zh-CN"/>
              </w:rPr>
            </w:pPr>
          </w:p>
        </w:tc>
        <w:tc>
          <w:tcPr>
            <w:tcW w:w="1564" w:type="dxa"/>
            <w:vAlign w:val="center"/>
          </w:tcPr>
          <w:p>
            <w:pPr>
              <w:pStyle w:val="210"/>
              <w:jc w:val="center"/>
              <w:rPr>
                <w:rFonts w:ascii="Times New Roman" w:hAnsi="Times New Roman" w:eastAsia="宋体"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7" w:type="dxa"/>
            <w:vAlign w:val="center"/>
          </w:tcPr>
          <w:p>
            <w:pPr>
              <w:pStyle w:val="210"/>
              <w:jc w:val="center"/>
              <w:rPr>
                <w:rFonts w:ascii="Times New Roman" w:hAnsi="Times New Roman" w:eastAsia="宋体" w:cs="Times New Roman"/>
                <w:sz w:val="30"/>
              </w:rPr>
            </w:pPr>
          </w:p>
        </w:tc>
        <w:tc>
          <w:tcPr>
            <w:tcW w:w="1513" w:type="dxa"/>
            <w:vAlign w:val="center"/>
          </w:tcPr>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vAlign w:val="center"/>
          </w:tcPr>
          <w:p>
            <w:pPr>
              <w:pStyle w:val="210"/>
              <w:jc w:val="center"/>
              <w:rPr>
                <w:rFonts w:ascii="Times New Roman" w:hAnsi="Times New Roman" w:eastAsia="宋体" w:cs="Times New Roman"/>
                <w:sz w:val="30"/>
                <w:lang w:eastAsia="zh-CN"/>
              </w:rPr>
            </w:pPr>
          </w:p>
        </w:tc>
        <w:tc>
          <w:tcPr>
            <w:tcW w:w="1561" w:type="dxa"/>
            <w:vAlign w:val="center"/>
          </w:tcPr>
          <w:p>
            <w:pPr>
              <w:pStyle w:val="210"/>
              <w:jc w:val="center"/>
              <w:rPr>
                <w:rFonts w:ascii="Times New Roman" w:hAnsi="Times New Roman" w:eastAsia="宋体" w:cs="Times New Roman"/>
                <w:sz w:val="30"/>
                <w:lang w:eastAsia="zh-CN"/>
              </w:rPr>
            </w:pPr>
          </w:p>
        </w:tc>
        <w:tc>
          <w:tcPr>
            <w:tcW w:w="1498" w:type="dxa"/>
            <w:vAlign w:val="center"/>
          </w:tcPr>
          <w:p>
            <w:pPr>
              <w:pStyle w:val="210"/>
              <w:jc w:val="center"/>
              <w:rPr>
                <w:rFonts w:ascii="Times New Roman" w:hAnsi="Times New Roman" w:eastAsia="宋体" w:cs="Times New Roman"/>
                <w:sz w:val="30"/>
                <w:lang w:eastAsia="zh-CN"/>
              </w:rPr>
            </w:pPr>
          </w:p>
        </w:tc>
        <w:tc>
          <w:tcPr>
            <w:tcW w:w="1564" w:type="dxa"/>
            <w:vAlign w:val="center"/>
          </w:tcPr>
          <w:p>
            <w:pPr>
              <w:pStyle w:val="210"/>
              <w:jc w:val="center"/>
              <w:rPr>
                <w:rFonts w:ascii="Times New Roman" w:hAnsi="Times New Roman" w:eastAsia="宋体"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7" w:type="dxa"/>
            <w:vAlign w:val="center"/>
          </w:tcPr>
          <w:p>
            <w:pPr>
              <w:pStyle w:val="210"/>
              <w:jc w:val="center"/>
              <w:rPr>
                <w:rFonts w:ascii="Times New Roman" w:hAnsi="Times New Roman" w:eastAsia="宋体" w:cs="Times New Roman"/>
                <w:sz w:val="30"/>
              </w:rPr>
            </w:pPr>
          </w:p>
        </w:tc>
        <w:tc>
          <w:tcPr>
            <w:tcW w:w="1513" w:type="dxa"/>
            <w:vAlign w:val="center"/>
          </w:tcPr>
          <w:p>
            <w:pPr>
              <w:pStyle w:val="210"/>
              <w:tabs>
                <w:tab w:val="left" w:pos="235"/>
              </w:tabs>
              <w:jc w:val="center"/>
              <w:rPr>
                <w:rFonts w:ascii="Times New Roman" w:hAnsi="Times New Roman" w:eastAsia="宋体" w:cs="Times New Roman"/>
                <w:sz w:val="24"/>
              </w:rPr>
            </w:pPr>
          </w:p>
        </w:tc>
        <w:tc>
          <w:tcPr>
            <w:tcW w:w="1125" w:type="dxa"/>
            <w:vAlign w:val="center"/>
          </w:tcPr>
          <w:p>
            <w:pPr>
              <w:pStyle w:val="210"/>
              <w:jc w:val="center"/>
              <w:rPr>
                <w:rFonts w:ascii="Times New Roman" w:hAnsi="Times New Roman" w:eastAsia="宋体" w:cs="Times New Roman"/>
                <w:sz w:val="30"/>
              </w:rPr>
            </w:pPr>
          </w:p>
        </w:tc>
        <w:tc>
          <w:tcPr>
            <w:tcW w:w="1561" w:type="dxa"/>
            <w:vAlign w:val="center"/>
          </w:tcPr>
          <w:p>
            <w:pPr>
              <w:pStyle w:val="210"/>
              <w:jc w:val="center"/>
              <w:rPr>
                <w:rFonts w:ascii="Times New Roman" w:hAnsi="Times New Roman" w:eastAsia="宋体" w:cs="Times New Roman"/>
                <w:sz w:val="30"/>
              </w:rPr>
            </w:pPr>
          </w:p>
        </w:tc>
        <w:tc>
          <w:tcPr>
            <w:tcW w:w="1498" w:type="dxa"/>
            <w:vAlign w:val="center"/>
          </w:tcPr>
          <w:p>
            <w:pPr>
              <w:pStyle w:val="210"/>
              <w:jc w:val="center"/>
              <w:rPr>
                <w:rFonts w:ascii="Times New Roman" w:hAnsi="Times New Roman" w:eastAsia="宋体" w:cs="Times New Roman"/>
                <w:sz w:val="30"/>
              </w:rPr>
            </w:pPr>
          </w:p>
        </w:tc>
        <w:tc>
          <w:tcPr>
            <w:tcW w:w="1564" w:type="dxa"/>
            <w:vAlign w:val="center"/>
          </w:tcPr>
          <w:p>
            <w:pPr>
              <w:pStyle w:val="210"/>
              <w:jc w:val="center"/>
              <w:rPr>
                <w:rFonts w:ascii="Times New Roman" w:hAnsi="Times New Roman" w:eastAsia="宋体"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10"/>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8" w:type="dxa"/>
            <w:vAlign w:val="center"/>
          </w:tcPr>
          <w:p>
            <w:pPr>
              <w:pStyle w:val="210"/>
              <w:jc w:val="center"/>
              <w:rPr>
                <w:rFonts w:ascii="Times New Roman" w:hAnsi="Times New Roman" w:eastAsia="宋体" w:cs="Times New Roman"/>
                <w:sz w:val="30"/>
              </w:rPr>
            </w:pPr>
          </w:p>
        </w:tc>
        <w:tc>
          <w:tcPr>
            <w:tcW w:w="1564" w:type="dxa"/>
            <w:vAlign w:val="center"/>
          </w:tcPr>
          <w:p>
            <w:pPr>
              <w:pStyle w:val="210"/>
              <w:jc w:val="center"/>
              <w:rPr>
                <w:rFonts w:ascii="Times New Roman" w:hAnsi="Times New Roman" w:eastAsia="宋体" w:cs="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7"/>
        </w:numPr>
        <w:tabs>
          <w:tab w:val="left" w:pos="360"/>
        </w:tabs>
        <w:snapToGrid w:val="0"/>
        <w:spacing w:line="360" w:lineRule="auto"/>
        <w:outlineLvl w:val="1"/>
        <w:rPr>
          <w:sz w:val="24"/>
        </w:rPr>
      </w:pP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9"/>
        </w:numPr>
        <w:spacing w:line="360" w:lineRule="auto"/>
        <w:rPr>
          <w:bCs/>
          <w:color w:val="000000"/>
          <w:sz w:val="24"/>
        </w:rPr>
      </w:pPr>
      <w:r>
        <w:rPr>
          <w:bCs/>
          <w:color w:val="000000"/>
          <w:sz w:val="24"/>
        </w:rPr>
        <w:t>牵头人为项目的总负责单位；组织各参加方进行项目实施工作。</w:t>
      </w:r>
    </w:p>
    <w:p>
      <w:pPr>
        <w:numPr>
          <w:ilvl w:val="0"/>
          <w:numId w:val="19"/>
        </w:numPr>
        <w:spacing w:line="360" w:lineRule="auto"/>
        <w:rPr>
          <w:bCs/>
          <w:color w:val="000000"/>
          <w:sz w:val="24"/>
        </w:rPr>
      </w:pPr>
      <w:r>
        <w:rPr>
          <w:bCs/>
          <w:color w:val="000000"/>
          <w:sz w:val="24"/>
        </w:rPr>
        <w:t>______负责_____，具体工作范围、内容以投标文件及合同为准。</w:t>
      </w:r>
    </w:p>
    <w:p>
      <w:pPr>
        <w:numPr>
          <w:ilvl w:val="0"/>
          <w:numId w:val="19"/>
        </w:numPr>
        <w:spacing w:line="360" w:lineRule="auto"/>
        <w:rPr>
          <w:bCs/>
          <w:color w:val="000000"/>
          <w:sz w:val="24"/>
        </w:rPr>
      </w:pPr>
      <w:r>
        <w:rPr>
          <w:bCs/>
          <w:color w:val="000000"/>
          <w:sz w:val="24"/>
        </w:rPr>
        <w:t>______负责_____，具体工作范围、内容以投标文件及合同为准。</w:t>
      </w:r>
    </w:p>
    <w:p>
      <w:pPr>
        <w:numPr>
          <w:ilvl w:val="0"/>
          <w:numId w:val="19"/>
        </w:numPr>
        <w:spacing w:line="360" w:lineRule="auto"/>
        <w:rPr>
          <w:bCs/>
          <w:color w:val="000000"/>
          <w:sz w:val="24"/>
        </w:rPr>
      </w:pPr>
      <w:r>
        <w:rPr>
          <w:bCs/>
          <w:color w:val="000000"/>
          <w:sz w:val="24"/>
        </w:rPr>
        <w:t>______负责_____（如有），具体工作范围、内容以投标文件及合同为准。</w:t>
      </w:r>
    </w:p>
    <w:p>
      <w:pPr>
        <w:numPr>
          <w:ilvl w:val="0"/>
          <w:numId w:val="19"/>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9"/>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widowControl w:val="0"/>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20"/>
        </w:numPr>
        <w:tabs>
          <w:tab w:val="left" w:pos="360"/>
        </w:tabs>
        <w:snapToGrid w:val="0"/>
        <w:spacing w:line="360" w:lineRule="auto"/>
        <w:outlineLvl w:val="1"/>
        <w:rPr>
          <w:color w:val="000000"/>
          <w:sz w:val="24"/>
          <w:szCs w:val="20"/>
        </w:rPr>
      </w:pPr>
      <w:bookmarkStart w:id="833" w:name="_Hlt520343392"/>
      <w:bookmarkEnd w:id="833"/>
      <w:bookmarkStart w:id="834" w:name="_Hlt520355504"/>
      <w:bookmarkEnd w:id="834"/>
      <w:bookmarkStart w:id="835" w:name="_Hlt520274407"/>
      <w:bookmarkEnd w:id="835"/>
      <w:bookmarkStart w:id="836" w:name="_Hlt520350918"/>
      <w:bookmarkEnd w:id="836"/>
      <w:bookmarkStart w:id="837" w:name="_Hlt520274121"/>
      <w:bookmarkEnd w:id="837"/>
      <w:bookmarkStart w:id="838" w:name="_Hlt520271212"/>
      <w:bookmarkEnd w:id="838"/>
      <w:bookmarkStart w:id="839" w:name="_Hlt520273711"/>
      <w:bookmarkEnd w:id="839"/>
      <w:bookmarkStart w:id="840" w:name="_Hlt520274065"/>
      <w:bookmarkEnd w:id="840"/>
      <w:bookmarkStart w:id="841" w:name="_Hlt520274393"/>
      <w:bookmarkEnd w:id="841"/>
      <w:bookmarkStart w:id="842" w:name="_Hlt520343000"/>
      <w:bookmarkEnd w:id="842"/>
      <w:bookmarkStart w:id="843" w:name="_Ref467988698"/>
      <w:bookmarkStart w:id="844" w:name="_Toc480942349"/>
      <w:bookmarkStart w:id="845" w:name="_Toc142311058"/>
      <w:bookmarkStart w:id="846" w:name="_Toc195842921"/>
      <w:bookmarkStart w:id="847" w:name="_Toc226965829"/>
      <w:bookmarkStart w:id="848" w:name="_Toc150774761"/>
      <w:bookmarkStart w:id="849" w:name="_Toc226965746"/>
      <w:bookmarkStart w:id="850" w:name="_Toc226309800"/>
      <w:bookmarkStart w:id="851" w:name="_Toc226337252"/>
      <w:bookmarkStart w:id="852" w:name="_Toc150480794"/>
      <w:bookmarkStart w:id="853" w:name="_Toc520356217"/>
      <w:bookmarkStart w:id="854" w:name="_Toc127151556"/>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55" w:name="_Hlt520355938"/>
      <w:bookmarkEnd w:id="855"/>
      <w:bookmarkStart w:id="856" w:name="_Hlt520356243"/>
      <w:bookmarkEnd w:id="856"/>
      <w:bookmarkStart w:id="857" w:name="_Toc127151557"/>
      <w:bookmarkStart w:id="858" w:name="_Toc305158825"/>
      <w:bookmarkStart w:id="859" w:name="_Toc226965830"/>
      <w:bookmarkStart w:id="860" w:name="_Toc305158899"/>
      <w:bookmarkStart w:id="861" w:name="_Toc226309801"/>
      <w:bookmarkStart w:id="862" w:name="_Toc150480795"/>
      <w:bookmarkStart w:id="863" w:name="_Toc480942350"/>
      <w:bookmarkStart w:id="864" w:name="_Ref467988705"/>
      <w:bookmarkStart w:id="865" w:name="_Toc226965747"/>
      <w:bookmarkStart w:id="866" w:name="_Toc265228395"/>
      <w:bookmarkStart w:id="867" w:name="_Toc226337253"/>
      <w:bookmarkStart w:id="868" w:name="_Toc142311059"/>
      <w:bookmarkStart w:id="869" w:name="_Toc264969247"/>
      <w:bookmarkStart w:id="870" w:name="_Toc195842922"/>
      <w:bookmarkStart w:id="871" w:name="_Toc150774762"/>
      <w:bookmarkStart w:id="872" w:name="_Toc520356218"/>
      <w:r>
        <w:rPr>
          <w:color w:val="000000"/>
          <w:sz w:val="24"/>
        </w:rPr>
        <w:br w:type="page"/>
      </w:r>
    </w:p>
    <w:p>
      <w:pPr>
        <w:numPr>
          <w:ilvl w:val="0"/>
          <w:numId w:val="20"/>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2"/>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pPr>
        <w:spacing w:line="360" w:lineRule="exact"/>
        <w:jc w:val="center"/>
        <w:rPr>
          <w:b/>
          <w:color w:val="000000"/>
          <w:sz w:val="36"/>
          <w:szCs w:val="36"/>
        </w:rPr>
      </w:pPr>
      <w:bookmarkStart w:id="873" w:name="_Toc164608827"/>
      <w:bookmarkStart w:id="874" w:name="_Toc305158826"/>
      <w:bookmarkStart w:id="875" w:name="_Toc226965831"/>
      <w:bookmarkStart w:id="876" w:name="_Toc265228396"/>
      <w:bookmarkStart w:id="877" w:name="_Toc226337254"/>
      <w:bookmarkStart w:id="878" w:name="_Toc164608672"/>
      <w:bookmarkStart w:id="879" w:name="_Toc226309802"/>
      <w:bookmarkStart w:id="880" w:name="_Toc264969248"/>
      <w:bookmarkStart w:id="881" w:name="_Toc305158900"/>
      <w:bookmarkStart w:id="882" w:name="_Toc226965748"/>
      <w:bookmarkStart w:id="883" w:name="_Toc195842923"/>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pPr>
              <w:tabs>
                <w:tab w:val="left" w:pos="5580"/>
              </w:tabs>
              <w:jc w:val="center"/>
              <w:rPr>
                <w:b/>
                <w:sz w:val="24"/>
              </w:rPr>
            </w:pPr>
            <w:r>
              <w:rPr>
                <w:b/>
                <w:sz w:val="24"/>
              </w:rPr>
              <w:t>包号</w:t>
            </w:r>
          </w:p>
        </w:tc>
        <w:tc>
          <w:tcPr>
            <w:tcW w:w="3700" w:type="dxa"/>
            <w:vMerge w:val="restart"/>
            <w:vAlign w:val="center"/>
          </w:tcPr>
          <w:p>
            <w:pPr>
              <w:tabs>
                <w:tab w:val="left" w:pos="5580"/>
              </w:tabs>
              <w:jc w:val="center"/>
              <w:rPr>
                <w:b/>
                <w:sz w:val="24"/>
              </w:rPr>
            </w:pPr>
            <w:r>
              <w:rPr>
                <w:b/>
                <w:sz w:val="24"/>
              </w:rPr>
              <w:t>投标人名称</w:t>
            </w:r>
          </w:p>
        </w:tc>
        <w:tc>
          <w:tcPr>
            <w:tcW w:w="3965"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tc>
        <w:tc>
          <w:tcPr>
            <w:tcW w:w="3700" w:type="dxa"/>
            <w:vMerge w:val="continue"/>
            <w:vAlign w:val="center"/>
          </w:tcPr>
          <w:p/>
        </w:tc>
        <w:tc>
          <w:tcPr>
            <w:tcW w:w="1985" w:type="dxa"/>
            <w:vAlign w:val="center"/>
          </w:tcPr>
          <w:p>
            <w:pPr>
              <w:tabs>
                <w:tab w:val="left" w:pos="5580"/>
              </w:tabs>
              <w:jc w:val="center"/>
              <w:rPr>
                <w:b/>
                <w:sz w:val="24"/>
              </w:rPr>
            </w:pPr>
            <w:r>
              <w:rPr>
                <w:b/>
                <w:sz w:val="24"/>
              </w:rPr>
              <w:t>大写</w:t>
            </w:r>
          </w:p>
        </w:tc>
        <w:tc>
          <w:tcPr>
            <w:tcW w:w="1980"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pPr>
              <w:tabs>
                <w:tab w:val="left" w:pos="5580"/>
              </w:tabs>
              <w:jc w:val="center"/>
              <w:rPr>
                <w:sz w:val="24"/>
              </w:rPr>
            </w:pPr>
          </w:p>
        </w:tc>
        <w:tc>
          <w:tcPr>
            <w:tcW w:w="3700" w:type="dxa"/>
            <w:vAlign w:val="center"/>
          </w:tcPr>
          <w:p>
            <w:pPr>
              <w:tabs>
                <w:tab w:val="left" w:pos="5580"/>
              </w:tabs>
              <w:jc w:val="center"/>
              <w:rPr>
                <w:sz w:val="24"/>
              </w:rPr>
            </w:pPr>
          </w:p>
        </w:tc>
        <w:tc>
          <w:tcPr>
            <w:tcW w:w="1985" w:type="dxa"/>
            <w:vAlign w:val="center"/>
          </w:tcPr>
          <w:p>
            <w:pPr>
              <w:tabs>
                <w:tab w:val="left" w:pos="5580"/>
              </w:tabs>
              <w:jc w:val="center"/>
              <w:rPr>
                <w:sz w:val="24"/>
              </w:rPr>
            </w:pPr>
          </w:p>
        </w:tc>
        <w:tc>
          <w:tcPr>
            <w:tcW w:w="1980"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84" w:name="_Toc264969249"/>
      <w:bookmarkStart w:id="885" w:name="_Toc142311060"/>
      <w:bookmarkStart w:id="886" w:name="_Toc305158901"/>
      <w:bookmarkStart w:id="887" w:name="_Toc226965832"/>
      <w:bookmarkStart w:id="888" w:name="_Toc265228397"/>
      <w:bookmarkStart w:id="889" w:name="_Toc127151558"/>
      <w:bookmarkStart w:id="890" w:name="_Toc226309803"/>
      <w:bookmarkStart w:id="891" w:name="_Toc150774763"/>
      <w:bookmarkStart w:id="892" w:name="_Toc195842924"/>
      <w:bookmarkStart w:id="893" w:name="_Toc305158827"/>
      <w:bookmarkStart w:id="894" w:name="_Toc226337255"/>
      <w:bookmarkStart w:id="895" w:name="_Toc150480796"/>
      <w:bookmarkStart w:id="896" w:name="_Toc226965749"/>
    </w:p>
    <w:p>
      <w:pPr>
        <w:widowControl/>
        <w:jc w:val="left"/>
        <w:rPr>
          <w:color w:val="000000"/>
          <w:sz w:val="24"/>
          <w:szCs w:val="20"/>
        </w:rPr>
      </w:pPr>
    </w:p>
    <w:p>
      <w:pPr>
        <w:numPr>
          <w:ilvl w:val="0"/>
          <w:numId w:val="20"/>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p>
    <w:p>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pPr>
        <w:tabs>
          <w:tab w:val="left" w:pos="1800"/>
          <w:tab w:val="left" w:pos="5580"/>
        </w:tabs>
        <w:rPr>
          <w:color w:val="000000"/>
          <w:sz w:val="24"/>
        </w:rPr>
      </w:pPr>
      <w:bookmarkStart w:id="897" w:name="_Toc150480798"/>
      <w:bookmarkStart w:id="898" w:name="_Toc264969252"/>
      <w:bookmarkStart w:id="899" w:name="_Toc142311062"/>
      <w:bookmarkStart w:id="900" w:name="_Toc195842927"/>
      <w:bookmarkStart w:id="901" w:name="_Toc226965752"/>
      <w:bookmarkStart w:id="902" w:name="_Toc127151562"/>
      <w:bookmarkStart w:id="903" w:name="_Toc305158830"/>
      <w:bookmarkStart w:id="904" w:name="_Toc226965835"/>
      <w:bookmarkStart w:id="905" w:name="_Toc265228400"/>
      <w:bookmarkStart w:id="906" w:name="_Toc226309806"/>
      <w:bookmarkStart w:id="907" w:name="_Toc226337258"/>
      <w:bookmarkStart w:id="908" w:name="_Toc305158904"/>
      <w:bookmarkStart w:id="909" w:name="_Toc150774765"/>
      <w:bookmarkStart w:id="910" w:name="_Toc226965751"/>
      <w:bookmarkStart w:id="911" w:name="_Toc226309805"/>
      <w:bookmarkStart w:id="912" w:name="_Toc127151561"/>
      <w:bookmarkStart w:id="913" w:name="_Toc142311061"/>
      <w:bookmarkStart w:id="914" w:name="_Toc264969251"/>
      <w:bookmarkStart w:id="915" w:name="_Toc305158903"/>
      <w:bookmarkStart w:id="916" w:name="_Toc226337257"/>
      <w:bookmarkStart w:id="917" w:name="_Toc226965834"/>
      <w:bookmarkStart w:id="918" w:name="_Toc195842926"/>
      <w:bookmarkStart w:id="919" w:name="_Toc265228399"/>
      <w:bookmarkStart w:id="920" w:name="_Toc150774764"/>
      <w:bookmarkStart w:id="921" w:name="_Toc150480797"/>
      <w:bookmarkStart w:id="922" w:name="_Toc305158829"/>
    </w:p>
    <w:p>
      <w:pPr>
        <w:tabs>
          <w:tab w:val="left" w:pos="1800"/>
          <w:tab w:val="left" w:pos="5580"/>
        </w:tabs>
        <w:jc w:val="center"/>
        <w:rPr>
          <w:color w:val="000000"/>
          <w:sz w:val="24"/>
        </w:rPr>
      </w:pPr>
      <w:r>
        <w:rPr>
          <w:b/>
          <w:color w:val="000000"/>
          <w:sz w:val="36"/>
          <w:szCs w:val="36"/>
        </w:rPr>
        <w:t>投标分项报价表</w:t>
      </w:r>
    </w:p>
    <w:p>
      <w:pPr>
        <w:tabs>
          <w:tab w:val="left" w:pos="1800"/>
          <w:tab w:val="left" w:pos="5580"/>
        </w:tabs>
        <w:rPr>
          <w:color w:val="000000"/>
          <w:sz w:val="24"/>
        </w:rPr>
      </w:pPr>
    </w:p>
    <w:p>
      <w:pPr>
        <w:tabs>
          <w:tab w:val="left" w:pos="1800"/>
          <w:tab w:val="left" w:pos="5580"/>
        </w:tabs>
        <w:rPr>
          <w:color w:val="000000"/>
          <w:sz w:val="24"/>
        </w:rPr>
      </w:pP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pPr>
              <w:adjustRightInd w:val="0"/>
              <w:snapToGrid w:val="0"/>
              <w:jc w:val="left"/>
              <w:rPr>
                <w:b/>
                <w:color w:val="000000"/>
                <w:sz w:val="24"/>
              </w:rPr>
            </w:pPr>
            <w:r>
              <w:rPr>
                <w:b/>
                <w:color w:val="000000"/>
                <w:sz w:val="24"/>
              </w:rPr>
              <w:t>序号</w:t>
            </w:r>
          </w:p>
        </w:tc>
        <w:tc>
          <w:tcPr>
            <w:tcW w:w="2866" w:type="dxa"/>
            <w:vAlign w:val="center"/>
          </w:tcPr>
          <w:p>
            <w:pPr>
              <w:adjustRightInd w:val="0"/>
              <w:snapToGrid w:val="0"/>
              <w:jc w:val="left"/>
              <w:rPr>
                <w:b/>
                <w:color w:val="000000"/>
                <w:sz w:val="24"/>
              </w:rPr>
            </w:pPr>
            <w:r>
              <w:rPr>
                <w:b/>
                <w:color w:val="000000"/>
                <w:sz w:val="24"/>
              </w:rPr>
              <w:t>分项名称</w:t>
            </w:r>
          </w:p>
        </w:tc>
        <w:tc>
          <w:tcPr>
            <w:tcW w:w="1314" w:type="dxa"/>
            <w:vAlign w:val="center"/>
          </w:tcPr>
          <w:p>
            <w:pPr>
              <w:adjustRightInd w:val="0"/>
              <w:snapToGrid w:val="0"/>
              <w:jc w:val="left"/>
              <w:rPr>
                <w:b/>
                <w:color w:val="000000"/>
                <w:sz w:val="24"/>
              </w:rPr>
            </w:pPr>
            <w:r>
              <w:rPr>
                <w:b/>
                <w:color w:val="000000"/>
                <w:sz w:val="24"/>
              </w:rPr>
              <w:t>单价（元）</w:t>
            </w:r>
          </w:p>
        </w:tc>
        <w:tc>
          <w:tcPr>
            <w:tcW w:w="1177" w:type="dxa"/>
            <w:vAlign w:val="center"/>
          </w:tcPr>
          <w:p>
            <w:pPr>
              <w:adjustRightInd w:val="0"/>
              <w:snapToGrid w:val="0"/>
              <w:jc w:val="center"/>
              <w:rPr>
                <w:b/>
                <w:color w:val="000000"/>
                <w:sz w:val="24"/>
              </w:rPr>
            </w:pPr>
            <w:r>
              <w:rPr>
                <w:b/>
                <w:color w:val="000000"/>
                <w:sz w:val="24"/>
              </w:rPr>
              <w:t>数量</w:t>
            </w:r>
          </w:p>
        </w:tc>
        <w:tc>
          <w:tcPr>
            <w:tcW w:w="1312" w:type="dxa"/>
            <w:vAlign w:val="center"/>
          </w:tcPr>
          <w:p>
            <w:pPr>
              <w:adjustRightInd w:val="0"/>
              <w:snapToGrid w:val="0"/>
              <w:jc w:val="left"/>
              <w:rPr>
                <w:b/>
                <w:color w:val="000000"/>
                <w:sz w:val="24"/>
              </w:rPr>
            </w:pPr>
            <w:r>
              <w:rPr>
                <w:b/>
                <w:color w:val="000000"/>
                <w:sz w:val="24"/>
              </w:rPr>
              <w:t>合价（元）</w:t>
            </w:r>
          </w:p>
        </w:tc>
        <w:tc>
          <w:tcPr>
            <w:tcW w:w="1666"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pPr>
              <w:adjustRightInd w:val="0"/>
              <w:snapToGrid w:val="0"/>
              <w:jc w:val="center"/>
              <w:rPr>
                <w:color w:val="000000"/>
                <w:sz w:val="24"/>
              </w:rPr>
            </w:pPr>
            <w:r>
              <w:rPr>
                <w:color w:val="000000"/>
                <w:sz w:val="24"/>
              </w:rPr>
              <w:t>1</w:t>
            </w:r>
          </w:p>
        </w:tc>
        <w:tc>
          <w:tcPr>
            <w:tcW w:w="2866" w:type="dxa"/>
            <w:vAlign w:val="center"/>
          </w:tcPr>
          <w:p>
            <w:pPr>
              <w:adjustRightInd w:val="0"/>
              <w:snapToGrid w:val="0"/>
              <w:jc w:val="left"/>
              <w:rPr>
                <w:color w:val="000000"/>
                <w:sz w:val="24"/>
              </w:rPr>
            </w:pPr>
          </w:p>
        </w:tc>
        <w:tc>
          <w:tcPr>
            <w:tcW w:w="1314" w:type="dxa"/>
            <w:vAlign w:val="center"/>
          </w:tcPr>
          <w:p>
            <w:pPr>
              <w:adjustRightInd w:val="0"/>
              <w:snapToGrid w:val="0"/>
              <w:jc w:val="left"/>
              <w:rPr>
                <w:color w:val="000000"/>
                <w:sz w:val="24"/>
              </w:rPr>
            </w:pPr>
          </w:p>
        </w:tc>
        <w:tc>
          <w:tcPr>
            <w:tcW w:w="1177" w:type="dxa"/>
            <w:vAlign w:val="center"/>
          </w:tcPr>
          <w:p>
            <w:pPr>
              <w:adjustRightInd w:val="0"/>
              <w:snapToGrid w:val="0"/>
              <w:jc w:val="center"/>
              <w:rPr>
                <w:color w:val="000000"/>
                <w:sz w:val="24"/>
              </w:rPr>
            </w:pPr>
          </w:p>
        </w:tc>
        <w:tc>
          <w:tcPr>
            <w:tcW w:w="1312" w:type="dxa"/>
            <w:vAlign w:val="center"/>
          </w:tcPr>
          <w:p>
            <w:pPr>
              <w:adjustRightInd w:val="0"/>
              <w:snapToGrid w:val="0"/>
              <w:jc w:val="left"/>
              <w:rPr>
                <w:color w:val="000000"/>
                <w:sz w:val="24"/>
              </w:rPr>
            </w:pPr>
          </w:p>
        </w:tc>
        <w:tc>
          <w:tcPr>
            <w:tcW w:w="1666"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pPr>
              <w:adjustRightInd w:val="0"/>
              <w:snapToGrid w:val="0"/>
              <w:jc w:val="center"/>
              <w:rPr>
                <w:color w:val="000000"/>
                <w:sz w:val="24"/>
              </w:rPr>
            </w:pPr>
            <w:r>
              <w:rPr>
                <w:color w:val="000000"/>
                <w:sz w:val="24"/>
              </w:rPr>
              <w:t>2</w:t>
            </w:r>
          </w:p>
        </w:tc>
        <w:tc>
          <w:tcPr>
            <w:tcW w:w="2866" w:type="dxa"/>
            <w:vAlign w:val="center"/>
          </w:tcPr>
          <w:p>
            <w:pPr>
              <w:adjustRightInd w:val="0"/>
              <w:snapToGrid w:val="0"/>
              <w:jc w:val="left"/>
              <w:rPr>
                <w:color w:val="000000"/>
                <w:sz w:val="24"/>
              </w:rPr>
            </w:pPr>
          </w:p>
        </w:tc>
        <w:tc>
          <w:tcPr>
            <w:tcW w:w="1314" w:type="dxa"/>
            <w:vAlign w:val="center"/>
          </w:tcPr>
          <w:p>
            <w:pPr>
              <w:adjustRightInd w:val="0"/>
              <w:snapToGrid w:val="0"/>
              <w:jc w:val="left"/>
              <w:rPr>
                <w:color w:val="000000"/>
                <w:sz w:val="24"/>
              </w:rPr>
            </w:pPr>
          </w:p>
        </w:tc>
        <w:tc>
          <w:tcPr>
            <w:tcW w:w="1177" w:type="dxa"/>
            <w:vAlign w:val="center"/>
          </w:tcPr>
          <w:p>
            <w:pPr>
              <w:adjustRightInd w:val="0"/>
              <w:snapToGrid w:val="0"/>
              <w:jc w:val="center"/>
              <w:rPr>
                <w:color w:val="000000"/>
                <w:sz w:val="24"/>
              </w:rPr>
            </w:pPr>
          </w:p>
        </w:tc>
        <w:tc>
          <w:tcPr>
            <w:tcW w:w="1312" w:type="dxa"/>
            <w:vAlign w:val="center"/>
          </w:tcPr>
          <w:p>
            <w:pPr>
              <w:adjustRightInd w:val="0"/>
              <w:snapToGrid w:val="0"/>
              <w:jc w:val="left"/>
              <w:rPr>
                <w:color w:val="000000"/>
                <w:sz w:val="24"/>
              </w:rPr>
            </w:pPr>
          </w:p>
        </w:tc>
        <w:tc>
          <w:tcPr>
            <w:tcW w:w="1666"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pPr>
              <w:adjustRightInd w:val="0"/>
              <w:snapToGrid w:val="0"/>
              <w:jc w:val="center"/>
              <w:rPr>
                <w:color w:val="000000"/>
                <w:sz w:val="24"/>
              </w:rPr>
            </w:pPr>
            <w:r>
              <w:rPr>
                <w:color w:val="000000"/>
                <w:sz w:val="24"/>
              </w:rPr>
              <w:t>3</w:t>
            </w:r>
          </w:p>
        </w:tc>
        <w:tc>
          <w:tcPr>
            <w:tcW w:w="2866" w:type="dxa"/>
            <w:vAlign w:val="center"/>
          </w:tcPr>
          <w:p>
            <w:pPr>
              <w:adjustRightInd w:val="0"/>
              <w:snapToGrid w:val="0"/>
              <w:jc w:val="left"/>
              <w:rPr>
                <w:color w:val="000000"/>
                <w:sz w:val="24"/>
              </w:rPr>
            </w:pPr>
            <w:r>
              <w:rPr>
                <w:color w:val="000000"/>
                <w:sz w:val="24"/>
              </w:rPr>
              <w:t>…</w:t>
            </w:r>
          </w:p>
        </w:tc>
        <w:tc>
          <w:tcPr>
            <w:tcW w:w="1314" w:type="dxa"/>
            <w:vAlign w:val="center"/>
          </w:tcPr>
          <w:p>
            <w:pPr>
              <w:adjustRightInd w:val="0"/>
              <w:snapToGrid w:val="0"/>
              <w:jc w:val="left"/>
              <w:rPr>
                <w:color w:val="000000"/>
                <w:sz w:val="24"/>
              </w:rPr>
            </w:pPr>
          </w:p>
        </w:tc>
        <w:tc>
          <w:tcPr>
            <w:tcW w:w="1177" w:type="dxa"/>
            <w:vAlign w:val="center"/>
          </w:tcPr>
          <w:p>
            <w:pPr>
              <w:adjustRightInd w:val="0"/>
              <w:snapToGrid w:val="0"/>
              <w:jc w:val="center"/>
              <w:rPr>
                <w:color w:val="000000"/>
                <w:sz w:val="24"/>
              </w:rPr>
            </w:pPr>
          </w:p>
        </w:tc>
        <w:tc>
          <w:tcPr>
            <w:tcW w:w="1312" w:type="dxa"/>
            <w:vAlign w:val="center"/>
          </w:tcPr>
          <w:p>
            <w:pPr>
              <w:adjustRightInd w:val="0"/>
              <w:snapToGrid w:val="0"/>
              <w:jc w:val="left"/>
              <w:rPr>
                <w:color w:val="000000"/>
                <w:sz w:val="24"/>
              </w:rPr>
            </w:pPr>
          </w:p>
        </w:tc>
        <w:tc>
          <w:tcPr>
            <w:tcW w:w="1666"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pPr>
              <w:adjustRightInd w:val="0"/>
              <w:snapToGrid w:val="0"/>
              <w:jc w:val="right"/>
              <w:rPr>
                <w:color w:val="000000"/>
                <w:sz w:val="24"/>
              </w:rPr>
            </w:pPr>
            <w:r>
              <w:rPr>
                <w:b/>
                <w:color w:val="000000"/>
                <w:sz w:val="24"/>
              </w:rPr>
              <w:t>总价（元）</w:t>
            </w:r>
          </w:p>
        </w:tc>
        <w:tc>
          <w:tcPr>
            <w:tcW w:w="1312" w:type="dxa"/>
            <w:vAlign w:val="center"/>
          </w:tcPr>
          <w:p>
            <w:pPr>
              <w:adjustRightInd w:val="0"/>
              <w:snapToGrid w:val="0"/>
              <w:jc w:val="left"/>
              <w:rPr>
                <w:color w:val="000000"/>
                <w:sz w:val="24"/>
              </w:rPr>
            </w:pPr>
          </w:p>
        </w:tc>
        <w:tc>
          <w:tcPr>
            <w:tcW w:w="1666"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rPr>
          <w:color w:val="000000"/>
          <w:sz w:val="24"/>
          <w:szCs w:val="20"/>
        </w:rPr>
      </w:pPr>
      <w:r>
        <w:rPr>
          <w:color w:val="000000"/>
          <w:sz w:val="24"/>
          <w:szCs w:val="20"/>
        </w:rPr>
        <w:br w:type="page"/>
      </w:r>
    </w:p>
    <w:p>
      <w:pPr>
        <w:numPr>
          <w:ilvl w:val="0"/>
          <w:numId w:val="20"/>
        </w:numPr>
        <w:tabs>
          <w:tab w:val="left" w:pos="360"/>
        </w:tabs>
        <w:snapToGrid w:val="0"/>
        <w:spacing w:line="360" w:lineRule="auto"/>
        <w:outlineLvl w:val="1"/>
        <w:rPr>
          <w:color w:val="000000"/>
          <w:sz w:val="24"/>
          <w:szCs w:val="20"/>
        </w:rPr>
      </w:pPr>
      <w:r>
        <w:rPr>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pPr>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color w:val="000000"/>
                <w:sz w:val="24"/>
              </w:rPr>
            </w:pPr>
            <w:bookmarkStart w:id="923" w:name="_Hlk144279231"/>
            <w:r>
              <w:rPr>
                <w:color w:val="000000"/>
                <w:sz w:val="24"/>
              </w:rPr>
              <w:t>序号</w:t>
            </w:r>
          </w:p>
        </w:tc>
        <w:tc>
          <w:tcPr>
            <w:tcW w:w="1734"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pPr>
              <w:adjustRightInd w:val="0"/>
              <w:snapToGrid w:val="0"/>
              <w:jc w:val="center"/>
              <w:rPr>
                <w:color w:val="000000"/>
                <w:sz w:val="24"/>
              </w:rPr>
            </w:pPr>
            <w:r>
              <w:rPr>
                <w:color w:val="000000"/>
                <w:sz w:val="24"/>
              </w:rPr>
              <w:t>投标文件内容</w:t>
            </w:r>
          </w:p>
        </w:tc>
        <w:tc>
          <w:tcPr>
            <w:tcW w:w="1825" w:type="dxa"/>
            <w:vAlign w:val="center"/>
          </w:tcPr>
          <w:p>
            <w:pPr>
              <w:adjustRightInd w:val="0"/>
              <w:snapToGrid w:val="0"/>
              <w:jc w:val="center"/>
              <w:rPr>
                <w:color w:val="000000"/>
                <w:sz w:val="24"/>
              </w:rPr>
            </w:pPr>
            <w:r>
              <w:rPr>
                <w:color w:val="000000"/>
                <w:sz w:val="24"/>
              </w:rPr>
              <w:t>偏离情况</w:t>
            </w:r>
          </w:p>
        </w:tc>
        <w:tc>
          <w:tcPr>
            <w:tcW w:w="11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color w:val="000000"/>
                <w:sz w:val="24"/>
              </w:rPr>
            </w:pPr>
          </w:p>
        </w:tc>
        <w:tc>
          <w:tcPr>
            <w:tcW w:w="1734"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5" w:type="dxa"/>
            <w:vAlign w:val="center"/>
          </w:tcPr>
          <w:p>
            <w:pPr>
              <w:adjustRightInd w:val="0"/>
              <w:snapToGrid w:val="0"/>
              <w:jc w:val="center"/>
              <w:rPr>
                <w:color w:val="000000"/>
                <w:sz w:val="24"/>
              </w:rPr>
            </w:pPr>
          </w:p>
        </w:tc>
        <w:tc>
          <w:tcPr>
            <w:tcW w:w="11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color w:val="000000"/>
                <w:sz w:val="24"/>
              </w:rPr>
            </w:pPr>
          </w:p>
        </w:tc>
        <w:tc>
          <w:tcPr>
            <w:tcW w:w="1734"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5" w:type="dxa"/>
            <w:vAlign w:val="center"/>
          </w:tcPr>
          <w:p>
            <w:pPr>
              <w:adjustRightInd w:val="0"/>
              <w:snapToGrid w:val="0"/>
              <w:jc w:val="center"/>
              <w:rPr>
                <w:color w:val="000000"/>
                <w:sz w:val="24"/>
              </w:rPr>
            </w:pPr>
          </w:p>
        </w:tc>
        <w:tc>
          <w:tcPr>
            <w:tcW w:w="11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color w:val="000000"/>
                <w:sz w:val="24"/>
              </w:rPr>
            </w:pPr>
          </w:p>
        </w:tc>
        <w:tc>
          <w:tcPr>
            <w:tcW w:w="1734"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5" w:type="dxa"/>
            <w:vAlign w:val="center"/>
          </w:tcPr>
          <w:p>
            <w:pPr>
              <w:adjustRightInd w:val="0"/>
              <w:snapToGrid w:val="0"/>
              <w:jc w:val="center"/>
              <w:rPr>
                <w:color w:val="000000"/>
                <w:sz w:val="24"/>
              </w:rPr>
            </w:pPr>
          </w:p>
        </w:tc>
        <w:tc>
          <w:tcPr>
            <w:tcW w:w="11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pPr>
              <w:adjustRightInd w:val="0"/>
              <w:snapToGrid w:val="0"/>
              <w:jc w:val="center"/>
              <w:rPr>
                <w:color w:val="000000"/>
                <w:sz w:val="24"/>
              </w:rPr>
            </w:pPr>
          </w:p>
        </w:tc>
        <w:tc>
          <w:tcPr>
            <w:tcW w:w="1734"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632" w:type="dxa"/>
            <w:vAlign w:val="center"/>
          </w:tcPr>
          <w:p>
            <w:pPr>
              <w:adjustRightInd w:val="0"/>
              <w:snapToGrid w:val="0"/>
              <w:jc w:val="center"/>
              <w:rPr>
                <w:color w:val="000000"/>
                <w:sz w:val="24"/>
              </w:rPr>
            </w:pPr>
          </w:p>
        </w:tc>
        <w:tc>
          <w:tcPr>
            <w:tcW w:w="1825" w:type="dxa"/>
            <w:vAlign w:val="center"/>
          </w:tcPr>
          <w:p>
            <w:pPr>
              <w:adjustRightInd w:val="0"/>
              <w:snapToGrid w:val="0"/>
              <w:jc w:val="center"/>
              <w:rPr>
                <w:color w:val="000000"/>
                <w:sz w:val="24"/>
              </w:rPr>
            </w:pPr>
          </w:p>
        </w:tc>
        <w:tc>
          <w:tcPr>
            <w:tcW w:w="1109" w:type="dxa"/>
            <w:vAlign w:val="center"/>
          </w:tcPr>
          <w:p>
            <w:pPr>
              <w:adjustRightInd w:val="0"/>
              <w:snapToGrid w:val="0"/>
              <w:jc w:val="center"/>
              <w:rPr>
                <w:color w:val="000000"/>
                <w:sz w:val="24"/>
              </w:rPr>
            </w:pPr>
          </w:p>
        </w:tc>
      </w:tr>
      <w:bookmarkEnd w:id="92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line="360" w:lineRule="auto"/>
        <w:outlineLvl w:val="2"/>
        <w:rPr>
          <w:color w:val="000000"/>
          <w:sz w:val="24"/>
          <w:szCs w:val="20"/>
        </w:rPr>
      </w:pPr>
      <w:r>
        <w:rPr>
          <w:color w:val="000000"/>
          <w:sz w:val="24"/>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7"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分包承担</w:t>
            </w:r>
          </w:p>
          <w:p>
            <w:pPr>
              <w:pStyle w:val="210"/>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3"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1"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拟分包</w:t>
            </w:r>
          </w:p>
          <w:p>
            <w:pPr>
              <w:pStyle w:val="210"/>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8"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4" w:type="dxa"/>
            <w:vAlign w:val="center"/>
          </w:tcPr>
          <w:p>
            <w:pPr>
              <w:pStyle w:val="210"/>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占合同金额</w:t>
            </w:r>
          </w:p>
          <w:p>
            <w:pPr>
              <w:pStyle w:val="210"/>
              <w:jc w:val="center"/>
              <w:rPr>
                <w:rFonts w:ascii="Times New Roman" w:hAnsi="Times New Roman" w:eastAsia="宋体" w:cs="Times New Roman"/>
                <w:sz w:val="24"/>
                <w:lang w:eastAsia="zh-CN"/>
              </w:rPr>
            </w:pPr>
            <w:r>
              <w:rPr>
                <w:rFonts w:ascii="Times New Roman" w:hAnsi="Times New Roman" w:eastAsia="宋体"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eastAsia="宋体" w:cs="Times New Roman"/>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10"/>
              <w:jc w:val="center"/>
              <w:rPr>
                <w:rFonts w:ascii="Times New Roman" w:hAnsi="Times New Roman" w:eastAsia="宋体" w:cs="Times New Roman"/>
                <w:sz w:val="24"/>
              </w:rPr>
            </w:pPr>
            <w:r>
              <w:rPr>
                <w:rFonts w:ascii="Times New Roman" w:hAnsi="Times New Roman" w:eastAsia="宋体" w:cs="Times New Roman"/>
                <w:sz w:val="24"/>
              </w:rPr>
              <w:t>1</w:t>
            </w:r>
          </w:p>
        </w:tc>
        <w:tc>
          <w:tcPr>
            <w:tcW w:w="1287" w:type="dxa"/>
            <w:vAlign w:val="center"/>
          </w:tcPr>
          <w:p>
            <w:pPr>
              <w:pStyle w:val="210"/>
              <w:jc w:val="center"/>
              <w:rPr>
                <w:rFonts w:ascii="Times New Roman" w:hAnsi="Times New Roman" w:eastAsia="宋体" w:cs="Times New Roman"/>
                <w:sz w:val="30"/>
              </w:rPr>
            </w:pPr>
          </w:p>
        </w:tc>
        <w:tc>
          <w:tcPr>
            <w:tcW w:w="1513" w:type="dxa"/>
            <w:vAlign w:val="center"/>
          </w:tcPr>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vAlign w:val="center"/>
          </w:tcPr>
          <w:p>
            <w:pPr>
              <w:pStyle w:val="210"/>
              <w:jc w:val="center"/>
              <w:rPr>
                <w:rFonts w:ascii="Times New Roman" w:hAnsi="Times New Roman" w:eastAsia="宋体" w:cs="Times New Roman"/>
                <w:sz w:val="30"/>
                <w:lang w:eastAsia="zh-CN"/>
              </w:rPr>
            </w:pPr>
          </w:p>
        </w:tc>
        <w:tc>
          <w:tcPr>
            <w:tcW w:w="1561" w:type="dxa"/>
            <w:vAlign w:val="center"/>
          </w:tcPr>
          <w:p>
            <w:pPr>
              <w:pStyle w:val="210"/>
              <w:jc w:val="center"/>
              <w:rPr>
                <w:rFonts w:ascii="Times New Roman" w:hAnsi="Times New Roman" w:eastAsia="宋体" w:cs="Times New Roman"/>
                <w:sz w:val="30"/>
                <w:lang w:eastAsia="zh-CN"/>
              </w:rPr>
            </w:pPr>
          </w:p>
        </w:tc>
        <w:tc>
          <w:tcPr>
            <w:tcW w:w="1498" w:type="dxa"/>
            <w:vAlign w:val="center"/>
          </w:tcPr>
          <w:p>
            <w:pPr>
              <w:pStyle w:val="210"/>
              <w:jc w:val="center"/>
              <w:rPr>
                <w:rFonts w:ascii="Times New Roman" w:hAnsi="Times New Roman" w:eastAsia="宋体" w:cs="Times New Roman"/>
                <w:sz w:val="30"/>
                <w:lang w:eastAsia="zh-CN"/>
              </w:rPr>
            </w:pPr>
          </w:p>
        </w:tc>
        <w:tc>
          <w:tcPr>
            <w:tcW w:w="1564" w:type="dxa"/>
            <w:vAlign w:val="center"/>
          </w:tcPr>
          <w:p>
            <w:pPr>
              <w:pStyle w:val="210"/>
              <w:jc w:val="center"/>
              <w:rPr>
                <w:rFonts w:ascii="Times New Roman" w:hAnsi="Times New Roman" w:eastAsia="宋体"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7" w:type="dxa"/>
            <w:vAlign w:val="center"/>
          </w:tcPr>
          <w:p>
            <w:pPr>
              <w:pStyle w:val="210"/>
              <w:jc w:val="center"/>
              <w:rPr>
                <w:rFonts w:ascii="Times New Roman" w:hAnsi="Times New Roman" w:eastAsia="宋体" w:cs="Times New Roman"/>
                <w:sz w:val="30"/>
              </w:rPr>
            </w:pPr>
          </w:p>
        </w:tc>
        <w:tc>
          <w:tcPr>
            <w:tcW w:w="1513" w:type="dxa"/>
            <w:vAlign w:val="center"/>
          </w:tcPr>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pPr>
              <w:pStyle w:val="210"/>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vAlign w:val="center"/>
          </w:tcPr>
          <w:p>
            <w:pPr>
              <w:pStyle w:val="210"/>
              <w:jc w:val="center"/>
              <w:rPr>
                <w:rFonts w:ascii="Times New Roman" w:hAnsi="Times New Roman" w:eastAsia="宋体" w:cs="Times New Roman"/>
                <w:sz w:val="30"/>
                <w:lang w:eastAsia="zh-CN"/>
              </w:rPr>
            </w:pPr>
          </w:p>
        </w:tc>
        <w:tc>
          <w:tcPr>
            <w:tcW w:w="1561" w:type="dxa"/>
            <w:vAlign w:val="center"/>
          </w:tcPr>
          <w:p>
            <w:pPr>
              <w:pStyle w:val="210"/>
              <w:jc w:val="center"/>
              <w:rPr>
                <w:rFonts w:ascii="Times New Roman" w:hAnsi="Times New Roman" w:eastAsia="宋体" w:cs="Times New Roman"/>
                <w:sz w:val="30"/>
                <w:lang w:eastAsia="zh-CN"/>
              </w:rPr>
            </w:pPr>
          </w:p>
        </w:tc>
        <w:tc>
          <w:tcPr>
            <w:tcW w:w="1498" w:type="dxa"/>
            <w:vAlign w:val="center"/>
          </w:tcPr>
          <w:p>
            <w:pPr>
              <w:pStyle w:val="210"/>
              <w:jc w:val="center"/>
              <w:rPr>
                <w:rFonts w:ascii="Times New Roman" w:hAnsi="Times New Roman" w:eastAsia="宋体" w:cs="Times New Roman"/>
                <w:sz w:val="30"/>
                <w:lang w:eastAsia="zh-CN"/>
              </w:rPr>
            </w:pPr>
          </w:p>
        </w:tc>
        <w:tc>
          <w:tcPr>
            <w:tcW w:w="1564" w:type="dxa"/>
            <w:vAlign w:val="center"/>
          </w:tcPr>
          <w:p>
            <w:pPr>
              <w:pStyle w:val="210"/>
              <w:jc w:val="center"/>
              <w:rPr>
                <w:rFonts w:ascii="Times New Roman" w:hAnsi="Times New Roman" w:eastAsia="宋体"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10"/>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7" w:type="dxa"/>
            <w:vAlign w:val="center"/>
          </w:tcPr>
          <w:p>
            <w:pPr>
              <w:pStyle w:val="210"/>
              <w:jc w:val="center"/>
              <w:rPr>
                <w:rFonts w:ascii="Times New Roman" w:hAnsi="Times New Roman" w:eastAsia="宋体" w:cs="Times New Roman"/>
                <w:sz w:val="30"/>
              </w:rPr>
            </w:pPr>
          </w:p>
        </w:tc>
        <w:tc>
          <w:tcPr>
            <w:tcW w:w="1513" w:type="dxa"/>
            <w:vAlign w:val="center"/>
          </w:tcPr>
          <w:p>
            <w:pPr>
              <w:pStyle w:val="210"/>
              <w:tabs>
                <w:tab w:val="left" w:pos="235"/>
              </w:tabs>
              <w:jc w:val="center"/>
              <w:rPr>
                <w:rFonts w:ascii="Times New Roman" w:hAnsi="Times New Roman" w:eastAsia="宋体" w:cs="Times New Roman"/>
                <w:sz w:val="24"/>
              </w:rPr>
            </w:pPr>
          </w:p>
        </w:tc>
        <w:tc>
          <w:tcPr>
            <w:tcW w:w="1125" w:type="dxa"/>
            <w:vAlign w:val="center"/>
          </w:tcPr>
          <w:p>
            <w:pPr>
              <w:pStyle w:val="210"/>
              <w:jc w:val="center"/>
              <w:rPr>
                <w:rFonts w:ascii="Times New Roman" w:hAnsi="Times New Roman" w:eastAsia="宋体" w:cs="Times New Roman"/>
                <w:sz w:val="30"/>
              </w:rPr>
            </w:pPr>
          </w:p>
        </w:tc>
        <w:tc>
          <w:tcPr>
            <w:tcW w:w="1561" w:type="dxa"/>
            <w:vAlign w:val="center"/>
          </w:tcPr>
          <w:p>
            <w:pPr>
              <w:pStyle w:val="210"/>
              <w:jc w:val="center"/>
              <w:rPr>
                <w:rFonts w:ascii="Times New Roman" w:hAnsi="Times New Roman" w:eastAsia="宋体" w:cs="Times New Roman"/>
                <w:sz w:val="30"/>
              </w:rPr>
            </w:pPr>
          </w:p>
        </w:tc>
        <w:tc>
          <w:tcPr>
            <w:tcW w:w="1498" w:type="dxa"/>
            <w:vAlign w:val="center"/>
          </w:tcPr>
          <w:p>
            <w:pPr>
              <w:pStyle w:val="210"/>
              <w:jc w:val="center"/>
              <w:rPr>
                <w:rFonts w:ascii="Times New Roman" w:hAnsi="Times New Roman" w:eastAsia="宋体" w:cs="Times New Roman"/>
                <w:sz w:val="30"/>
              </w:rPr>
            </w:pPr>
          </w:p>
        </w:tc>
        <w:tc>
          <w:tcPr>
            <w:tcW w:w="1564" w:type="dxa"/>
            <w:vAlign w:val="center"/>
          </w:tcPr>
          <w:p>
            <w:pPr>
              <w:pStyle w:val="210"/>
              <w:jc w:val="center"/>
              <w:rPr>
                <w:rFonts w:ascii="Times New Roman" w:hAnsi="Times New Roman" w:eastAsia="宋体"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10"/>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8" w:type="dxa"/>
            <w:vAlign w:val="center"/>
          </w:tcPr>
          <w:p>
            <w:pPr>
              <w:pStyle w:val="210"/>
              <w:jc w:val="center"/>
              <w:rPr>
                <w:rFonts w:ascii="Times New Roman" w:hAnsi="Times New Roman" w:eastAsia="宋体" w:cs="Times New Roman"/>
                <w:sz w:val="30"/>
              </w:rPr>
            </w:pPr>
          </w:p>
        </w:tc>
        <w:tc>
          <w:tcPr>
            <w:tcW w:w="1564" w:type="dxa"/>
            <w:vAlign w:val="center"/>
          </w:tcPr>
          <w:p>
            <w:pPr>
              <w:pStyle w:val="210"/>
              <w:jc w:val="center"/>
              <w:rPr>
                <w:rFonts w:ascii="Times New Roman" w:hAnsi="Times New Roman" w:eastAsia="宋体" w:cs="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宋体"/>
          <w:sz w:val="24"/>
        </w:rPr>
        <w:t>；如未提供，或提供了但未填写分包承担主体名称、拟分包合同内容、拟分包合同金额，</w:t>
      </w:r>
      <w:r>
        <w:rPr>
          <w:rFonts w:eastAsia="宋体"/>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25"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pPr>
              <w:rPr>
                <w:sz w:val="24"/>
              </w:rPr>
            </w:pPr>
            <w:r>
              <w:rPr>
                <w:rFonts w:hint="eastAsia"/>
                <w:sz w:val="24"/>
              </w:rPr>
              <w:t>供应商名称</w:t>
            </w:r>
          </w:p>
        </w:tc>
        <w:tc>
          <w:tcPr>
            <w:tcW w:w="3021" w:type="dxa"/>
          </w:tcPr>
          <w:p>
            <w:pPr>
              <w:rPr>
                <w:sz w:val="24"/>
              </w:rPr>
            </w:pPr>
            <w:r>
              <w:rPr>
                <w:rFonts w:hint="eastAsia"/>
                <w:sz w:val="24"/>
              </w:rPr>
              <w:t>供应商所属性别</w:t>
            </w:r>
          </w:p>
        </w:tc>
        <w:tc>
          <w:tcPr>
            <w:tcW w:w="3019"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pPr>
              <w:rPr>
                <w:sz w:val="24"/>
              </w:rPr>
            </w:pPr>
          </w:p>
        </w:tc>
        <w:tc>
          <w:tcPr>
            <w:tcW w:w="3021" w:type="dxa"/>
          </w:tcPr>
          <w:p>
            <w:pPr>
              <w:rPr>
                <w:sz w:val="24"/>
              </w:rPr>
            </w:pPr>
          </w:p>
        </w:tc>
        <w:tc>
          <w:tcPr>
            <w:tcW w:w="3019"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pPr>
              <w:rPr>
                <w:sz w:val="24"/>
              </w:rPr>
            </w:pPr>
          </w:p>
        </w:tc>
        <w:tc>
          <w:tcPr>
            <w:tcW w:w="3021" w:type="dxa"/>
          </w:tcPr>
          <w:p>
            <w:pPr>
              <w:rPr>
                <w:sz w:val="24"/>
              </w:rPr>
            </w:pPr>
          </w:p>
        </w:tc>
        <w:tc>
          <w:tcPr>
            <w:tcW w:w="3019"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pPr>
              <w:rPr>
                <w:sz w:val="24"/>
              </w:rPr>
            </w:pPr>
          </w:p>
        </w:tc>
        <w:tc>
          <w:tcPr>
            <w:tcW w:w="3021" w:type="dxa"/>
          </w:tcPr>
          <w:p>
            <w:pPr>
              <w:rPr>
                <w:sz w:val="24"/>
              </w:rPr>
            </w:pPr>
          </w:p>
        </w:tc>
        <w:tc>
          <w:tcPr>
            <w:tcW w:w="3019"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pPr>
              <w:rPr>
                <w:sz w:val="24"/>
              </w:rPr>
            </w:pPr>
          </w:p>
        </w:tc>
        <w:tc>
          <w:tcPr>
            <w:tcW w:w="3021" w:type="dxa"/>
          </w:tcPr>
          <w:p>
            <w:pPr>
              <w:rPr>
                <w:sz w:val="24"/>
              </w:rPr>
            </w:pPr>
          </w:p>
        </w:tc>
        <w:tc>
          <w:tcPr>
            <w:tcW w:w="3019" w:type="dxa"/>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p>
  <w:p>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7"/>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p>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pPr>
      <w:pStyle w:val="29"/>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37601"/>
    <w:multiLevelType w:val="singleLevel"/>
    <w:tmpl w:val="B1A37601"/>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2">
    <w:nsid w:val="0000000A"/>
    <w:multiLevelType w:val="multilevel"/>
    <w:tmpl w:val="0000000A"/>
    <w:lvl w:ilvl="0" w:tentative="0">
      <w:start w:val="1"/>
      <w:numFmt w:val="decimal"/>
      <w:pStyle w:val="78"/>
      <w:lvlText w:val="%1."/>
      <w:lvlJc w:val="left"/>
      <w:pPr>
        <w:tabs>
          <w:tab w:val="left" w:pos="0"/>
        </w:tabs>
        <w:ind w:left="420" w:hanging="420"/>
      </w:pPr>
    </w:lvl>
    <w:lvl w:ilvl="1" w:tentative="0">
      <w:start w:val="1"/>
      <w:numFmt w:val="decimal"/>
      <w:lvlText w:val="（%2）"/>
      <w:lvlJc w:val="left"/>
      <w:pPr>
        <w:tabs>
          <w:tab w:val="left" w:pos="0"/>
        </w:tabs>
        <w:ind w:left="1140" w:hanging="7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D"/>
    <w:multiLevelType w:val="multilevel"/>
    <w:tmpl w:val="0000000D"/>
    <w:lvl w:ilvl="0" w:tentative="0">
      <w:start w:val="1"/>
      <w:numFmt w:val="lowerLetter"/>
      <w:pStyle w:val="154"/>
      <w:lvlText w:val="%1)"/>
      <w:lvlJc w:val="left"/>
      <w:pPr>
        <w:tabs>
          <w:tab w:val="left" w:pos="0"/>
        </w:tabs>
        <w:ind w:left="902" w:hanging="420"/>
      </w:pPr>
      <w:rPr>
        <w:color w:val="auto"/>
      </w:rPr>
    </w:lvl>
    <w:lvl w:ilvl="1" w:tentative="0">
      <w:start w:val="1"/>
      <w:numFmt w:val="lowerLetter"/>
      <w:lvlText w:val="%2)"/>
      <w:lvlJc w:val="left"/>
      <w:pPr>
        <w:tabs>
          <w:tab w:val="left" w:pos="0"/>
        </w:tabs>
        <w:ind w:left="1322" w:hanging="420"/>
      </w:pPr>
    </w:lvl>
    <w:lvl w:ilvl="2" w:tentative="0">
      <w:start w:val="1"/>
      <w:numFmt w:val="lowerRoman"/>
      <w:lvlText w:val="%3."/>
      <w:lvlJc w:val="right"/>
      <w:pPr>
        <w:tabs>
          <w:tab w:val="left" w:pos="0"/>
        </w:tabs>
        <w:ind w:left="1742" w:hanging="420"/>
      </w:pPr>
    </w:lvl>
    <w:lvl w:ilvl="3" w:tentative="0">
      <w:start w:val="1"/>
      <w:numFmt w:val="decimal"/>
      <w:lvlText w:val="%4."/>
      <w:lvlJc w:val="left"/>
      <w:pPr>
        <w:tabs>
          <w:tab w:val="left" w:pos="0"/>
        </w:tabs>
        <w:ind w:left="2162" w:hanging="420"/>
      </w:pPr>
    </w:lvl>
    <w:lvl w:ilvl="4" w:tentative="0">
      <w:start w:val="1"/>
      <w:numFmt w:val="lowerLetter"/>
      <w:lvlText w:val="%5)"/>
      <w:lvlJc w:val="left"/>
      <w:pPr>
        <w:tabs>
          <w:tab w:val="left" w:pos="0"/>
        </w:tabs>
        <w:ind w:left="2582" w:hanging="420"/>
      </w:pPr>
    </w:lvl>
    <w:lvl w:ilvl="5" w:tentative="0">
      <w:start w:val="1"/>
      <w:numFmt w:val="lowerRoman"/>
      <w:lvlText w:val="%6."/>
      <w:lvlJc w:val="right"/>
      <w:pPr>
        <w:tabs>
          <w:tab w:val="left" w:pos="0"/>
        </w:tabs>
        <w:ind w:left="3002" w:hanging="420"/>
      </w:pPr>
    </w:lvl>
    <w:lvl w:ilvl="6" w:tentative="0">
      <w:start w:val="1"/>
      <w:numFmt w:val="decimal"/>
      <w:lvlText w:val="%7."/>
      <w:lvlJc w:val="left"/>
      <w:pPr>
        <w:tabs>
          <w:tab w:val="left" w:pos="0"/>
        </w:tabs>
        <w:ind w:left="3422" w:hanging="420"/>
      </w:pPr>
    </w:lvl>
    <w:lvl w:ilvl="7" w:tentative="0">
      <w:start w:val="1"/>
      <w:numFmt w:val="lowerLetter"/>
      <w:lvlText w:val="%8)"/>
      <w:lvlJc w:val="left"/>
      <w:pPr>
        <w:tabs>
          <w:tab w:val="left" w:pos="0"/>
        </w:tabs>
        <w:ind w:left="3842" w:hanging="420"/>
      </w:pPr>
    </w:lvl>
    <w:lvl w:ilvl="8" w:tentative="0">
      <w:start w:val="1"/>
      <w:numFmt w:val="lowerRoman"/>
      <w:lvlText w:val="%9."/>
      <w:lvlJc w:val="right"/>
      <w:pPr>
        <w:tabs>
          <w:tab w:val="left" w:pos="0"/>
        </w:tabs>
        <w:ind w:left="4262" w:hanging="420"/>
      </w:pPr>
    </w:lvl>
  </w:abstractNum>
  <w:abstractNum w:abstractNumId="4">
    <w:nsid w:val="00000013"/>
    <w:multiLevelType w:val="singleLevel"/>
    <w:tmpl w:val="00000013"/>
    <w:lvl w:ilvl="0" w:tentative="0">
      <w:start w:val="1"/>
      <w:numFmt w:val="decimal"/>
      <w:pStyle w:val="124"/>
      <w:lvlText w:val="%1."/>
      <w:lvlJc w:val="left"/>
      <w:pPr>
        <w:tabs>
          <w:tab w:val="left" w:pos="0"/>
        </w:tabs>
        <w:ind w:left="360" w:hanging="360"/>
      </w:pPr>
      <w:rPr>
        <w:rFonts w:hint="default"/>
      </w:rPr>
    </w:lvl>
  </w:abstractNum>
  <w:abstractNum w:abstractNumId="5">
    <w:nsid w:val="00000026"/>
    <w:multiLevelType w:val="multilevel"/>
    <w:tmpl w:val="00000026"/>
    <w:lvl w:ilvl="0" w:tentative="0">
      <w:start w:val="1"/>
      <w:numFmt w:val="decimal"/>
      <w:pStyle w:val="71"/>
      <w:isLgl/>
      <w:suff w:val="nothing"/>
      <w:lvlText w:val="%1　"/>
      <w:lvlJc w:val="left"/>
      <w:pPr>
        <w:tabs>
          <w:tab w:val="left" w:pos="0"/>
        </w:tabs>
        <w:ind w:left="-25" w:firstLine="0"/>
      </w:pPr>
      <w:rPr>
        <w:rFonts w:hint="default" w:ascii="Times New Roman" w:hAnsi="Times New Roman" w:eastAsia="宋体"/>
        <w:b/>
        <w:i w:val="0"/>
        <w:color w:val="auto"/>
        <w:sz w:val="28"/>
        <w:u w:val="none"/>
      </w:rPr>
    </w:lvl>
    <w:lvl w:ilvl="1" w:tentative="0">
      <w:start w:val="1"/>
      <w:numFmt w:val="decimal"/>
      <w:pStyle w:val="72"/>
      <w:isLgl/>
      <w:suff w:val="nothing"/>
      <w:lvlText w:val="%1.%2　"/>
      <w:lvlJc w:val="left"/>
      <w:pPr>
        <w:tabs>
          <w:tab w:val="left" w:pos="0"/>
        </w:tabs>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tabs>
          <w:tab w:val="left" w:pos="0"/>
        </w:tabs>
        <w:ind w:left="-25" w:firstLine="0"/>
      </w:pPr>
      <w:rPr>
        <w:rFonts w:hint="default" w:ascii="Times New Roman" w:hAnsi="Times New Roman" w:eastAsia="黑体"/>
        <w:b/>
        <w:i w:val="0"/>
        <w:sz w:val="28"/>
      </w:rPr>
    </w:lvl>
    <w:lvl w:ilvl="3" w:tentative="0">
      <w:start w:val="1"/>
      <w:numFmt w:val="decimal"/>
      <w:pStyle w:val="108"/>
      <w:isLgl/>
      <w:suff w:val="nothing"/>
      <w:lvlText w:val="%1.%2.%3.%4　"/>
      <w:lvlJc w:val="left"/>
      <w:pPr>
        <w:tabs>
          <w:tab w:val="left" w:pos="0"/>
        </w:tabs>
        <w:ind w:left="-25" w:firstLine="0"/>
      </w:pPr>
      <w:rPr>
        <w:rFonts w:hint="default" w:ascii="Times New Roman" w:hAnsi="Times New Roman" w:eastAsia="宋体"/>
        <w:b/>
        <w:i w:val="0"/>
        <w:color w:val="auto"/>
        <w:sz w:val="28"/>
        <w:u w:val="none"/>
      </w:rPr>
    </w:lvl>
    <w:lvl w:ilvl="4" w:tentative="0">
      <w:start w:val="1"/>
      <w:numFmt w:val="decimal"/>
      <w:pStyle w:val="109"/>
      <w:isLgl/>
      <w:suff w:val="nothing"/>
      <w:lvlText w:val="%1.%2.%3.%4.%5　"/>
      <w:lvlJc w:val="left"/>
      <w:pPr>
        <w:tabs>
          <w:tab w:val="left" w:pos="0"/>
        </w:tabs>
        <w:ind w:left="-25" w:firstLine="0"/>
      </w:pPr>
      <w:rPr>
        <w:rFonts w:hint="default" w:ascii="Times New Roman" w:hAnsi="Times New Roman" w:eastAsia="宋体"/>
        <w:b/>
        <w:i w:val="0"/>
        <w:color w:val="auto"/>
        <w:sz w:val="28"/>
        <w:u w:val="none"/>
      </w:rPr>
    </w:lvl>
    <w:lvl w:ilvl="5" w:tentative="0">
      <w:start w:val="1"/>
      <w:numFmt w:val="decimal"/>
      <w:pStyle w:val="117"/>
      <w:isLgl/>
      <w:suff w:val="nothing"/>
      <w:lvlText w:val="%1.%2.%3.%4.%5.%6　"/>
      <w:lvlJc w:val="left"/>
      <w:pPr>
        <w:tabs>
          <w:tab w:val="left" w:pos="0"/>
        </w:tabs>
        <w:ind w:left="-25" w:firstLine="0"/>
      </w:pPr>
      <w:rPr>
        <w:rFonts w:hint="default" w:ascii="Times New Roman" w:hAnsi="Times New Roman" w:eastAsia="宋体"/>
        <w:b/>
        <w:i w:val="0"/>
        <w:sz w:val="28"/>
      </w:rPr>
    </w:lvl>
    <w:lvl w:ilvl="6" w:tentative="0">
      <w:start w:val="1"/>
      <w:numFmt w:val="lowerLetter"/>
      <w:pStyle w:val="130"/>
      <w:lvlText w:val="%7) "/>
      <w:lvlJc w:val="left"/>
      <w:pPr>
        <w:tabs>
          <w:tab w:val="left" w:pos="0"/>
        </w:tabs>
        <w:ind w:left="-125" w:firstLine="400"/>
      </w:pPr>
      <w:rPr>
        <w:rFonts w:hint="default" w:ascii="Times New Roman" w:hAnsi="Times New Roman" w:eastAsia="宋体"/>
        <w:b/>
        <w:i w:val="0"/>
        <w:color w:val="auto"/>
        <w:sz w:val="28"/>
        <w:u w:val="none"/>
      </w:rPr>
    </w:lvl>
    <w:lvl w:ilvl="7" w:tentative="0">
      <w:start w:val="1"/>
      <w:numFmt w:val="decimal"/>
      <w:pStyle w:val="93"/>
      <w:lvlText w:val="%8) "/>
      <w:lvlJc w:val="left"/>
      <w:pPr>
        <w:tabs>
          <w:tab w:val="left" w:pos="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0"/>
        </w:tabs>
        <w:ind w:left="500" w:firstLine="0"/>
      </w:pPr>
      <w:rPr>
        <w:rFonts w:hint="eastAsia" w:ascii="宋体" w:hAns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0"/>
        </w:tabs>
        <w:ind w:left="768" w:hanging="360"/>
      </w:pPr>
      <w:rPr>
        <w:rFonts w:hint="eastAsia"/>
      </w:rPr>
    </w:lvl>
    <w:lvl w:ilvl="1" w:tentative="0">
      <w:start w:val="1"/>
      <w:numFmt w:val="decimal"/>
      <w:pStyle w:val="111"/>
      <w:lvlText w:val="%2、"/>
      <w:lvlJc w:val="left"/>
      <w:pPr>
        <w:tabs>
          <w:tab w:val="left" w:pos="0"/>
        </w:tabs>
        <w:ind w:left="1188" w:hanging="360"/>
      </w:pPr>
      <w:rPr>
        <w:rFonts w:hint="eastAsia"/>
      </w:rPr>
    </w:lvl>
    <w:lvl w:ilvl="2" w:tentative="0">
      <w:start w:val="1"/>
      <w:numFmt w:val="decimal"/>
      <w:lvlText w:val="（%3）"/>
      <w:lvlJc w:val="left"/>
      <w:pPr>
        <w:tabs>
          <w:tab w:val="left" w:pos="0"/>
        </w:tabs>
        <w:ind w:left="1968" w:hanging="720"/>
      </w:pPr>
      <w:rPr>
        <w:rFonts w:hint="eastAsia"/>
        <w:u w:val="none"/>
      </w:rPr>
    </w:lvl>
    <w:lvl w:ilvl="3" w:tentative="0">
      <w:start w:val="1"/>
      <w:numFmt w:val="decimal"/>
      <w:lvlText w:val="%4."/>
      <w:lvlJc w:val="left"/>
      <w:pPr>
        <w:tabs>
          <w:tab w:val="left" w:pos="0"/>
        </w:tabs>
        <w:ind w:left="2088" w:hanging="420"/>
      </w:pPr>
    </w:lvl>
    <w:lvl w:ilvl="4" w:tentative="0">
      <w:start w:val="1"/>
      <w:numFmt w:val="lowerLetter"/>
      <w:lvlText w:val="%5)"/>
      <w:lvlJc w:val="left"/>
      <w:pPr>
        <w:tabs>
          <w:tab w:val="left" w:pos="0"/>
        </w:tabs>
        <w:ind w:left="2508" w:hanging="420"/>
      </w:pPr>
    </w:lvl>
    <w:lvl w:ilvl="5" w:tentative="0">
      <w:start w:val="1"/>
      <w:numFmt w:val="lowerRoman"/>
      <w:lvlText w:val="%6."/>
      <w:lvlJc w:val="right"/>
      <w:pPr>
        <w:tabs>
          <w:tab w:val="left" w:pos="0"/>
        </w:tabs>
        <w:ind w:left="2928" w:hanging="420"/>
      </w:pPr>
    </w:lvl>
    <w:lvl w:ilvl="6" w:tentative="0">
      <w:start w:val="1"/>
      <w:numFmt w:val="decimal"/>
      <w:lvlText w:val="%7."/>
      <w:lvlJc w:val="left"/>
      <w:pPr>
        <w:tabs>
          <w:tab w:val="left" w:pos="0"/>
        </w:tabs>
        <w:ind w:left="3348" w:hanging="420"/>
      </w:pPr>
    </w:lvl>
    <w:lvl w:ilvl="7" w:tentative="0">
      <w:start w:val="1"/>
      <w:numFmt w:val="lowerLetter"/>
      <w:lvlText w:val="%8)"/>
      <w:lvlJc w:val="left"/>
      <w:pPr>
        <w:tabs>
          <w:tab w:val="left" w:pos="0"/>
        </w:tabs>
        <w:ind w:left="3768" w:hanging="420"/>
      </w:pPr>
    </w:lvl>
    <w:lvl w:ilvl="8" w:tentative="0">
      <w:start w:val="1"/>
      <w:numFmt w:val="lowerRoman"/>
      <w:lvlText w:val="%9."/>
      <w:lvlJc w:val="right"/>
      <w:pPr>
        <w:tabs>
          <w:tab w:val="left" w:pos="0"/>
        </w:tabs>
        <w:ind w:left="4188" w:hanging="420"/>
      </w:pPr>
    </w:lvl>
  </w:abstractNum>
  <w:abstractNum w:abstractNumId="7">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8">
    <w:nsid w:val="0000002F"/>
    <w:multiLevelType w:val="multilevel"/>
    <w:tmpl w:val="0000002F"/>
    <w:lvl w:ilvl="0" w:tentative="0">
      <w:start w:val="1"/>
      <w:numFmt w:val="decimal"/>
      <w:pStyle w:val="79"/>
      <w:lvlText w:val="%1)"/>
      <w:lvlJc w:val="left"/>
      <w:pPr>
        <w:tabs>
          <w:tab w:val="left" w:pos="0"/>
        </w:tabs>
        <w:ind w:left="420" w:hanging="4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73"/>
      <w:lvlText w:val="%1"/>
      <w:lvlJc w:val="left"/>
      <w:pPr>
        <w:tabs>
          <w:tab w:val="left" w:pos="0"/>
        </w:tabs>
        <w:ind w:left="680" w:hanging="680"/>
      </w:pPr>
      <w:rPr>
        <w:rFonts w:hint="eastAsia" w:ascii="宋体" w:hAnsi="宋体" w:eastAsia="宋体"/>
      </w:rPr>
    </w:lvl>
    <w:lvl w:ilvl="1" w:tentative="0">
      <w:start w:val="1"/>
      <w:numFmt w:val="decimal"/>
      <w:pStyle w:val="174"/>
      <w:lvlText w:val="%1.%2"/>
      <w:lvlJc w:val="left"/>
      <w:pPr>
        <w:tabs>
          <w:tab w:val="left" w:pos="0"/>
        </w:tabs>
        <w:ind w:left="851" w:hanging="851"/>
      </w:pPr>
      <w:rPr>
        <w:rFonts w:hint="eastAsia" w:ascii="宋体" w:hAnsi="宋体" w:eastAsia="宋体"/>
        <w:color w:val="auto"/>
      </w:rPr>
    </w:lvl>
    <w:lvl w:ilvl="2" w:tentative="0">
      <w:start w:val="1"/>
      <w:numFmt w:val="decimal"/>
      <w:pStyle w:val="175"/>
      <w:lvlText w:val="%1.%2.%3"/>
      <w:lvlJc w:val="left"/>
      <w:pPr>
        <w:tabs>
          <w:tab w:val="left" w:pos="0"/>
        </w:tabs>
        <w:ind w:left="851" w:hanging="851"/>
      </w:pPr>
      <w:rPr>
        <w:rFonts w:hint="eastAsia"/>
      </w:rPr>
    </w:lvl>
    <w:lvl w:ilvl="3" w:tentative="0">
      <w:start w:val="1"/>
      <w:numFmt w:val="decimal"/>
      <w:lvlText w:val="%1.%2.%3.%4"/>
      <w:lvlJc w:val="left"/>
      <w:pPr>
        <w:tabs>
          <w:tab w:val="left" w:pos="0"/>
        </w:tabs>
        <w:ind w:left="680" w:hanging="680"/>
      </w:pPr>
      <w:rPr>
        <w:rFonts w:hint="eastAsia"/>
      </w:rPr>
    </w:lvl>
    <w:lvl w:ilvl="4" w:tentative="0">
      <w:start w:val="1"/>
      <w:numFmt w:val="decimal"/>
      <w:lvlText w:val="%1.%2.%3.%4.%5"/>
      <w:lvlJc w:val="left"/>
      <w:pPr>
        <w:tabs>
          <w:tab w:val="left" w:pos="0"/>
        </w:tabs>
        <w:ind w:left="680" w:hanging="680"/>
      </w:pPr>
      <w:rPr>
        <w:rFonts w:hint="eastAsia"/>
      </w:rPr>
    </w:lvl>
    <w:lvl w:ilvl="5" w:tentative="0">
      <w:start w:val="1"/>
      <w:numFmt w:val="decimal"/>
      <w:lvlText w:val="%1.%2.%3.%4.%5.%6"/>
      <w:lvlJc w:val="left"/>
      <w:pPr>
        <w:tabs>
          <w:tab w:val="left" w:pos="0"/>
        </w:tabs>
        <w:ind w:left="680" w:hanging="680"/>
      </w:pPr>
      <w:rPr>
        <w:rFonts w:hint="eastAsia"/>
      </w:rPr>
    </w:lvl>
    <w:lvl w:ilvl="6" w:tentative="0">
      <w:start w:val="1"/>
      <w:numFmt w:val="decimal"/>
      <w:lvlText w:val="%1.%2.%3.%4.%5.%6.%7"/>
      <w:lvlJc w:val="left"/>
      <w:pPr>
        <w:tabs>
          <w:tab w:val="left" w:pos="0"/>
        </w:tabs>
        <w:ind w:left="680" w:hanging="680"/>
      </w:pPr>
      <w:rPr>
        <w:rFonts w:hint="eastAsia"/>
      </w:rPr>
    </w:lvl>
    <w:lvl w:ilvl="7" w:tentative="0">
      <w:start w:val="1"/>
      <w:numFmt w:val="decimal"/>
      <w:lvlText w:val="%1.%2.%3.%4.%5.%6.%7.%8"/>
      <w:lvlJc w:val="left"/>
      <w:pPr>
        <w:tabs>
          <w:tab w:val="left" w:pos="0"/>
        </w:tabs>
        <w:ind w:left="680" w:hanging="680"/>
      </w:pPr>
      <w:rPr>
        <w:rFonts w:hint="eastAsia"/>
      </w:rPr>
    </w:lvl>
    <w:lvl w:ilvl="8" w:tentative="0">
      <w:start w:val="1"/>
      <w:numFmt w:val="decimal"/>
      <w:lvlText w:val="%1.%2.%3.%4.%5.%6.%7.%8.%9"/>
      <w:lvlJc w:val="left"/>
      <w:pPr>
        <w:tabs>
          <w:tab w:val="left" w:pos="0"/>
        </w:tabs>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tabs>
          <w:tab w:val="left" w:pos="0"/>
        </w:tabs>
        <w:ind w:left="500" w:hanging="5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1667154C"/>
    <w:multiLevelType w:val="multilevel"/>
    <w:tmpl w:val="1667154C"/>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5">
    <w:nsid w:val="36367779"/>
    <w:multiLevelType w:val="multilevel"/>
    <w:tmpl w:val="3636777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20">
    <w:nsid w:val="72AF12E9"/>
    <w:multiLevelType w:val="singleLevel"/>
    <w:tmpl w:val="72AF12E9"/>
    <w:lvl w:ilvl="0" w:tentative="0">
      <w:start w:val="8"/>
      <w:numFmt w:val="chineseCounting"/>
      <w:suff w:val="nothing"/>
      <w:lvlText w:val="%1、"/>
      <w:lvlJc w:val="left"/>
      <w:rPr>
        <w:rFonts w:hint="eastAsia"/>
      </w:r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6"/>
  </w:num>
  <w:num w:numId="12">
    <w:abstractNumId w:val="11"/>
  </w:num>
  <w:num w:numId="13">
    <w:abstractNumId w:val="19"/>
  </w:num>
  <w:num w:numId="14">
    <w:abstractNumId w:val="12"/>
  </w:num>
  <w:num w:numId="15">
    <w:abstractNumId w:val="0"/>
  </w:num>
  <w:num w:numId="16">
    <w:abstractNumId w:val="20"/>
  </w:num>
  <w:num w:numId="17">
    <w:abstractNumId w:val="18"/>
  </w:num>
  <w:num w:numId="18">
    <w:abstractNumId w:val="14"/>
  </w:num>
  <w:num w:numId="19">
    <w:abstractNumId w:val="17"/>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ACTIVE" w:val="03年范本稿123.doc"/>
    <w:docVar w:name="commondata" w:val="eyJoZGlkIjoiN2YzNjBkOTgyNWQ1YTMxYzM3MzMwNWFiODNmOWIzYWMifQ=="/>
    <w:docVar w:name="VTCASE" w:val="4"/>
    <w:docVar w:name="VTCommandPending" w:val="NONE"/>
  </w:docVars>
  <w:rsids>
    <w:rsidRoot w:val="00000000"/>
    <w:rsid w:val="02E715BE"/>
    <w:rsid w:val="0D6F46C2"/>
    <w:rsid w:val="183A4D52"/>
    <w:rsid w:val="1C7A21D4"/>
    <w:rsid w:val="1ECA0DD0"/>
    <w:rsid w:val="20174376"/>
    <w:rsid w:val="253C149D"/>
    <w:rsid w:val="26B17BD9"/>
    <w:rsid w:val="2EDF69A7"/>
    <w:rsid w:val="2EE14591"/>
    <w:rsid w:val="32C034B7"/>
    <w:rsid w:val="332F1689"/>
    <w:rsid w:val="38830C15"/>
    <w:rsid w:val="397026DF"/>
    <w:rsid w:val="39981C2C"/>
    <w:rsid w:val="39AF4A89"/>
    <w:rsid w:val="40032B6F"/>
    <w:rsid w:val="40BD611D"/>
    <w:rsid w:val="436E763A"/>
    <w:rsid w:val="440B55EC"/>
    <w:rsid w:val="48DC4F37"/>
    <w:rsid w:val="4DB878E4"/>
    <w:rsid w:val="4DFC4A28"/>
    <w:rsid w:val="55AE3299"/>
    <w:rsid w:val="57863345"/>
    <w:rsid w:val="5B1519AA"/>
    <w:rsid w:val="5F323866"/>
    <w:rsid w:val="61F277B1"/>
    <w:rsid w:val="634F39E3"/>
    <w:rsid w:val="658C5730"/>
    <w:rsid w:val="66346E7E"/>
    <w:rsid w:val="68FA1C42"/>
    <w:rsid w:val="6D837B51"/>
    <w:rsid w:val="6E526AA0"/>
    <w:rsid w:val="713448BF"/>
    <w:rsid w:val="76F92AD3"/>
    <w:rsid w:val="773C44FE"/>
    <w:rsid w:val="78357A46"/>
    <w:rsid w:val="79960343"/>
    <w:rsid w:val="7A2D430B"/>
    <w:rsid w:val="7B0239B3"/>
    <w:rsid w:val="7BD65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widowControl w:val="0"/>
      <w:adjustRightInd w:val="0"/>
      <w:spacing w:before="280" w:after="290" w:line="376" w:lineRule="atLeast"/>
      <w:textAlignment w:val="baseline"/>
      <w:outlineLvl w:val="3"/>
    </w:pPr>
    <w:rPr>
      <w:kern w:val="0"/>
      <w:sz w:val="24"/>
      <w:szCs w:val="20"/>
    </w:rPr>
  </w:style>
  <w:style w:type="paragraph" w:styleId="8">
    <w:name w:val="heading 5"/>
    <w:basedOn w:val="1"/>
    <w:next w:val="1"/>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9">
    <w:name w:val="heading 6"/>
    <w:basedOn w:val="1"/>
    <w:next w:val="1"/>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1">
    <w:name w:val="heading 8"/>
    <w:basedOn w:val="1"/>
    <w:next w:val="1"/>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1200" w:leftChars="1200"/>
    </w:pPr>
  </w:style>
  <w:style w:type="paragraph" w:styleId="14">
    <w:name w:val="caption"/>
    <w:basedOn w:val="1"/>
    <w:next w:val="1"/>
    <w:qFormat/>
    <w:uiPriority w:val="0"/>
    <w:pPr>
      <w:spacing w:line="480" w:lineRule="auto"/>
    </w:pPr>
    <w:rPr>
      <w:rFonts w:ascii="华文中宋" w:eastAsia="华文中宋"/>
      <w:sz w:val="36"/>
      <w:szCs w:val="20"/>
    </w:rPr>
  </w:style>
  <w:style w:type="paragraph" w:styleId="15">
    <w:name w:val="Document Map"/>
    <w:basedOn w:val="1"/>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after="120"/>
    </w:pPr>
    <w:rPr>
      <w:sz w:val="16"/>
      <w:szCs w:val="16"/>
    </w:rPr>
  </w:style>
  <w:style w:type="paragraph" w:styleId="18">
    <w:name w:val="Body Text Indent"/>
    <w:basedOn w:val="1"/>
    <w:next w:val="19"/>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Plain Text"/>
    <w:basedOn w:val="1"/>
    <w:qFormat/>
    <w:uiPriority w:val="0"/>
    <w:rPr>
      <w:rFonts w:ascii="宋体"/>
      <w:szCs w:val="20"/>
    </w:rPr>
  </w:style>
  <w:style w:type="paragraph" w:styleId="25">
    <w:name w:val="toc 8"/>
    <w:basedOn w:val="1"/>
    <w:next w:val="1"/>
    <w:qFormat/>
    <w:uiPriority w:val="0"/>
    <w:pPr>
      <w:ind w:left="1400" w:leftChars="1400"/>
    </w:pPr>
  </w:style>
  <w:style w:type="paragraph" w:styleId="26">
    <w:name w:val="Date"/>
    <w:basedOn w:val="1"/>
    <w:next w:val="1"/>
    <w:qFormat/>
    <w:uiPriority w:val="0"/>
    <w:pPr>
      <w:ind w:left="2500" w:leftChars="2500"/>
    </w:pPr>
    <w:rPr>
      <w:rFonts w:ascii="仿宋_GB2312" w:eastAsia="仿宋_GB2312"/>
      <w:color w:val="000000"/>
      <w:sz w:val="24"/>
    </w:rPr>
  </w:style>
  <w:style w:type="paragraph" w:styleId="27">
    <w:name w:val="Body Text Indent 2"/>
    <w:basedOn w:val="1"/>
    <w:qFormat/>
    <w:uiPriority w:val="0"/>
    <w:pPr>
      <w:ind w:firstLine="200" w:firstLineChars="200"/>
    </w:pPr>
    <w:rPr>
      <w:rFonts w:ascii="仿宋_GB2312" w:eastAsia="仿宋_GB2312"/>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tabs>
        <w:tab w:val="left" w:pos="1050"/>
        <w:tab w:val="right" w:leader="dot" w:pos="8937"/>
      </w:tabs>
      <w:spacing w:line="300" w:lineRule="auto"/>
    </w:pPr>
    <w:rPr>
      <w:rFonts w:ascii="宋体"/>
      <w:b/>
      <w:sz w:val="24"/>
    </w:rPr>
  </w:style>
  <w:style w:type="paragraph" w:styleId="32">
    <w:name w:val="toc 4"/>
    <w:basedOn w:val="1"/>
    <w:next w:val="1"/>
    <w:qFormat/>
    <w:uiPriority w:val="0"/>
    <w:pPr>
      <w:ind w:left="600" w:leftChars="600"/>
    </w:pPr>
  </w:style>
  <w:style w:type="paragraph" w:styleId="33">
    <w:name w:val="toc 6"/>
    <w:basedOn w:val="1"/>
    <w:next w:val="1"/>
    <w:qFormat/>
    <w:uiPriority w:val="0"/>
    <w:pPr>
      <w:ind w:left="1000" w:leftChars="1000"/>
    </w:pPr>
  </w:style>
  <w:style w:type="paragraph" w:styleId="34">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0"/>
    <w:pPr>
      <w:tabs>
        <w:tab w:val="right" w:leader="dot" w:pos="8937"/>
      </w:tabs>
      <w:spacing w:line="312" w:lineRule="auto"/>
      <w:ind w:left="200" w:leftChars="200"/>
    </w:pPr>
  </w:style>
  <w:style w:type="paragraph" w:styleId="36">
    <w:name w:val="toc 9"/>
    <w:basedOn w:val="1"/>
    <w:next w:val="1"/>
    <w:qFormat/>
    <w:uiPriority w:val="0"/>
    <w:pPr>
      <w:ind w:left="1600" w:leftChars="1600"/>
    </w:p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8">
    <w:name w:val="Normal (Web)"/>
    <w:basedOn w:val="1"/>
    <w:qFormat/>
    <w:uiPriority w:val="0"/>
    <w:pPr>
      <w:widowControl/>
      <w:spacing w:before="100" w:beforeAutospacing="1" w:after="100" w:afterAutospacing="1"/>
      <w:jc w:val="left"/>
    </w:pPr>
    <w:rPr>
      <w:rFonts w:ascii="宋体" w:cs="宋体"/>
      <w:kern w:val="0"/>
      <w:sz w:val="24"/>
    </w:rPr>
  </w:style>
  <w:style w:type="paragraph" w:styleId="39">
    <w:name w:val="index 1"/>
    <w:basedOn w:val="1"/>
    <w:next w:val="1"/>
    <w:qFormat/>
    <w:uiPriority w:val="0"/>
    <w:rPr>
      <w:szCs w:val="20"/>
    </w:rPr>
  </w:style>
  <w:style w:type="paragraph" w:styleId="40">
    <w:name w:val="Title"/>
    <w:basedOn w:val="1"/>
    <w:qFormat/>
    <w:uiPriority w:val="0"/>
    <w:pPr>
      <w:jc w:val="center"/>
      <w:outlineLvl w:val="0"/>
    </w:pPr>
    <w:rPr>
      <w:b/>
      <w:sz w:val="32"/>
      <w:szCs w:val="20"/>
    </w:rPr>
  </w:style>
  <w:style w:type="paragraph" w:styleId="41">
    <w:name w:val="annotation subject"/>
    <w:basedOn w:val="16"/>
    <w:next w:val="16"/>
    <w:qFormat/>
    <w:uiPriority w:val="0"/>
    <w:rPr>
      <w:b/>
      <w:bCs/>
    </w:rPr>
  </w:style>
  <w:style w:type="paragraph" w:styleId="42">
    <w:name w:val="Body Text First Indent 2"/>
    <w:basedOn w:val="18"/>
    <w:next w:val="1"/>
    <w:qFormat/>
    <w:uiPriority w:val="0"/>
    <w:pPr>
      <w:spacing w:after="120" w:line="480" w:lineRule="exact"/>
      <w:ind w:left="200" w:leftChars="200" w:firstLine="20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character" w:customStyle="1" w:styleId="53">
    <w:name w:val="c21"/>
    <w:qFormat/>
    <w:uiPriority w:val="0"/>
    <w:rPr>
      <w:rFonts w:ascii="ˎ̥" w:hAnsi="ˎ̥"/>
      <w:color w:val="000000"/>
      <w:sz w:val="20"/>
      <w:szCs w:val="20"/>
      <w:u w:val="none"/>
    </w:rPr>
  </w:style>
  <w:style w:type="character" w:customStyle="1" w:styleId="54">
    <w:name w:val="title4"/>
    <w:qFormat/>
    <w:uiPriority w:val="0"/>
    <w:rPr>
      <w:b/>
      <w:bCs/>
      <w:color w:val="1D87B3"/>
      <w:sz w:val="15"/>
      <w:szCs w:val="15"/>
    </w:rPr>
  </w:style>
  <w:style w:type="character" w:customStyle="1" w:styleId="55">
    <w:name w:val="标题 2 Char Char"/>
    <w:qFormat/>
    <w:uiPriority w:val="0"/>
    <w:rPr>
      <w:rFonts w:ascii="Arial" w:hAnsi="Arial" w:eastAsia="黑体"/>
      <w:b/>
      <w:bCs/>
      <w:kern w:val="2"/>
      <w:sz w:val="32"/>
      <w:szCs w:val="32"/>
      <w:lang w:val="en-US" w:eastAsia="zh-CN" w:bidi="ar-SA"/>
    </w:rPr>
  </w:style>
  <w:style w:type="character" w:customStyle="1" w:styleId="56">
    <w:name w:val="black1"/>
    <w:qFormat/>
    <w:uiPriority w:val="0"/>
    <w:rPr>
      <w:color w:val="000000"/>
    </w:rPr>
  </w:style>
  <w:style w:type="character" w:customStyle="1" w:styleId="57">
    <w:name w:val="street-address"/>
    <w:basedOn w:val="45"/>
    <w:qFormat/>
    <w:uiPriority w:val="0"/>
  </w:style>
  <w:style w:type="character" w:customStyle="1" w:styleId="58">
    <w:name w:val="locality"/>
    <w:basedOn w:val="45"/>
    <w:qFormat/>
    <w:uiPriority w:val="0"/>
  </w:style>
  <w:style w:type="paragraph" w:customStyle="1" w:styleId="59">
    <w:name w:val="正文文本缩进1"/>
    <w:basedOn w:val="1"/>
    <w:qFormat/>
    <w:uiPriority w:val="0"/>
    <w:pPr>
      <w:spacing w:line="480" w:lineRule="exact"/>
      <w:ind w:firstLine="200" w:firstLineChars="200"/>
    </w:pPr>
    <w:rPr>
      <w:rFonts w:ascii="宋体"/>
      <w:kern w:val="0"/>
      <w:sz w:val="24"/>
    </w:rPr>
  </w:style>
  <w:style w:type="character" w:customStyle="1" w:styleId="60">
    <w:name w:val="Char Char11"/>
    <w:qFormat/>
    <w:uiPriority w:val="0"/>
    <w:rPr>
      <w:rFonts w:ascii="宋体" w:eastAsia="宋体"/>
      <w:b/>
      <w:sz w:val="24"/>
      <w:u w:val="single"/>
      <w:lang w:val="en-US" w:eastAsia="zh-CN" w:bidi="ar-SA"/>
    </w:rPr>
  </w:style>
  <w:style w:type="character" w:customStyle="1" w:styleId="61">
    <w:name w:val="txt"/>
    <w:basedOn w:val="45"/>
    <w:qFormat/>
    <w:uiPriority w:val="0"/>
  </w:style>
  <w:style w:type="paragraph" w:customStyle="1" w:styleId="62">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3">
    <w:name w:val="普通文字1 Char1"/>
    <w:qFormat/>
    <w:uiPriority w:val="0"/>
    <w:rPr>
      <w:rFonts w:ascii="宋体" w:eastAsia="宋体"/>
      <w:kern w:val="2"/>
      <w:sz w:val="21"/>
      <w:lang w:val="en-US" w:eastAsia="zh-CN" w:bidi="ar-SA"/>
    </w:rPr>
  </w:style>
  <w:style w:type="character" w:customStyle="1" w:styleId="64">
    <w:name w:val="chanpin1"/>
    <w:qFormat/>
    <w:uiPriority w:val="0"/>
    <w:rPr>
      <w:rFonts w:ascii="ˎ̥" w:hAnsi="ˎ̥"/>
      <w:color w:val="000000"/>
      <w:sz w:val="20"/>
      <w:szCs w:val="20"/>
      <w:u w:val="none"/>
    </w:rPr>
  </w:style>
  <w:style w:type="paragraph" w:customStyle="1" w:styleId="65">
    <w:name w:val="列表段落1"/>
    <w:basedOn w:val="1"/>
    <w:qFormat/>
    <w:uiPriority w:val="0"/>
    <w:pPr>
      <w:ind w:firstLine="200" w:firstLineChars="200"/>
    </w:pPr>
    <w:rPr>
      <w:rFonts w:ascii="Calibri" w:hAnsi="Calibri"/>
      <w:szCs w:val="22"/>
    </w:rPr>
  </w:style>
  <w:style w:type="character" w:customStyle="1" w:styleId="66">
    <w:name w:val="标题 3 Char Char"/>
    <w:qFormat/>
    <w:uiPriority w:val="0"/>
    <w:rPr>
      <w:rFonts w:eastAsia="宋体"/>
      <w:b/>
      <w:bCs/>
      <w:kern w:val="2"/>
      <w:sz w:val="32"/>
      <w:szCs w:val="32"/>
      <w:lang w:val="en-US" w:eastAsia="zh-CN" w:bidi="ar-SA"/>
    </w:rPr>
  </w:style>
  <w:style w:type="character" w:customStyle="1" w:styleId="67">
    <w:name w:val="段1 Char"/>
    <w:qFormat/>
    <w:uiPriority w:val="0"/>
    <w:rPr>
      <w:rFonts w:ascii="宋体" w:eastAsia="宋体"/>
      <w:sz w:val="24"/>
      <w:lang w:val="en-US" w:eastAsia="zh-CN" w:bidi="ar-SA"/>
    </w:rPr>
  </w:style>
  <w:style w:type="character" w:customStyle="1" w:styleId="68">
    <w:name w:val="chanpin拷贝"/>
    <w:basedOn w:val="45"/>
    <w:qFormat/>
    <w:uiPriority w:val="0"/>
  </w:style>
  <w:style w:type="character" w:customStyle="1" w:styleId="69">
    <w:name w:val="纯文本 Char1"/>
    <w:qFormat/>
    <w:uiPriority w:val="0"/>
    <w:rPr>
      <w:rFonts w:ascii="宋体" w:eastAsia="宋体"/>
      <w:kern w:val="2"/>
      <w:sz w:val="21"/>
      <w:lang w:val="en-US" w:eastAsia="zh-CN" w:bidi="ar-SA"/>
    </w:rPr>
  </w:style>
  <w:style w:type="character" w:customStyle="1" w:styleId="70">
    <w:name w:val="apple-style-span"/>
    <w:qFormat/>
    <w:uiPriority w:val="0"/>
    <w:rPr>
      <w:rFonts w:cs="Times New Roman"/>
    </w:rPr>
  </w:style>
  <w:style w:type="paragraph" w:customStyle="1" w:styleId="71">
    <w:name w:val="章标题"/>
    <w:next w:val="1"/>
    <w:qFormat/>
    <w:uiPriority w:val="0"/>
    <w:pPr>
      <w:numPr>
        <w:ilvl w:val="0"/>
        <w:numId w:val="1"/>
      </w:numPr>
      <w:spacing w:before="50" w:beforeLines="50" w:after="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2">
    <w:name w:val="一级条标题"/>
    <w:basedOn w:val="71"/>
    <w:next w:val="1"/>
    <w:qFormat/>
    <w:uiPriority w:val="0"/>
    <w:pPr>
      <w:numPr>
        <w:ilvl w:val="1"/>
        <w:numId w:val="1"/>
      </w:numPr>
      <w:tabs>
        <w:tab w:val="left" w:pos="360"/>
        <w:tab w:val="left" w:pos="840"/>
      </w:tabs>
      <w:ind w:left="0" w:hanging="840"/>
      <w:outlineLvl w:val="1"/>
    </w:pPr>
  </w:style>
  <w:style w:type="paragraph" w:customStyle="1" w:styleId="73">
    <w:name w:val="二级条标题"/>
    <w:basedOn w:val="72"/>
    <w:next w:val="1"/>
    <w:qFormat/>
    <w:uiPriority w:val="0"/>
    <w:pPr>
      <w:numPr>
        <w:ilvl w:val="0"/>
        <w:numId w:val="0"/>
      </w:numPr>
      <w:ind w:left="0" w:hanging="840"/>
      <w:outlineLvl w:val="2"/>
    </w:pPr>
    <w:rPr>
      <w:rFonts w:ascii="宋体" w:eastAsia="宋体"/>
      <w:b w:val="0"/>
    </w:rPr>
  </w:style>
  <w:style w:type="paragraph" w:customStyle="1" w:styleId="7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5">
    <w:name w:val="字元 字元"/>
    <w:basedOn w:val="1"/>
    <w:qFormat/>
    <w:uiPriority w:val="0"/>
    <w:rPr>
      <w:rFonts w:ascii="Tahoma" w:hAnsi="Tahoma"/>
      <w:sz w:val="24"/>
      <w:szCs w:val="20"/>
    </w:rPr>
  </w:style>
  <w:style w:type="paragraph" w:customStyle="1" w:styleId="76">
    <w:name w:val="Char3 Char Char Char"/>
    <w:basedOn w:val="1"/>
    <w:qFormat/>
    <w:uiPriority w:val="0"/>
    <w:rPr>
      <w:rFonts w:ascii="Tahoma" w:hAnsi="Tahoma"/>
      <w:sz w:val="24"/>
      <w:szCs w:val="20"/>
    </w:rPr>
  </w:style>
  <w:style w:type="paragraph" w:customStyle="1" w:styleId="77">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78">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9">
    <w:name w:val="项目编号2"/>
    <w:basedOn w:val="78"/>
    <w:qFormat/>
    <w:uiPriority w:val="0"/>
    <w:pPr>
      <w:numPr>
        <w:ilvl w:val="0"/>
        <w:numId w:val="3"/>
      </w:numPr>
    </w:pPr>
  </w:style>
  <w:style w:type="paragraph" w:customStyle="1" w:styleId="80">
    <w:name w:val="图中文字"/>
    <w:basedOn w:val="1"/>
    <w:qFormat/>
    <w:uiPriority w:val="0"/>
    <w:pPr>
      <w:adjustRightInd w:val="0"/>
      <w:snapToGrid w:val="0"/>
      <w:spacing w:line="0" w:lineRule="atLeast"/>
      <w:jc w:val="center"/>
    </w:pPr>
    <w:rPr>
      <w:sz w:val="24"/>
      <w:szCs w:val="20"/>
    </w:rPr>
  </w:style>
  <w:style w:type="paragraph" w:customStyle="1" w:styleId="8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3">
    <w:name w:val="Char2"/>
    <w:basedOn w:val="1"/>
    <w:qFormat/>
    <w:uiPriority w:val="0"/>
    <w:rPr>
      <w:rFonts w:ascii="Tahoma" w:hAnsi="Tahoma"/>
      <w:sz w:val="24"/>
      <w:szCs w:val="20"/>
    </w:rPr>
  </w:style>
  <w:style w:type="paragraph" w:customStyle="1" w:styleId="8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8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8">
    <w:name w:val="background1"/>
    <w:basedOn w:val="1"/>
    <w:qFormat/>
    <w:uiPriority w:val="0"/>
    <w:pPr>
      <w:widowControl/>
      <w:spacing w:before="100" w:beforeAutospacing="1" w:after="100" w:afterAutospacing="1"/>
      <w:jc w:val="left"/>
    </w:pPr>
    <w:rPr>
      <w:rFonts w:ascii="宋体" w:cs="宋体"/>
      <w:kern w:val="0"/>
      <w:sz w:val="24"/>
    </w:rPr>
  </w:style>
  <w:style w:type="paragraph" w:customStyle="1" w:styleId="8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2">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93">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9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97">
    <w:name w:val="font8"/>
    <w:basedOn w:val="1"/>
    <w:qFormat/>
    <w:uiPriority w:val="0"/>
    <w:pPr>
      <w:widowControl/>
      <w:spacing w:before="100" w:beforeAutospacing="1" w:after="100" w:afterAutospacing="1"/>
      <w:jc w:val="left"/>
    </w:pPr>
    <w:rPr>
      <w:kern w:val="0"/>
      <w:sz w:val="36"/>
      <w:szCs w:val="36"/>
    </w:rPr>
  </w:style>
  <w:style w:type="paragraph" w:customStyle="1" w:styleId="98">
    <w:name w:val="Char"/>
    <w:basedOn w:val="1"/>
    <w:qFormat/>
    <w:uiPriority w:val="0"/>
    <w:pPr>
      <w:tabs>
        <w:tab w:val="left" w:pos="360"/>
      </w:tabs>
    </w:pPr>
    <w:rPr>
      <w:sz w:val="24"/>
    </w:rPr>
  </w:style>
  <w:style w:type="paragraph" w:customStyle="1" w:styleId="99">
    <w:name w:val="Char Char Char Char Char Char Char Char Char Char Char Char Char Char Char Char"/>
    <w:basedOn w:val="1"/>
    <w:qFormat/>
    <w:uiPriority w:val="0"/>
    <w:pPr>
      <w:widowControl/>
      <w:spacing w:after="160" w:line="240" w:lineRule="exact"/>
      <w:jc w:val="center"/>
    </w:pPr>
    <w:rPr>
      <w:rFonts w:ascii="宋体"/>
      <w:b/>
      <w:kern w:val="0"/>
      <w:sz w:val="30"/>
      <w:szCs w:val="30"/>
      <w:lang w:eastAsia="en-US"/>
    </w:rPr>
  </w:style>
  <w:style w:type="paragraph" w:customStyle="1" w:styleId="10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Char Char1"/>
    <w:basedOn w:val="15"/>
    <w:qFormat/>
    <w:uiPriority w:val="0"/>
    <w:rPr>
      <w:rFonts w:ascii="Tahoma" w:hAnsi="Tahoma"/>
      <w:sz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样式 宋体 五号 行距: 单倍行距"/>
    <w:basedOn w:val="1"/>
    <w:qFormat/>
    <w:uiPriority w:val="0"/>
    <w:pPr>
      <w:adjustRightInd w:val="0"/>
      <w:jc w:val="left"/>
      <w:textAlignment w:val="baseline"/>
    </w:pPr>
    <w:rPr>
      <w:rFonts w:ascii="宋体"/>
      <w:kern w:val="0"/>
      <w:szCs w:val="20"/>
    </w:rPr>
  </w:style>
  <w:style w:type="paragraph" w:customStyle="1" w:styleId="107">
    <w:name w:val="Char1 Char Char Char1"/>
    <w:basedOn w:val="1"/>
    <w:qFormat/>
    <w:uiPriority w:val="0"/>
    <w:rPr>
      <w:rFonts w:ascii="Tahoma" w:hAnsi="Tahoma" w:cs="仿宋_GB2312"/>
      <w:sz w:val="24"/>
      <w:szCs w:val="28"/>
    </w:rPr>
  </w:style>
  <w:style w:type="paragraph" w:customStyle="1" w:styleId="108">
    <w:name w:val="三级条标题"/>
    <w:basedOn w:val="73"/>
    <w:next w:val="1"/>
    <w:qFormat/>
    <w:uiPriority w:val="0"/>
    <w:pPr>
      <w:numPr>
        <w:ilvl w:val="3"/>
        <w:numId w:val="1"/>
      </w:numPr>
      <w:ind w:left="0" w:hanging="840"/>
      <w:outlineLvl w:val="3"/>
    </w:pPr>
  </w:style>
  <w:style w:type="paragraph" w:customStyle="1" w:styleId="109">
    <w:name w:val="四级条标题"/>
    <w:basedOn w:val="108"/>
    <w:next w:val="1"/>
    <w:qFormat/>
    <w:uiPriority w:val="0"/>
    <w:pPr>
      <w:numPr>
        <w:ilvl w:val="4"/>
        <w:numId w:val="1"/>
      </w:numPr>
      <w:ind w:left="0" w:hanging="840"/>
      <w:outlineLvl w:val="4"/>
    </w:pPr>
  </w:style>
  <w:style w:type="paragraph" w:customStyle="1" w:styleId="11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eastAsia="宋体"/>
      <w:bCs/>
      <w:sz w:val="21"/>
    </w:rPr>
  </w:style>
  <w:style w:type="paragraph" w:customStyle="1" w:styleId="112">
    <w:name w:val="List Paragraph1"/>
    <w:basedOn w:val="1"/>
    <w:qFormat/>
    <w:uiPriority w:val="0"/>
    <w:pPr>
      <w:ind w:firstLine="200" w:firstLineChars="200"/>
    </w:pPr>
    <w:rPr>
      <w:rFonts w:ascii="Calibri" w:hAnsi="Calibri"/>
      <w:szCs w:val="22"/>
    </w:rPr>
  </w:style>
  <w:style w:type="paragraph" w:customStyle="1" w:styleId="113">
    <w:name w:val="正文文本样式"/>
    <w:basedOn w:val="1"/>
    <w:qFormat/>
    <w:uiPriority w:val="0"/>
    <w:pPr>
      <w:spacing w:line="360" w:lineRule="auto"/>
      <w:ind w:firstLine="482"/>
    </w:pPr>
    <w:rPr>
      <w:rFonts w:cs="宋体"/>
      <w:sz w:val="24"/>
      <w:szCs w:val="20"/>
    </w:rPr>
  </w:style>
  <w:style w:type="paragraph" w:customStyle="1" w:styleId="114">
    <w:name w:val="项目符号1"/>
    <w:basedOn w:val="113"/>
    <w:qFormat/>
    <w:uiPriority w:val="0"/>
    <w:pPr>
      <w:ind w:left="-25" w:firstLine="0"/>
    </w:pPr>
  </w:style>
  <w:style w:type="paragraph" w:customStyle="1" w:styleId="1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6">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17">
    <w:name w:val="五级条标题"/>
    <w:basedOn w:val="109"/>
    <w:next w:val="1"/>
    <w:qFormat/>
    <w:uiPriority w:val="0"/>
    <w:pPr>
      <w:numPr>
        <w:ilvl w:val="5"/>
        <w:numId w:val="1"/>
      </w:numPr>
      <w:ind w:left="0" w:hanging="840"/>
      <w:outlineLvl w:val="5"/>
    </w:pPr>
  </w:style>
  <w:style w:type="paragraph" w:customStyle="1" w:styleId="11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19">
    <w:name w:val="文档正文"/>
    <w:basedOn w:val="1"/>
    <w:qFormat/>
    <w:uiPriority w:val="0"/>
    <w:pPr>
      <w:snapToGrid w:val="0"/>
      <w:spacing w:before="120" w:after="120" w:line="180" w:lineRule="auto"/>
    </w:pPr>
    <w:rPr>
      <w:rFonts w:ascii="Arial" w:hAnsi="Arial"/>
      <w:szCs w:val="20"/>
    </w:rPr>
  </w:style>
  <w:style w:type="paragraph" w:customStyle="1" w:styleId="12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2">
    <w:name w:val="Char Char Char1 Char"/>
    <w:basedOn w:val="1"/>
    <w:qFormat/>
    <w:uiPriority w:val="0"/>
    <w:rPr>
      <w:rFonts w:ascii="Tahoma" w:hAnsi="Tahoma"/>
      <w:sz w:val="24"/>
      <w:szCs w:val="20"/>
    </w:rPr>
  </w:style>
  <w:style w:type="paragraph" w:customStyle="1" w:styleId="12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4">
    <w:name w:val="1名"/>
    <w:basedOn w:val="1"/>
    <w:qFormat/>
    <w:uiPriority w:val="0"/>
    <w:pPr>
      <w:numPr>
        <w:ilvl w:val="0"/>
        <w:numId w:val="5"/>
      </w:numPr>
      <w:spacing w:before="120"/>
    </w:pPr>
    <w:rPr>
      <w:rFonts w:ascii="宋体"/>
      <w:sz w:val="28"/>
      <w:szCs w:val="20"/>
    </w:rPr>
  </w:style>
  <w:style w:type="paragraph" w:customStyle="1" w:styleId="125">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26">
    <w:name w:val="Char Char Char1 Char1"/>
    <w:basedOn w:val="1"/>
    <w:qFormat/>
    <w:uiPriority w:val="0"/>
    <w:rPr>
      <w:rFonts w:ascii="Tahoma" w:hAnsi="Tahoma"/>
      <w:sz w:val="24"/>
      <w:szCs w:val="20"/>
    </w:rPr>
  </w:style>
  <w:style w:type="paragraph" w:customStyle="1" w:styleId="127">
    <w:name w:val="Char Char Char Char Char Char Char Char Char Char"/>
    <w:basedOn w:val="1"/>
    <w:qFormat/>
    <w:uiPriority w:val="0"/>
  </w:style>
  <w:style w:type="paragraph" w:customStyle="1" w:styleId="12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Char1"/>
    <w:basedOn w:val="1"/>
    <w:qFormat/>
    <w:uiPriority w:val="0"/>
    <w:pPr>
      <w:tabs>
        <w:tab w:val="left" w:pos="360"/>
      </w:tabs>
    </w:pPr>
    <w:rPr>
      <w:sz w:val="24"/>
    </w:rPr>
  </w:style>
  <w:style w:type="paragraph" w:customStyle="1" w:styleId="130">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默认段落字体 Para Char Char Char Char"/>
    <w:basedOn w:val="1"/>
    <w:qFormat/>
    <w:uiPriority w:val="0"/>
    <w:rPr>
      <w:rFonts w:ascii="Arial" w:hAnsi="Arial" w:cs="Arial"/>
      <w:szCs w:val="21"/>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7">
    <w:name w:val="Char Char Char"/>
    <w:basedOn w:val="1"/>
    <w:qFormat/>
    <w:uiPriority w:val="0"/>
    <w:rPr>
      <w:rFonts w:ascii="Tahoma" w:hAnsi="Tahoma"/>
      <w:sz w:val="24"/>
      <w:szCs w:val="20"/>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缺省文本"/>
    <w:basedOn w:val="1"/>
    <w:qFormat/>
    <w:uiPriority w:val="0"/>
    <w:pPr>
      <w:autoSpaceDE w:val="0"/>
      <w:autoSpaceDN w:val="0"/>
      <w:adjustRightInd w:val="0"/>
      <w:jc w:val="left"/>
    </w:pPr>
    <w:rPr>
      <w:kern w:val="0"/>
      <w:sz w:val="24"/>
    </w:rPr>
  </w:style>
  <w:style w:type="paragraph" w:customStyle="1" w:styleId="140">
    <w:name w:val="Char Char Char1"/>
    <w:basedOn w:val="1"/>
    <w:qFormat/>
    <w:uiPriority w:val="0"/>
    <w:rPr>
      <w:rFonts w:ascii="Tahoma" w:hAnsi="Tahoma"/>
      <w:sz w:val="24"/>
      <w:szCs w:val="20"/>
    </w:rPr>
  </w:style>
  <w:style w:type="paragraph" w:customStyle="1" w:styleId="14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3">
    <w:name w:val="样式2"/>
    <w:basedOn w:val="39"/>
    <w:qFormat/>
    <w:uiPriority w:val="0"/>
    <w:pPr>
      <w:spacing w:line="360" w:lineRule="auto"/>
      <w:jc w:val="center"/>
    </w:pPr>
    <w:rPr>
      <w:sz w:val="24"/>
    </w:rPr>
  </w:style>
  <w:style w:type="paragraph" w:customStyle="1" w:styleId="1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6">
    <w:name w:val="正文 + 楷体_GB2312"/>
    <w:basedOn w:val="1"/>
    <w:qFormat/>
    <w:uiPriority w:val="0"/>
    <w:pPr>
      <w:widowControl/>
      <w:jc w:val="left"/>
    </w:pPr>
    <w:rPr>
      <w:rFonts w:ascii="楷体_GB2312" w:eastAsia="楷体_GB2312" w:cs="Arial"/>
      <w:kern w:val="0"/>
      <w:sz w:val="24"/>
    </w:rPr>
  </w:style>
  <w:style w:type="paragraph" w:customStyle="1" w:styleId="14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8">
    <w:name w:val="1 Char Char Char Char"/>
    <w:basedOn w:val="1"/>
    <w:qFormat/>
    <w:uiPriority w:val="0"/>
    <w:rPr>
      <w:rFonts w:ascii="Tahoma" w:hAnsi="Tahoma"/>
      <w:sz w:val="24"/>
      <w:szCs w:val="20"/>
    </w:rPr>
  </w:style>
  <w:style w:type="paragraph" w:customStyle="1" w:styleId="14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0">
    <w:name w:val="列出段落1"/>
    <w:basedOn w:val="1"/>
    <w:qFormat/>
    <w:uiPriority w:val="0"/>
    <w:pPr>
      <w:ind w:firstLine="200" w:firstLineChars="200"/>
    </w:pPr>
    <w:rPr>
      <w:rFonts w:ascii="Calibri" w:hAnsi="Calibri"/>
      <w:szCs w:val="22"/>
    </w:rPr>
  </w:style>
  <w:style w:type="paragraph" w:customStyle="1" w:styleId="151">
    <w:name w:val="default"/>
    <w:basedOn w:val="1"/>
    <w:qFormat/>
    <w:uiPriority w:val="0"/>
    <w:pPr>
      <w:widowControl/>
      <w:spacing w:before="100" w:beforeAutospacing="1" w:after="100" w:afterAutospacing="1"/>
      <w:jc w:val="left"/>
    </w:pPr>
    <w:rPr>
      <w:rFonts w:ascii="宋体" w:cs="宋体"/>
      <w:kern w:val="0"/>
      <w:sz w:val="24"/>
    </w:rPr>
  </w:style>
  <w:style w:type="paragraph" w:customStyle="1" w:styleId="152">
    <w:name w:val="字元 字元1"/>
    <w:basedOn w:val="1"/>
    <w:qFormat/>
    <w:uiPriority w:val="0"/>
    <w:rPr>
      <w:rFonts w:ascii="Tahoma" w:hAnsi="Tahoma"/>
      <w:sz w:val="24"/>
      <w:szCs w:val="20"/>
    </w:rPr>
  </w:style>
  <w:style w:type="paragraph" w:customStyle="1" w:styleId="153">
    <w:name w:val="_Style 160"/>
    <w:qFormat/>
    <w:uiPriority w:val="0"/>
    <w:rPr>
      <w:rFonts w:ascii="Times New Roman" w:hAnsi="Times New Roman" w:eastAsia="宋体" w:cs="Times New Roman"/>
      <w:kern w:val="2"/>
      <w:sz w:val="21"/>
      <w:szCs w:val="24"/>
      <w:lang w:val="en-US" w:eastAsia="zh-CN" w:bidi="ar-SA"/>
    </w:rPr>
  </w:style>
  <w:style w:type="paragraph" w:customStyle="1" w:styleId="154">
    <w:name w:val="项目编号3"/>
    <w:basedOn w:val="113"/>
    <w:qFormat/>
    <w:uiPriority w:val="0"/>
    <w:pPr>
      <w:numPr>
        <w:ilvl w:val="0"/>
        <w:numId w:val="6"/>
      </w:numPr>
    </w:pPr>
  </w:style>
  <w:style w:type="paragraph" w:customStyle="1" w:styleId="155">
    <w:name w:val="Char21"/>
    <w:basedOn w:val="1"/>
    <w:qFormat/>
    <w:uiPriority w:val="0"/>
    <w:rPr>
      <w:rFonts w:ascii="Tahoma" w:hAnsi="Tahoma"/>
      <w:sz w:val="24"/>
      <w:szCs w:val="20"/>
    </w:rPr>
  </w:style>
  <w:style w:type="paragraph" w:customStyle="1" w:styleId="15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7">
    <w:name w:val="Char Char Char Char Char Char Char Char Char Char1"/>
    <w:basedOn w:val="1"/>
    <w:qFormat/>
    <w:uiPriority w:val="0"/>
    <w:rPr>
      <w:rFonts w:ascii="宋体" w:cs="Courier New"/>
      <w:sz w:val="32"/>
      <w:szCs w:val="32"/>
    </w:rPr>
  </w:style>
  <w:style w:type="paragraph" w:customStyle="1" w:styleId="158">
    <w:name w:val="正文文本样式 加粗"/>
    <w:basedOn w:val="113"/>
    <w:qFormat/>
    <w:uiPriority w:val="0"/>
    <w:rPr>
      <w:b/>
    </w:rPr>
  </w:style>
  <w:style w:type="paragraph" w:customStyle="1" w:styleId="159">
    <w:name w:val="Char2 Char Char Char Char Char Char"/>
    <w:basedOn w:val="1"/>
    <w:qFormat/>
    <w:uiPriority w:val="0"/>
    <w:pPr>
      <w:widowControl/>
      <w:spacing w:line="400" w:lineRule="exact"/>
      <w:jc w:val="center"/>
    </w:pPr>
  </w:style>
  <w:style w:type="paragraph" w:customStyle="1" w:styleId="160">
    <w:name w:val="Char Char4"/>
    <w:basedOn w:val="1"/>
    <w:qFormat/>
    <w:uiPriority w:val="0"/>
    <w:pPr>
      <w:widowControl/>
      <w:spacing w:line="400" w:lineRule="exact"/>
      <w:jc w:val="center"/>
    </w:pPr>
  </w:style>
  <w:style w:type="paragraph" w:customStyle="1" w:styleId="161">
    <w:name w:val="Char3 Char Char Char1"/>
    <w:basedOn w:val="1"/>
    <w:qFormat/>
    <w:uiPriority w:val="0"/>
    <w:rPr>
      <w:rFonts w:ascii="Tahoma" w:hAnsi="Tahoma"/>
      <w:sz w:val="24"/>
      <w:szCs w:val="20"/>
    </w:rPr>
  </w:style>
  <w:style w:type="paragraph" w:customStyle="1" w:styleId="16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22222222222222"/>
    <w:basedOn w:val="1"/>
    <w:qFormat/>
    <w:uiPriority w:val="0"/>
    <w:pPr>
      <w:widowControl/>
      <w:adjustRightInd w:val="0"/>
      <w:spacing w:line="360" w:lineRule="auto"/>
      <w:ind w:firstLine="200" w:firstLineChars="200"/>
      <w:jc w:val="left"/>
    </w:pPr>
    <w:rPr>
      <w:color w:val="FF0000"/>
      <w:kern w:val="0"/>
      <w:sz w:val="24"/>
      <w:szCs w:val="20"/>
    </w:rPr>
  </w:style>
  <w:style w:type="paragraph" w:customStyle="1" w:styleId="164">
    <w:name w:val="1"/>
    <w:qFormat/>
    <w:uiPriority w:val="0"/>
    <w:rPr>
      <w:rFonts w:ascii="Times New Roman" w:hAnsi="Times New Roman" w:eastAsia="宋体" w:cs="Times New Roman"/>
      <w:kern w:val="2"/>
      <w:sz w:val="21"/>
      <w:szCs w:val="24"/>
      <w:lang w:val="zh-CN" w:eastAsia="zh-CN" w:bidi="ar-SA"/>
    </w:rPr>
  </w:style>
  <w:style w:type="paragraph" w:customStyle="1" w:styleId="165">
    <w:name w:val="图文"/>
    <w:basedOn w:val="1"/>
    <w:qFormat/>
    <w:uiPriority w:val="0"/>
    <w:pPr>
      <w:adjustRightInd w:val="0"/>
      <w:snapToGrid w:val="0"/>
      <w:spacing w:after="50" w:line="360" w:lineRule="auto"/>
    </w:pPr>
    <w:rPr>
      <w:sz w:val="24"/>
    </w:rPr>
  </w:style>
  <w:style w:type="paragraph" w:customStyle="1" w:styleId="1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7">
    <w:name w:val="正文表格"/>
    <w:basedOn w:val="1"/>
    <w:qFormat/>
    <w:uiPriority w:val="0"/>
    <w:pPr>
      <w:adjustRightInd w:val="0"/>
      <w:snapToGrid w:val="0"/>
      <w:jc w:val="left"/>
    </w:pPr>
    <w:rPr>
      <w:rFonts w:ascii="宋体"/>
      <w:color w:val="000000"/>
      <w:szCs w:val="21"/>
    </w:rPr>
  </w:style>
  <w:style w:type="paragraph" w:customStyle="1" w:styleId="168">
    <w:name w:val="正文重点"/>
    <w:basedOn w:val="1"/>
    <w:qFormat/>
    <w:uiPriority w:val="0"/>
    <w:pPr>
      <w:adjustRightInd w:val="0"/>
      <w:spacing w:line="360" w:lineRule="auto"/>
      <w:ind w:firstLine="200" w:firstLineChars="200"/>
      <w:jc w:val="left"/>
      <w:textAlignment w:val="baseline"/>
    </w:pPr>
    <w:rPr>
      <w:b/>
      <w:kern w:val="0"/>
      <w:sz w:val="24"/>
      <w:szCs w:val="20"/>
    </w:rPr>
  </w:style>
  <w:style w:type="paragraph" w:customStyle="1" w:styleId="169">
    <w:name w:val="标题1-附件"/>
    <w:basedOn w:val="3"/>
    <w:qFormat/>
    <w:uiPriority w:val="0"/>
    <w:pPr>
      <w:jc w:val="left"/>
    </w:pPr>
    <w:rPr>
      <w:sz w:val="24"/>
      <w:szCs w:val="24"/>
    </w:rPr>
  </w:style>
  <w:style w:type="paragraph" w:customStyle="1" w:styleId="170">
    <w:name w:val="正文小标题"/>
    <w:basedOn w:val="1"/>
    <w:next w:val="5"/>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1">
    <w:name w:val="正文大标题"/>
    <w:basedOn w:val="170"/>
    <w:next w:val="5"/>
    <w:qFormat/>
    <w:uiPriority w:val="0"/>
    <w:pPr>
      <w:jc w:val="center"/>
    </w:pPr>
    <w:rPr>
      <w:i w:val="0"/>
      <w:color w:val="000000"/>
      <w:sz w:val="28"/>
      <w:szCs w:val="21"/>
    </w:rPr>
  </w:style>
  <w:style w:type="paragraph" w:customStyle="1" w:styleId="172">
    <w:name w:val="注释"/>
    <w:basedOn w:val="1"/>
    <w:qFormat/>
    <w:uiPriority w:val="0"/>
    <w:pPr>
      <w:adjustRightInd w:val="0"/>
      <w:snapToGrid w:val="0"/>
      <w:ind w:left="200" w:hanging="200" w:hangingChars="200"/>
      <w:jc w:val="left"/>
    </w:pPr>
    <w:rPr>
      <w:rFonts w:ascii="宋体"/>
      <w:szCs w:val="21"/>
    </w:rPr>
  </w:style>
  <w:style w:type="paragraph" w:customStyle="1" w:styleId="173">
    <w:name w:val="正文须知-1级"/>
    <w:basedOn w:val="1"/>
    <w:next w:val="1"/>
    <w:qFormat/>
    <w:uiPriority w:val="0"/>
    <w:pPr>
      <w:numPr>
        <w:ilvl w:val="0"/>
        <w:numId w:val="7"/>
      </w:numPr>
      <w:adjustRightInd w:val="0"/>
      <w:snapToGrid w:val="0"/>
      <w:spacing w:line="300" w:lineRule="auto"/>
    </w:pPr>
    <w:rPr>
      <w:rFonts w:ascii="宋体"/>
      <w:sz w:val="24"/>
      <w:szCs w:val="21"/>
    </w:rPr>
  </w:style>
  <w:style w:type="paragraph" w:customStyle="1" w:styleId="174">
    <w:name w:val="正文须知-2级"/>
    <w:basedOn w:val="1"/>
    <w:qFormat/>
    <w:uiPriority w:val="0"/>
    <w:pPr>
      <w:numPr>
        <w:ilvl w:val="1"/>
        <w:numId w:val="7"/>
      </w:numPr>
      <w:adjustRightInd w:val="0"/>
      <w:snapToGrid w:val="0"/>
      <w:spacing w:line="300" w:lineRule="auto"/>
    </w:pPr>
    <w:rPr>
      <w:rFonts w:ascii="宋体"/>
      <w:sz w:val="24"/>
      <w:szCs w:val="21"/>
    </w:rPr>
  </w:style>
  <w:style w:type="paragraph" w:customStyle="1" w:styleId="175">
    <w:name w:val="正文须知-3级"/>
    <w:basedOn w:val="1"/>
    <w:qFormat/>
    <w:uiPriority w:val="0"/>
    <w:pPr>
      <w:numPr>
        <w:ilvl w:val="2"/>
        <w:numId w:val="7"/>
      </w:numPr>
      <w:adjustRightInd w:val="0"/>
      <w:snapToGrid w:val="0"/>
      <w:spacing w:line="300" w:lineRule="auto"/>
      <w:ind w:left="460" w:hanging="355" w:hangingChars="355"/>
    </w:pPr>
    <w:rPr>
      <w:rFonts w:ascii="宋体"/>
      <w:sz w:val="24"/>
      <w:szCs w:val="21"/>
    </w:rPr>
  </w:style>
  <w:style w:type="character" w:customStyle="1" w:styleId="176">
    <w:name w:val="批注文字 字符"/>
    <w:qFormat/>
    <w:uiPriority w:val="0"/>
    <w:rPr>
      <w:rFonts w:ascii="Times New Roman" w:hAnsi="Times New Roman" w:eastAsia="宋体" w:cs="Times New Roman"/>
      <w:sz w:val="24"/>
      <w:lang w:val="en-US" w:eastAsia="zh-CN" w:bidi="ar-SA"/>
    </w:rPr>
  </w:style>
  <w:style w:type="character" w:customStyle="1" w:styleId="177">
    <w:name w:val="纯文本 字符"/>
    <w:qFormat/>
    <w:uiPriority w:val="0"/>
    <w:rPr>
      <w:rFonts w:ascii="宋体" w:eastAsia="宋体" w:cs="Times New Roman"/>
      <w:kern w:val="2"/>
      <w:sz w:val="21"/>
      <w:szCs w:val="21"/>
      <w:lang w:val="en-US" w:eastAsia="zh-CN" w:bidi="ar-SA"/>
    </w:rPr>
  </w:style>
  <w:style w:type="paragraph" w:customStyle="1" w:styleId="178">
    <w:name w:val="表格1"/>
    <w:basedOn w:val="1"/>
    <w:qFormat/>
    <w:uiPriority w:val="0"/>
    <w:pPr>
      <w:ind w:firstLine="200" w:firstLineChars="200"/>
      <w:jc w:val="center"/>
    </w:pPr>
    <w:rPr>
      <w:sz w:val="24"/>
      <w:szCs w:val="20"/>
    </w:rPr>
  </w:style>
  <w:style w:type="character" w:customStyle="1" w:styleId="179">
    <w:name w:val="纯文本 字符1"/>
    <w:qFormat/>
    <w:uiPriority w:val="0"/>
    <w:rPr>
      <w:rFonts w:ascii="宋体"/>
    </w:rPr>
  </w:style>
  <w:style w:type="character" w:customStyle="1" w:styleId="180">
    <w:name w:val="bjh-p"/>
    <w:qFormat/>
    <w:uiPriority w:val="0"/>
  </w:style>
  <w:style w:type="paragraph" w:customStyle="1" w:styleId="18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qFormat/>
    <w:uiPriority w:val="0"/>
    <w:pPr>
      <w:spacing w:before="50" w:beforeLines="50" w:line="360" w:lineRule="auto"/>
      <w:ind w:firstLine="200" w:firstLineChars="200"/>
    </w:pPr>
    <w:rPr>
      <w:rFonts w:ascii="宋体"/>
      <w:kern w:val="0"/>
      <w:sz w:val="24"/>
      <w:lang w:val="en-GB"/>
    </w:rPr>
  </w:style>
  <w:style w:type="character" w:customStyle="1" w:styleId="183">
    <w:name w:val="标题 3 Char"/>
    <w:qFormat/>
    <w:uiPriority w:val="0"/>
    <w:rPr>
      <w:rFonts w:ascii="宋体" w:eastAsia="宋体"/>
      <w:b/>
      <w:sz w:val="24"/>
      <w:u w:val="single"/>
      <w:lang w:val="en-US" w:eastAsia="zh-CN" w:bidi="ar-SA"/>
    </w:rPr>
  </w:style>
  <w:style w:type="character" w:customStyle="1" w:styleId="184">
    <w:name w:val="正文缩进 Char"/>
    <w:qFormat/>
    <w:uiPriority w:val="0"/>
    <w:rPr>
      <w:rFonts w:ascii="宋体" w:eastAsia="宋体"/>
      <w:kern w:val="2"/>
      <w:sz w:val="24"/>
      <w:szCs w:val="24"/>
      <w:lang w:val="en-US" w:eastAsia="zh-CN" w:bidi="ar-SA"/>
    </w:rPr>
  </w:style>
  <w:style w:type="character" w:customStyle="1" w:styleId="185">
    <w:name w:val="Char Char111"/>
    <w:qFormat/>
    <w:uiPriority w:val="0"/>
    <w:rPr>
      <w:rFonts w:ascii="宋体" w:eastAsia="宋体"/>
      <w:b/>
      <w:sz w:val="24"/>
      <w:u w:val="single"/>
      <w:lang w:val="en-US" w:eastAsia="zh-CN" w:bidi="ar-SA"/>
    </w:rPr>
  </w:style>
  <w:style w:type="character" w:customStyle="1" w:styleId="186">
    <w:name w:val="正文文本缩进 Char"/>
    <w:qFormat/>
    <w:uiPriority w:val="0"/>
    <w:rPr>
      <w:rFonts w:eastAsia="宋体"/>
      <w:kern w:val="2"/>
      <w:sz w:val="24"/>
      <w:szCs w:val="24"/>
      <w:lang w:val="en-US" w:eastAsia="zh-CN" w:bidi="ar-SA"/>
    </w:rPr>
  </w:style>
  <w:style w:type="character" w:customStyle="1" w:styleId="187">
    <w:name w:val="列出段落 Char"/>
    <w:qFormat/>
    <w:uiPriority w:val="0"/>
    <w:rPr>
      <w:rFonts w:ascii="Calibri" w:hAnsi="Calibri" w:eastAsia="宋体"/>
      <w:kern w:val="2"/>
      <w:sz w:val="21"/>
      <w:szCs w:val="22"/>
      <w:lang w:val="en-US" w:eastAsia="zh-CN" w:bidi="ar-SA"/>
    </w:rPr>
  </w:style>
  <w:style w:type="character" w:customStyle="1" w:styleId="188">
    <w:name w:val="页眉 Char"/>
    <w:qFormat/>
    <w:uiPriority w:val="0"/>
    <w:rPr>
      <w:rFonts w:eastAsia="宋体"/>
      <w:kern w:val="2"/>
      <w:sz w:val="18"/>
      <w:szCs w:val="18"/>
      <w:lang w:val="en-US" w:eastAsia="zh-CN" w:bidi="ar-SA"/>
    </w:rPr>
  </w:style>
  <w:style w:type="character" w:customStyle="1" w:styleId="189">
    <w:name w:val="标题 2 Char"/>
    <w:qFormat/>
    <w:uiPriority w:val="0"/>
    <w:rPr>
      <w:rFonts w:ascii="Arial" w:hAnsi="Arial" w:eastAsia="黑体"/>
      <w:b/>
      <w:sz w:val="30"/>
      <w:lang w:val="en-US" w:eastAsia="zh-CN" w:bidi="ar-SA"/>
    </w:rPr>
  </w:style>
  <w:style w:type="paragraph" w:customStyle="1" w:styleId="190">
    <w:name w:val="字元 字元2"/>
    <w:basedOn w:val="1"/>
    <w:qFormat/>
    <w:uiPriority w:val="0"/>
    <w:rPr>
      <w:rFonts w:ascii="Tahoma" w:hAnsi="Tahoma"/>
      <w:sz w:val="24"/>
      <w:szCs w:val="20"/>
    </w:rPr>
  </w:style>
  <w:style w:type="paragraph" w:customStyle="1" w:styleId="191">
    <w:name w:val="Char3 Char Char Char2"/>
    <w:basedOn w:val="1"/>
    <w:qFormat/>
    <w:uiPriority w:val="0"/>
    <w:rPr>
      <w:rFonts w:ascii="Tahoma" w:hAnsi="Tahoma"/>
      <w:sz w:val="24"/>
      <w:szCs w:val="20"/>
    </w:rPr>
  </w:style>
  <w:style w:type="paragraph" w:customStyle="1" w:styleId="192">
    <w:name w:val="正文文本缩进2"/>
    <w:basedOn w:val="1"/>
    <w:qFormat/>
    <w:uiPriority w:val="0"/>
    <w:pPr>
      <w:spacing w:line="480" w:lineRule="exact"/>
      <w:ind w:firstLine="200" w:firstLineChars="200"/>
    </w:pPr>
    <w:rPr>
      <w:rFonts w:ascii="宋体"/>
      <w:kern w:val="0"/>
      <w:sz w:val="24"/>
      <w:lang w:val="zh-CN"/>
    </w:rPr>
  </w:style>
  <w:style w:type="paragraph" w:customStyle="1" w:styleId="193">
    <w:name w:val="Char3"/>
    <w:basedOn w:val="1"/>
    <w:qFormat/>
    <w:uiPriority w:val="0"/>
    <w:pPr>
      <w:tabs>
        <w:tab w:val="left" w:pos="360"/>
      </w:tabs>
    </w:pPr>
    <w:rPr>
      <w:sz w:val="24"/>
    </w:rPr>
  </w:style>
  <w:style w:type="paragraph" w:customStyle="1" w:styleId="194">
    <w:name w:val="Char Char Char Char Char Char Char Char Char Char Char Char Char Char Char Char1"/>
    <w:basedOn w:val="1"/>
    <w:qFormat/>
    <w:uiPriority w:val="0"/>
    <w:pPr>
      <w:widowControl/>
      <w:spacing w:after="160" w:line="240" w:lineRule="exact"/>
      <w:jc w:val="center"/>
    </w:pPr>
    <w:rPr>
      <w:rFonts w:ascii="宋体"/>
      <w:b/>
      <w:kern w:val="0"/>
      <w:sz w:val="30"/>
      <w:szCs w:val="30"/>
      <w:lang w:eastAsia="en-US"/>
    </w:rPr>
  </w:style>
  <w:style w:type="paragraph" w:customStyle="1" w:styleId="19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列出段落2"/>
    <w:basedOn w:val="1"/>
    <w:qFormat/>
    <w:uiPriority w:val="0"/>
    <w:pPr>
      <w:ind w:firstLine="200" w:firstLineChars="200"/>
    </w:pPr>
    <w:rPr>
      <w:rFonts w:ascii="Calibri" w:hAnsi="Calibri"/>
      <w:szCs w:val="22"/>
    </w:rPr>
  </w:style>
  <w:style w:type="paragraph" w:customStyle="1" w:styleId="197">
    <w:name w:val="Char Char Char1 Char2"/>
    <w:basedOn w:val="1"/>
    <w:qFormat/>
    <w:uiPriority w:val="0"/>
    <w:rPr>
      <w:rFonts w:ascii="Tahoma" w:hAnsi="Tahoma"/>
      <w:sz w:val="24"/>
      <w:szCs w:val="20"/>
    </w:rPr>
  </w:style>
  <w:style w:type="paragraph" w:customStyle="1" w:styleId="198">
    <w:name w:val="Char Char Char2"/>
    <w:basedOn w:val="1"/>
    <w:qFormat/>
    <w:uiPriority w:val="0"/>
    <w:rPr>
      <w:rFonts w:ascii="Tahoma" w:hAnsi="Tahoma"/>
      <w:sz w:val="24"/>
      <w:szCs w:val="20"/>
    </w:rPr>
  </w:style>
  <w:style w:type="paragraph" w:customStyle="1" w:styleId="19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22"/>
    <w:basedOn w:val="1"/>
    <w:qFormat/>
    <w:uiPriority w:val="0"/>
    <w:rPr>
      <w:rFonts w:ascii="Tahoma" w:hAnsi="Tahoma"/>
      <w:sz w:val="24"/>
      <w:szCs w:val="20"/>
    </w:rPr>
  </w:style>
  <w:style w:type="paragraph" w:customStyle="1" w:styleId="203">
    <w:name w:val="Char Char Char Char Char Char Char Char Char Char2"/>
    <w:basedOn w:val="1"/>
    <w:qFormat/>
    <w:uiPriority w:val="0"/>
    <w:rPr>
      <w:rFonts w:ascii="宋体" w:cs="Courier New"/>
      <w:sz w:val="32"/>
      <w:szCs w:val="32"/>
    </w:rPr>
  </w:style>
  <w:style w:type="paragraph" w:customStyle="1" w:styleId="204">
    <w:name w:val="Char2 Char Char Char Char Char Char1"/>
    <w:basedOn w:val="1"/>
    <w:qFormat/>
    <w:uiPriority w:val="0"/>
    <w:pPr>
      <w:widowControl/>
      <w:spacing w:line="400" w:lineRule="exact"/>
      <w:jc w:val="center"/>
    </w:pPr>
  </w:style>
  <w:style w:type="character" w:customStyle="1" w:styleId="205">
    <w:name w:val="页脚 Char"/>
    <w:qFormat/>
    <w:uiPriority w:val="0"/>
    <w:rPr>
      <w:rFonts w:ascii="宋体" w:eastAsia="宋体"/>
      <w:sz w:val="18"/>
      <w:lang w:val="en-US" w:eastAsia="zh-CN" w:bidi="ar-SA"/>
    </w:rPr>
  </w:style>
  <w:style w:type="paragraph" w:customStyle="1" w:styleId="206">
    <w:name w:val="Char Char41"/>
    <w:basedOn w:val="1"/>
    <w:qFormat/>
    <w:uiPriority w:val="0"/>
    <w:pPr>
      <w:widowControl/>
      <w:spacing w:line="400" w:lineRule="exact"/>
      <w:jc w:val="center"/>
    </w:pPr>
  </w:style>
  <w:style w:type="character" w:customStyle="1" w:styleId="207">
    <w:name w:val="批注文字 Char"/>
    <w:qFormat/>
    <w:uiPriority w:val="0"/>
    <w:rPr>
      <w:kern w:val="2"/>
      <w:sz w:val="21"/>
      <w:szCs w:val="24"/>
    </w:rPr>
  </w:style>
  <w:style w:type="character" w:customStyle="1" w:styleId="208">
    <w:name w:val="标题 Char"/>
    <w:qFormat/>
    <w:uiPriority w:val="0"/>
    <w:rPr>
      <w:b/>
      <w:kern w:val="2"/>
      <w:sz w:val="32"/>
    </w:rPr>
  </w:style>
  <w:style w:type="paragraph" w:customStyle="1" w:styleId="209">
    <w:name w:val="图例"/>
    <w:basedOn w:val="1"/>
    <w:qFormat/>
    <w:uiPriority w:val="0"/>
    <w:pPr>
      <w:spacing w:before="120" w:after="120" w:line="360" w:lineRule="auto"/>
      <w:jc w:val="center"/>
    </w:pPr>
    <w:rPr>
      <w:rFonts w:eastAsia="仿宋_GB2312"/>
      <w:b/>
      <w:sz w:val="24"/>
      <w:szCs w:val="20"/>
    </w:rPr>
  </w:style>
  <w:style w:type="paragraph" w:customStyle="1" w:styleId="210">
    <w:name w:val="Table Paragraph"/>
    <w:basedOn w:val="1"/>
    <w:qFormat/>
    <w:uiPriority w:val="0"/>
    <w:pPr>
      <w:autoSpaceDE w:val="0"/>
      <w:autoSpaceDN w:val="0"/>
      <w:jc w:val="left"/>
    </w:pPr>
    <w:rPr>
      <w:rFonts w:ascii="宋体" w:cs="宋体"/>
      <w:kern w:val="0"/>
      <w:sz w:val="22"/>
      <w:szCs w:val="22"/>
      <w:lang w:eastAsia="en-US"/>
    </w:rPr>
  </w:style>
  <w:style w:type="paragraph" w:customStyle="1" w:styleId="211">
    <w:name w:val="pf0"/>
    <w:basedOn w:val="1"/>
    <w:qFormat/>
    <w:uiPriority w:val="0"/>
    <w:pPr>
      <w:widowControl/>
      <w:spacing w:before="100" w:beforeAutospacing="1" w:after="100" w:afterAutospacing="1"/>
      <w:jc w:val="left"/>
    </w:pPr>
    <w:rPr>
      <w:rFonts w:ascii="宋体" w:cs="宋体"/>
      <w:kern w:val="0"/>
      <w:sz w:val="24"/>
    </w:rPr>
  </w:style>
  <w:style w:type="character" w:customStyle="1" w:styleId="212">
    <w:name w:val="cf01"/>
    <w:basedOn w:val="45"/>
    <w:qFormat/>
    <w:uiPriority w:val="0"/>
    <w:rPr>
      <w:rFonts w:ascii="Microsoft YaHei UI" w:eastAsia="Microsoft YaHei UI"/>
      <w:sz w:val="18"/>
      <w:szCs w:val="18"/>
    </w:rPr>
  </w:style>
  <w:style w:type="character" w:customStyle="1" w:styleId="213">
    <w:name w:val="cf21"/>
    <w:basedOn w:val="45"/>
    <w:qFormat/>
    <w:uiPriority w:val="0"/>
    <w:rPr>
      <w:rFonts w:ascii="Microsoft YaHei UI" w:eastAsia="Microsoft YaHei UI"/>
      <w:sz w:val="18"/>
      <w:szCs w:val="18"/>
      <w:shd w:val="clear" w:color="auto" w:fill="FFFFFF"/>
    </w:rPr>
  </w:style>
  <w:style w:type="character" w:customStyle="1" w:styleId="214">
    <w:name w:val="cf11"/>
    <w:basedOn w:val="45"/>
    <w:qFormat/>
    <w:uiPriority w:val="0"/>
    <w:rPr>
      <w:rFonts w:ascii="Microsoft YaHei UI" w:eastAsia="Microsoft YaHei UI"/>
      <w:sz w:val="18"/>
      <w:szCs w:val="18"/>
    </w:rPr>
  </w:style>
  <w:style w:type="character" w:customStyle="1" w:styleId="215">
    <w:name w:val="font21"/>
    <w:basedOn w:val="45"/>
    <w:qFormat/>
    <w:uiPriority w:val="0"/>
    <w:rPr>
      <w:rFonts w:ascii="宋体" w:eastAsia="宋体" w:cs="宋体"/>
      <w:color w:val="000000"/>
      <w:sz w:val="24"/>
      <w:szCs w:val="24"/>
      <w:u w:val="none"/>
    </w:rPr>
  </w:style>
  <w:style w:type="paragraph" w:styleId="216">
    <w:name w:val="No Spacing"/>
    <w:basedOn w:val="1"/>
    <w:qFormat/>
    <w:uiPriority w:val="1"/>
    <w:pPr>
      <w:spacing w:line="500" w:lineRule="exact"/>
      <w:jc w:val="left"/>
    </w:pPr>
    <w:rPr>
      <w:rFonts w:ascii="仿宋" w:hAnsi="仿宋" w:eastAsia="仿宋" w:cstheme="minorBidi"/>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96</Pages>
  <Words>32658</Words>
  <Characters>34823</Characters>
  <Lines>3173</Lines>
  <Paragraphs>1636</Paragraphs>
  <TotalTime>4</TotalTime>
  <ScaleCrop>false</ScaleCrop>
  <LinksUpToDate>false</LinksUpToDate>
  <CharactersWithSpaces>35222</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2025-01-21T01:52:00Z</dcterms:created>
  <dc:creator>Yin Hao</dc:creator>
  <cp:lastModifiedBy>MSIO</cp:lastModifiedBy>
  <cp:lastPrinted>2020-04-01T03:13:00Z</cp:lastPrinted>
  <dcterms:modified xsi:type="dcterms:W3CDTF">2025-07-07T03:28:48Z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B2933915D7324BD9808C483FBD52BCB2_13</vt:lpwstr>
  </property>
  <property fmtid="{D5CDD505-2E9C-101B-9397-08002B2CF9AE}" pid="4" name="KSOTemplateDocerSaveRecord">
    <vt:lpwstr>eyJoZGlkIjoiNmExZTUxYTdjOTU5NDExODY2NDgxODU1ODVmMzUxOGQiLCJ1c2VySWQiOiIyMTQ2MDM2NjMifQ==</vt:lpwstr>
  </property>
</Properties>
</file>