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招标代理费参照原国家计委计价格【2002】1980号文和国家发改委发改办价格【2003】857号文的标准，以中标金额为基准，按照差额定率累进法计算收取。</w:t>
      </w:r>
    </w:p>
    <w:p w14:paraId="3F23D3C3">
      <w:pPr>
        <w:rPr>
          <w:rFonts w:hint="eastAsia"/>
          <w:highlight w:val="none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</w:rPr>
        <w:t>计算明细：100*1.5%+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101.94*1.10%=2.62134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BD84022"/>
    <w:rsid w:val="0C5E6675"/>
    <w:rsid w:val="1045133B"/>
    <w:rsid w:val="144138B1"/>
    <w:rsid w:val="37231823"/>
    <w:rsid w:val="3B5B4356"/>
    <w:rsid w:val="450F7EAA"/>
    <w:rsid w:val="45F7224F"/>
    <w:rsid w:val="48A356DA"/>
    <w:rsid w:val="5C462A68"/>
    <w:rsid w:val="5CCF7575"/>
    <w:rsid w:val="5D7D7EEA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297</Characters>
  <Lines>2</Lines>
  <Paragraphs>1</Paragraphs>
  <TotalTime>2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2025-07-25T09:44:18Z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