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医疗保障信息监测与处置服务项目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医疗保障信息监测与处置服务项目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北京中青华云新媒体科技有限公司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91110101567425712F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供应商地址：北京市东城区海运仓胡同2号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3D4626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伍拾肆万元整</w:t>
      </w:r>
    </w:p>
    <w:p w14:paraId="3B205DA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540000.00</w:t>
      </w:r>
    </w:p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E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8659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7D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106D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名称：医疗保障信息监测与处置服务项目</w:t>
            </w:r>
          </w:p>
          <w:p w14:paraId="0F2A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为</w:t>
            </w:r>
            <w:r>
              <w:rPr>
                <w:rFonts w:hint="default" w:eastAsia="宋体"/>
                <w:color w:val="auto"/>
                <w:sz w:val="24"/>
              </w:rPr>
              <w:t>北京市医疗保障局</w:t>
            </w:r>
            <w:bookmarkStart w:id="6" w:name="_GoBack"/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提供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医疗保障信息监测与处置服务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详见竞争性磋商文件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）。</w:t>
            </w:r>
          </w:p>
          <w:bookmarkEnd w:id="6"/>
          <w:p w14:paraId="55A7DB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服务时间：自合同签订之日起1年。</w:t>
            </w:r>
          </w:p>
          <w:p w14:paraId="78560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4ABC21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周峰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朱东辉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段智清</w:t>
      </w:r>
    </w:p>
    <w:p w14:paraId="66F795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-57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 w14:paraId="7290E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审总得分为87.33</w:t>
      </w:r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F19C69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421A2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 xml:space="preserve">名    称：北京市医疗保障局 </w:t>
      </w:r>
    </w:p>
    <w:p w14:paraId="4B3FBA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3D85FEE1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联系方式：孟老师，010-55528915</w:t>
      </w:r>
    </w:p>
    <w:p w14:paraId="0CEDFD24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71C7C11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489B2D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 号楼9 层</w:t>
      </w:r>
    </w:p>
    <w:p w14:paraId="1BA4C56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010-65173825</w:t>
      </w:r>
    </w:p>
    <w:p w14:paraId="48A07C6E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482B1E7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刘倩</w:t>
      </w:r>
    </w:p>
    <w:p w14:paraId="629BE72C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65244483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、65173825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89C96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509F19CA"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36F0BE7"/>
    <w:rsid w:val="062C0CFF"/>
    <w:rsid w:val="098C2D10"/>
    <w:rsid w:val="09F50A27"/>
    <w:rsid w:val="0BDE0CED"/>
    <w:rsid w:val="0D230FC8"/>
    <w:rsid w:val="0F53554E"/>
    <w:rsid w:val="14086F62"/>
    <w:rsid w:val="145F1FBF"/>
    <w:rsid w:val="152A1B2F"/>
    <w:rsid w:val="1610623E"/>
    <w:rsid w:val="165C118C"/>
    <w:rsid w:val="1783099B"/>
    <w:rsid w:val="1B007E00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2623FCE"/>
    <w:rsid w:val="25D41F0B"/>
    <w:rsid w:val="26D16BB8"/>
    <w:rsid w:val="2846166E"/>
    <w:rsid w:val="28947EC4"/>
    <w:rsid w:val="29222225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653831"/>
    <w:rsid w:val="438D1BEA"/>
    <w:rsid w:val="471F398D"/>
    <w:rsid w:val="491E7057"/>
    <w:rsid w:val="4B713CC9"/>
    <w:rsid w:val="4C2537F3"/>
    <w:rsid w:val="4D1E2254"/>
    <w:rsid w:val="4FE44C13"/>
    <w:rsid w:val="50A54F94"/>
    <w:rsid w:val="54DC74AC"/>
    <w:rsid w:val="55EF77D0"/>
    <w:rsid w:val="56B91708"/>
    <w:rsid w:val="57830B89"/>
    <w:rsid w:val="59201894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F16534"/>
    <w:rsid w:val="754E726F"/>
    <w:rsid w:val="75A53923"/>
    <w:rsid w:val="76701980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2"/>
    <w:link w:val="5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2"/>
    <w:autoRedefine/>
    <w:qFormat/>
    <w:uiPriority w:val="0"/>
    <w:rPr>
      <w:color w:val="0063BA"/>
    </w:rPr>
  </w:style>
  <w:style w:type="character" w:customStyle="1" w:styleId="33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2"/>
    <w:autoRedefine/>
    <w:qFormat/>
    <w:uiPriority w:val="0"/>
  </w:style>
  <w:style w:type="character" w:customStyle="1" w:styleId="35">
    <w:name w:val="before"/>
    <w:basedOn w:val="12"/>
    <w:autoRedefine/>
    <w:qFormat/>
    <w:uiPriority w:val="0"/>
    <w:rPr>
      <w:shd w:val="clear" w:fill="E22323"/>
    </w:rPr>
  </w:style>
  <w:style w:type="character" w:customStyle="1" w:styleId="36">
    <w:name w:val="hover4"/>
    <w:basedOn w:val="12"/>
    <w:autoRedefine/>
    <w:qFormat/>
    <w:uiPriority w:val="0"/>
    <w:rPr>
      <w:color w:val="0063BA"/>
    </w:rPr>
  </w:style>
  <w:style w:type="character" w:customStyle="1" w:styleId="37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694</Characters>
  <Lines>5</Lines>
  <Paragraphs>1</Paragraphs>
  <TotalTime>24</TotalTime>
  <ScaleCrop>false</ScaleCrop>
  <LinksUpToDate>false</LinksUpToDate>
  <CharactersWithSpaces>721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cp:lastPrinted>2023-06-05T02:53:00Z</cp:lastPrinted>
  <dcterms:modified xsi:type="dcterms:W3CDTF">2025-07-15T05:30:04Z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