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1F897">
      <w:pPr>
        <w:spacing w:line="360" w:lineRule="auto"/>
        <w:ind w:firstLine="180" w:firstLineChars="50"/>
        <w:rPr>
          <w:rFonts w:ascii="宋体" w:hAnsi="宋体" w:cs="宋体"/>
          <w:color w:val="auto"/>
          <w:sz w:val="36"/>
          <w:szCs w:val="36"/>
          <w:highlight w:val="none"/>
        </w:rPr>
      </w:pPr>
    </w:p>
    <w:p w14:paraId="5FDA96E4">
      <w:pPr>
        <w:shd w:val="clear" w:color="auto" w:fill="FFFFFF"/>
        <w:spacing w:line="360" w:lineRule="auto"/>
        <w:ind w:firstLine="300" w:firstLineChars="50"/>
        <w:rPr>
          <w:rFonts w:ascii="宋体" w:hAnsi="宋体" w:cs="宋体"/>
          <w:color w:val="auto"/>
          <w:sz w:val="60"/>
          <w:szCs w:val="60"/>
          <w:highlight w:val="none"/>
        </w:rPr>
      </w:pPr>
    </w:p>
    <w:p w14:paraId="5FDB812B">
      <w:pPr>
        <w:pStyle w:val="44"/>
        <w:rPr>
          <w:rFonts w:hint="default" w:hAnsi="宋体" w:cs="宋体"/>
          <w:color w:val="auto"/>
          <w:highlight w:val="none"/>
        </w:rPr>
      </w:pPr>
    </w:p>
    <w:p w14:paraId="02F72E62">
      <w:pPr>
        <w:shd w:val="clear" w:color="auto" w:fill="FFFFFF"/>
        <w:jc w:val="center"/>
        <w:rPr>
          <w:rFonts w:ascii="宋体" w:hAnsi="宋体" w:cs="宋体"/>
          <w:b/>
          <w:bCs/>
          <w:color w:val="auto"/>
          <w:sz w:val="60"/>
          <w:szCs w:val="60"/>
          <w:highlight w:val="none"/>
        </w:rPr>
      </w:pPr>
    </w:p>
    <w:p w14:paraId="5FBB1E52">
      <w:pPr>
        <w:shd w:val="clear" w:color="auto" w:fill="FFFFFF"/>
        <w:jc w:val="center"/>
        <w:rPr>
          <w:rFonts w:ascii="宋体" w:hAnsi="宋体" w:cs="宋体"/>
          <w:b/>
          <w:bCs/>
          <w:color w:val="auto"/>
          <w:sz w:val="60"/>
          <w:szCs w:val="60"/>
          <w:highlight w:val="none"/>
        </w:rPr>
      </w:pPr>
      <w:r>
        <w:rPr>
          <w:rFonts w:hint="eastAsia" w:ascii="宋体" w:hAnsi="宋体" w:cs="宋体"/>
          <w:b/>
          <w:bCs/>
          <w:color w:val="auto"/>
          <w:sz w:val="60"/>
          <w:szCs w:val="60"/>
          <w:highlight w:val="none"/>
        </w:rPr>
        <w:t>北京市政府采购项目</w:t>
      </w:r>
    </w:p>
    <w:p w14:paraId="28871CE4">
      <w:pPr>
        <w:shd w:val="clear" w:color="auto" w:fill="FFFFFF"/>
        <w:jc w:val="center"/>
        <w:rPr>
          <w:rFonts w:ascii="宋体" w:hAnsi="宋体" w:cs="宋体"/>
          <w:b/>
          <w:bCs/>
          <w:color w:val="auto"/>
          <w:sz w:val="60"/>
          <w:szCs w:val="60"/>
          <w:highlight w:val="none"/>
        </w:rPr>
      </w:pPr>
      <w:r>
        <w:rPr>
          <w:rFonts w:hint="eastAsia" w:ascii="宋体" w:hAnsi="宋体" w:cs="宋体"/>
          <w:b/>
          <w:bCs/>
          <w:color w:val="auto"/>
          <w:sz w:val="60"/>
          <w:szCs w:val="60"/>
          <w:highlight w:val="none"/>
        </w:rPr>
        <w:t>竞争性磋商文件</w:t>
      </w:r>
    </w:p>
    <w:p w14:paraId="2A16B44A">
      <w:pPr>
        <w:pStyle w:val="44"/>
        <w:rPr>
          <w:rFonts w:hint="default" w:hAnsi="宋体" w:cs="宋体"/>
          <w:b/>
          <w:bCs/>
          <w:color w:val="auto"/>
          <w:sz w:val="60"/>
          <w:szCs w:val="60"/>
          <w:highlight w:val="none"/>
        </w:rPr>
      </w:pPr>
    </w:p>
    <w:p w14:paraId="440F5638">
      <w:pPr>
        <w:pStyle w:val="44"/>
        <w:rPr>
          <w:rFonts w:hint="default" w:hAnsi="宋体" w:cs="宋体"/>
          <w:b/>
          <w:bCs/>
          <w:color w:val="auto"/>
          <w:sz w:val="60"/>
          <w:szCs w:val="60"/>
          <w:highlight w:val="none"/>
        </w:rPr>
      </w:pPr>
    </w:p>
    <w:p w14:paraId="1B6B8C4B">
      <w:pPr>
        <w:shd w:val="clear" w:color="auto" w:fill="FFFFFF"/>
        <w:tabs>
          <w:tab w:val="left" w:pos="5609"/>
        </w:tabs>
        <w:spacing w:line="360" w:lineRule="auto"/>
        <w:ind w:left="2832" w:leftChars="444" w:hanging="1900" w:hangingChars="528"/>
        <w:jc w:val="left"/>
        <w:rPr>
          <w:rFonts w:ascii="宋体" w:hAnsi="宋体" w:cs="宋体"/>
          <w:bCs/>
          <w:color w:val="auto"/>
          <w:sz w:val="36"/>
          <w:szCs w:val="36"/>
          <w:highlight w:val="none"/>
        </w:rPr>
      </w:pPr>
    </w:p>
    <w:p w14:paraId="07F1ECF2">
      <w:pPr>
        <w:shd w:val="clear" w:color="auto" w:fill="FFFFFF"/>
        <w:tabs>
          <w:tab w:val="left" w:pos="5609"/>
        </w:tabs>
        <w:spacing w:line="360" w:lineRule="auto"/>
        <w:ind w:left="2832" w:leftChars="444" w:hanging="1900" w:hangingChars="528"/>
        <w:jc w:val="left"/>
        <w:rPr>
          <w:rFonts w:ascii="宋体" w:hAnsi="宋体" w:cs="宋体"/>
          <w:bCs/>
          <w:color w:val="auto"/>
          <w:sz w:val="36"/>
          <w:szCs w:val="36"/>
          <w:highlight w:val="none"/>
        </w:rPr>
      </w:pPr>
    </w:p>
    <w:p w14:paraId="671BAF44">
      <w:pPr>
        <w:shd w:val="clear" w:color="auto" w:fill="FFFFFF"/>
        <w:tabs>
          <w:tab w:val="left" w:pos="5609"/>
        </w:tabs>
        <w:spacing w:line="360" w:lineRule="auto"/>
        <w:ind w:left="2832" w:leftChars="444" w:hanging="1900" w:hangingChars="528"/>
        <w:jc w:val="left"/>
        <w:rPr>
          <w:rFonts w:ascii="宋体" w:hAnsi="宋体" w:cs="宋体"/>
          <w:bCs/>
          <w:color w:val="auto"/>
          <w:sz w:val="36"/>
          <w:szCs w:val="36"/>
          <w:highlight w:val="none"/>
        </w:rPr>
      </w:pPr>
    </w:p>
    <w:p w14:paraId="2C1FBC1D">
      <w:pPr>
        <w:shd w:val="clear" w:color="auto" w:fill="FFFFFF"/>
        <w:tabs>
          <w:tab w:val="left" w:pos="5609"/>
        </w:tabs>
        <w:spacing w:line="360" w:lineRule="auto"/>
        <w:ind w:left="2832" w:leftChars="444" w:hanging="1900" w:hangingChars="528"/>
        <w:jc w:val="left"/>
        <w:rPr>
          <w:rFonts w:ascii="宋体" w:hAnsi="宋体" w:cs="宋体"/>
          <w:bCs/>
          <w:color w:val="auto"/>
          <w:sz w:val="36"/>
          <w:szCs w:val="36"/>
          <w:highlight w:val="none"/>
        </w:rPr>
      </w:pPr>
    </w:p>
    <w:p w14:paraId="58807A67">
      <w:pPr>
        <w:shd w:val="clear" w:color="auto" w:fill="FFFFFF"/>
        <w:tabs>
          <w:tab w:val="left" w:pos="5609"/>
        </w:tabs>
        <w:spacing w:line="360" w:lineRule="auto"/>
        <w:ind w:left="1934" w:leftChars="202" w:hanging="1510" w:hangingChars="472"/>
        <w:jc w:val="left"/>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项目名称：北京财贸职业学院涿州校区雨污管线修缮工程 </w:t>
      </w:r>
    </w:p>
    <w:p w14:paraId="6DBE18BA">
      <w:pPr>
        <w:tabs>
          <w:tab w:val="left" w:pos="3240"/>
          <w:tab w:val="left" w:pos="3420"/>
        </w:tabs>
        <w:spacing w:line="360" w:lineRule="auto"/>
        <w:ind w:left="2314" w:leftChars="203" w:hanging="1888" w:hangingChars="590"/>
        <w:jc w:val="left"/>
        <w:rPr>
          <w:rFonts w:ascii="宋体" w:hAnsi="宋体" w:cs="宋体"/>
          <w:bCs/>
          <w:color w:val="auto"/>
          <w:sz w:val="32"/>
          <w:szCs w:val="32"/>
          <w:highlight w:val="none"/>
        </w:rPr>
      </w:pPr>
      <w:r>
        <w:rPr>
          <w:rFonts w:ascii="宋体" w:hAnsi="宋体"/>
          <w:bCs/>
          <w:color w:val="auto"/>
          <w:sz w:val="32"/>
          <w:szCs w:val="32"/>
          <w:highlight w:val="none"/>
        </w:rPr>
        <w:t>项目</w:t>
      </w:r>
      <w:r>
        <w:rPr>
          <w:rFonts w:hint="eastAsia" w:ascii="宋体" w:hAnsi="宋体"/>
          <w:bCs/>
          <w:color w:val="auto"/>
          <w:sz w:val="32"/>
          <w:szCs w:val="32"/>
          <w:highlight w:val="none"/>
        </w:rPr>
        <w:t>代理</w:t>
      </w:r>
      <w:r>
        <w:rPr>
          <w:rFonts w:ascii="宋体" w:hAnsi="宋体"/>
          <w:bCs/>
          <w:color w:val="auto"/>
          <w:sz w:val="32"/>
          <w:szCs w:val="32"/>
          <w:highlight w:val="none"/>
        </w:rPr>
        <w:t>编</w:t>
      </w:r>
      <w:r>
        <w:rPr>
          <w:rFonts w:hint="eastAsia" w:ascii="宋体" w:hAnsi="宋体"/>
          <w:bCs/>
          <w:color w:val="auto"/>
          <w:sz w:val="32"/>
          <w:szCs w:val="32"/>
          <w:highlight w:val="none"/>
        </w:rPr>
        <w:t>号：HCZB-2025-ZB1145</w:t>
      </w:r>
    </w:p>
    <w:p w14:paraId="30C78484">
      <w:pPr>
        <w:shd w:val="clear" w:color="auto" w:fill="FFFFFF"/>
        <w:tabs>
          <w:tab w:val="left" w:pos="3240"/>
          <w:tab w:val="left" w:pos="3420"/>
        </w:tabs>
        <w:spacing w:line="360" w:lineRule="auto"/>
        <w:ind w:left="2314" w:leftChars="203" w:hanging="1888" w:hangingChars="590"/>
        <w:jc w:val="left"/>
        <w:rPr>
          <w:rFonts w:ascii="宋体" w:hAnsi="宋体" w:cs="宋体"/>
          <w:bCs/>
          <w:color w:val="auto"/>
          <w:sz w:val="32"/>
          <w:szCs w:val="32"/>
          <w:highlight w:val="none"/>
        </w:rPr>
      </w:pPr>
      <w:r>
        <w:rPr>
          <w:rFonts w:hint="eastAsia" w:ascii="宋体" w:hAnsi="宋体" w:cs="宋体"/>
          <w:bCs/>
          <w:color w:val="auto"/>
          <w:sz w:val="32"/>
          <w:szCs w:val="32"/>
          <w:highlight w:val="none"/>
        </w:rPr>
        <w:t>采 购 人： 北京财贸职业学院</w:t>
      </w:r>
    </w:p>
    <w:p w14:paraId="713399FC">
      <w:pPr>
        <w:shd w:val="clear" w:color="auto" w:fill="FFFFFF"/>
        <w:tabs>
          <w:tab w:val="left" w:pos="3240"/>
          <w:tab w:val="left" w:pos="3420"/>
        </w:tabs>
        <w:spacing w:line="360" w:lineRule="auto"/>
        <w:ind w:left="2314" w:leftChars="203" w:hanging="1888" w:hangingChars="590"/>
        <w:jc w:val="left"/>
        <w:rPr>
          <w:rFonts w:ascii="宋体" w:hAnsi="宋体" w:cs="宋体"/>
          <w:color w:val="auto"/>
          <w:highlight w:val="none"/>
        </w:rPr>
      </w:pPr>
      <w:r>
        <w:rPr>
          <w:rFonts w:hint="eastAsia" w:ascii="宋体" w:hAnsi="宋体" w:cs="宋体"/>
          <w:bCs/>
          <w:color w:val="auto"/>
          <w:sz w:val="32"/>
          <w:szCs w:val="32"/>
          <w:highlight w:val="none"/>
        </w:rPr>
        <w:t>采购代理机构：华采招标集团有限公司</w:t>
      </w:r>
      <w:r>
        <w:rPr>
          <w:rFonts w:ascii="宋体" w:hAnsi="宋体" w:cs="宋体"/>
          <w:bCs/>
          <w:color w:val="auto"/>
          <w:sz w:val="32"/>
          <w:szCs w:val="32"/>
          <w:highlight w:val="none"/>
        </w:rPr>
        <w:t xml:space="preserve"> </w:t>
      </w:r>
      <w:r>
        <w:rPr>
          <w:rFonts w:hint="eastAsia" w:ascii="宋体" w:hAnsi="宋体" w:cs="宋体"/>
          <w:b/>
          <w:bCs/>
          <w:color w:val="auto"/>
          <w:sz w:val="44"/>
          <w:highlight w:val="none"/>
        </w:rPr>
        <w:br w:type="page"/>
      </w:r>
    </w:p>
    <w:p w14:paraId="63A7572D">
      <w:pPr>
        <w:shd w:val="clear" w:color="auto" w:fill="FFFFFF"/>
        <w:spacing w:line="360" w:lineRule="auto"/>
        <w:jc w:val="center"/>
        <w:outlineLvl w:val="0"/>
        <w:rPr>
          <w:rFonts w:ascii="宋体" w:hAnsi="宋体" w:cs="宋体"/>
          <w:b/>
          <w:color w:val="auto"/>
          <w:sz w:val="36"/>
          <w:szCs w:val="36"/>
          <w:highlight w:val="none"/>
        </w:rPr>
      </w:pPr>
      <w:bookmarkStart w:id="0" w:name="_Toc26372"/>
      <w:r>
        <w:rPr>
          <w:rFonts w:hint="eastAsia" w:ascii="宋体" w:hAnsi="宋体" w:cs="宋体"/>
          <w:b/>
          <w:color w:val="auto"/>
          <w:sz w:val="36"/>
          <w:szCs w:val="36"/>
          <w:highlight w:val="none"/>
        </w:rPr>
        <w:t>目  录</w:t>
      </w:r>
      <w:bookmarkEnd w:id="0"/>
    </w:p>
    <w:p w14:paraId="25C8324A">
      <w:pPr>
        <w:pStyle w:val="56"/>
        <w:tabs>
          <w:tab w:val="right" w:leader="dot" w:pos="9073"/>
          <w:tab w:val="clear" w:pos="1050"/>
          <w:tab w:val="clear" w:pos="8937"/>
        </w:tabs>
        <w:spacing w:line="360" w:lineRule="auto"/>
        <w:rPr>
          <w:color w:val="auto"/>
          <w:highlight w:val="none"/>
        </w:rPr>
      </w:pPr>
      <w:r>
        <w:rPr>
          <w:rFonts w:hint="eastAsia" w:cs="宋体"/>
          <w:b w:val="0"/>
          <w:color w:val="auto"/>
          <w:highlight w:val="none"/>
        </w:rPr>
        <w:fldChar w:fldCharType="begin"/>
      </w:r>
      <w:r>
        <w:rPr>
          <w:rFonts w:hint="eastAsia" w:cs="宋体"/>
          <w:b w:val="0"/>
          <w:color w:val="auto"/>
          <w:highlight w:val="none"/>
        </w:rPr>
        <w:instrText xml:space="preserve"> TOC \o "1-1" \h \z \u </w:instrText>
      </w:r>
      <w:r>
        <w:rPr>
          <w:rFonts w:hint="eastAsia" w:cs="宋体"/>
          <w:b w:val="0"/>
          <w:color w:val="auto"/>
          <w:highlight w:val="none"/>
        </w:rPr>
        <w:fldChar w:fldCharType="separate"/>
      </w:r>
    </w:p>
    <w:p w14:paraId="0C3E0BAA">
      <w:pPr>
        <w:pStyle w:val="56"/>
        <w:tabs>
          <w:tab w:val="right" w:leader="dot" w:pos="9073"/>
          <w:tab w:val="clear" w:pos="1050"/>
          <w:tab w:val="clear" w:pos="8937"/>
        </w:tabs>
        <w:spacing w:line="360" w:lineRule="auto"/>
        <w:rPr>
          <w:color w:val="auto"/>
          <w:highlight w:val="none"/>
        </w:rPr>
      </w:pPr>
      <w:r>
        <w:rPr>
          <w:color w:val="auto"/>
          <w:highlight w:val="none"/>
        </w:rPr>
        <w:fldChar w:fldCharType="begin"/>
      </w:r>
      <w:r>
        <w:rPr>
          <w:color w:val="auto"/>
          <w:highlight w:val="none"/>
        </w:rPr>
        <w:instrText xml:space="preserve"> HYPERLINK \l "_Toc1389" </w:instrText>
      </w:r>
      <w:r>
        <w:rPr>
          <w:color w:val="auto"/>
          <w:highlight w:val="none"/>
        </w:rPr>
        <w:fldChar w:fldCharType="separate"/>
      </w:r>
      <w:r>
        <w:rPr>
          <w:rFonts w:hint="eastAsia" w:cs="宋体"/>
          <w:color w:val="auto"/>
          <w:szCs w:val="36"/>
          <w:highlight w:val="none"/>
        </w:rPr>
        <w:t>第一章   采购邀请</w:t>
      </w:r>
      <w:r>
        <w:rPr>
          <w:color w:val="auto"/>
          <w:highlight w:val="none"/>
        </w:rPr>
        <w:tab/>
      </w:r>
      <w:r>
        <w:rPr>
          <w:color w:val="auto"/>
          <w:highlight w:val="none"/>
        </w:rPr>
        <w:fldChar w:fldCharType="begin"/>
      </w:r>
      <w:r>
        <w:rPr>
          <w:color w:val="auto"/>
          <w:highlight w:val="none"/>
        </w:rPr>
        <w:instrText xml:space="preserve"> PAGEREF _Toc1389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35236E0">
      <w:pPr>
        <w:pStyle w:val="56"/>
        <w:tabs>
          <w:tab w:val="right" w:leader="dot" w:pos="9073"/>
          <w:tab w:val="clear" w:pos="1050"/>
          <w:tab w:val="clear" w:pos="8937"/>
        </w:tabs>
        <w:spacing w:line="360" w:lineRule="auto"/>
        <w:rPr>
          <w:color w:val="auto"/>
          <w:highlight w:val="none"/>
        </w:rPr>
      </w:pPr>
      <w:r>
        <w:rPr>
          <w:color w:val="auto"/>
          <w:highlight w:val="none"/>
        </w:rPr>
        <w:fldChar w:fldCharType="begin"/>
      </w:r>
      <w:r>
        <w:rPr>
          <w:color w:val="auto"/>
          <w:highlight w:val="none"/>
        </w:rPr>
        <w:instrText xml:space="preserve"> HYPERLINK \l "_Toc18834" </w:instrText>
      </w:r>
      <w:r>
        <w:rPr>
          <w:color w:val="auto"/>
          <w:highlight w:val="none"/>
        </w:rPr>
        <w:fldChar w:fldCharType="separate"/>
      </w:r>
      <w:r>
        <w:rPr>
          <w:rFonts w:hint="eastAsia" w:cs="宋体"/>
          <w:color w:val="auto"/>
          <w:szCs w:val="36"/>
          <w:highlight w:val="none"/>
        </w:rPr>
        <w:t>第二章   供应商须知</w:t>
      </w:r>
      <w:r>
        <w:rPr>
          <w:color w:val="auto"/>
          <w:highlight w:val="none"/>
        </w:rPr>
        <w:tab/>
      </w:r>
      <w:r>
        <w:rPr>
          <w:color w:val="auto"/>
          <w:highlight w:val="none"/>
        </w:rPr>
        <w:fldChar w:fldCharType="begin"/>
      </w:r>
      <w:r>
        <w:rPr>
          <w:color w:val="auto"/>
          <w:highlight w:val="none"/>
        </w:rPr>
        <w:instrText xml:space="preserve"> PAGEREF _Toc18834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440FF91B">
      <w:pPr>
        <w:pStyle w:val="56"/>
        <w:tabs>
          <w:tab w:val="right" w:leader="dot" w:pos="9073"/>
          <w:tab w:val="clear" w:pos="1050"/>
          <w:tab w:val="clear" w:pos="8937"/>
        </w:tabs>
        <w:spacing w:line="360" w:lineRule="auto"/>
        <w:rPr>
          <w:color w:val="auto"/>
          <w:highlight w:val="none"/>
        </w:rPr>
      </w:pPr>
      <w:r>
        <w:rPr>
          <w:color w:val="auto"/>
          <w:highlight w:val="none"/>
        </w:rPr>
        <w:fldChar w:fldCharType="begin"/>
      </w:r>
      <w:r>
        <w:rPr>
          <w:color w:val="auto"/>
          <w:highlight w:val="none"/>
        </w:rPr>
        <w:instrText xml:space="preserve"> HYPERLINK \l "_Toc24630" </w:instrText>
      </w:r>
      <w:r>
        <w:rPr>
          <w:color w:val="auto"/>
          <w:highlight w:val="none"/>
        </w:rPr>
        <w:fldChar w:fldCharType="separate"/>
      </w:r>
      <w:r>
        <w:rPr>
          <w:rFonts w:hint="eastAsia" w:cs="宋体"/>
          <w:color w:val="auto"/>
          <w:szCs w:val="36"/>
          <w:highlight w:val="none"/>
        </w:rPr>
        <w:t>第三章   评审方法和评审标准</w:t>
      </w:r>
      <w:r>
        <w:rPr>
          <w:color w:val="auto"/>
          <w:highlight w:val="none"/>
        </w:rPr>
        <w:tab/>
      </w:r>
      <w:r>
        <w:rPr>
          <w:color w:val="auto"/>
          <w:highlight w:val="none"/>
        </w:rPr>
        <w:fldChar w:fldCharType="begin"/>
      </w:r>
      <w:r>
        <w:rPr>
          <w:color w:val="auto"/>
          <w:highlight w:val="none"/>
        </w:rPr>
        <w:instrText xml:space="preserve"> PAGEREF _Toc24630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33D45075">
      <w:pPr>
        <w:pStyle w:val="56"/>
        <w:tabs>
          <w:tab w:val="right" w:leader="dot" w:pos="9073"/>
          <w:tab w:val="clear" w:pos="1050"/>
          <w:tab w:val="clear" w:pos="8937"/>
        </w:tabs>
        <w:spacing w:line="360" w:lineRule="auto"/>
        <w:rPr>
          <w:color w:val="auto"/>
          <w:highlight w:val="none"/>
        </w:rPr>
      </w:pPr>
      <w:r>
        <w:rPr>
          <w:color w:val="auto"/>
          <w:highlight w:val="none"/>
        </w:rPr>
        <w:fldChar w:fldCharType="begin"/>
      </w:r>
      <w:r>
        <w:rPr>
          <w:color w:val="auto"/>
          <w:highlight w:val="none"/>
        </w:rPr>
        <w:instrText xml:space="preserve"> HYPERLINK \l "_Toc28542" </w:instrText>
      </w:r>
      <w:r>
        <w:rPr>
          <w:color w:val="auto"/>
          <w:highlight w:val="none"/>
        </w:rPr>
        <w:fldChar w:fldCharType="separate"/>
      </w:r>
      <w:r>
        <w:rPr>
          <w:rFonts w:hint="eastAsia" w:cs="宋体"/>
          <w:color w:val="auto"/>
          <w:szCs w:val="36"/>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_Toc28542 \h </w:instrText>
      </w:r>
      <w:r>
        <w:rPr>
          <w:color w:val="auto"/>
          <w:highlight w:val="none"/>
        </w:rPr>
        <w:fldChar w:fldCharType="separate"/>
      </w:r>
      <w:r>
        <w:rPr>
          <w:color w:val="auto"/>
          <w:highlight w:val="none"/>
        </w:rPr>
        <w:t>32</w:t>
      </w:r>
      <w:r>
        <w:rPr>
          <w:color w:val="auto"/>
          <w:highlight w:val="none"/>
        </w:rPr>
        <w:fldChar w:fldCharType="end"/>
      </w:r>
      <w:r>
        <w:rPr>
          <w:color w:val="auto"/>
          <w:highlight w:val="none"/>
        </w:rPr>
        <w:fldChar w:fldCharType="end"/>
      </w:r>
    </w:p>
    <w:p w14:paraId="731F7590">
      <w:pPr>
        <w:pStyle w:val="56"/>
        <w:tabs>
          <w:tab w:val="right" w:leader="dot" w:pos="9073"/>
          <w:tab w:val="clear" w:pos="1050"/>
          <w:tab w:val="clear" w:pos="8937"/>
        </w:tabs>
        <w:spacing w:line="360" w:lineRule="auto"/>
        <w:rPr>
          <w:color w:val="auto"/>
          <w:highlight w:val="none"/>
        </w:rPr>
      </w:pPr>
      <w:r>
        <w:rPr>
          <w:color w:val="auto"/>
          <w:highlight w:val="none"/>
        </w:rPr>
        <w:fldChar w:fldCharType="begin"/>
      </w:r>
      <w:r>
        <w:rPr>
          <w:color w:val="auto"/>
          <w:highlight w:val="none"/>
        </w:rPr>
        <w:instrText xml:space="preserve"> HYPERLINK \l "_Toc4796" </w:instrText>
      </w:r>
      <w:r>
        <w:rPr>
          <w:color w:val="auto"/>
          <w:highlight w:val="none"/>
        </w:rPr>
        <w:fldChar w:fldCharType="separate"/>
      </w:r>
      <w:r>
        <w:rPr>
          <w:rFonts w:hint="eastAsia" w:cs="宋体"/>
          <w:color w:val="auto"/>
          <w:szCs w:val="36"/>
          <w:highlight w:val="none"/>
        </w:rPr>
        <w:t>第五章   合同草案条款</w:t>
      </w:r>
      <w:r>
        <w:rPr>
          <w:color w:val="auto"/>
          <w:highlight w:val="none"/>
        </w:rPr>
        <w:tab/>
      </w:r>
      <w:r>
        <w:rPr>
          <w:color w:val="auto"/>
          <w:highlight w:val="none"/>
        </w:rPr>
        <w:fldChar w:fldCharType="begin"/>
      </w:r>
      <w:r>
        <w:rPr>
          <w:color w:val="auto"/>
          <w:highlight w:val="none"/>
        </w:rPr>
        <w:instrText xml:space="preserve"> PAGEREF _Toc4796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18EE0615">
      <w:pPr>
        <w:pStyle w:val="56"/>
        <w:tabs>
          <w:tab w:val="right" w:leader="dot" w:pos="9073"/>
          <w:tab w:val="clear" w:pos="1050"/>
          <w:tab w:val="clear" w:pos="8937"/>
        </w:tabs>
        <w:spacing w:line="360" w:lineRule="auto"/>
        <w:rPr>
          <w:color w:val="auto"/>
          <w:highlight w:val="none"/>
        </w:rPr>
      </w:pPr>
      <w:r>
        <w:rPr>
          <w:color w:val="auto"/>
          <w:highlight w:val="none"/>
        </w:rPr>
        <w:fldChar w:fldCharType="begin"/>
      </w:r>
      <w:r>
        <w:rPr>
          <w:color w:val="auto"/>
          <w:highlight w:val="none"/>
        </w:rPr>
        <w:instrText xml:space="preserve"> HYPERLINK \l "_Toc26379" </w:instrText>
      </w:r>
      <w:r>
        <w:rPr>
          <w:color w:val="auto"/>
          <w:highlight w:val="none"/>
        </w:rPr>
        <w:fldChar w:fldCharType="separate"/>
      </w:r>
      <w:r>
        <w:rPr>
          <w:rFonts w:hint="eastAsia" w:cs="宋体"/>
          <w:color w:val="auto"/>
          <w:szCs w:val="36"/>
          <w:highlight w:val="none"/>
        </w:rPr>
        <w:t>第六章   响应文件格式</w:t>
      </w:r>
      <w:r>
        <w:rPr>
          <w:color w:val="auto"/>
          <w:highlight w:val="none"/>
        </w:rPr>
        <w:tab/>
      </w:r>
      <w:r>
        <w:rPr>
          <w:color w:val="auto"/>
          <w:highlight w:val="none"/>
        </w:rPr>
        <w:fldChar w:fldCharType="begin"/>
      </w:r>
      <w:r>
        <w:rPr>
          <w:color w:val="auto"/>
          <w:highlight w:val="none"/>
        </w:rPr>
        <w:instrText xml:space="preserve"> PAGEREF _Toc26379 \h </w:instrText>
      </w:r>
      <w:r>
        <w:rPr>
          <w:color w:val="auto"/>
          <w:highlight w:val="none"/>
        </w:rPr>
        <w:fldChar w:fldCharType="separate"/>
      </w:r>
      <w:r>
        <w:rPr>
          <w:color w:val="auto"/>
          <w:highlight w:val="none"/>
        </w:rPr>
        <w:t>118</w:t>
      </w:r>
      <w:r>
        <w:rPr>
          <w:color w:val="auto"/>
          <w:highlight w:val="none"/>
        </w:rPr>
        <w:fldChar w:fldCharType="end"/>
      </w:r>
      <w:r>
        <w:rPr>
          <w:color w:val="auto"/>
          <w:highlight w:val="none"/>
        </w:rPr>
        <w:fldChar w:fldCharType="end"/>
      </w:r>
    </w:p>
    <w:p w14:paraId="7E6C1556">
      <w:pPr>
        <w:pStyle w:val="56"/>
        <w:tabs>
          <w:tab w:val="right" w:leader="dot" w:pos="9073"/>
          <w:tab w:val="clear" w:pos="1050"/>
          <w:tab w:val="clear" w:pos="8937"/>
        </w:tabs>
        <w:spacing w:line="360" w:lineRule="auto"/>
        <w:rPr>
          <w:color w:val="auto"/>
          <w:highlight w:val="none"/>
        </w:rPr>
      </w:pPr>
      <w:r>
        <w:rPr>
          <w:color w:val="auto"/>
          <w:highlight w:val="none"/>
        </w:rPr>
        <w:fldChar w:fldCharType="begin"/>
      </w:r>
      <w:r>
        <w:rPr>
          <w:color w:val="auto"/>
          <w:highlight w:val="none"/>
        </w:rPr>
        <w:instrText xml:space="preserve"> HYPERLINK \l "_Toc17359" </w:instrText>
      </w:r>
      <w:r>
        <w:rPr>
          <w:color w:val="auto"/>
          <w:highlight w:val="none"/>
        </w:rPr>
        <w:fldChar w:fldCharType="separate"/>
      </w:r>
      <w:r>
        <w:rPr>
          <w:rFonts w:hint="eastAsia" w:cs="宋体"/>
          <w:color w:val="auto"/>
          <w:szCs w:val="28"/>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_Toc17359 \h </w:instrText>
      </w:r>
      <w:r>
        <w:rPr>
          <w:color w:val="auto"/>
          <w:highlight w:val="none"/>
        </w:rPr>
        <w:fldChar w:fldCharType="separate"/>
      </w:r>
      <w:r>
        <w:rPr>
          <w:color w:val="auto"/>
          <w:highlight w:val="none"/>
        </w:rPr>
        <w:t>144</w:t>
      </w:r>
      <w:r>
        <w:rPr>
          <w:color w:val="auto"/>
          <w:highlight w:val="none"/>
        </w:rPr>
        <w:fldChar w:fldCharType="end"/>
      </w:r>
      <w:r>
        <w:rPr>
          <w:color w:val="auto"/>
          <w:highlight w:val="none"/>
        </w:rPr>
        <w:fldChar w:fldCharType="end"/>
      </w:r>
    </w:p>
    <w:p w14:paraId="137B8FE9">
      <w:pPr>
        <w:pStyle w:val="56"/>
        <w:shd w:val="clear" w:color="auto" w:fill="FFFFFF"/>
        <w:spacing w:line="360" w:lineRule="auto"/>
        <w:rPr>
          <w:rFonts w:cs="宋体"/>
          <w:b w:val="0"/>
          <w:color w:val="auto"/>
          <w:highlight w:val="none"/>
        </w:rPr>
      </w:pPr>
      <w:r>
        <w:rPr>
          <w:rFonts w:hint="eastAsia" w:cs="宋体"/>
          <w:color w:val="auto"/>
          <w:highlight w:val="none"/>
        </w:rPr>
        <w:fldChar w:fldCharType="end"/>
      </w:r>
    </w:p>
    <w:p w14:paraId="064CA74E">
      <w:pPr>
        <w:pStyle w:val="56"/>
        <w:shd w:val="clear" w:color="auto" w:fill="FFFFFF"/>
        <w:spacing w:line="360" w:lineRule="auto"/>
        <w:rPr>
          <w:rFonts w:cs="宋体"/>
          <w:b w:val="0"/>
          <w:color w:val="auto"/>
          <w:sz w:val="36"/>
          <w:szCs w:val="36"/>
          <w:highlight w:val="none"/>
        </w:rPr>
      </w:pPr>
    </w:p>
    <w:p w14:paraId="5D720735">
      <w:pPr>
        <w:shd w:val="clear" w:color="auto" w:fill="FFFFFF"/>
        <w:spacing w:line="360" w:lineRule="auto"/>
        <w:jc w:val="center"/>
        <w:outlineLvl w:val="0"/>
        <w:rPr>
          <w:rFonts w:ascii="宋体" w:hAnsi="宋体" w:cs="宋体"/>
          <w:b/>
          <w:color w:val="auto"/>
          <w:sz w:val="36"/>
          <w:szCs w:val="36"/>
          <w:highlight w:val="none"/>
        </w:rPr>
        <w:sectPr>
          <w:headerReference r:id="rId4" w:type="first"/>
          <w:footerReference r:id="rId7" w:type="first"/>
          <w:headerReference r:id="rId3" w:type="default"/>
          <w:footerReference r:id="rId5" w:type="default"/>
          <w:footerReference r:id="rId6" w:type="even"/>
          <w:type w:val="nextColumn"/>
          <w:pgSz w:w="11907" w:h="16840"/>
          <w:pgMar w:top="1417" w:right="1417" w:bottom="1417" w:left="1417" w:header="851" w:footer="851" w:gutter="0"/>
          <w:pgNumType w:start="1"/>
          <w:cols w:space="720" w:num="1"/>
          <w:titlePg/>
          <w:docGrid w:linePitch="462" w:charSpace="0"/>
        </w:sectPr>
      </w:pPr>
    </w:p>
    <w:p w14:paraId="7A8B64ED">
      <w:pPr>
        <w:shd w:val="clear" w:color="auto" w:fill="FFFFFF"/>
        <w:spacing w:line="360" w:lineRule="auto"/>
        <w:jc w:val="center"/>
        <w:outlineLvl w:val="0"/>
        <w:rPr>
          <w:rFonts w:ascii="宋体" w:hAnsi="宋体" w:cs="宋体"/>
          <w:b/>
          <w:color w:val="auto"/>
          <w:sz w:val="36"/>
          <w:szCs w:val="36"/>
          <w:highlight w:val="none"/>
        </w:rPr>
      </w:pPr>
      <w:bookmarkStart w:id="1" w:name="_Toc1389"/>
      <w:r>
        <w:rPr>
          <w:rFonts w:hint="eastAsia" w:ascii="宋体" w:hAnsi="宋体" w:cs="宋体"/>
          <w:b/>
          <w:color w:val="auto"/>
          <w:sz w:val="36"/>
          <w:szCs w:val="36"/>
          <w:highlight w:val="none"/>
        </w:rPr>
        <w:t>第一章   采购邀请</w:t>
      </w:r>
      <w:bookmarkEnd w:id="1"/>
      <w:bookmarkStart w:id="2" w:name="_Toc35393621"/>
      <w:bookmarkStart w:id="3" w:name="_Toc35393790"/>
      <w:bookmarkStart w:id="4" w:name="_Toc28359002"/>
      <w:bookmarkStart w:id="5" w:name="_Toc28359079"/>
      <w:bookmarkStart w:id="6" w:name="_Hlk24379207"/>
    </w:p>
    <w:p w14:paraId="50ABCEC9">
      <w:pPr>
        <w:pStyle w:val="4"/>
        <w:shd w:val="clear" w:color="auto" w:fill="FFFFFF"/>
        <w:spacing w:before="0"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一、项目基本情况</w:t>
      </w:r>
      <w:bookmarkEnd w:id="2"/>
      <w:bookmarkEnd w:id="3"/>
      <w:bookmarkEnd w:id="4"/>
      <w:bookmarkEnd w:id="5"/>
    </w:p>
    <w:p w14:paraId="6A28C411">
      <w:pPr>
        <w:shd w:val="clear" w:color="auto" w:fill="FFFFFF"/>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w:t>
      </w:r>
      <w:r>
        <w:rPr>
          <w:rFonts w:hint="eastAsia"/>
          <w:color w:val="auto"/>
          <w:highlight w:val="none"/>
        </w:rPr>
        <w:t xml:space="preserve"> </w:t>
      </w:r>
      <w:r>
        <w:rPr>
          <w:rFonts w:hint="eastAsia" w:ascii="宋体" w:hAnsi="宋体" w:cs="宋体"/>
          <w:color w:val="auto"/>
          <w:sz w:val="24"/>
          <w:highlight w:val="none"/>
        </w:rPr>
        <w:t>项目代理编号：HCZB-2025-ZB1145</w:t>
      </w:r>
    </w:p>
    <w:p w14:paraId="38F6B238">
      <w:pPr>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2.项目名称：北京财贸职业学院涿州校区雨污管线修缮工程</w:t>
      </w:r>
    </w:p>
    <w:p w14:paraId="6B1FD35A">
      <w:pPr>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3.采购方式：竞争性磋商 </w:t>
      </w:r>
    </w:p>
    <w:bookmarkEnd w:id="6"/>
    <w:p w14:paraId="38C6524F">
      <w:pPr>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4.项目预算金额</w:t>
      </w:r>
      <w:r>
        <w:rPr>
          <w:rFonts w:hint="eastAsia" w:ascii="宋体" w:hAnsi="宋体" w:cs="宋体"/>
          <w:color w:val="auto"/>
          <w:sz w:val="24"/>
          <w:highlight w:val="none"/>
          <w:shd w:val="pct15" w:color="auto" w:fill="FFFFFF"/>
        </w:rPr>
        <w:t>：</w:t>
      </w:r>
      <w:r>
        <w:rPr>
          <w:rFonts w:hint="eastAsia" w:ascii="宋体" w:hAnsi="宋体" w:cs="宋体"/>
          <w:color w:val="auto"/>
          <w:sz w:val="24"/>
          <w:highlight w:val="none"/>
          <w:u w:val="single"/>
          <w:shd w:val="pct15" w:color="auto" w:fill="FFFFFF"/>
        </w:rPr>
        <w:t>192.477306</w:t>
      </w:r>
      <w:r>
        <w:rPr>
          <w:rFonts w:hint="eastAsia" w:ascii="宋体" w:hAnsi="宋体" w:cs="宋体"/>
          <w:color w:val="auto"/>
          <w:sz w:val="24"/>
          <w:highlight w:val="none"/>
        </w:rPr>
        <w:t>万元（含暂列金24万元）、项目最高限价（如有）:</w:t>
      </w:r>
      <w:r>
        <w:rPr>
          <w:rFonts w:hint="eastAsia" w:ascii="宋体" w:hAnsi="宋体" w:cs="宋体"/>
          <w:color w:val="auto"/>
          <w:sz w:val="24"/>
          <w:highlight w:val="none"/>
          <w:u w:val="single"/>
        </w:rPr>
        <w:t>192.477306</w:t>
      </w:r>
      <w:r>
        <w:rPr>
          <w:rFonts w:hint="eastAsia" w:ascii="宋体" w:hAnsi="宋体" w:cs="宋体"/>
          <w:color w:val="auto"/>
          <w:sz w:val="24"/>
          <w:highlight w:val="none"/>
        </w:rPr>
        <w:t>万元</w:t>
      </w:r>
    </w:p>
    <w:p w14:paraId="3EFC08B3">
      <w:pPr>
        <w:shd w:val="clear" w:color="auto" w:fill="FFFFFF"/>
        <w:spacing w:line="360" w:lineRule="auto"/>
        <w:ind w:firstLine="480" w:firstLineChars="200"/>
        <w:rPr>
          <w:rFonts w:ascii="宋体" w:hAnsi="宋体" w:cs="宋体"/>
          <w:color w:val="auto"/>
          <w:sz w:val="24"/>
          <w:highlight w:val="none"/>
        </w:rPr>
      </w:pPr>
    </w:p>
    <w:p w14:paraId="3E81E57D">
      <w:pPr>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5.采购需求：</w:t>
      </w:r>
    </w:p>
    <w:tbl>
      <w:tblPr>
        <w:tblStyle w:val="83"/>
        <w:tblW w:w="4732"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540"/>
        <w:gridCol w:w="1416"/>
        <w:gridCol w:w="678"/>
        <w:gridCol w:w="4483"/>
      </w:tblGrid>
      <w:tr w14:paraId="55D0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 w:type="pct"/>
            <w:vAlign w:val="center"/>
          </w:tcPr>
          <w:p w14:paraId="184DC487">
            <w:pPr>
              <w:jc w:val="center"/>
              <w:rPr>
                <w:rFonts w:ascii="Arial" w:hAnsi="Arial" w:cs="Arial"/>
                <w:color w:val="auto"/>
                <w:kern w:val="0"/>
                <w:sz w:val="24"/>
                <w:highlight w:val="none"/>
              </w:rPr>
            </w:pPr>
            <w:r>
              <w:rPr>
                <w:rFonts w:hint="eastAsia" w:ascii="Arial" w:hAnsi="Arial" w:cs="Arial"/>
                <w:color w:val="auto"/>
                <w:kern w:val="0"/>
                <w:sz w:val="24"/>
                <w:highlight w:val="none"/>
              </w:rPr>
              <w:t>序号</w:t>
            </w:r>
          </w:p>
        </w:tc>
        <w:tc>
          <w:tcPr>
            <w:tcW w:w="895" w:type="pct"/>
            <w:vAlign w:val="center"/>
          </w:tcPr>
          <w:p w14:paraId="7A7939E5">
            <w:pPr>
              <w:jc w:val="center"/>
              <w:rPr>
                <w:rFonts w:ascii="Arial" w:hAnsi="Arial" w:cs="Arial"/>
                <w:color w:val="auto"/>
                <w:kern w:val="0"/>
                <w:sz w:val="24"/>
                <w:highlight w:val="none"/>
              </w:rPr>
            </w:pPr>
            <w:r>
              <w:rPr>
                <w:rFonts w:ascii="Arial" w:hAnsi="Arial" w:cs="Arial"/>
                <w:color w:val="auto"/>
                <w:kern w:val="0"/>
                <w:sz w:val="24"/>
                <w:highlight w:val="none"/>
              </w:rPr>
              <w:t>标的名称</w:t>
            </w:r>
          </w:p>
        </w:tc>
        <w:tc>
          <w:tcPr>
            <w:tcW w:w="728" w:type="pct"/>
            <w:vAlign w:val="center"/>
          </w:tcPr>
          <w:p w14:paraId="17AEF1A4">
            <w:pPr>
              <w:jc w:val="center"/>
              <w:rPr>
                <w:rFonts w:ascii="Arial" w:hAnsi="Arial" w:cs="Arial"/>
                <w:color w:val="auto"/>
                <w:kern w:val="0"/>
                <w:sz w:val="24"/>
                <w:highlight w:val="none"/>
              </w:rPr>
            </w:pPr>
            <w:r>
              <w:rPr>
                <w:rFonts w:hint="eastAsia" w:ascii="Arial" w:hAnsi="Arial" w:cs="Arial"/>
                <w:color w:val="auto"/>
                <w:kern w:val="0"/>
                <w:sz w:val="24"/>
                <w:highlight w:val="none"/>
              </w:rPr>
              <w:t>预算金额（万元）</w:t>
            </w:r>
          </w:p>
        </w:tc>
        <w:tc>
          <w:tcPr>
            <w:tcW w:w="405" w:type="pct"/>
            <w:vAlign w:val="center"/>
          </w:tcPr>
          <w:p w14:paraId="2D78E656">
            <w:pPr>
              <w:jc w:val="center"/>
              <w:rPr>
                <w:rFonts w:ascii="Arial" w:hAnsi="Arial" w:cs="Arial"/>
                <w:color w:val="auto"/>
                <w:kern w:val="0"/>
                <w:sz w:val="24"/>
                <w:highlight w:val="none"/>
              </w:rPr>
            </w:pPr>
            <w:r>
              <w:rPr>
                <w:rFonts w:ascii="Arial" w:hAnsi="Arial" w:cs="Arial"/>
                <w:color w:val="auto"/>
                <w:kern w:val="0"/>
                <w:sz w:val="24"/>
                <w:highlight w:val="none"/>
              </w:rPr>
              <w:t>数量</w:t>
            </w:r>
          </w:p>
        </w:tc>
        <w:tc>
          <w:tcPr>
            <w:tcW w:w="2569" w:type="pct"/>
            <w:vAlign w:val="center"/>
          </w:tcPr>
          <w:p w14:paraId="12294F35">
            <w:pPr>
              <w:jc w:val="center"/>
              <w:rPr>
                <w:rFonts w:ascii="Arial" w:hAnsi="Arial" w:cs="Arial"/>
                <w:color w:val="auto"/>
                <w:kern w:val="0"/>
                <w:sz w:val="24"/>
                <w:highlight w:val="none"/>
              </w:rPr>
            </w:pPr>
            <w:r>
              <w:rPr>
                <w:rFonts w:ascii="Arial" w:hAnsi="Arial" w:cs="Arial"/>
                <w:color w:val="auto"/>
                <w:kern w:val="0"/>
                <w:sz w:val="24"/>
                <w:highlight w:val="none"/>
              </w:rPr>
              <w:t>简要技术需求或服务要求</w:t>
            </w:r>
          </w:p>
        </w:tc>
      </w:tr>
      <w:tr w14:paraId="1D5C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03" w:type="pct"/>
            <w:vAlign w:val="center"/>
          </w:tcPr>
          <w:p w14:paraId="337AC15A">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895" w:type="pct"/>
            <w:vAlign w:val="center"/>
          </w:tcPr>
          <w:p w14:paraId="0758562B">
            <w:pPr>
              <w:jc w:val="center"/>
              <w:rPr>
                <w:rFonts w:ascii="宋体" w:hAnsi="宋体" w:cs="宋体"/>
                <w:color w:val="auto"/>
                <w:kern w:val="0"/>
                <w:sz w:val="24"/>
                <w:highlight w:val="none"/>
              </w:rPr>
            </w:pPr>
            <w:r>
              <w:rPr>
                <w:rFonts w:hint="eastAsia" w:ascii="宋体" w:hAnsi="宋体" w:cs="宋体"/>
                <w:color w:val="auto"/>
                <w:sz w:val="24"/>
                <w:highlight w:val="none"/>
              </w:rPr>
              <w:t>北京财贸职业学院涿州校区雨污管线修缮工程项目</w:t>
            </w:r>
          </w:p>
        </w:tc>
        <w:tc>
          <w:tcPr>
            <w:tcW w:w="728" w:type="pct"/>
            <w:vAlign w:val="center"/>
          </w:tcPr>
          <w:p w14:paraId="62EE5323">
            <w:pPr>
              <w:jc w:val="center"/>
              <w:rPr>
                <w:rFonts w:ascii="宋体" w:hAnsi="宋体" w:cs="宋体"/>
                <w:color w:val="auto"/>
                <w:kern w:val="0"/>
                <w:sz w:val="24"/>
                <w:highlight w:val="none"/>
              </w:rPr>
            </w:pPr>
            <w:r>
              <w:rPr>
                <w:rFonts w:hint="eastAsia" w:ascii="宋体" w:hAnsi="宋体" w:cs="宋体"/>
                <w:color w:val="auto"/>
                <w:sz w:val="24"/>
                <w:highlight w:val="none"/>
              </w:rPr>
              <w:t>192.477306</w:t>
            </w:r>
          </w:p>
        </w:tc>
        <w:tc>
          <w:tcPr>
            <w:tcW w:w="405" w:type="pct"/>
            <w:vAlign w:val="center"/>
          </w:tcPr>
          <w:p w14:paraId="6BF8434C">
            <w:pPr>
              <w:jc w:val="center"/>
              <w:rPr>
                <w:rFonts w:ascii="宋体" w:hAnsi="宋体" w:cs="宋体"/>
                <w:color w:val="auto"/>
                <w:sz w:val="24"/>
                <w:highlight w:val="none"/>
              </w:rPr>
            </w:pPr>
            <w:r>
              <w:rPr>
                <w:rFonts w:hint="eastAsia" w:ascii="宋体" w:hAnsi="宋体" w:cs="宋体"/>
                <w:color w:val="auto"/>
                <w:sz w:val="24"/>
                <w:highlight w:val="none"/>
              </w:rPr>
              <w:t>1</w:t>
            </w:r>
          </w:p>
        </w:tc>
        <w:tc>
          <w:tcPr>
            <w:tcW w:w="2569" w:type="pct"/>
            <w:vAlign w:val="center"/>
          </w:tcPr>
          <w:p w14:paraId="2E3AB5CB">
            <w:pPr>
              <w:rPr>
                <w:rFonts w:ascii="宋体" w:hAnsi="宋体"/>
                <w:color w:val="auto"/>
                <w:sz w:val="24"/>
                <w:highlight w:val="none"/>
              </w:rPr>
            </w:pPr>
            <w:r>
              <w:rPr>
                <w:rFonts w:hint="eastAsia" w:ascii="宋体" w:hAnsi="宋体" w:cs="宋体"/>
                <w:color w:val="auto"/>
                <w:sz w:val="24"/>
                <w:highlight w:val="none"/>
              </w:rPr>
              <w:t>北京财贸职业学院涿州校区雨污管线修缮工程项目，详见第四章采购需求。</w:t>
            </w:r>
          </w:p>
        </w:tc>
      </w:tr>
    </w:tbl>
    <w:p w14:paraId="129F1384">
      <w:pPr>
        <w:shd w:val="clear" w:color="auto" w:fill="FFFFFF"/>
        <w:spacing w:before="24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6.合同履行期限：</w:t>
      </w:r>
      <w:r>
        <w:rPr>
          <w:rFonts w:hint="eastAsia"/>
          <w:color w:val="auto"/>
          <w:sz w:val="24"/>
          <w:highlight w:val="none"/>
        </w:rPr>
        <w:t>本项目计划工期</w:t>
      </w:r>
      <w:r>
        <w:rPr>
          <w:rFonts w:hint="eastAsia"/>
          <w:color w:val="auto"/>
          <w:sz w:val="24"/>
          <w:highlight w:val="none"/>
          <w:u w:val="single"/>
        </w:rPr>
        <w:t xml:space="preserve"> </w:t>
      </w:r>
      <w:r>
        <w:rPr>
          <w:color w:val="auto"/>
          <w:sz w:val="24"/>
          <w:highlight w:val="none"/>
          <w:u w:val="single"/>
        </w:rPr>
        <w:t>35</w:t>
      </w:r>
      <w:r>
        <w:rPr>
          <w:rFonts w:hint="eastAsia"/>
          <w:color w:val="auto"/>
          <w:sz w:val="24"/>
          <w:highlight w:val="none"/>
          <w:u w:val="single"/>
        </w:rPr>
        <w:t xml:space="preserve"> </w:t>
      </w:r>
      <w:r>
        <w:rPr>
          <w:rFonts w:hint="eastAsia"/>
          <w:color w:val="auto"/>
          <w:sz w:val="24"/>
          <w:highlight w:val="none"/>
        </w:rPr>
        <w:t>日历天；具体开工日期以双方签订合同约定为准。</w:t>
      </w:r>
    </w:p>
    <w:p w14:paraId="218824D6">
      <w:pPr>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7.本项目是否接受联合体：</w:t>
      </w:r>
      <w:r>
        <w:rPr>
          <w:rFonts w:hint="eastAsia" w:ascii="宋体" w:hAnsi="宋体" w:cs="宋体"/>
          <w:color w:val="auto"/>
          <w:highlight w:val="none"/>
        </w:rPr>
        <w:t>□</w:t>
      </w:r>
      <w:r>
        <w:rPr>
          <w:rFonts w:hint="eastAsia" w:ascii="宋体" w:hAnsi="宋体" w:cs="宋体"/>
          <w:color w:val="auto"/>
          <w:sz w:val="24"/>
          <w:highlight w:val="none"/>
        </w:rPr>
        <w:t xml:space="preserve">是  </w:t>
      </w:r>
      <w:r>
        <w:rPr>
          <w:rFonts w:hint="eastAsia" w:ascii="宋体" w:hAnsi="宋体" w:cs="宋体"/>
          <w:b/>
          <w:color w:val="auto"/>
          <w:sz w:val="24"/>
          <w:highlight w:val="none"/>
        </w:rPr>
        <w:t>■</w:t>
      </w:r>
      <w:r>
        <w:rPr>
          <w:rFonts w:hint="eastAsia" w:ascii="宋体" w:hAnsi="宋体" w:cs="宋体"/>
          <w:color w:val="auto"/>
          <w:sz w:val="24"/>
          <w:highlight w:val="none"/>
        </w:rPr>
        <w:t>否。</w:t>
      </w:r>
    </w:p>
    <w:p w14:paraId="7EF9FC35">
      <w:pPr>
        <w:pStyle w:val="4"/>
        <w:shd w:val="clear" w:color="auto" w:fill="FFFFFF"/>
        <w:spacing w:before="0" w:line="360" w:lineRule="auto"/>
        <w:jc w:val="left"/>
        <w:rPr>
          <w:rFonts w:ascii="宋体" w:hAnsi="宋体" w:eastAsia="宋体" w:cs="宋体"/>
          <w:color w:val="auto"/>
          <w:sz w:val="24"/>
          <w:szCs w:val="24"/>
          <w:highlight w:val="none"/>
        </w:rPr>
      </w:pPr>
      <w:bookmarkStart w:id="7" w:name="_Toc28359003"/>
      <w:bookmarkStart w:id="8" w:name="_Toc35393791"/>
      <w:bookmarkStart w:id="9" w:name="_Toc35393622"/>
      <w:bookmarkStart w:id="10" w:name="_Toc28359080"/>
      <w:r>
        <w:rPr>
          <w:rFonts w:hint="eastAsia" w:ascii="宋体" w:hAnsi="宋体" w:eastAsia="宋体" w:cs="宋体"/>
          <w:color w:val="auto"/>
          <w:sz w:val="24"/>
          <w:szCs w:val="24"/>
          <w:highlight w:val="none"/>
        </w:rPr>
        <w:t>二、申请人的资格要求（须同时满足）</w:t>
      </w:r>
      <w:bookmarkEnd w:id="7"/>
      <w:bookmarkEnd w:id="8"/>
      <w:bookmarkEnd w:id="9"/>
      <w:bookmarkEnd w:id="10"/>
    </w:p>
    <w:p w14:paraId="574D6E9F">
      <w:pPr>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50999CDB">
      <w:pPr>
        <w:shd w:val="clear" w:color="auto" w:fill="FFFFFF"/>
        <w:spacing w:line="360" w:lineRule="auto"/>
        <w:ind w:firstLine="480" w:firstLineChars="200"/>
        <w:rPr>
          <w:rFonts w:ascii="宋体" w:hAnsi="宋体" w:cs="宋体"/>
          <w:color w:val="auto"/>
          <w:sz w:val="24"/>
          <w:highlight w:val="none"/>
        </w:rPr>
      </w:pPr>
      <w:bookmarkStart w:id="11" w:name="_Toc28359004"/>
      <w:bookmarkStart w:id="12" w:name="_Toc28359081"/>
      <w:r>
        <w:rPr>
          <w:rFonts w:hint="eastAsia" w:ascii="宋体" w:hAnsi="宋体" w:cs="宋体"/>
          <w:color w:val="auto"/>
          <w:sz w:val="24"/>
          <w:highlight w:val="none"/>
        </w:rPr>
        <w:t>2.落实政府采购政策需满足的资格要求：</w:t>
      </w:r>
    </w:p>
    <w:p w14:paraId="30236842">
      <w:pPr>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中小企业政策</w:t>
      </w:r>
    </w:p>
    <w:p w14:paraId="596378A1">
      <w:pPr>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□本项目不专门面向中小企业预留采购份额。</w:t>
      </w:r>
    </w:p>
    <w:p w14:paraId="58178B5C">
      <w:pPr>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■本项目专门面向 ■中小 □小微企业  采购。即：提供的货物全部由符合政策要求的中小/小微企业制造、服务全部由符合政策要求的中小/小微企业承接。</w:t>
      </w:r>
    </w:p>
    <w:p w14:paraId="51779462">
      <w:pPr>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color w:val="auto"/>
          <w:sz w:val="24"/>
          <w:highlight w:val="none"/>
          <w:u w:val="single"/>
        </w:rPr>
        <w:t xml:space="preserve">   /  </w:t>
      </w:r>
      <w:r>
        <w:rPr>
          <w:rFonts w:hint="eastAsia" w:ascii="宋体" w:hAnsi="宋体" w:cs="宋体"/>
          <w:color w:val="auto"/>
          <w:sz w:val="24"/>
          <w:highlight w:val="none"/>
          <w:u w:val="single"/>
        </w:rPr>
        <w:tab/>
      </w:r>
      <w:r>
        <w:rPr>
          <w:rFonts w:hint="eastAsia" w:ascii="宋体" w:hAnsi="宋体" w:cs="宋体"/>
          <w:color w:val="auto"/>
          <w:sz w:val="24"/>
          <w:highlight w:val="none"/>
        </w:rPr>
        <w:t>。</w:t>
      </w:r>
    </w:p>
    <w:p w14:paraId="738453F5">
      <w:pPr>
        <w:shd w:val="clear" w:color="auto" w:fill="FFFFFF"/>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2.2 其它落实政府采购政策的资格要求：</w:t>
      </w:r>
    </w:p>
    <w:p w14:paraId="3695CE79">
      <w:pPr>
        <w:shd w:val="clear" w:color="auto" w:fill="FFFFFF"/>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2</w:t>
      </w:r>
      <w:r>
        <w:rPr>
          <w:rFonts w:ascii="宋体" w:hAnsi="宋体"/>
          <w:color w:val="auto"/>
          <w:sz w:val="24"/>
          <w:highlight w:val="none"/>
        </w:rPr>
        <w:t>.2.1</w:t>
      </w:r>
      <w:r>
        <w:rPr>
          <w:rFonts w:hint="eastAsia" w:ascii="宋体" w:hAnsi="宋体"/>
          <w:color w:val="auto"/>
          <w:sz w:val="24"/>
          <w:highlight w:val="none"/>
        </w:rPr>
        <w:t>供应商必须未被列入“信用中国”、“中国政府采购网”网站的失信被执行人、重大税收违法案件当事人名单、政府采购严重违法失信行为记录名单。</w:t>
      </w:r>
    </w:p>
    <w:p w14:paraId="2C1EC429">
      <w:pPr>
        <w:shd w:val="clear" w:color="auto" w:fill="FFFFFF"/>
        <w:spacing w:line="360" w:lineRule="auto"/>
        <w:ind w:firstLine="480" w:firstLineChars="200"/>
        <w:rPr>
          <w:rFonts w:ascii="宋体" w:hAnsi="宋体" w:cs="宋体"/>
          <w:i/>
          <w:iCs/>
          <w:color w:val="auto"/>
          <w:sz w:val="24"/>
          <w:highlight w:val="none"/>
          <w:u w:val="single"/>
        </w:rPr>
      </w:pPr>
      <w:r>
        <w:rPr>
          <w:rFonts w:hint="eastAsia" w:ascii="宋体" w:hAnsi="宋体" w:cs="宋体"/>
          <w:color w:val="auto"/>
          <w:sz w:val="24"/>
          <w:highlight w:val="none"/>
        </w:rPr>
        <w:t>3.本项目的特定资格要求：</w:t>
      </w:r>
    </w:p>
    <w:p w14:paraId="33582852">
      <w:pPr>
        <w:shd w:val="clear" w:color="auto" w:fill="FFFFFF"/>
        <w:tabs>
          <w:tab w:val="left" w:pos="900"/>
          <w:tab w:val="left" w:pos="1134"/>
          <w:tab w:val="left" w:pos="1589"/>
          <w:tab w:val="left" w:pos="5521"/>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 本项目是否属于政府购买服务：</w:t>
      </w:r>
    </w:p>
    <w:p w14:paraId="580F99F2">
      <w:pPr>
        <w:shd w:val="clear" w:color="auto" w:fill="FFFFFF"/>
        <w:tabs>
          <w:tab w:val="left" w:pos="900"/>
          <w:tab w:val="left" w:pos="1134"/>
          <w:tab w:val="left" w:pos="1589"/>
          <w:tab w:val="left" w:pos="5521"/>
        </w:tabs>
        <w:snapToGrid w:val="0"/>
        <w:spacing w:line="360" w:lineRule="auto"/>
        <w:ind w:left="991" w:leftChars="472" w:firstLine="2"/>
        <w:rPr>
          <w:rFonts w:ascii="宋体" w:hAnsi="宋体" w:cs="宋体"/>
          <w:color w:val="auto"/>
          <w:sz w:val="24"/>
          <w:highlight w:val="none"/>
        </w:rPr>
      </w:pPr>
      <w:r>
        <w:rPr>
          <w:rFonts w:hint="eastAsia" w:ascii="宋体" w:hAnsi="宋体" w:cs="宋体"/>
          <w:color w:val="auto"/>
          <w:sz w:val="24"/>
          <w:highlight w:val="none"/>
        </w:rPr>
        <w:t>■否</w:t>
      </w:r>
    </w:p>
    <w:p w14:paraId="6991AFAE">
      <w:pPr>
        <w:shd w:val="clear" w:color="auto" w:fill="FFFFFF"/>
        <w:tabs>
          <w:tab w:val="left" w:pos="900"/>
          <w:tab w:val="left" w:pos="1134"/>
          <w:tab w:val="left" w:pos="1589"/>
          <w:tab w:val="left" w:pos="5521"/>
        </w:tabs>
        <w:snapToGrid w:val="0"/>
        <w:spacing w:line="360" w:lineRule="auto"/>
        <w:ind w:left="991" w:leftChars="472" w:firstLine="2"/>
        <w:rPr>
          <w:rFonts w:ascii="宋体" w:hAnsi="宋体" w:cs="宋体"/>
          <w:color w:val="auto"/>
          <w:sz w:val="24"/>
          <w:highlight w:val="none"/>
        </w:rPr>
      </w:pPr>
      <w:r>
        <w:rPr>
          <w:rFonts w:hint="eastAsia" w:ascii="宋体" w:hAnsi="宋体" w:cs="宋体"/>
          <w:color w:val="auto"/>
          <w:sz w:val="24"/>
          <w:highlight w:val="none"/>
        </w:rPr>
        <w:t>□是，公益一类事业单位、使用事业编制且由财政拨款保障的群团组织，不得作为承接主体；</w:t>
      </w:r>
    </w:p>
    <w:p w14:paraId="150D8D17">
      <w:pPr>
        <w:shd w:val="clear" w:color="auto" w:fill="FFFFFF"/>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3.2其他特定资格要求：</w:t>
      </w:r>
    </w:p>
    <w:p w14:paraId="43EA6DE4">
      <w:pPr>
        <w:pStyle w:val="82"/>
        <w:tabs>
          <w:tab w:val="left" w:pos="5580"/>
        </w:tabs>
        <w:snapToGrid w:val="0"/>
        <w:spacing w:after="0" w:line="360" w:lineRule="auto"/>
        <w:ind w:left="0" w:leftChars="0"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4"/>
          <w:highlight w:val="none"/>
        </w:rPr>
        <w:t>3.2.1供应商须具有有效的市政公用工程施工总承包三级（含）以上资质且具有有效的《安全生产许可证》，并在人员、设备、资金等方面具备相应的施工能力，其中，申请人拟派项目经理须具备市政公用工程专业二 级（含）以上注册建造师执业资格和有效的安全生产考核合格证书（B本），且未担任其他在施建设工程项目的项目经理</w:t>
      </w:r>
      <w:r>
        <w:rPr>
          <w:rFonts w:hint="eastAsia" w:asciiTheme="minorEastAsia" w:hAnsiTheme="minorEastAsia" w:eastAsiaTheme="minorEastAsia" w:cstheme="minorEastAsia"/>
          <w:color w:val="auto"/>
          <w:highlight w:val="none"/>
        </w:rPr>
        <w:t>；</w:t>
      </w:r>
    </w:p>
    <w:p w14:paraId="00517685">
      <w:pPr>
        <w:spacing w:line="360" w:lineRule="auto"/>
        <w:ind w:left="210" w:leftChars="100" w:firstLine="225" w:firstLineChars="94"/>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w:t>
      </w:r>
      <w:r>
        <w:rPr>
          <w:rFonts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rPr>
        <w:t>在“信用中国”网站（www.creditchina.gov.cn）中被列入失信被执行人、重大税收违法案件当事人名单、政府采购严重违法失信行为记录名单的被执行人，在“中国政府采购网” 网站（www.ccgp.gov.cn）被列为失信供应商，不得参与本项目投标；</w:t>
      </w:r>
    </w:p>
    <w:p w14:paraId="503C86C3">
      <w:pPr>
        <w:spacing w:line="360" w:lineRule="auto"/>
        <w:ind w:left="210" w:leftChars="100" w:firstLine="225" w:firstLineChars="94"/>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w:t>
      </w:r>
      <w:r>
        <w:rPr>
          <w:rFonts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rPr>
        <w:t>供应商经营状态：在近三年（2022年</w:t>
      </w:r>
      <w:r>
        <w:rPr>
          <w:rFonts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rPr>
        <w:t>月1日至响应文件提交截止时间前）没有骗取中标和严重违约，没有处于被责令停业，投标资格被取消，财产被接管、冻结，破产状态；</w:t>
      </w:r>
    </w:p>
    <w:p w14:paraId="3D0AB465">
      <w:pPr>
        <w:spacing w:line="360" w:lineRule="auto"/>
        <w:ind w:left="210" w:leftChars="100" w:firstLine="225" w:firstLineChars="94"/>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w:t>
      </w:r>
      <w:r>
        <w:rPr>
          <w:rFonts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rPr>
        <w:t>单位负责人为同一人或者存在直接控股、管理关系的不同供应商，不得同时参加本项目；</w:t>
      </w:r>
    </w:p>
    <w:bookmarkEnd w:id="11"/>
    <w:bookmarkEnd w:id="12"/>
    <w:p w14:paraId="5EB7487A">
      <w:pPr>
        <w:pStyle w:val="4"/>
        <w:widowControl/>
        <w:shd w:val="clear" w:color="auto" w:fill="FFFFFF"/>
        <w:spacing w:before="0" w:line="360" w:lineRule="auto"/>
        <w:jc w:val="left"/>
        <w:rPr>
          <w:rFonts w:ascii="宋体" w:hAnsi="宋体" w:eastAsia="宋体" w:cs="宋体"/>
          <w:color w:val="auto"/>
          <w:sz w:val="24"/>
          <w:szCs w:val="24"/>
          <w:highlight w:val="none"/>
        </w:rPr>
      </w:pPr>
      <w:bookmarkStart w:id="13" w:name="_Toc35393792"/>
      <w:bookmarkStart w:id="14" w:name="_Toc35393623"/>
      <w:r>
        <w:rPr>
          <w:rFonts w:hint="eastAsia" w:ascii="宋体" w:hAnsi="宋体" w:eastAsia="宋体" w:cs="宋体"/>
          <w:color w:val="auto"/>
          <w:sz w:val="24"/>
          <w:szCs w:val="24"/>
          <w:highlight w:val="none"/>
        </w:rPr>
        <w:t>三、获取采购文件</w:t>
      </w:r>
      <w:bookmarkEnd w:id="13"/>
      <w:bookmarkEnd w:id="14"/>
    </w:p>
    <w:p w14:paraId="38645C98">
      <w:pPr>
        <w:shd w:val="clear" w:color="auto" w:fill="FFFFFF"/>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1.时间：</w:t>
      </w:r>
      <w:r>
        <w:rPr>
          <w:rFonts w:hint="eastAsia" w:ascii="宋体" w:hAnsi="宋体" w:cs="宋体"/>
          <w:color w:val="auto"/>
          <w:sz w:val="24"/>
          <w:highlight w:val="none"/>
          <w:u w:val="single"/>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07</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30</w:t>
      </w:r>
      <w:r>
        <w:rPr>
          <w:rFonts w:hint="eastAsia" w:ascii="宋体" w:hAnsi="宋体" w:cs="宋体"/>
          <w:color w:val="auto"/>
          <w:sz w:val="24"/>
          <w:highlight w:val="none"/>
        </w:rPr>
        <w:t>日至</w:t>
      </w:r>
      <w:r>
        <w:rPr>
          <w:rFonts w:hint="eastAsia" w:ascii="宋体" w:hAnsi="宋体" w:cs="宋体"/>
          <w:color w:val="auto"/>
          <w:sz w:val="24"/>
          <w:highlight w:val="none"/>
          <w:u w:val="single"/>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08</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06</w:t>
      </w:r>
      <w:r>
        <w:rPr>
          <w:rFonts w:hint="eastAsia" w:ascii="宋体" w:hAnsi="宋体" w:cs="宋体"/>
          <w:color w:val="auto"/>
          <w:sz w:val="24"/>
          <w:highlight w:val="none"/>
        </w:rPr>
        <w:t>日，每天上午</w:t>
      </w:r>
      <w:r>
        <w:rPr>
          <w:rFonts w:hint="eastAsia" w:ascii="宋体" w:hAnsi="宋体" w:cs="宋体"/>
          <w:color w:val="auto"/>
          <w:sz w:val="24"/>
          <w:highlight w:val="none"/>
          <w:u w:val="single"/>
        </w:rPr>
        <w:t>09:00</w:t>
      </w:r>
      <w:r>
        <w:rPr>
          <w:rFonts w:hint="eastAsia" w:ascii="宋体" w:hAnsi="宋体" w:cs="宋体"/>
          <w:color w:val="auto"/>
          <w:sz w:val="24"/>
          <w:highlight w:val="none"/>
        </w:rPr>
        <w:t>至</w:t>
      </w:r>
      <w:r>
        <w:rPr>
          <w:rFonts w:hint="eastAsia" w:ascii="宋体" w:hAnsi="宋体" w:cs="宋体"/>
          <w:color w:val="auto"/>
          <w:sz w:val="24"/>
          <w:highlight w:val="none"/>
          <w:u w:val="single"/>
        </w:rPr>
        <w:t xml:space="preserve">12:00 </w:t>
      </w:r>
      <w:r>
        <w:rPr>
          <w:rFonts w:hint="eastAsia" w:ascii="宋体" w:hAnsi="宋体" w:cs="宋体"/>
          <w:color w:val="auto"/>
          <w:sz w:val="24"/>
          <w:highlight w:val="none"/>
        </w:rPr>
        <w:t>，下午</w:t>
      </w:r>
      <w:r>
        <w:rPr>
          <w:rFonts w:hint="eastAsia" w:ascii="宋体" w:hAnsi="宋体" w:cs="宋体"/>
          <w:color w:val="auto"/>
          <w:sz w:val="24"/>
          <w:highlight w:val="none"/>
          <w:u w:val="single"/>
        </w:rPr>
        <w:t>13:00至1</w:t>
      </w:r>
      <w:r>
        <w:rPr>
          <w:rFonts w:ascii="宋体" w:hAnsi="宋体" w:cs="宋体"/>
          <w:color w:val="auto"/>
          <w:sz w:val="24"/>
          <w:highlight w:val="none"/>
          <w:u w:val="single"/>
        </w:rPr>
        <w:t>7</w:t>
      </w:r>
      <w:r>
        <w:rPr>
          <w:rFonts w:hint="eastAsia" w:ascii="宋体" w:hAnsi="宋体" w:cs="宋体"/>
          <w:color w:val="auto"/>
          <w:sz w:val="24"/>
          <w:highlight w:val="none"/>
          <w:u w:val="single"/>
        </w:rPr>
        <w:t>:00</w:t>
      </w:r>
      <w:r>
        <w:rPr>
          <w:rFonts w:hint="eastAsia" w:ascii="宋体" w:hAnsi="宋体" w:cs="宋体"/>
          <w:color w:val="auto"/>
          <w:sz w:val="24"/>
          <w:highlight w:val="none"/>
        </w:rPr>
        <w:t>（北京时间，法定节假日除外）。</w:t>
      </w:r>
    </w:p>
    <w:p w14:paraId="7D40F8C0">
      <w:pPr>
        <w:wordWrap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2.地点：北京市政府采购电子交易平台。</w:t>
      </w:r>
    </w:p>
    <w:p w14:paraId="4093CD2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3.方式：供应商使用CA 数字证书或电子营业执照登录北京市政府采购电子交易平台（http://zbcg-bjzc.zhongcy.com/bjczj-portal-site/index.html#/home）获取。</w:t>
      </w:r>
    </w:p>
    <w:p w14:paraId="0132C85C">
      <w:pPr>
        <w:shd w:val="clear" w:color="auto" w:fill="FFFFFF"/>
        <w:adjustRightInd w:val="0"/>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4.售价：50</w:t>
      </w:r>
      <w:r>
        <w:rPr>
          <w:rFonts w:ascii="宋体" w:hAnsi="宋体" w:cs="宋体"/>
          <w:color w:val="auto"/>
          <w:sz w:val="24"/>
          <w:highlight w:val="none"/>
        </w:rPr>
        <w:t>0</w:t>
      </w:r>
      <w:r>
        <w:rPr>
          <w:rFonts w:hint="eastAsia" w:ascii="宋体" w:hAnsi="宋体" w:cs="宋体"/>
          <w:color w:val="auto"/>
          <w:sz w:val="24"/>
          <w:highlight w:val="none"/>
        </w:rPr>
        <w:t>元（人民币）。</w:t>
      </w:r>
    </w:p>
    <w:p w14:paraId="143D2DD1">
      <w:pPr>
        <w:pStyle w:val="4"/>
        <w:widowControl/>
        <w:shd w:val="clear" w:color="auto" w:fill="FFFFFF"/>
        <w:spacing w:before="0" w:line="360" w:lineRule="auto"/>
        <w:jc w:val="left"/>
        <w:rPr>
          <w:rFonts w:ascii="宋体" w:hAnsi="宋体" w:eastAsia="宋体" w:cs="宋体"/>
          <w:color w:val="auto"/>
          <w:sz w:val="24"/>
          <w:szCs w:val="24"/>
          <w:highlight w:val="none"/>
        </w:rPr>
      </w:pPr>
      <w:bookmarkStart w:id="15" w:name="_Toc28359005"/>
      <w:bookmarkStart w:id="16" w:name="_Toc35393793"/>
      <w:bookmarkStart w:id="17" w:name="_Toc35393624"/>
      <w:bookmarkStart w:id="18" w:name="_Toc28359082"/>
      <w:r>
        <w:rPr>
          <w:rFonts w:hint="eastAsia" w:ascii="宋体" w:hAnsi="宋体" w:eastAsia="宋体" w:cs="宋体"/>
          <w:color w:val="auto"/>
          <w:sz w:val="24"/>
          <w:szCs w:val="24"/>
          <w:highlight w:val="none"/>
        </w:rPr>
        <w:t>四、</w:t>
      </w:r>
      <w:bookmarkEnd w:id="15"/>
      <w:bookmarkEnd w:id="16"/>
      <w:bookmarkEnd w:id="17"/>
      <w:bookmarkEnd w:id="18"/>
      <w:r>
        <w:rPr>
          <w:rFonts w:hint="eastAsia" w:ascii="宋体" w:hAnsi="宋体" w:eastAsia="宋体" w:cs="宋体"/>
          <w:color w:val="auto"/>
          <w:sz w:val="24"/>
          <w:szCs w:val="24"/>
          <w:highlight w:val="none"/>
        </w:rPr>
        <w:t>响应文件提交</w:t>
      </w:r>
    </w:p>
    <w:p w14:paraId="0A136DD7">
      <w:pPr>
        <w:shd w:val="clear" w:color="auto" w:fill="FFFFFF"/>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截止时间：</w:t>
      </w:r>
      <w:r>
        <w:rPr>
          <w:rFonts w:hint="eastAsia" w:ascii="宋体" w:hAnsi="宋体" w:cs="宋体"/>
          <w:color w:val="auto"/>
          <w:sz w:val="24"/>
          <w:highlight w:val="none"/>
          <w:u w:val="single"/>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08</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rPr>
        <w:t>点</w:t>
      </w:r>
      <w:r>
        <w:rPr>
          <w:rFonts w:ascii="宋体" w:hAnsi="宋体" w:cs="宋体"/>
          <w:color w:val="auto"/>
          <w:sz w:val="24"/>
          <w:highlight w:val="none"/>
          <w:u w:val="single"/>
        </w:rPr>
        <w:t>3</w:t>
      </w:r>
      <w:r>
        <w:rPr>
          <w:rFonts w:hint="eastAsia" w:ascii="宋体" w:hAnsi="宋体" w:cs="宋体"/>
          <w:color w:val="auto"/>
          <w:sz w:val="24"/>
          <w:highlight w:val="none"/>
          <w:u w:val="single"/>
        </w:rPr>
        <w:t>0</w:t>
      </w:r>
      <w:r>
        <w:rPr>
          <w:rFonts w:hint="eastAsia" w:ascii="宋体" w:hAnsi="宋体" w:cs="宋体"/>
          <w:color w:val="auto"/>
          <w:sz w:val="24"/>
          <w:highlight w:val="none"/>
        </w:rPr>
        <w:t>分</w:t>
      </w:r>
      <w:r>
        <w:rPr>
          <w:rFonts w:hint="eastAsia" w:ascii="宋体" w:hAnsi="宋体" w:cs="宋体"/>
          <w:bCs/>
          <w:color w:val="auto"/>
          <w:sz w:val="24"/>
          <w:highlight w:val="none"/>
        </w:rPr>
        <w:t>（北京时间）</w:t>
      </w:r>
      <w:r>
        <w:rPr>
          <w:rFonts w:hint="eastAsia" w:ascii="宋体" w:hAnsi="宋体" w:cs="宋体"/>
          <w:iCs/>
          <w:color w:val="auto"/>
          <w:sz w:val="24"/>
          <w:highlight w:val="none"/>
        </w:rPr>
        <w:t>。</w:t>
      </w:r>
    </w:p>
    <w:p w14:paraId="266997F4">
      <w:pPr>
        <w:shd w:val="clear" w:color="auto" w:fill="FFFFFF"/>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北京市丰台区广安路9号国投财富广场6号楼15层第 </w:t>
      </w:r>
      <w:r>
        <w:rPr>
          <w:rFonts w:hint="eastAsia" w:ascii="宋体" w:hAnsi="宋体" w:cs="宋体"/>
          <w:color w:val="auto"/>
          <w:sz w:val="24"/>
          <w:highlight w:val="none"/>
          <w:u w:val="single"/>
          <w:lang w:val="en-US" w:eastAsia="zh-CN"/>
        </w:rPr>
        <w:t>一</w:t>
      </w:r>
      <w:r>
        <w:rPr>
          <w:rFonts w:hint="eastAsia" w:ascii="宋体" w:hAnsi="宋体" w:cs="宋体"/>
          <w:color w:val="auto"/>
          <w:sz w:val="24"/>
          <w:highlight w:val="none"/>
          <w:u w:val="single"/>
        </w:rPr>
        <w:t>会议室</w:t>
      </w:r>
      <w:r>
        <w:rPr>
          <w:rFonts w:hint="eastAsia"/>
          <w:color w:val="auto"/>
          <w:sz w:val="24"/>
          <w:highlight w:val="none"/>
        </w:rPr>
        <w:t>。</w:t>
      </w:r>
    </w:p>
    <w:p w14:paraId="3BF7285F">
      <w:pPr>
        <w:shd w:val="clear" w:color="auto" w:fill="FFFFFF"/>
        <w:spacing w:line="360" w:lineRule="auto"/>
        <w:ind w:firstLine="480" w:firstLineChars="200"/>
        <w:rPr>
          <w:rFonts w:ascii="宋体" w:hAnsi="宋体" w:cs="宋体"/>
          <w:color w:val="auto"/>
          <w:sz w:val="24"/>
          <w:highlight w:val="none"/>
          <w:lang w:val="zh-TW"/>
        </w:rPr>
      </w:pPr>
    </w:p>
    <w:p w14:paraId="13D4939A">
      <w:pPr>
        <w:pStyle w:val="4"/>
        <w:shd w:val="clear" w:color="auto" w:fill="FFFFFF"/>
        <w:spacing w:before="0" w:line="360" w:lineRule="auto"/>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五、开启</w:t>
      </w:r>
    </w:p>
    <w:p w14:paraId="5D2F36E3">
      <w:pPr>
        <w:shd w:val="clear" w:color="auto" w:fill="FFFFFF"/>
        <w:spacing w:line="360" w:lineRule="auto"/>
        <w:ind w:firstLine="480" w:firstLineChars="200"/>
        <w:rPr>
          <w:rFonts w:ascii="宋体" w:hAnsi="宋体" w:cs="宋体"/>
          <w:bCs/>
          <w:color w:val="auto"/>
          <w:sz w:val="24"/>
          <w:highlight w:val="none"/>
          <w:u w:val="single"/>
        </w:rPr>
      </w:pPr>
      <w:r>
        <w:rPr>
          <w:rFonts w:hint="eastAsia" w:ascii="宋体" w:hAnsi="宋体" w:cs="宋体"/>
          <w:color w:val="auto"/>
          <w:sz w:val="24"/>
          <w:highlight w:val="none"/>
        </w:rPr>
        <w:t>时间：</w:t>
      </w:r>
      <w:r>
        <w:rPr>
          <w:rFonts w:hint="eastAsia" w:ascii="宋体" w:hAnsi="宋体" w:cs="宋体"/>
          <w:color w:val="auto"/>
          <w:sz w:val="24"/>
          <w:highlight w:val="none"/>
          <w:u w:val="single"/>
        </w:rPr>
        <w:t>2025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08</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rPr>
        <w:t>日</w:t>
      </w:r>
      <w:r>
        <w:rPr>
          <w:rFonts w:hint="eastAsia" w:ascii="宋体" w:hAnsi="宋体" w:cs="宋体"/>
          <w:color w:val="auto"/>
          <w:sz w:val="24"/>
          <w:highlight w:val="none"/>
          <w:u w:val="single"/>
          <w:lang w:val="en-US" w:eastAsia="zh-CN"/>
        </w:rPr>
        <w:t>13</w:t>
      </w:r>
      <w:r>
        <w:rPr>
          <w:rFonts w:hint="eastAsia" w:ascii="宋体" w:hAnsi="宋体" w:cs="宋体"/>
          <w:color w:val="auto"/>
          <w:sz w:val="24"/>
          <w:highlight w:val="none"/>
        </w:rPr>
        <w:t>点</w:t>
      </w:r>
      <w:r>
        <w:rPr>
          <w:rFonts w:ascii="宋体" w:hAnsi="宋体" w:cs="宋体"/>
          <w:color w:val="auto"/>
          <w:sz w:val="24"/>
          <w:highlight w:val="none"/>
          <w:u w:val="single"/>
        </w:rPr>
        <w:t>3</w:t>
      </w:r>
      <w:r>
        <w:rPr>
          <w:rFonts w:hint="eastAsia" w:ascii="宋体" w:hAnsi="宋体" w:cs="宋体"/>
          <w:color w:val="auto"/>
          <w:sz w:val="24"/>
          <w:highlight w:val="none"/>
          <w:u w:val="single"/>
        </w:rPr>
        <w:t>0</w:t>
      </w:r>
      <w:r>
        <w:rPr>
          <w:rFonts w:hint="eastAsia" w:ascii="宋体" w:hAnsi="宋体" w:cs="宋体"/>
          <w:color w:val="auto"/>
          <w:sz w:val="24"/>
          <w:highlight w:val="none"/>
        </w:rPr>
        <w:t>分</w:t>
      </w:r>
      <w:r>
        <w:rPr>
          <w:rFonts w:hint="eastAsia" w:ascii="宋体" w:hAnsi="宋体" w:cs="宋体"/>
          <w:bCs/>
          <w:color w:val="auto"/>
          <w:sz w:val="24"/>
          <w:highlight w:val="none"/>
        </w:rPr>
        <w:t>（北京时间）</w:t>
      </w:r>
      <w:r>
        <w:rPr>
          <w:rFonts w:hint="eastAsia" w:ascii="宋体" w:hAnsi="宋体" w:cs="宋体"/>
          <w:iCs/>
          <w:color w:val="auto"/>
          <w:sz w:val="24"/>
          <w:highlight w:val="none"/>
        </w:rPr>
        <w:t>。</w:t>
      </w:r>
    </w:p>
    <w:p w14:paraId="7759884A">
      <w:pPr>
        <w:shd w:val="clear" w:color="auto" w:fill="FFFFFF"/>
        <w:spacing w:line="360" w:lineRule="auto"/>
        <w:ind w:firstLine="480" w:firstLineChars="200"/>
        <w:rPr>
          <w:rFonts w:ascii="宋体" w:hAnsi="宋体" w:cs="宋体"/>
          <w:color w:val="auto"/>
          <w:sz w:val="24"/>
          <w:highlight w:val="none"/>
          <w:lang w:val="zh-TW"/>
        </w:rPr>
      </w:pPr>
      <w:r>
        <w:rPr>
          <w:rFonts w:hint="eastAsia" w:ascii="宋体" w:hAnsi="宋体" w:cs="宋体"/>
          <w:color w:val="auto"/>
          <w:sz w:val="24"/>
          <w:highlight w:val="none"/>
        </w:rPr>
        <w:t>地点：</w:t>
      </w:r>
      <w:r>
        <w:rPr>
          <w:rFonts w:hint="eastAsia" w:ascii="宋体" w:hAnsi="宋体" w:cs="宋体"/>
          <w:color w:val="auto"/>
          <w:sz w:val="24"/>
          <w:highlight w:val="none"/>
          <w:u w:val="single"/>
        </w:rPr>
        <w:t>北京市丰台区广安路9号国投财富广场6号楼15层第</w:t>
      </w:r>
      <w:r>
        <w:rPr>
          <w:rFonts w:hint="eastAsia" w:ascii="宋体" w:hAnsi="宋体" w:cs="宋体"/>
          <w:color w:val="auto"/>
          <w:sz w:val="24"/>
          <w:highlight w:val="none"/>
          <w:u w:val="single"/>
          <w:lang w:val="en-US" w:eastAsia="zh-CN"/>
        </w:rPr>
        <w:t>一</w:t>
      </w:r>
      <w:r>
        <w:rPr>
          <w:rFonts w:hint="eastAsia" w:ascii="宋体" w:hAnsi="宋体" w:cs="宋体"/>
          <w:color w:val="auto"/>
          <w:sz w:val="24"/>
          <w:highlight w:val="none"/>
          <w:u w:val="single"/>
        </w:rPr>
        <w:t xml:space="preserve"> 会议室</w:t>
      </w:r>
      <w:r>
        <w:rPr>
          <w:rFonts w:hint="eastAsia"/>
          <w:color w:val="auto"/>
          <w:sz w:val="24"/>
          <w:highlight w:val="none"/>
        </w:rPr>
        <w:t>。</w:t>
      </w:r>
    </w:p>
    <w:p w14:paraId="40CE7951">
      <w:pPr>
        <w:shd w:val="clear" w:color="auto" w:fill="FFFFFF"/>
        <w:spacing w:line="360" w:lineRule="auto"/>
        <w:ind w:firstLine="480" w:firstLineChars="200"/>
        <w:rPr>
          <w:rFonts w:ascii="宋体" w:hAnsi="宋体" w:cs="宋体"/>
          <w:bCs/>
          <w:color w:val="auto"/>
          <w:sz w:val="24"/>
          <w:highlight w:val="none"/>
          <w:u w:val="single"/>
        </w:rPr>
      </w:pPr>
    </w:p>
    <w:p w14:paraId="4C10EAC6">
      <w:pPr>
        <w:pStyle w:val="4"/>
        <w:shd w:val="clear" w:color="auto" w:fill="FFFFFF"/>
        <w:spacing w:before="0" w:line="360" w:lineRule="auto"/>
        <w:jc w:val="left"/>
        <w:rPr>
          <w:rFonts w:ascii="宋体" w:hAnsi="宋体" w:eastAsia="宋体" w:cs="宋体"/>
          <w:color w:val="auto"/>
          <w:sz w:val="24"/>
          <w:szCs w:val="24"/>
          <w:highlight w:val="none"/>
        </w:rPr>
      </w:pPr>
      <w:bookmarkStart w:id="19" w:name="_Toc28359007"/>
      <w:bookmarkStart w:id="20" w:name="_Toc35393625"/>
      <w:bookmarkStart w:id="21" w:name="_Toc35393794"/>
      <w:bookmarkStart w:id="22" w:name="_Toc28359084"/>
      <w:r>
        <w:rPr>
          <w:rFonts w:hint="eastAsia" w:ascii="宋体" w:hAnsi="宋体" w:eastAsia="宋体" w:cs="宋体"/>
          <w:color w:val="auto"/>
          <w:sz w:val="24"/>
          <w:szCs w:val="24"/>
          <w:highlight w:val="none"/>
        </w:rPr>
        <w:t>六、公告期限</w:t>
      </w:r>
      <w:bookmarkEnd w:id="19"/>
      <w:bookmarkEnd w:id="20"/>
      <w:bookmarkEnd w:id="21"/>
      <w:bookmarkEnd w:id="22"/>
    </w:p>
    <w:p w14:paraId="400B794F">
      <w:pPr>
        <w:shd w:val="clear" w:color="auto" w:fill="FFFFFF"/>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自本公告发布之日起3个工作日。</w:t>
      </w:r>
    </w:p>
    <w:p w14:paraId="13399B34">
      <w:pPr>
        <w:shd w:val="clear" w:color="auto" w:fill="FFFFFF"/>
        <w:spacing w:line="360" w:lineRule="auto"/>
        <w:ind w:firstLine="480" w:firstLineChars="200"/>
        <w:rPr>
          <w:rFonts w:ascii="宋体" w:hAnsi="宋体" w:cs="宋体"/>
          <w:color w:val="auto"/>
          <w:kern w:val="0"/>
          <w:sz w:val="24"/>
          <w:highlight w:val="none"/>
        </w:rPr>
      </w:pPr>
    </w:p>
    <w:p w14:paraId="2403C2A7">
      <w:pPr>
        <w:pStyle w:val="4"/>
        <w:shd w:val="clear" w:color="auto" w:fill="FFFFFF"/>
        <w:spacing w:before="0" w:line="360" w:lineRule="auto"/>
        <w:jc w:val="left"/>
        <w:rPr>
          <w:rFonts w:ascii="宋体" w:hAnsi="宋体" w:eastAsia="宋体" w:cs="宋体"/>
          <w:color w:val="auto"/>
          <w:sz w:val="24"/>
          <w:szCs w:val="24"/>
          <w:highlight w:val="none"/>
        </w:rPr>
      </w:pPr>
      <w:bookmarkStart w:id="23" w:name="_Toc35393795"/>
      <w:bookmarkStart w:id="24" w:name="_Toc35393626"/>
      <w:r>
        <w:rPr>
          <w:rFonts w:hint="eastAsia" w:ascii="宋体" w:hAnsi="宋体" w:eastAsia="宋体" w:cs="宋体"/>
          <w:color w:val="auto"/>
          <w:sz w:val="24"/>
          <w:szCs w:val="24"/>
          <w:highlight w:val="none"/>
        </w:rPr>
        <w:t>七、其他补充事宜</w:t>
      </w:r>
      <w:bookmarkEnd w:id="23"/>
      <w:bookmarkEnd w:id="24"/>
    </w:p>
    <w:p w14:paraId="3F4F5350">
      <w:pPr>
        <w:shd w:val="clear" w:color="auto" w:fill="FFFFFF"/>
        <w:adjustRightInd w:val="0"/>
        <w:snapToGrid w:val="0"/>
        <w:spacing w:line="360" w:lineRule="auto"/>
        <w:ind w:firstLine="480" w:firstLineChars="200"/>
        <w:rPr>
          <w:color w:val="auto"/>
          <w:highlight w:val="none"/>
        </w:rPr>
      </w:pPr>
      <w:r>
        <w:rPr>
          <w:rFonts w:hint="eastAsia" w:ascii="宋体" w:hAnsi="宋体" w:cs="宋体"/>
          <w:color w:val="auto"/>
          <w:sz w:val="24"/>
          <w:highlight w:val="none"/>
        </w:rPr>
        <w:t>本项目需要落实的政府采购政策：节能产品强制采购；节能产品、环境标志产品优先采购；扶持不发达地区和少数民族地区；政府采购促进中小企业发展；政府采购支持监狱企业、戒毒企业发展；政府采购促进残疾人就业；政府采购信用担保；进口产品管理等。</w:t>
      </w:r>
    </w:p>
    <w:p w14:paraId="613C0B50">
      <w:pPr>
        <w:shd w:val="clear" w:color="auto" w:fill="FFFFFF"/>
        <w:spacing w:line="360" w:lineRule="auto"/>
        <w:ind w:firstLine="480" w:firstLineChars="200"/>
        <w:rPr>
          <w:rFonts w:ascii="宋体" w:hAnsi="宋体" w:cs="宋体"/>
          <w:color w:val="auto"/>
          <w:sz w:val="24"/>
          <w:highlight w:val="none"/>
          <w:u w:val="single"/>
        </w:rPr>
      </w:pPr>
    </w:p>
    <w:p w14:paraId="578AE170">
      <w:pPr>
        <w:pStyle w:val="4"/>
        <w:shd w:val="clear" w:color="auto" w:fill="FFFFFF"/>
        <w:spacing w:before="0" w:line="360" w:lineRule="auto"/>
        <w:jc w:val="left"/>
        <w:rPr>
          <w:rFonts w:ascii="宋体" w:hAnsi="宋体" w:eastAsia="宋体" w:cs="宋体"/>
          <w:color w:val="auto"/>
          <w:sz w:val="24"/>
          <w:szCs w:val="24"/>
          <w:highlight w:val="none"/>
        </w:rPr>
      </w:pPr>
      <w:bookmarkStart w:id="25" w:name="_Toc35393796"/>
      <w:bookmarkStart w:id="26" w:name="_Toc28359085"/>
      <w:bookmarkStart w:id="27" w:name="_Toc35393627"/>
      <w:bookmarkStart w:id="28" w:name="_Toc28359008"/>
      <w:r>
        <w:rPr>
          <w:rFonts w:hint="eastAsia" w:ascii="宋体" w:hAnsi="宋体" w:eastAsia="宋体" w:cs="宋体"/>
          <w:color w:val="auto"/>
          <w:sz w:val="24"/>
          <w:szCs w:val="24"/>
          <w:highlight w:val="none"/>
        </w:rPr>
        <w:t>八、对本项目提出询问，请按以下方式联系。</w:t>
      </w:r>
      <w:bookmarkEnd w:id="25"/>
      <w:bookmarkEnd w:id="26"/>
      <w:bookmarkEnd w:id="27"/>
      <w:bookmarkEnd w:id="28"/>
    </w:p>
    <w:p w14:paraId="05F77CAD">
      <w:pPr>
        <w:shd w:val="clear" w:color="auto" w:fill="FFFFFF"/>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1.采购人信息</w:t>
      </w:r>
    </w:p>
    <w:p w14:paraId="0276BD69">
      <w:pPr>
        <w:adjustRightInd w:val="0"/>
        <w:snapToGrid w:val="0"/>
        <w:spacing w:line="360" w:lineRule="auto"/>
        <w:ind w:firstLine="480" w:firstLineChars="200"/>
        <w:rPr>
          <w:rFonts w:ascii="宋体" w:hAnsi="宋体"/>
          <w:bCs/>
          <w:color w:val="auto"/>
          <w:sz w:val="24"/>
          <w:highlight w:val="none"/>
        </w:rPr>
      </w:pPr>
      <w:bookmarkStart w:id="29" w:name="_Toc28359009"/>
      <w:bookmarkStart w:id="30" w:name="_Toc28359086"/>
      <w:r>
        <w:rPr>
          <w:rFonts w:hint="eastAsia" w:ascii="宋体" w:hAnsi="宋体"/>
          <w:bCs/>
          <w:color w:val="auto"/>
          <w:sz w:val="24"/>
          <w:highlight w:val="none"/>
        </w:rPr>
        <w:t xml:space="preserve">名 </w:t>
      </w:r>
      <w:r>
        <w:rPr>
          <w:rFonts w:ascii="宋体" w:hAnsi="宋体"/>
          <w:bCs/>
          <w:color w:val="auto"/>
          <w:sz w:val="24"/>
          <w:highlight w:val="none"/>
        </w:rPr>
        <w:t xml:space="preserve">   </w:t>
      </w:r>
      <w:r>
        <w:rPr>
          <w:rFonts w:hint="eastAsia" w:ascii="宋体" w:hAnsi="宋体"/>
          <w:bCs/>
          <w:color w:val="auto"/>
          <w:sz w:val="24"/>
          <w:highlight w:val="none"/>
        </w:rPr>
        <w:t>称：北京财贸职业学院</w:t>
      </w:r>
    </w:p>
    <w:p w14:paraId="204D2057">
      <w:pPr>
        <w:adjustRightInd w:val="0"/>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地 </w:t>
      </w:r>
      <w:r>
        <w:rPr>
          <w:rFonts w:ascii="宋体" w:hAnsi="宋体"/>
          <w:bCs/>
          <w:color w:val="auto"/>
          <w:sz w:val="24"/>
          <w:highlight w:val="none"/>
        </w:rPr>
        <w:t xml:space="preserve">   </w:t>
      </w:r>
      <w:r>
        <w:rPr>
          <w:rFonts w:hint="eastAsia" w:ascii="宋体" w:hAnsi="宋体"/>
          <w:bCs/>
          <w:color w:val="auto"/>
          <w:sz w:val="24"/>
          <w:highlight w:val="none"/>
        </w:rPr>
        <w:t>址：</w:t>
      </w:r>
      <w:r>
        <w:rPr>
          <w:rFonts w:ascii="宋体" w:hAnsi="宋体"/>
          <w:bCs/>
          <w:color w:val="auto"/>
          <w:sz w:val="24"/>
          <w:highlight w:val="none"/>
        </w:rPr>
        <w:t>北京市通州区北关大街88号</w:t>
      </w:r>
    </w:p>
    <w:p w14:paraId="49DE701D">
      <w:pPr>
        <w:adjustRightInd w:val="0"/>
        <w:snapToGrid w:val="0"/>
        <w:spacing w:line="360" w:lineRule="auto"/>
        <w:ind w:firstLine="480" w:firstLineChars="200"/>
        <w:rPr>
          <w:rFonts w:ascii="宋体" w:hAnsi="宋体"/>
          <w:bCs/>
          <w:color w:val="auto"/>
          <w:sz w:val="24"/>
          <w:highlight w:val="none"/>
        </w:rPr>
      </w:pPr>
      <w:r>
        <w:rPr>
          <w:rFonts w:hint="eastAsia" w:ascii="宋体" w:hAnsi="宋体"/>
          <w:bCs/>
          <w:color w:val="auto"/>
          <w:sz w:val="24"/>
          <w:highlight w:val="none"/>
        </w:rPr>
        <w:t xml:space="preserve">联系方式：刘老师 010-89532092 </w:t>
      </w:r>
    </w:p>
    <w:p w14:paraId="757FF674">
      <w:pPr>
        <w:adjustRightInd w:val="0"/>
        <w:snapToGrid w:val="0"/>
        <w:spacing w:line="360" w:lineRule="auto"/>
        <w:ind w:firstLine="482" w:firstLineChars="200"/>
        <w:rPr>
          <w:rFonts w:ascii="宋体" w:hAnsi="宋体"/>
          <w:bCs/>
          <w:color w:val="auto"/>
          <w:sz w:val="24"/>
          <w:highlight w:val="none"/>
        </w:rPr>
      </w:pPr>
      <w:r>
        <w:rPr>
          <w:rFonts w:hint="eastAsia" w:ascii="宋体" w:hAnsi="宋体" w:cs="宋体"/>
          <w:b/>
          <w:color w:val="auto"/>
          <w:sz w:val="24"/>
          <w:highlight w:val="none"/>
        </w:rPr>
        <w:t>2.采购代理机构信息</w:t>
      </w:r>
      <w:bookmarkEnd w:id="29"/>
      <w:bookmarkEnd w:id="30"/>
      <w:bookmarkStart w:id="31" w:name="_Toc28359010"/>
      <w:bookmarkStart w:id="32" w:name="_Toc28359087"/>
    </w:p>
    <w:p w14:paraId="491EABE3">
      <w:pPr>
        <w:adjustRightInd w:val="0"/>
        <w:snapToGrid w:val="0"/>
        <w:spacing w:line="360" w:lineRule="auto"/>
        <w:ind w:firstLine="480" w:firstLineChars="200"/>
        <w:rPr>
          <w:rFonts w:ascii="宋体" w:hAnsi="宋体"/>
          <w:bCs/>
          <w:color w:val="auto"/>
          <w:sz w:val="24"/>
          <w:highlight w:val="none"/>
        </w:rPr>
      </w:pPr>
      <w:r>
        <w:rPr>
          <w:rFonts w:hint="eastAsia" w:ascii="宋体" w:hAnsi="宋体" w:cs="宋体"/>
          <w:color w:val="auto"/>
          <w:sz w:val="24"/>
          <w:highlight w:val="none"/>
        </w:rPr>
        <w:t>名    称：华采招标集团有限公司</w:t>
      </w:r>
    </w:p>
    <w:p w14:paraId="38B50519">
      <w:pPr>
        <w:adjustRightInd w:val="0"/>
        <w:snapToGrid w:val="0"/>
        <w:spacing w:line="360" w:lineRule="auto"/>
        <w:ind w:firstLine="480" w:firstLineChars="200"/>
        <w:rPr>
          <w:rFonts w:ascii="宋体" w:hAnsi="宋体"/>
          <w:bCs/>
          <w:color w:val="auto"/>
          <w:sz w:val="24"/>
          <w:highlight w:val="none"/>
        </w:rPr>
      </w:pPr>
      <w:r>
        <w:rPr>
          <w:rFonts w:hint="eastAsia" w:ascii="宋体" w:hAnsi="宋体" w:cs="宋体"/>
          <w:color w:val="auto"/>
          <w:sz w:val="24"/>
          <w:highlight w:val="none"/>
        </w:rPr>
        <w:t>地　　址：北京市丰台区广安路9号国投财富广场6号楼1601室</w:t>
      </w:r>
    </w:p>
    <w:p w14:paraId="13915D90">
      <w:pPr>
        <w:adjustRightInd w:val="0"/>
        <w:snapToGrid w:val="0"/>
        <w:spacing w:line="360" w:lineRule="auto"/>
        <w:ind w:firstLine="480" w:firstLineChars="200"/>
        <w:rPr>
          <w:rFonts w:ascii="宋体" w:hAnsi="宋体"/>
          <w:bCs/>
          <w:color w:val="auto"/>
          <w:sz w:val="24"/>
          <w:highlight w:val="none"/>
        </w:rPr>
      </w:pPr>
      <w:r>
        <w:rPr>
          <w:rFonts w:hint="eastAsia" w:ascii="宋体" w:hAnsi="宋体" w:cs="宋体"/>
          <w:color w:val="auto"/>
          <w:sz w:val="24"/>
          <w:highlight w:val="none"/>
        </w:rPr>
        <w:t>联系方式：</w:t>
      </w:r>
      <w:r>
        <w:rPr>
          <w:rFonts w:hAnsi="宋体" w:cs="宋体"/>
          <w:iCs/>
          <w:color w:val="auto"/>
          <w:sz w:val="24"/>
          <w:highlight w:val="none"/>
        </w:rPr>
        <w:t>贾东敏、姚冲</w:t>
      </w:r>
      <w:r>
        <w:rPr>
          <w:rFonts w:hint="eastAsia" w:hAnsi="宋体" w:cs="宋体"/>
          <w:iCs/>
          <w:color w:val="auto"/>
          <w:sz w:val="24"/>
          <w:highlight w:val="none"/>
        </w:rPr>
        <w:t xml:space="preserve"> </w:t>
      </w:r>
      <w:r>
        <w:rPr>
          <w:rFonts w:hint="eastAsia" w:ascii="宋体" w:hAnsi="宋体" w:cs="宋体"/>
          <w:color w:val="auto"/>
          <w:sz w:val="24"/>
          <w:highlight w:val="none"/>
        </w:rPr>
        <w:t>186-1228-7813/7807</w:t>
      </w:r>
    </w:p>
    <w:p w14:paraId="4ABF09BF">
      <w:pPr>
        <w:adjustRightInd w:val="0"/>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3.项目联系方式</w:t>
      </w:r>
      <w:bookmarkEnd w:id="31"/>
      <w:bookmarkEnd w:id="32"/>
    </w:p>
    <w:p w14:paraId="1DE5B337">
      <w:pPr>
        <w:adjustRightInd w:val="0"/>
        <w:snapToGrid w:val="0"/>
        <w:spacing w:line="360" w:lineRule="auto"/>
        <w:ind w:firstLine="480" w:firstLineChars="200"/>
        <w:rPr>
          <w:rFonts w:ascii="宋体" w:hAnsi="宋体"/>
          <w:bCs/>
          <w:color w:val="auto"/>
          <w:sz w:val="24"/>
          <w:highlight w:val="none"/>
        </w:rPr>
      </w:pPr>
      <w:r>
        <w:rPr>
          <w:rFonts w:hAnsi="宋体" w:cs="宋体"/>
          <w:color w:val="auto"/>
          <w:sz w:val="24"/>
          <w:highlight w:val="none"/>
        </w:rPr>
        <w:t>项目联系人：</w:t>
      </w:r>
      <w:r>
        <w:rPr>
          <w:rFonts w:hAnsi="宋体" w:cs="宋体"/>
          <w:iCs/>
          <w:color w:val="auto"/>
          <w:sz w:val="24"/>
          <w:highlight w:val="none"/>
        </w:rPr>
        <w:t>贾东敏、姚冲</w:t>
      </w:r>
    </w:p>
    <w:p w14:paraId="1018FBC2">
      <w:pPr>
        <w:adjustRightInd w:val="0"/>
        <w:snapToGrid w:val="0"/>
        <w:spacing w:line="360" w:lineRule="auto"/>
        <w:ind w:firstLine="480" w:firstLineChars="200"/>
        <w:rPr>
          <w:rFonts w:ascii="宋体" w:hAnsi="宋体"/>
          <w:bCs/>
          <w:color w:val="auto"/>
          <w:sz w:val="24"/>
          <w:highlight w:val="none"/>
        </w:rPr>
      </w:pPr>
      <w:r>
        <w:rPr>
          <w:rFonts w:hint="eastAsia" w:ascii="宋体" w:hAnsi="宋体" w:cs="宋体"/>
          <w:color w:val="auto"/>
          <w:sz w:val="24"/>
          <w:highlight w:val="none"/>
        </w:rPr>
        <w:t>电      话： 186-1228-7813/7807</w:t>
      </w:r>
    </w:p>
    <w:p w14:paraId="297EEC7D">
      <w:pPr>
        <w:shd w:val="clear" w:color="auto" w:fill="FFFFFF"/>
        <w:spacing w:line="360" w:lineRule="auto"/>
        <w:jc w:val="center"/>
        <w:outlineLvl w:val="0"/>
        <w:rPr>
          <w:rFonts w:ascii="宋体" w:hAnsi="宋体" w:cs="宋体"/>
          <w:b/>
          <w:color w:val="auto"/>
          <w:sz w:val="32"/>
          <w:szCs w:val="32"/>
          <w:highlight w:val="none"/>
        </w:rPr>
      </w:pPr>
      <w:r>
        <w:rPr>
          <w:rFonts w:hint="eastAsia" w:ascii="宋体" w:hAnsi="宋体" w:cs="宋体"/>
          <w:color w:val="auto"/>
          <w:sz w:val="24"/>
          <w:highlight w:val="none"/>
        </w:rPr>
        <w:br w:type="page"/>
      </w:r>
      <w:bookmarkStart w:id="33" w:name="_Toc195842950"/>
      <w:bookmarkStart w:id="34" w:name="_Toc353825548"/>
      <w:bookmarkStart w:id="35" w:name="_Toc18834"/>
      <w:bookmarkStart w:id="36" w:name="_Toc512937850"/>
      <w:bookmarkStart w:id="37" w:name="_Toc150774783"/>
      <w:bookmarkStart w:id="38" w:name="_Toc353873938"/>
      <w:bookmarkStart w:id="39" w:name="_Toc127151777"/>
      <w:bookmarkStart w:id="40" w:name="_Toc226965856"/>
      <w:bookmarkStart w:id="41" w:name="_Toc305158854"/>
      <w:bookmarkStart w:id="42" w:name="_Toc305158928"/>
      <w:bookmarkStart w:id="43" w:name="_Toc264969275"/>
      <w:bookmarkStart w:id="44" w:name="_Toc127161488"/>
      <w:bookmarkStart w:id="45" w:name="_Toc265228423"/>
      <w:r>
        <w:rPr>
          <w:rFonts w:hint="eastAsia" w:ascii="宋体" w:hAnsi="宋体" w:cs="宋体"/>
          <w:b/>
          <w:color w:val="auto"/>
          <w:sz w:val="36"/>
          <w:szCs w:val="36"/>
          <w:highlight w:val="none"/>
        </w:rPr>
        <w:t>第二章   供应商须知</w:t>
      </w:r>
      <w:bookmarkEnd w:id="33"/>
      <w:bookmarkEnd w:id="34"/>
      <w:bookmarkEnd w:id="35"/>
      <w:bookmarkEnd w:id="36"/>
      <w:bookmarkEnd w:id="37"/>
      <w:bookmarkEnd w:id="38"/>
      <w:bookmarkEnd w:id="39"/>
      <w:bookmarkEnd w:id="40"/>
      <w:bookmarkEnd w:id="41"/>
      <w:bookmarkEnd w:id="42"/>
      <w:bookmarkEnd w:id="43"/>
      <w:bookmarkEnd w:id="44"/>
      <w:bookmarkEnd w:id="45"/>
    </w:p>
    <w:p w14:paraId="054334EE">
      <w:pPr>
        <w:pStyle w:val="4"/>
        <w:shd w:val="clear" w:color="auto" w:fill="FFFFFF"/>
        <w:tabs>
          <w:tab w:val="center" w:pos="4592"/>
          <w:tab w:val="left" w:pos="7860"/>
        </w:tabs>
        <w:spacing w:before="0" w:line="360" w:lineRule="auto"/>
        <w:rPr>
          <w:rFonts w:ascii="宋体" w:hAnsi="宋体" w:eastAsia="宋体" w:cs="宋体"/>
          <w:b w:val="0"/>
          <w:color w:val="auto"/>
          <w:sz w:val="28"/>
          <w:highlight w:val="none"/>
        </w:rPr>
      </w:pPr>
      <w:bookmarkStart w:id="46" w:name="_Toc150774724"/>
      <w:bookmarkStart w:id="47" w:name="_Toc226337215"/>
      <w:bookmarkStart w:id="48" w:name="_Toc164608633"/>
      <w:bookmarkStart w:id="49" w:name="_Toc150480757"/>
      <w:bookmarkStart w:id="50" w:name="_Toc150509270"/>
      <w:bookmarkStart w:id="51" w:name="_Toc151193833"/>
      <w:bookmarkStart w:id="52" w:name="_Toc142311021"/>
      <w:bookmarkStart w:id="53" w:name="_Toc226309763"/>
      <w:bookmarkStart w:id="54" w:name="_Toc151193617"/>
      <w:bookmarkStart w:id="55" w:name="_Toc149720812"/>
      <w:bookmarkStart w:id="56" w:name="_Toc164608788"/>
      <w:bookmarkStart w:id="57" w:name="_Toc164351613"/>
      <w:bookmarkStart w:id="58" w:name="_Toc226965792"/>
      <w:bookmarkStart w:id="59" w:name="_Toc151193689"/>
      <w:bookmarkStart w:id="60" w:name="_Toc127151720"/>
      <w:bookmarkStart w:id="61" w:name="_Toc151190146"/>
      <w:bookmarkStart w:id="62" w:name="_Toc226965709"/>
      <w:bookmarkStart w:id="63" w:name="_Toc164229360"/>
      <w:bookmarkStart w:id="64" w:name="_Toc151193907"/>
      <w:bookmarkStart w:id="65" w:name="_Toc151193761"/>
      <w:bookmarkStart w:id="66" w:name="_Toc520356144"/>
      <w:bookmarkStart w:id="67" w:name="_Toc150774619"/>
      <w:bookmarkStart w:id="68" w:name="_Toc127151519"/>
      <w:bookmarkStart w:id="69" w:name="_Toc127161433"/>
      <w:bookmarkStart w:id="70" w:name="_Toc195842884"/>
      <w:bookmarkStart w:id="71" w:name="_Toc164229214"/>
      <w:r>
        <w:rPr>
          <w:rFonts w:hint="eastAsia" w:ascii="宋体" w:hAnsi="宋体" w:eastAsia="宋体" w:cs="宋体"/>
          <w:color w:val="auto"/>
          <w:sz w:val="28"/>
          <w:highlight w:val="none"/>
        </w:rPr>
        <w:t>供应商须知资料表</w:t>
      </w:r>
    </w:p>
    <w:p w14:paraId="7E5246CE">
      <w:pPr>
        <w:shd w:val="clear" w:color="auto" w:fill="FFFFFF"/>
        <w:jc w:val="center"/>
        <w:rPr>
          <w:rFonts w:ascii="宋体" w:hAnsi="宋体" w:cs="宋体"/>
          <w:b/>
          <w:color w:val="auto"/>
          <w:sz w:val="28"/>
          <w:szCs w:val="28"/>
          <w:highlight w:val="none"/>
        </w:rPr>
      </w:pPr>
    </w:p>
    <w:p w14:paraId="35733D74">
      <w:pPr>
        <w:shd w:val="clear" w:color="auto" w:fill="FFFFFF"/>
        <w:spacing w:line="360" w:lineRule="auto"/>
        <w:ind w:firstLine="480"/>
        <w:rPr>
          <w:rFonts w:ascii="宋体" w:hAnsi="宋体" w:cs="宋体"/>
          <w:color w:val="auto"/>
          <w:sz w:val="24"/>
          <w:highlight w:val="none"/>
        </w:rPr>
      </w:pPr>
      <w:r>
        <w:rPr>
          <w:rFonts w:hint="eastAsia" w:ascii="宋体" w:hAnsi="宋体" w:cs="宋体"/>
          <w:color w:val="auto"/>
          <w:sz w:val="24"/>
          <w:highlight w:val="none"/>
        </w:rPr>
        <w:t>本表是对供应商须知的具体补充和修改，如有矛盾，均以本资料表为准。标记“</w:t>
      </w:r>
      <w:r>
        <w:rPr>
          <w:rFonts w:hint="eastAsia" w:ascii="宋体" w:hAnsi="宋体" w:cs="宋体"/>
          <w:b/>
          <w:color w:val="auto"/>
          <w:sz w:val="24"/>
          <w:highlight w:val="none"/>
        </w:rPr>
        <w:t>■</w:t>
      </w:r>
      <w:r>
        <w:rPr>
          <w:rFonts w:hint="eastAsia" w:ascii="宋体" w:hAnsi="宋体" w:cs="宋体"/>
          <w:color w:val="auto"/>
          <w:sz w:val="24"/>
          <w:highlight w:val="none"/>
        </w:rPr>
        <w:t>”的选项意为适用于本项目，标记“</w:t>
      </w:r>
      <w:r>
        <w:rPr>
          <w:rFonts w:hint="eastAsia" w:ascii="宋体" w:hAnsi="宋体" w:cs="宋体"/>
          <w:color w:val="auto"/>
          <w:highlight w:val="none"/>
        </w:rPr>
        <w:t>□</w:t>
      </w:r>
      <w:r>
        <w:rPr>
          <w:rFonts w:hint="eastAsia" w:ascii="宋体" w:hAnsi="宋体" w:cs="宋体"/>
          <w:color w:val="auto"/>
          <w:sz w:val="24"/>
          <w:highlight w:val="none"/>
        </w:rPr>
        <w:t>”的选项意为不适用于本项目。</w:t>
      </w:r>
    </w:p>
    <w:tbl>
      <w:tblPr>
        <w:tblStyle w:val="83"/>
        <w:tblW w:w="9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588"/>
        <w:gridCol w:w="6719"/>
      </w:tblGrid>
      <w:tr w14:paraId="5E528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2" w:type="dxa"/>
            <w:vAlign w:val="center"/>
          </w:tcPr>
          <w:p w14:paraId="21096548">
            <w:pPr>
              <w:shd w:val="clear" w:color="auto" w:fill="FFFFFF"/>
              <w:jc w:val="center"/>
              <w:rPr>
                <w:rFonts w:ascii="宋体" w:hAnsi="宋体" w:cs="宋体"/>
                <w:b/>
                <w:bCs/>
                <w:color w:val="auto"/>
                <w:sz w:val="24"/>
                <w:highlight w:val="none"/>
              </w:rPr>
            </w:pPr>
            <w:r>
              <w:rPr>
                <w:rFonts w:hint="eastAsia" w:ascii="宋体" w:hAnsi="宋体" w:cs="宋体"/>
                <w:b/>
                <w:color w:val="auto"/>
                <w:sz w:val="24"/>
                <w:highlight w:val="none"/>
              </w:rPr>
              <w:t>条款号</w:t>
            </w:r>
          </w:p>
        </w:tc>
        <w:tc>
          <w:tcPr>
            <w:tcW w:w="1588" w:type="dxa"/>
            <w:vAlign w:val="center"/>
          </w:tcPr>
          <w:p w14:paraId="007F4258">
            <w:pPr>
              <w:shd w:val="clear" w:color="auto" w:fill="FFFFFF"/>
              <w:jc w:val="center"/>
              <w:rPr>
                <w:rFonts w:ascii="宋体" w:hAnsi="宋体" w:cs="宋体"/>
                <w:b/>
                <w:bCs/>
                <w:color w:val="auto"/>
                <w:sz w:val="24"/>
                <w:highlight w:val="none"/>
              </w:rPr>
            </w:pPr>
            <w:r>
              <w:rPr>
                <w:rFonts w:hint="eastAsia" w:ascii="宋体" w:hAnsi="宋体" w:cs="宋体"/>
                <w:b/>
                <w:bCs/>
                <w:color w:val="auto"/>
                <w:sz w:val="24"/>
                <w:highlight w:val="none"/>
              </w:rPr>
              <w:t>条目</w:t>
            </w:r>
          </w:p>
        </w:tc>
        <w:tc>
          <w:tcPr>
            <w:tcW w:w="6719" w:type="dxa"/>
            <w:vAlign w:val="center"/>
          </w:tcPr>
          <w:p w14:paraId="2D20CC83">
            <w:pPr>
              <w:shd w:val="clear" w:color="auto" w:fill="FFFFFF"/>
              <w:jc w:val="center"/>
              <w:rPr>
                <w:rFonts w:ascii="宋体" w:hAnsi="宋体" w:cs="宋体"/>
                <w:b/>
                <w:bCs/>
                <w:color w:val="auto"/>
                <w:sz w:val="24"/>
                <w:highlight w:val="none"/>
              </w:rPr>
            </w:pPr>
            <w:r>
              <w:rPr>
                <w:rFonts w:hint="eastAsia" w:ascii="宋体" w:hAnsi="宋体" w:cs="宋体"/>
                <w:b/>
                <w:bCs/>
                <w:color w:val="auto"/>
                <w:sz w:val="24"/>
                <w:highlight w:val="none"/>
              </w:rPr>
              <w:t>内容</w:t>
            </w:r>
          </w:p>
        </w:tc>
      </w:tr>
      <w:tr w14:paraId="4451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20042598">
            <w:pPr>
              <w:pStyle w:val="44"/>
              <w:shd w:val="clear" w:color="auto" w:fill="FFFFFF"/>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2.2</w:t>
            </w:r>
          </w:p>
        </w:tc>
        <w:tc>
          <w:tcPr>
            <w:tcW w:w="1588" w:type="dxa"/>
            <w:vAlign w:val="center"/>
          </w:tcPr>
          <w:p w14:paraId="5A230D30">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项目属性</w:t>
            </w:r>
          </w:p>
        </w:tc>
        <w:tc>
          <w:tcPr>
            <w:tcW w:w="6719" w:type="dxa"/>
            <w:vAlign w:val="center"/>
          </w:tcPr>
          <w:p w14:paraId="0DBDC388">
            <w:pPr>
              <w:shd w:val="clear" w:color="auto" w:fill="FFFFFF"/>
              <w:jc w:val="left"/>
              <w:rPr>
                <w:rFonts w:ascii="宋体" w:hAnsi="宋体" w:cs="宋体"/>
                <w:color w:val="auto"/>
                <w:sz w:val="24"/>
                <w:highlight w:val="none"/>
              </w:rPr>
            </w:pPr>
            <w:r>
              <w:rPr>
                <w:rFonts w:hint="eastAsia" w:ascii="宋体" w:hAnsi="宋体" w:cs="宋体"/>
                <w:color w:val="auto"/>
                <w:sz w:val="24"/>
                <w:highlight w:val="none"/>
              </w:rPr>
              <w:t>项目属性：</w:t>
            </w:r>
          </w:p>
          <w:p w14:paraId="4402EAC2">
            <w:pPr>
              <w:shd w:val="clear" w:color="auto" w:fill="FFFFFF"/>
              <w:jc w:val="left"/>
              <w:rPr>
                <w:rFonts w:ascii="宋体" w:hAnsi="宋体" w:cs="宋体"/>
                <w:color w:val="auto"/>
                <w:sz w:val="24"/>
                <w:highlight w:val="none"/>
              </w:rPr>
            </w:pPr>
            <w:r>
              <w:rPr>
                <w:rFonts w:hint="eastAsia" w:ascii="宋体" w:hAnsi="宋体" w:cs="宋体"/>
                <w:color w:val="auto"/>
                <w:sz w:val="24"/>
                <w:highlight w:val="none"/>
              </w:rPr>
              <w:t>□服务</w:t>
            </w:r>
          </w:p>
          <w:p w14:paraId="3EF4F0B7">
            <w:pPr>
              <w:shd w:val="clear" w:color="auto" w:fill="FFFFFF"/>
              <w:jc w:val="left"/>
              <w:rPr>
                <w:rFonts w:ascii="宋体" w:hAnsi="宋体" w:cs="宋体"/>
                <w:color w:val="auto"/>
                <w:sz w:val="24"/>
                <w:highlight w:val="none"/>
              </w:rPr>
            </w:pPr>
            <w:r>
              <w:rPr>
                <w:rFonts w:hint="eastAsia" w:ascii="宋体" w:hAnsi="宋体" w:cs="宋体"/>
                <w:color w:val="auto"/>
                <w:sz w:val="24"/>
                <w:highlight w:val="none"/>
              </w:rPr>
              <w:t>□货物</w:t>
            </w:r>
          </w:p>
          <w:p w14:paraId="55C366F5">
            <w:pPr>
              <w:shd w:val="clear" w:color="auto" w:fill="FFFFFF"/>
              <w:jc w:val="left"/>
              <w:rPr>
                <w:rFonts w:ascii="宋体" w:hAnsi="宋体" w:cs="宋体"/>
                <w:color w:val="auto"/>
                <w:sz w:val="24"/>
                <w:highlight w:val="none"/>
                <w:u w:val="single"/>
              </w:rPr>
            </w:pPr>
            <w:r>
              <w:rPr>
                <w:rFonts w:hint="eastAsia" w:ascii="宋体" w:hAnsi="宋体" w:cs="宋体"/>
                <w:b/>
                <w:color w:val="auto"/>
                <w:sz w:val="24"/>
                <w:highlight w:val="none"/>
              </w:rPr>
              <w:t>■</w:t>
            </w:r>
            <w:r>
              <w:rPr>
                <w:rFonts w:hint="eastAsia" w:ascii="宋体" w:hAnsi="宋体" w:cs="宋体"/>
                <w:color w:val="auto"/>
                <w:sz w:val="24"/>
                <w:highlight w:val="none"/>
              </w:rPr>
              <w:t>工程</w:t>
            </w:r>
          </w:p>
        </w:tc>
      </w:tr>
      <w:tr w14:paraId="407B8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0D7231AD">
            <w:pPr>
              <w:pStyle w:val="44"/>
              <w:shd w:val="clear" w:color="auto" w:fill="FFFFFF"/>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2.3</w:t>
            </w:r>
          </w:p>
        </w:tc>
        <w:tc>
          <w:tcPr>
            <w:tcW w:w="1588" w:type="dxa"/>
            <w:vAlign w:val="center"/>
          </w:tcPr>
          <w:p w14:paraId="70E861A2">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科研仪器设备</w:t>
            </w:r>
          </w:p>
        </w:tc>
        <w:tc>
          <w:tcPr>
            <w:tcW w:w="6719" w:type="dxa"/>
            <w:vAlign w:val="center"/>
          </w:tcPr>
          <w:p w14:paraId="1DF66F00">
            <w:pPr>
              <w:shd w:val="clear" w:color="auto" w:fill="FFFFFF"/>
              <w:jc w:val="left"/>
              <w:rPr>
                <w:rFonts w:ascii="宋体" w:hAnsi="宋体" w:cs="宋体"/>
                <w:color w:val="auto"/>
                <w:sz w:val="24"/>
                <w:highlight w:val="none"/>
              </w:rPr>
            </w:pPr>
            <w:r>
              <w:rPr>
                <w:rFonts w:hint="eastAsia" w:ascii="宋体" w:hAnsi="宋体" w:cs="宋体"/>
                <w:color w:val="auto"/>
                <w:sz w:val="24"/>
                <w:highlight w:val="none"/>
              </w:rPr>
              <w:t>是否属于科研仪器设备采购项目：</w:t>
            </w:r>
          </w:p>
          <w:p w14:paraId="120D2340">
            <w:pPr>
              <w:shd w:val="clear" w:color="auto" w:fill="FFFFFF"/>
              <w:jc w:val="left"/>
              <w:rPr>
                <w:rFonts w:ascii="宋体" w:hAnsi="宋体" w:cs="宋体"/>
                <w:color w:val="auto"/>
                <w:sz w:val="24"/>
                <w:highlight w:val="none"/>
              </w:rPr>
            </w:pPr>
            <w:r>
              <w:rPr>
                <w:rFonts w:hint="eastAsia" w:ascii="宋体" w:hAnsi="宋体" w:cs="宋体"/>
                <w:color w:val="auto"/>
                <w:highlight w:val="none"/>
              </w:rPr>
              <w:t>□</w:t>
            </w:r>
            <w:r>
              <w:rPr>
                <w:rFonts w:hint="eastAsia" w:ascii="宋体" w:hAnsi="宋体" w:cs="宋体"/>
                <w:color w:val="auto"/>
                <w:sz w:val="24"/>
                <w:highlight w:val="none"/>
              </w:rPr>
              <w:t>是</w:t>
            </w:r>
          </w:p>
          <w:p w14:paraId="1D0E1655">
            <w:pPr>
              <w:shd w:val="clear" w:color="auto" w:fill="FFFFFF"/>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否</w:t>
            </w:r>
          </w:p>
        </w:tc>
      </w:tr>
      <w:tr w14:paraId="2B9E2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Merge w:val="restart"/>
            <w:vAlign w:val="center"/>
          </w:tcPr>
          <w:p w14:paraId="5E83F9D8">
            <w:pPr>
              <w:pStyle w:val="44"/>
              <w:shd w:val="clear" w:color="auto" w:fill="FFFFFF"/>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3.1</w:t>
            </w:r>
          </w:p>
        </w:tc>
        <w:tc>
          <w:tcPr>
            <w:tcW w:w="1588" w:type="dxa"/>
            <w:vAlign w:val="center"/>
          </w:tcPr>
          <w:p w14:paraId="0814BBFF">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现场考察</w:t>
            </w:r>
          </w:p>
        </w:tc>
        <w:tc>
          <w:tcPr>
            <w:tcW w:w="6719" w:type="dxa"/>
            <w:vAlign w:val="center"/>
          </w:tcPr>
          <w:p w14:paraId="1E7CE807">
            <w:pPr>
              <w:shd w:val="clear" w:color="auto" w:fill="FFFFFF"/>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不组织</w:t>
            </w:r>
          </w:p>
          <w:p w14:paraId="57757984">
            <w:pPr>
              <w:shd w:val="clear" w:color="auto" w:fill="FFFFFF"/>
              <w:jc w:val="left"/>
              <w:rPr>
                <w:rFonts w:ascii="宋体" w:hAnsi="宋体" w:cs="宋体"/>
                <w:bCs/>
                <w:color w:val="auto"/>
                <w:sz w:val="24"/>
                <w:highlight w:val="none"/>
              </w:rPr>
            </w:pPr>
            <w:r>
              <w:rPr>
                <w:rFonts w:hint="eastAsia" w:ascii="宋体" w:hAnsi="宋体" w:cs="宋体"/>
                <w:color w:val="auto"/>
                <w:highlight w:val="none"/>
              </w:rPr>
              <w:t>□</w:t>
            </w:r>
            <w:r>
              <w:rPr>
                <w:rFonts w:hint="eastAsia" w:ascii="宋体" w:hAnsi="宋体" w:cs="宋体"/>
                <w:color w:val="auto"/>
                <w:sz w:val="24"/>
                <w:highlight w:val="none"/>
              </w:rPr>
              <w:t>组织，考察时间：年</w:t>
            </w:r>
            <w:r>
              <w:rPr>
                <w:rFonts w:ascii="宋体" w:hAnsi="宋体" w:cs="宋体"/>
                <w:color w:val="auto"/>
                <w:sz w:val="24"/>
                <w:highlight w:val="none"/>
              </w:rPr>
              <w:t>年  月  日  点  分</w:t>
            </w:r>
          </w:p>
          <w:p w14:paraId="50C3A4CE">
            <w:pPr>
              <w:pStyle w:val="44"/>
              <w:shd w:val="clear" w:color="auto" w:fill="FFFFFF"/>
              <w:adjustRightInd w:val="0"/>
              <w:snapToGrid w:val="0"/>
              <w:rPr>
                <w:rFonts w:hint="default" w:hAnsi="宋体" w:cs="宋体"/>
                <w:color w:val="auto"/>
                <w:sz w:val="24"/>
                <w:highlight w:val="none"/>
              </w:rPr>
            </w:pPr>
            <w:r>
              <w:rPr>
                <w:rFonts w:hAnsi="宋体" w:cs="宋体"/>
                <w:color w:val="auto"/>
                <w:sz w:val="24"/>
                <w:highlight w:val="none"/>
              </w:rPr>
              <w:t>考察地点：</w:t>
            </w:r>
            <w:r>
              <w:rPr>
                <w:rFonts w:hAnsi="宋体" w:cs="宋体"/>
                <w:color w:val="auto"/>
                <w:sz w:val="24"/>
                <w:highlight w:val="none"/>
              </w:rPr>
              <w:tab/>
            </w:r>
            <w:r>
              <w:rPr>
                <w:rFonts w:hAnsi="宋体" w:cs="宋体"/>
                <w:color w:val="auto"/>
                <w:sz w:val="24"/>
                <w:highlight w:val="none"/>
              </w:rPr>
              <w:t xml:space="preserve"> </w:t>
            </w:r>
            <w:r>
              <w:rPr>
                <w:rFonts w:hint="default" w:hAnsi="宋体" w:cs="宋体"/>
                <w:color w:val="auto"/>
                <w:sz w:val="24"/>
                <w:highlight w:val="none"/>
              </w:rPr>
              <w:t xml:space="preserve">   </w:t>
            </w:r>
            <w:r>
              <w:rPr>
                <w:rFonts w:hAnsi="宋体" w:cs="宋体"/>
                <w:color w:val="auto"/>
                <w:sz w:val="24"/>
                <w:highlight w:val="none"/>
              </w:rPr>
              <w:t>。</w:t>
            </w:r>
          </w:p>
          <w:p w14:paraId="7C96433B">
            <w:pPr>
              <w:pStyle w:val="44"/>
              <w:shd w:val="clear" w:color="auto" w:fill="FFFFFF"/>
              <w:adjustRightInd w:val="0"/>
              <w:snapToGrid w:val="0"/>
              <w:rPr>
                <w:rFonts w:hint="default" w:hAnsi="宋体" w:cs="宋体"/>
                <w:color w:val="auto"/>
                <w:sz w:val="24"/>
                <w:highlight w:val="none"/>
              </w:rPr>
            </w:pPr>
            <w:r>
              <w:rPr>
                <w:rFonts w:hAnsi="宋体" w:cs="宋体"/>
                <w:color w:val="auto"/>
                <w:sz w:val="24"/>
                <w:highlight w:val="none"/>
              </w:rPr>
              <w:t>联系人及电话：</w:t>
            </w:r>
          </w:p>
        </w:tc>
      </w:tr>
      <w:tr w14:paraId="144F5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Merge w:val="continue"/>
            <w:vAlign w:val="center"/>
          </w:tcPr>
          <w:p w14:paraId="6DDD5B7B">
            <w:pPr>
              <w:pStyle w:val="44"/>
              <w:shd w:val="clear" w:color="auto" w:fill="FFFFFF"/>
              <w:adjustRightInd w:val="0"/>
              <w:snapToGrid w:val="0"/>
              <w:jc w:val="center"/>
              <w:rPr>
                <w:rFonts w:hint="default" w:hAnsi="宋体" w:cs="宋体"/>
                <w:color w:val="auto"/>
                <w:sz w:val="24"/>
                <w:szCs w:val="24"/>
                <w:highlight w:val="none"/>
              </w:rPr>
            </w:pPr>
          </w:p>
        </w:tc>
        <w:tc>
          <w:tcPr>
            <w:tcW w:w="1588" w:type="dxa"/>
            <w:vAlign w:val="center"/>
          </w:tcPr>
          <w:p w14:paraId="600B696E">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磋商前答疑会</w:t>
            </w:r>
          </w:p>
        </w:tc>
        <w:tc>
          <w:tcPr>
            <w:tcW w:w="6719" w:type="dxa"/>
            <w:vAlign w:val="center"/>
          </w:tcPr>
          <w:p w14:paraId="30D88298">
            <w:pPr>
              <w:shd w:val="clear" w:color="auto" w:fill="FFFFFF"/>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不召开</w:t>
            </w:r>
          </w:p>
          <w:p w14:paraId="7D16CEB1">
            <w:pPr>
              <w:shd w:val="clear" w:color="auto" w:fill="FFFFFF"/>
              <w:jc w:val="left"/>
              <w:rPr>
                <w:rFonts w:ascii="宋体" w:hAnsi="宋体" w:cs="宋体"/>
                <w:color w:val="auto"/>
                <w:sz w:val="24"/>
                <w:highlight w:val="none"/>
              </w:rPr>
            </w:pPr>
            <w:r>
              <w:rPr>
                <w:rFonts w:hint="eastAsia" w:ascii="宋体" w:hAnsi="宋体" w:cs="宋体"/>
                <w:color w:val="auto"/>
                <w:highlight w:val="none"/>
              </w:rPr>
              <w:t>□</w:t>
            </w:r>
            <w:r>
              <w:rPr>
                <w:rFonts w:hint="eastAsia" w:ascii="宋体" w:hAnsi="宋体" w:cs="宋体"/>
                <w:color w:val="auto"/>
                <w:sz w:val="24"/>
                <w:highlight w:val="none"/>
              </w:rPr>
              <w:t>召开，召开时间：___年___月___日___点___分</w:t>
            </w:r>
          </w:p>
          <w:p w14:paraId="6F045575">
            <w:pPr>
              <w:shd w:val="clear" w:color="auto" w:fill="FFFFFF"/>
              <w:jc w:val="left"/>
              <w:rPr>
                <w:rFonts w:ascii="宋体" w:hAnsi="宋体" w:cs="宋体"/>
                <w:color w:val="auto"/>
                <w:sz w:val="24"/>
                <w:highlight w:val="none"/>
              </w:rPr>
            </w:pPr>
            <w:r>
              <w:rPr>
                <w:rFonts w:hint="eastAsia" w:ascii="宋体" w:hAnsi="宋体" w:cs="宋体"/>
                <w:color w:val="auto"/>
                <w:sz w:val="24"/>
                <w:highlight w:val="none"/>
              </w:rPr>
              <w:t>召开地点：___________。</w:t>
            </w:r>
          </w:p>
        </w:tc>
      </w:tr>
      <w:tr w14:paraId="2587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2" w:type="dxa"/>
            <w:vAlign w:val="center"/>
          </w:tcPr>
          <w:p w14:paraId="43F36962">
            <w:pPr>
              <w:pStyle w:val="44"/>
              <w:shd w:val="clear" w:color="auto" w:fill="FFFFFF"/>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4.2.5</w:t>
            </w:r>
          </w:p>
        </w:tc>
        <w:tc>
          <w:tcPr>
            <w:tcW w:w="1588" w:type="dxa"/>
            <w:vAlign w:val="center"/>
          </w:tcPr>
          <w:p w14:paraId="6C1EA8D2">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标的所属行业</w:t>
            </w:r>
          </w:p>
        </w:tc>
        <w:tc>
          <w:tcPr>
            <w:tcW w:w="6719" w:type="dxa"/>
            <w:vAlign w:val="center"/>
          </w:tcPr>
          <w:p w14:paraId="6F3F606B">
            <w:pPr>
              <w:shd w:val="clear" w:color="auto" w:fill="FFFFFF"/>
              <w:jc w:val="left"/>
              <w:rPr>
                <w:rFonts w:ascii="宋体" w:hAnsi="宋体" w:cs="宋体"/>
                <w:color w:val="auto"/>
                <w:sz w:val="24"/>
                <w:highlight w:val="none"/>
              </w:rPr>
            </w:pPr>
            <w:r>
              <w:rPr>
                <w:rFonts w:hint="eastAsia" w:ascii="宋体" w:hAnsi="宋体" w:cs="宋体"/>
                <w:color w:val="auto"/>
                <w:sz w:val="24"/>
                <w:highlight w:val="none"/>
              </w:rPr>
              <w:t>本项目采购标的对应的中小企业划分标准所属行业：</w:t>
            </w:r>
          </w:p>
          <w:tbl>
            <w:tblPr>
              <w:tblStyle w:val="83"/>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9"/>
              <w:gridCol w:w="2775"/>
              <w:gridCol w:w="2521"/>
            </w:tblGrid>
            <w:tr w14:paraId="7B4C6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139" w:type="dxa"/>
                  <w:tcBorders>
                    <w:top w:val="single" w:color="auto" w:sz="4" w:space="0"/>
                    <w:left w:val="single" w:color="auto" w:sz="4" w:space="0"/>
                    <w:bottom w:val="single" w:color="auto" w:sz="4" w:space="0"/>
                    <w:right w:val="single" w:color="auto" w:sz="4" w:space="0"/>
                  </w:tcBorders>
                  <w:vAlign w:val="center"/>
                </w:tcPr>
                <w:p w14:paraId="6D62EADF">
                  <w:pPr>
                    <w:jc w:val="center"/>
                    <w:rPr>
                      <w:rFonts w:ascii="宋体" w:hAnsi="宋体" w:cs="宋体"/>
                      <w:bCs/>
                      <w:color w:val="auto"/>
                      <w:sz w:val="24"/>
                      <w:highlight w:val="none"/>
                    </w:rPr>
                  </w:pPr>
                  <w:r>
                    <w:rPr>
                      <w:rFonts w:hint="eastAsia" w:ascii="宋体" w:hAnsi="宋体" w:cs="宋体"/>
                      <w:bCs/>
                      <w:color w:val="auto"/>
                      <w:sz w:val="24"/>
                      <w:highlight w:val="none"/>
                    </w:rPr>
                    <w:t>包号</w:t>
                  </w:r>
                </w:p>
              </w:tc>
              <w:tc>
                <w:tcPr>
                  <w:tcW w:w="2775" w:type="dxa"/>
                  <w:tcBorders>
                    <w:top w:val="single" w:color="auto" w:sz="4" w:space="0"/>
                    <w:left w:val="single" w:color="auto" w:sz="4" w:space="0"/>
                    <w:bottom w:val="single" w:color="auto" w:sz="4" w:space="0"/>
                    <w:right w:val="single" w:color="auto" w:sz="4" w:space="0"/>
                  </w:tcBorders>
                  <w:vAlign w:val="center"/>
                </w:tcPr>
                <w:p w14:paraId="06D94C8D">
                  <w:pPr>
                    <w:jc w:val="center"/>
                    <w:rPr>
                      <w:rFonts w:ascii="宋体" w:hAnsi="宋体" w:cs="宋体"/>
                      <w:bCs/>
                      <w:color w:val="auto"/>
                      <w:sz w:val="24"/>
                      <w:highlight w:val="none"/>
                    </w:rPr>
                  </w:pPr>
                  <w:r>
                    <w:rPr>
                      <w:rFonts w:hint="eastAsia" w:ascii="宋体" w:hAnsi="宋体" w:cs="宋体"/>
                      <w:bCs/>
                      <w:color w:val="auto"/>
                      <w:sz w:val="24"/>
                      <w:highlight w:val="none"/>
                    </w:rPr>
                    <w:t>标的名称</w:t>
                  </w:r>
                </w:p>
              </w:tc>
              <w:tc>
                <w:tcPr>
                  <w:tcW w:w="2521" w:type="dxa"/>
                  <w:tcBorders>
                    <w:top w:val="single" w:color="auto" w:sz="4" w:space="0"/>
                    <w:left w:val="single" w:color="auto" w:sz="4" w:space="0"/>
                    <w:bottom w:val="single" w:color="auto" w:sz="4" w:space="0"/>
                    <w:right w:val="single" w:color="auto" w:sz="4" w:space="0"/>
                  </w:tcBorders>
                  <w:vAlign w:val="center"/>
                </w:tcPr>
                <w:p w14:paraId="595A611D">
                  <w:pPr>
                    <w:jc w:val="center"/>
                    <w:rPr>
                      <w:rFonts w:ascii="宋体" w:hAnsi="宋体" w:cs="宋体"/>
                      <w:bCs/>
                      <w:color w:val="auto"/>
                      <w:sz w:val="24"/>
                      <w:highlight w:val="none"/>
                    </w:rPr>
                  </w:pPr>
                  <w:r>
                    <w:rPr>
                      <w:rFonts w:hint="eastAsia" w:ascii="宋体" w:hAnsi="宋体" w:cs="宋体"/>
                      <w:bCs/>
                      <w:color w:val="auto"/>
                      <w:kern w:val="0"/>
                      <w:sz w:val="24"/>
                      <w:highlight w:val="none"/>
                    </w:rPr>
                    <w:t>中小企业划分标准所属行业</w:t>
                  </w:r>
                </w:p>
              </w:tc>
            </w:tr>
            <w:tr w14:paraId="28B3C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9" w:type="dxa"/>
                  <w:tcBorders>
                    <w:top w:val="single" w:color="auto" w:sz="4" w:space="0"/>
                    <w:left w:val="single" w:color="auto" w:sz="4" w:space="0"/>
                    <w:bottom w:val="single" w:color="auto" w:sz="4" w:space="0"/>
                    <w:right w:val="single" w:color="auto" w:sz="4" w:space="0"/>
                  </w:tcBorders>
                  <w:vAlign w:val="center"/>
                </w:tcPr>
                <w:p w14:paraId="3E622729">
                  <w:pPr>
                    <w:jc w:val="center"/>
                    <w:rPr>
                      <w:rFonts w:ascii="宋体" w:hAnsi="宋体" w:cs="宋体"/>
                      <w:b/>
                      <w:bCs/>
                      <w:color w:val="auto"/>
                      <w:sz w:val="24"/>
                      <w:highlight w:val="none"/>
                    </w:rPr>
                  </w:pPr>
                  <w:r>
                    <w:rPr>
                      <w:rFonts w:hint="eastAsia" w:ascii="宋体" w:hAnsi="宋体" w:cs="宋体"/>
                      <w:b/>
                      <w:bCs/>
                      <w:color w:val="auto"/>
                      <w:sz w:val="24"/>
                      <w:highlight w:val="none"/>
                    </w:rPr>
                    <w:t xml:space="preserve">01 </w:t>
                  </w:r>
                </w:p>
              </w:tc>
              <w:tc>
                <w:tcPr>
                  <w:tcW w:w="2775" w:type="dxa"/>
                  <w:tcBorders>
                    <w:top w:val="single" w:color="auto" w:sz="4" w:space="0"/>
                    <w:left w:val="single" w:color="auto" w:sz="4" w:space="0"/>
                    <w:bottom w:val="single" w:color="auto" w:sz="4" w:space="0"/>
                    <w:right w:val="single" w:color="auto" w:sz="4" w:space="0"/>
                  </w:tcBorders>
                  <w:vAlign w:val="center"/>
                </w:tcPr>
                <w:p w14:paraId="56851CFF">
                  <w:pPr>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北京财贸职业学院涿州校区雨污管线修缮工程项目</w:t>
                  </w:r>
                </w:p>
              </w:tc>
              <w:tc>
                <w:tcPr>
                  <w:tcW w:w="2521" w:type="dxa"/>
                  <w:tcBorders>
                    <w:top w:val="single" w:color="auto" w:sz="4" w:space="0"/>
                    <w:left w:val="single" w:color="auto" w:sz="4" w:space="0"/>
                    <w:bottom w:val="single" w:color="auto" w:sz="4" w:space="0"/>
                    <w:right w:val="single" w:color="auto" w:sz="4" w:space="0"/>
                  </w:tcBorders>
                  <w:vAlign w:val="center"/>
                </w:tcPr>
                <w:p w14:paraId="4BB638F4">
                  <w:pPr>
                    <w:jc w:val="center"/>
                    <w:rPr>
                      <w:b/>
                      <w:bCs/>
                      <w:color w:val="auto"/>
                      <w:kern w:val="0"/>
                      <w:sz w:val="24"/>
                      <w:highlight w:val="none"/>
                    </w:rPr>
                  </w:pPr>
                  <w:r>
                    <w:rPr>
                      <w:rFonts w:hint="eastAsia" w:ascii="宋体" w:hAnsi="宋体" w:cs="宋体"/>
                      <w:b/>
                      <w:bCs/>
                      <w:color w:val="auto"/>
                      <w:kern w:val="0"/>
                      <w:sz w:val="24"/>
                      <w:highlight w:val="none"/>
                    </w:rPr>
                    <w:t>建筑业</w:t>
                  </w:r>
                </w:p>
              </w:tc>
            </w:tr>
          </w:tbl>
          <w:p w14:paraId="14A8A9CE">
            <w:pPr>
              <w:shd w:val="clear" w:color="auto" w:fill="FFFFFF"/>
              <w:jc w:val="left"/>
              <w:rPr>
                <w:rFonts w:ascii="宋体" w:hAnsi="宋体" w:cs="宋体"/>
                <w:color w:val="auto"/>
                <w:sz w:val="24"/>
                <w:highlight w:val="none"/>
              </w:rPr>
            </w:pPr>
          </w:p>
        </w:tc>
      </w:tr>
      <w:tr w14:paraId="6365C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2" w:type="dxa"/>
            <w:vAlign w:val="center"/>
          </w:tcPr>
          <w:p w14:paraId="472939F5">
            <w:pPr>
              <w:pStyle w:val="44"/>
              <w:shd w:val="clear" w:color="auto" w:fill="FFFFFF"/>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10.2</w:t>
            </w:r>
          </w:p>
        </w:tc>
        <w:tc>
          <w:tcPr>
            <w:tcW w:w="1588" w:type="dxa"/>
            <w:vAlign w:val="center"/>
          </w:tcPr>
          <w:p w14:paraId="13A1415A">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报价</w:t>
            </w:r>
          </w:p>
        </w:tc>
        <w:tc>
          <w:tcPr>
            <w:tcW w:w="6719" w:type="dxa"/>
            <w:vAlign w:val="center"/>
          </w:tcPr>
          <w:p w14:paraId="2C54C8E7">
            <w:pPr>
              <w:shd w:val="clear" w:color="auto" w:fill="FFFFFF"/>
              <w:jc w:val="left"/>
              <w:rPr>
                <w:rFonts w:ascii="宋体" w:hAnsi="宋体" w:cs="宋体"/>
                <w:color w:val="auto"/>
                <w:sz w:val="24"/>
                <w:highlight w:val="none"/>
              </w:rPr>
            </w:pPr>
            <w:r>
              <w:rPr>
                <w:rFonts w:hint="eastAsia" w:ascii="宋体" w:hAnsi="宋体" w:cs="宋体"/>
                <w:color w:val="auto"/>
                <w:sz w:val="24"/>
                <w:highlight w:val="none"/>
              </w:rPr>
              <w:t>报价的特殊规定：</w:t>
            </w:r>
          </w:p>
          <w:p w14:paraId="4BAC0A07">
            <w:pPr>
              <w:shd w:val="clear" w:color="auto" w:fill="FFFFFF"/>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无</w:t>
            </w:r>
          </w:p>
          <w:p w14:paraId="22098CA8">
            <w:pPr>
              <w:shd w:val="clear" w:color="auto" w:fill="FFFFFF"/>
              <w:jc w:val="left"/>
              <w:rPr>
                <w:rFonts w:ascii="宋体" w:hAnsi="宋体" w:cs="宋体"/>
                <w:color w:val="auto"/>
                <w:sz w:val="24"/>
                <w:highlight w:val="none"/>
              </w:rPr>
            </w:pPr>
            <w:r>
              <w:rPr>
                <w:rFonts w:hint="eastAsia" w:ascii="宋体" w:hAnsi="宋体" w:cs="宋体"/>
                <w:color w:val="auto"/>
                <w:highlight w:val="none"/>
              </w:rPr>
              <w:t>□</w:t>
            </w:r>
            <w:r>
              <w:rPr>
                <w:rFonts w:hint="eastAsia" w:ascii="宋体" w:hAnsi="宋体" w:cs="宋体"/>
                <w:color w:val="auto"/>
                <w:sz w:val="24"/>
                <w:highlight w:val="none"/>
              </w:rPr>
              <w:t>有，具体情形：___________。</w:t>
            </w:r>
          </w:p>
        </w:tc>
      </w:tr>
      <w:tr w14:paraId="21A0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51CC8F96">
            <w:pPr>
              <w:pStyle w:val="44"/>
              <w:shd w:val="clear" w:color="auto" w:fill="FFFFFF"/>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11.1</w:t>
            </w:r>
          </w:p>
        </w:tc>
        <w:tc>
          <w:tcPr>
            <w:tcW w:w="1588" w:type="dxa"/>
            <w:vMerge w:val="restart"/>
            <w:vAlign w:val="center"/>
          </w:tcPr>
          <w:p w14:paraId="2FAD5113">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磋商保证金</w:t>
            </w:r>
          </w:p>
        </w:tc>
        <w:tc>
          <w:tcPr>
            <w:tcW w:w="6719" w:type="dxa"/>
            <w:vAlign w:val="center"/>
          </w:tcPr>
          <w:p w14:paraId="270C08BD">
            <w:pPr>
              <w:pStyle w:val="44"/>
              <w:adjustRightInd w:val="0"/>
              <w:snapToGrid w:val="0"/>
              <w:rPr>
                <w:rFonts w:hint="default" w:hAnsi="宋体" w:cs="宋体"/>
                <w:color w:val="auto"/>
                <w:sz w:val="24"/>
                <w:szCs w:val="24"/>
                <w:highlight w:val="none"/>
              </w:rPr>
            </w:pPr>
            <w:r>
              <w:rPr>
                <w:rFonts w:hAnsi="宋体" w:cs="宋体"/>
                <w:color w:val="auto"/>
                <w:sz w:val="24"/>
                <w:szCs w:val="24"/>
                <w:highlight w:val="none"/>
              </w:rPr>
              <w:t>磋商保证金金额：</w:t>
            </w:r>
            <w:r>
              <w:rPr>
                <w:rFonts w:hint="default" w:hAnsi="宋体" w:cs="宋体"/>
                <w:color w:val="auto"/>
                <w:sz w:val="24"/>
                <w:szCs w:val="24"/>
                <w:highlight w:val="none"/>
                <w:u w:val="single"/>
              </w:rPr>
              <w:t>8</w:t>
            </w:r>
            <w:r>
              <w:rPr>
                <w:rFonts w:hAnsi="宋体" w:cs="宋体"/>
                <w:color w:val="auto"/>
                <w:sz w:val="24"/>
                <w:szCs w:val="24"/>
                <w:highlight w:val="none"/>
                <w:u w:val="single"/>
              </w:rPr>
              <w:t>000元</w:t>
            </w:r>
            <w:r>
              <w:rPr>
                <w:rFonts w:hAnsi="宋体" w:cs="宋体"/>
                <w:color w:val="auto"/>
                <w:sz w:val="24"/>
                <w:szCs w:val="24"/>
                <w:highlight w:val="none"/>
              </w:rPr>
              <w:t>；</w:t>
            </w:r>
          </w:p>
          <w:p w14:paraId="13B81567">
            <w:pPr>
              <w:jc w:val="left"/>
              <w:rPr>
                <w:rFonts w:ascii="宋体" w:hAnsi="宋体" w:cs="宋体"/>
                <w:color w:val="auto"/>
                <w:sz w:val="24"/>
                <w:highlight w:val="none"/>
              </w:rPr>
            </w:pPr>
            <w:r>
              <w:rPr>
                <w:rFonts w:hint="eastAsia" w:ascii="宋体" w:hAnsi="宋体" w:cs="宋体"/>
                <w:color w:val="auto"/>
                <w:sz w:val="24"/>
                <w:highlight w:val="none"/>
              </w:rPr>
              <w:t>磋商保证金收受人信息：</w:t>
            </w:r>
          </w:p>
          <w:p w14:paraId="1819C29F">
            <w:pPr>
              <w:jc w:val="left"/>
              <w:rPr>
                <w:rFonts w:ascii="宋体" w:hAnsi="宋体" w:cs="宋体"/>
                <w:color w:val="auto"/>
                <w:sz w:val="24"/>
                <w:highlight w:val="none"/>
                <w:u w:val="single"/>
              </w:rPr>
            </w:pPr>
            <w:r>
              <w:rPr>
                <w:rFonts w:hint="eastAsia" w:ascii="宋体" w:hAnsi="宋体" w:cs="宋体"/>
                <w:color w:val="auto"/>
                <w:sz w:val="24"/>
                <w:highlight w:val="none"/>
                <w:u w:val="single"/>
              </w:rPr>
              <w:t>开户行名称：华采招标集团有限公司</w:t>
            </w:r>
          </w:p>
          <w:p w14:paraId="2F4C1C10">
            <w:pPr>
              <w:jc w:val="left"/>
              <w:rPr>
                <w:rFonts w:ascii="宋体" w:hAnsi="宋体" w:cs="宋体"/>
                <w:color w:val="auto"/>
                <w:sz w:val="24"/>
                <w:highlight w:val="none"/>
                <w:u w:val="single"/>
              </w:rPr>
            </w:pPr>
            <w:r>
              <w:rPr>
                <w:rFonts w:hint="eastAsia" w:ascii="宋体" w:hAnsi="宋体" w:cs="宋体"/>
                <w:color w:val="auto"/>
                <w:sz w:val="24"/>
                <w:highlight w:val="none"/>
                <w:u w:val="single"/>
              </w:rPr>
              <w:t>开 户 行：建行北京西客站支行</w:t>
            </w:r>
          </w:p>
          <w:p w14:paraId="15DD6489">
            <w:pPr>
              <w:rPr>
                <w:rFonts w:ascii="宋体" w:hAnsi="宋体" w:cs="宋体"/>
                <w:b/>
                <w:color w:val="auto"/>
                <w:sz w:val="24"/>
                <w:highlight w:val="none"/>
                <w:u w:val="single"/>
              </w:rPr>
            </w:pPr>
            <w:r>
              <w:rPr>
                <w:rFonts w:hint="eastAsia" w:ascii="宋体" w:hAnsi="宋体" w:cs="宋体"/>
                <w:color w:val="auto"/>
                <w:sz w:val="24"/>
                <w:highlight w:val="none"/>
                <w:u w:val="single"/>
              </w:rPr>
              <w:t>账    号：1105 0165 5100 0000 0292</w:t>
            </w:r>
            <w:r>
              <w:rPr>
                <w:rFonts w:hint="eastAsia" w:ascii="宋体" w:hAnsi="宋体" w:cs="宋体"/>
                <w:b/>
                <w:color w:val="auto"/>
                <w:sz w:val="24"/>
                <w:highlight w:val="none"/>
                <w:u w:val="single"/>
              </w:rPr>
              <w:t>（交纳保证金时请备注项目代理编号后四位）</w:t>
            </w:r>
          </w:p>
          <w:p w14:paraId="6966A3A0">
            <w:pPr>
              <w:pStyle w:val="44"/>
              <w:shd w:val="clear" w:color="auto" w:fill="FFFFFF"/>
              <w:adjustRightInd w:val="0"/>
              <w:snapToGrid w:val="0"/>
              <w:rPr>
                <w:rFonts w:hint="default" w:hAnsi="宋体" w:cs="宋体"/>
                <w:color w:val="auto"/>
                <w:sz w:val="24"/>
                <w:highlight w:val="none"/>
              </w:rPr>
            </w:pPr>
            <w:r>
              <w:rPr>
                <w:rFonts w:hAnsi="宋体" w:cs="宋体"/>
                <w:color w:val="auto"/>
                <w:sz w:val="24"/>
                <w:highlight w:val="none"/>
                <w:u w:val="single"/>
              </w:rPr>
              <w:t xml:space="preserve">行    号：1051 0000 9047 </w:t>
            </w:r>
            <w:r>
              <w:rPr>
                <w:rFonts w:hAnsi="宋体" w:cs="宋体"/>
                <w:color w:val="auto"/>
                <w:sz w:val="24"/>
                <w:highlight w:val="none"/>
              </w:rPr>
              <w:t>。</w:t>
            </w:r>
          </w:p>
        </w:tc>
      </w:tr>
      <w:tr w14:paraId="2554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14EE0A9A">
            <w:pPr>
              <w:pStyle w:val="44"/>
              <w:shd w:val="clear" w:color="auto" w:fill="FFFFFF"/>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11.8.5</w:t>
            </w:r>
          </w:p>
        </w:tc>
        <w:tc>
          <w:tcPr>
            <w:tcW w:w="1588" w:type="dxa"/>
            <w:vMerge w:val="continue"/>
            <w:vAlign w:val="center"/>
          </w:tcPr>
          <w:p w14:paraId="0B1976FD">
            <w:pPr>
              <w:shd w:val="clear" w:color="auto" w:fill="FFFFFF"/>
              <w:jc w:val="center"/>
              <w:rPr>
                <w:rFonts w:ascii="宋体" w:hAnsi="宋体" w:cs="宋体"/>
                <w:color w:val="auto"/>
                <w:sz w:val="24"/>
                <w:highlight w:val="none"/>
              </w:rPr>
            </w:pPr>
          </w:p>
        </w:tc>
        <w:tc>
          <w:tcPr>
            <w:tcW w:w="6719" w:type="dxa"/>
            <w:vAlign w:val="center"/>
          </w:tcPr>
          <w:p w14:paraId="6AF66E7F">
            <w:pPr>
              <w:shd w:val="clear" w:color="auto" w:fill="FFFFFF"/>
              <w:jc w:val="left"/>
              <w:rPr>
                <w:rFonts w:ascii="宋体" w:hAnsi="宋体" w:cs="宋体"/>
                <w:color w:val="auto"/>
                <w:sz w:val="24"/>
                <w:highlight w:val="none"/>
              </w:rPr>
            </w:pPr>
            <w:r>
              <w:rPr>
                <w:rFonts w:hint="eastAsia" w:ascii="宋体" w:hAnsi="宋体" w:cs="宋体"/>
                <w:color w:val="auto"/>
                <w:sz w:val="24"/>
                <w:highlight w:val="none"/>
              </w:rPr>
              <w:t>磋商保证金不予退还的其他情形：</w:t>
            </w:r>
          </w:p>
          <w:p w14:paraId="0AF9ECE2">
            <w:pPr>
              <w:shd w:val="clear" w:color="auto" w:fill="FFFFFF"/>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无</w:t>
            </w:r>
          </w:p>
          <w:p w14:paraId="31015F90">
            <w:pPr>
              <w:jc w:val="left"/>
              <w:rPr>
                <w:rFonts w:hAnsi="宋体" w:cs="宋体"/>
                <w:color w:val="auto"/>
                <w:sz w:val="24"/>
                <w:highlight w:val="none"/>
              </w:rPr>
            </w:pPr>
            <w:r>
              <w:rPr>
                <w:rFonts w:hint="eastAsia" w:ascii="宋体" w:hAnsi="宋体" w:cs="宋体"/>
                <w:color w:val="auto"/>
                <w:highlight w:val="none"/>
              </w:rPr>
              <w:t>□</w:t>
            </w:r>
            <w:r>
              <w:rPr>
                <w:rFonts w:hAnsi="宋体" w:cs="宋体"/>
                <w:color w:val="auto"/>
                <w:sz w:val="24"/>
                <w:highlight w:val="none"/>
              </w:rPr>
              <w:t>有，具体情形：</w:t>
            </w:r>
          </w:p>
          <w:p w14:paraId="1CBBD967">
            <w:pPr>
              <w:jc w:val="left"/>
              <w:rPr>
                <w:rFonts w:ascii="宋体" w:hAnsi="宋体" w:cs="宋体"/>
                <w:color w:val="auto"/>
                <w:sz w:val="24"/>
                <w:highlight w:val="none"/>
              </w:rPr>
            </w:pPr>
            <w:r>
              <w:rPr>
                <w:rFonts w:ascii="宋体" w:hAnsi="宋体" w:cs="宋体"/>
                <w:color w:val="auto"/>
                <w:sz w:val="24"/>
                <w:highlight w:val="none"/>
              </w:rPr>
              <w:t>（1）供应商在提交响应文件截止时间后撤回响应文件的；</w:t>
            </w:r>
          </w:p>
          <w:p w14:paraId="6D8FFFD5">
            <w:pPr>
              <w:jc w:val="left"/>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w:t>
            </w:r>
            <w:r>
              <w:rPr>
                <w:rFonts w:ascii="宋体" w:hAnsi="宋体" w:cs="宋体"/>
                <w:color w:val="auto"/>
                <w:sz w:val="24"/>
                <w:highlight w:val="none"/>
              </w:rPr>
              <w:t>供应商在响应文件中提供虚假材料的；</w:t>
            </w:r>
          </w:p>
          <w:p w14:paraId="48569028">
            <w:pPr>
              <w:jc w:val="left"/>
              <w:rPr>
                <w:rFonts w:ascii="宋体" w:hAnsi="宋体" w:cs="宋体"/>
                <w:color w:val="auto"/>
                <w:sz w:val="24"/>
                <w:highlight w:val="none"/>
              </w:rPr>
            </w:pPr>
            <w:r>
              <w:rPr>
                <w:rFonts w:ascii="宋体" w:hAnsi="宋体" w:cs="宋体"/>
                <w:color w:val="auto"/>
                <w:sz w:val="24"/>
                <w:highlight w:val="none"/>
              </w:rPr>
              <w:t>（3）除因不可抗力或磋商文件认可的情形以外，成交供应商不与采购人签订合同的；</w:t>
            </w:r>
          </w:p>
          <w:p w14:paraId="3BE51916">
            <w:pPr>
              <w:jc w:val="left"/>
              <w:rPr>
                <w:rFonts w:ascii="宋体" w:hAnsi="宋体" w:cs="宋体"/>
                <w:color w:val="auto"/>
                <w:sz w:val="24"/>
                <w:highlight w:val="none"/>
              </w:rPr>
            </w:pPr>
            <w:r>
              <w:rPr>
                <w:rFonts w:ascii="宋体" w:hAnsi="宋体" w:cs="宋体"/>
                <w:color w:val="auto"/>
                <w:sz w:val="24"/>
                <w:highlight w:val="none"/>
              </w:rPr>
              <w:t>（4）供应商与采购人、其他供应商或者采购代理机构恶意串通的；</w:t>
            </w:r>
          </w:p>
          <w:p w14:paraId="5F003091">
            <w:pPr>
              <w:pStyle w:val="44"/>
              <w:shd w:val="clear" w:color="auto" w:fill="FFFFFF"/>
              <w:adjustRightInd w:val="0"/>
              <w:snapToGrid w:val="0"/>
              <w:rPr>
                <w:rFonts w:hint="default" w:hAnsi="宋体" w:cs="宋体"/>
                <w:color w:val="auto"/>
                <w:sz w:val="24"/>
                <w:szCs w:val="24"/>
                <w:highlight w:val="none"/>
              </w:rPr>
            </w:pPr>
            <w:r>
              <w:rPr>
                <w:rFonts w:hAnsi="宋体" w:cs="宋体"/>
                <w:color w:val="auto"/>
                <w:sz w:val="24"/>
                <w:szCs w:val="24"/>
                <w:highlight w:val="none"/>
              </w:rPr>
              <w:t>（5）成交供应商不按本须知第25条的规定缴纳代理费的</w:t>
            </w:r>
            <w:r>
              <w:rPr>
                <w:rFonts w:hAnsi="宋体" w:cs="宋体"/>
                <w:color w:val="auto"/>
                <w:spacing w:val="3"/>
                <w:sz w:val="24"/>
                <w:szCs w:val="24"/>
                <w:highlight w:val="none"/>
              </w:rPr>
              <w:t>。</w:t>
            </w:r>
          </w:p>
        </w:tc>
      </w:tr>
      <w:tr w14:paraId="4ED30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2" w:type="dxa"/>
            <w:vAlign w:val="center"/>
          </w:tcPr>
          <w:p w14:paraId="22AE5418">
            <w:pPr>
              <w:pStyle w:val="44"/>
              <w:shd w:val="clear" w:color="auto" w:fill="FFFFFF"/>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12.1</w:t>
            </w:r>
          </w:p>
        </w:tc>
        <w:tc>
          <w:tcPr>
            <w:tcW w:w="1588" w:type="dxa"/>
            <w:vAlign w:val="center"/>
          </w:tcPr>
          <w:p w14:paraId="14DCDDFC">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响应有效期</w:t>
            </w:r>
          </w:p>
        </w:tc>
        <w:tc>
          <w:tcPr>
            <w:tcW w:w="6719" w:type="dxa"/>
            <w:vAlign w:val="center"/>
          </w:tcPr>
          <w:p w14:paraId="783CC809">
            <w:pPr>
              <w:shd w:val="clear" w:color="auto" w:fill="FFFFFF"/>
              <w:jc w:val="left"/>
              <w:rPr>
                <w:rFonts w:ascii="宋体" w:hAnsi="宋体" w:cs="宋体"/>
                <w:color w:val="auto"/>
                <w:sz w:val="24"/>
                <w:highlight w:val="none"/>
              </w:rPr>
            </w:pPr>
            <w:r>
              <w:rPr>
                <w:rFonts w:hint="eastAsia" w:ascii="宋体" w:hAnsi="宋体" w:cs="宋体"/>
                <w:color w:val="auto"/>
                <w:sz w:val="24"/>
                <w:highlight w:val="none"/>
              </w:rPr>
              <w:t>自提交响应文件的截止之日起算</w:t>
            </w:r>
            <w:r>
              <w:rPr>
                <w:rFonts w:hint="eastAsia" w:ascii="宋体" w:hAnsi="宋体" w:cs="宋体"/>
                <w:color w:val="auto"/>
                <w:sz w:val="24"/>
                <w:highlight w:val="none"/>
                <w:u w:val="single"/>
              </w:rPr>
              <w:t xml:space="preserve"> 90 </w:t>
            </w:r>
            <w:r>
              <w:rPr>
                <w:rFonts w:hint="eastAsia" w:ascii="宋体" w:hAnsi="宋体" w:cs="宋体"/>
                <w:color w:val="auto"/>
                <w:sz w:val="24"/>
                <w:highlight w:val="none"/>
              </w:rPr>
              <w:t>日历天。</w:t>
            </w:r>
          </w:p>
        </w:tc>
      </w:tr>
      <w:tr w14:paraId="4931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113401F7">
            <w:pPr>
              <w:pStyle w:val="44"/>
              <w:shd w:val="clear" w:color="auto" w:fill="FFFFFF"/>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13.1</w:t>
            </w:r>
          </w:p>
        </w:tc>
        <w:tc>
          <w:tcPr>
            <w:tcW w:w="1588" w:type="dxa"/>
            <w:vAlign w:val="center"/>
          </w:tcPr>
          <w:p w14:paraId="133C1149">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响应文件的签署、盖章</w:t>
            </w:r>
          </w:p>
        </w:tc>
        <w:tc>
          <w:tcPr>
            <w:tcW w:w="6719" w:type="dxa"/>
            <w:vAlign w:val="center"/>
          </w:tcPr>
          <w:p w14:paraId="026FEBF9">
            <w:pPr>
              <w:shd w:val="clear" w:color="auto" w:fill="FFFFFF"/>
              <w:jc w:val="left"/>
              <w:rPr>
                <w:rFonts w:ascii="宋体" w:hAnsi="宋体" w:cs="宋体"/>
                <w:b/>
                <w:color w:val="auto"/>
                <w:sz w:val="24"/>
                <w:highlight w:val="none"/>
              </w:rPr>
            </w:pPr>
            <w:r>
              <w:rPr>
                <w:rFonts w:hint="eastAsia" w:ascii="宋体" w:hAnsi="宋体" w:cs="宋体"/>
                <w:color w:val="auto"/>
                <w:sz w:val="24"/>
                <w:highlight w:val="none"/>
                <w:u w:val="single"/>
              </w:rPr>
              <w:t>一份正本、三份副本、一份电子版</w:t>
            </w:r>
            <w:r>
              <w:rPr>
                <w:rFonts w:hint="eastAsia" w:ascii="宋体" w:hAnsi="宋体" w:cs="宋体"/>
                <w:b/>
                <w:color w:val="auto"/>
                <w:sz w:val="24"/>
                <w:highlight w:val="none"/>
              </w:rPr>
              <w:t>（电子文档可编辑word文档和PDF加盖公章扫描版文档，须与投标文件正本中的所有文字、图片等内容一致）。</w:t>
            </w:r>
          </w:p>
          <w:p w14:paraId="1ABC69C1">
            <w:pPr>
              <w:shd w:val="clear" w:color="auto" w:fill="FFFFFF"/>
              <w:jc w:val="left"/>
              <w:rPr>
                <w:rFonts w:ascii="宋体" w:hAnsi="宋体" w:cs="宋体"/>
                <w:color w:val="auto"/>
                <w:sz w:val="24"/>
                <w:highlight w:val="none"/>
              </w:rPr>
            </w:pPr>
            <w:r>
              <w:rPr>
                <w:rFonts w:hAnsi="宋体"/>
                <w:color w:val="auto"/>
                <w:sz w:val="24"/>
                <w:highlight w:val="none"/>
              </w:rPr>
              <w:t>注：每本响应文件一律采用A4纸（图纸、彩页等除外）左侧装订并附有相关页码。装订应牢固可靠，不易散落，不得采用活页式装订，采购人或采购代理机构对因装订不牢造成的文件散失不负责任。</w:t>
            </w:r>
          </w:p>
        </w:tc>
      </w:tr>
      <w:tr w14:paraId="4E4A1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17216895">
            <w:pPr>
              <w:pStyle w:val="44"/>
              <w:shd w:val="clear" w:color="auto" w:fill="FFFFFF"/>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20.1</w:t>
            </w:r>
          </w:p>
        </w:tc>
        <w:tc>
          <w:tcPr>
            <w:tcW w:w="1588" w:type="dxa"/>
            <w:vAlign w:val="center"/>
          </w:tcPr>
          <w:p w14:paraId="77B5DD04">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确定成交供应商</w:t>
            </w:r>
          </w:p>
        </w:tc>
        <w:tc>
          <w:tcPr>
            <w:tcW w:w="6719" w:type="dxa"/>
            <w:vAlign w:val="center"/>
          </w:tcPr>
          <w:p w14:paraId="16ECC7D5">
            <w:pPr>
              <w:pStyle w:val="44"/>
              <w:shd w:val="clear" w:color="auto" w:fill="FFFFFF"/>
              <w:adjustRightInd w:val="0"/>
              <w:snapToGrid w:val="0"/>
              <w:rPr>
                <w:rFonts w:hint="default" w:hAnsi="宋体" w:cs="宋体"/>
                <w:color w:val="auto"/>
                <w:sz w:val="24"/>
                <w:highlight w:val="none"/>
              </w:rPr>
            </w:pPr>
            <w:r>
              <w:rPr>
                <w:rFonts w:hAnsi="宋体" w:cs="宋体"/>
                <w:color w:val="auto"/>
                <w:sz w:val="24"/>
                <w:highlight w:val="none"/>
              </w:rPr>
              <w:t>采购人是否授权磋商小组直接确定成交供应商：</w:t>
            </w:r>
          </w:p>
          <w:p w14:paraId="14BB0714">
            <w:pPr>
              <w:pStyle w:val="44"/>
              <w:shd w:val="clear" w:color="auto" w:fill="FFFFFF"/>
              <w:adjustRightInd w:val="0"/>
              <w:snapToGrid w:val="0"/>
              <w:rPr>
                <w:rFonts w:hint="default" w:hAnsi="宋体" w:cs="宋体"/>
                <w:color w:val="auto"/>
                <w:sz w:val="24"/>
                <w:highlight w:val="none"/>
              </w:rPr>
            </w:pPr>
            <w:r>
              <w:rPr>
                <w:rFonts w:hAnsi="宋体" w:cs="宋体"/>
                <w:b/>
                <w:color w:val="auto"/>
                <w:sz w:val="24"/>
                <w:highlight w:val="none"/>
              </w:rPr>
              <w:t>■</w:t>
            </w:r>
            <w:r>
              <w:rPr>
                <w:rFonts w:hAnsi="宋体" w:cs="宋体"/>
                <w:color w:val="auto"/>
                <w:sz w:val="24"/>
                <w:highlight w:val="none"/>
              </w:rPr>
              <w:t>否</w:t>
            </w:r>
          </w:p>
          <w:p w14:paraId="660B55CB">
            <w:pPr>
              <w:shd w:val="clear" w:color="auto" w:fill="FFFFFF"/>
              <w:jc w:val="left"/>
              <w:rPr>
                <w:rFonts w:ascii="宋体" w:hAnsi="宋体" w:cs="宋体"/>
                <w:color w:val="auto"/>
                <w:sz w:val="24"/>
                <w:highlight w:val="none"/>
              </w:rPr>
            </w:pPr>
            <w:r>
              <w:rPr>
                <w:rFonts w:hint="eastAsia" w:ascii="宋体" w:hAnsi="宋体" w:cs="宋体"/>
                <w:color w:val="auto"/>
                <w:highlight w:val="none"/>
              </w:rPr>
              <w:t>□</w:t>
            </w:r>
            <w:r>
              <w:rPr>
                <w:rFonts w:hint="eastAsia" w:ascii="宋体" w:hAnsi="宋体" w:cs="宋体"/>
                <w:color w:val="auto"/>
                <w:sz w:val="24"/>
                <w:highlight w:val="none"/>
              </w:rPr>
              <w:t>是</w:t>
            </w:r>
          </w:p>
          <w:p w14:paraId="5BE72A2E">
            <w:pPr>
              <w:shd w:val="clear" w:color="auto" w:fill="FFFFFF"/>
              <w:jc w:val="left"/>
              <w:rPr>
                <w:rFonts w:ascii="宋体" w:hAnsi="宋体" w:cs="宋体"/>
                <w:color w:val="auto"/>
                <w:sz w:val="24"/>
                <w:highlight w:val="none"/>
                <w:u w:val="single"/>
              </w:rPr>
            </w:pPr>
            <w:r>
              <w:rPr>
                <w:rFonts w:hint="eastAsia" w:ascii="宋体" w:hAnsi="宋体" w:cs="宋体"/>
                <w:color w:val="auto"/>
                <w:sz w:val="24"/>
                <w:highlight w:val="none"/>
              </w:rPr>
              <w:t>成交候选人并列的，按照以下方式确定成交供应商：</w:t>
            </w:r>
            <w:r>
              <w:rPr>
                <w:rFonts w:hint="eastAsia" w:ascii="宋体" w:hAnsi="宋体" w:cs="宋体"/>
                <w:color w:val="auto"/>
                <w:sz w:val="24"/>
                <w:highlight w:val="none"/>
                <w:u w:val="single"/>
              </w:rPr>
              <w:t>评审得分相同的，按照最后报价由低到高的顺序推荐。评审得分且最后报价相同的，按照技术指标优劣顺序推荐。</w:t>
            </w:r>
          </w:p>
        </w:tc>
      </w:tr>
      <w:tr w14:paraId="74C33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0AEC7167">
            <w:pPr>
              <w:pStyle w:val="44"/>
              <w:shd w:val="clear" w:color="auto" w:fill="FFFFFF"/>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23.5</w:t>
            </w:r>
          </w:p>
        </w:tc>
        <w:tc>
          <w:tcPr>
            <w:tcW w:w="1588" w:type="dxa"/>
            <w:vAlign w:val="center"/>
          </w:tcPr>
          <w:p w14:paraId="2BC73644">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分包</w:t>
            </w:r>
          </w:p>
        </w:tc>
        <w:tc>
          <w:tcPr>
            <w:tcW w:w="6719" w:type="dxa"/>
            <w:vAlign w:val="center"/>
          </w:tcPr>
          <w:p w14:paraId="14798AE0">
            <w:pPr>
              <w:shd w:val="clear" w:color="auto" w:fill="FFFFFF"/>
              <w:jc w:val="left"/>
              <w:rPr>
                <w:rFonts w:ascii="宋体" w:hAnsi="宋体" w:cs="宋体"/>
                <w:color w:val="auto"/>
                <w:sz w:val="24"/>
                <w:highlight w:val="none"/>
              </w:rPr>
            </w:pPr>
            <w:r>
              <w:rPr>
                <w:rFonts w:hint="eastAsia" w:ascii="宋体" w:hAnsi="宋体" w:cs="宋体"/>
                <w:color w:val="auto"/>
                <w:sz w:val="24"/>
                <w:highlight w:val="none"/>
              </w:rPr>
              <w:t xml:space="preserve">本项目是否允许分包： </w:t>
            </w:r>
          </w:p>
          <w:p w14:paraId="15D16162">
            <w:pPr>
              <w:shd w:val="clear" w:color="auto" w:fill="FFFFFF"/>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不允许</w:t>
            </w:r>
          </w:p>
          <w:p w14:paraId="1C91B44F">
            <w:pPr>
              <w:shd w:val="clear" w:color="auto" w:fill="FFFFFF"/>
              <w:jc w:val="left"/>
              <w:rPr>
                <w:rFonts w:ascii="宋体" w:hAnsi="宋体" w:cs="宋体"/>
                <w:color w:val="auto"/>
                <w:sz w:val="24"/>
                <w:highlight w:val="none"/>
              </w:rPr>
            </w:pPr>
            <w:r>
              <w:rPr>
                <w:rFonts w:hint="eastAsia" w:ascii="宋体" w:hAnsi="宋体" w:cs="宋体"/>
                <w:color w:val="auto"/>
                <w:highlight w:val="none"/>
              </w:rPr>
              <w:t>□</w:t>
            </w:r>
            <w:r>
              <w:rPr>
                <w:rFonts w:hint="eastAsia" w:ascii="宋体" w:hAnsi="宋体" w:cs="宋体"/>
                <w:color w:val="auto"/>
                <w:sz w:val="24"/>
                <w:highlight w:val="none"/>
              </w:rPr>
              <w:t>允许，具体要求：_______。</w:t>
            </w:r>
          </w:p>
          <w:p w14:paraId="1CBF0E06">
            <w:pPr>
              <w:shd w:val="clear" w:color="auto" w:fill="FFFFFF"/>
              <w:jc w:val="left"/>
              <w:rPr>
                <w:rFonts w:ascii="宋体" w:hAnsi="宋体" w:cs="宋体"/>
                <w:color w:val="auto"/>
                <w:sz w:val="24"/>
                <w:highlight w:val="none"/>
              </w:rPr>
            </w:pPr>
            <w:r>
              <w:rPr>
                <w:rFonts w:hint="eastAsia" w:ascii="宋体" w:hAnsi="宋体" w:cs="宋体"/>
                <w:color w:val="auto"/>
                <w:sz w:val="24"/>
                <w:highlight w:val="none"/>
              </w:rPr>
              <w:t>（1）可以分包履行的具体内容：_______；</w:t>
            </w:r>
          </w:p>
          <w:p w14:paraId="6889AF0E">
            <w:pPr>
              <w:shd w:val="clear" w:color="auto" w:fill="FFFFFF"/>
              <w:jc w:val="left"/>
              <w:rPr>
                <w:rFonts w:ascii="宋体" w:hAnsi="宋体" w:cs="宋体"/>
                <w:color w:val="auto"/>
                <w:sz w:val="24"/>
                <w:highlight w:val="none"/>
              </w:rPr>
            </w:pPr>
            <w:r>
              <w:rPr>
                <w:rFonts w:hint="eastAsia" w:ascii="宋体" w:hAnsi="宋体" w:cs="宋体"/>
                <w:color w:val="auto"/>
                <w:sz w:val="24"/>
                <w:highlight w:val="none"/>
              </w:rPr>
              <w:t>（2）允许分包的金额或者比例：_______；</w:t>
            </w:r>
          </w:p>
          <w:p w14:paraId="050D92BE">
            <w:pPr>
              <w:shd w:val="clear" w:color="auto" w:fill="FFFFFF"/>
              <w:jc w:val="left"/>
              <w:rPr>
                <w:rFonts w:ascii="宋体" w:hAnsi="宋体" w:cs="宋体"/>
                <w:color w:val="auto"/>
                <w:sz w:val="24"/>
                <w:highlight w:val="none"/>
                <w:u w:val="single"/>
              </w:rPr>
            </w:pPr>
            <w:r>
              <w:rPr>
                <w:rFonts w:hint="eastAsia" w:ascii="宋体" w:hAnsi="宋体" w:cs="宋体"/>
                <w:color w:val="auto"/>
                <w:sz w:val="24"/>
                <w:highlight w:val="none"/>
              </w:rPr>
              <w:t>（3）其他要求：_______。</w:t>
            </w:r>
          </w:p>
        </w:tc>
      </w:tr>
      <w:tr w14:paraId="09A2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7F2E6841">
            <w:pPr>
              <w:pStyle w:val="44"/>
              <w:shd w:val="clear" w:color="auto" w:fill="FFFFFF"/>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23.6</w:t>
            </w:r>
          </w:p>
        </w:tc>
        <w:tc>
          <w:tcPr>
            <w:tcW w:w="1588" w:type="dxa"/>
            <w:vAlign w:val="center"/>
          </w:tcPr>
          <w:p w14:paraId="326293E7">
            <w:pPr>
              <w:shd w:val="clear" w:color="auto" w:fill="FFFFFF"/>
              <w:jc w:val="center"/>
              <w:rPr>
                <w:rFonts w:ascii="宋体" w:hAnsi="宋体" w:cs="宋体"/>
                <w:color w:val="auto"/>
                <w:sz w:val="24"/>
                <w:highlight w:val="none"/>
              </w:rPr>
            </w:pPr>
            <w:r>
              <w:rPr>
                <w:rFonts w:hint="eastAsia" w:ascii="FZSSK--GBK1-0" w:hAnsi="FZSSK--GBK1-0" w:eastAsia="FZSSK--GBK1-0"/>
                <w:color w:val="auto"/>
                <w:sz w:val="24"/>
                <w:highlight w:val="none"/>
              </w:rPr>
              <w:t>政采贷</w:t>
            </w:r>
          </w:p>
        </w:tc>
        <w:tc>
          <w:tcPr>
            <w:tcW w:w="6719" w:type="dxa"/>
            <w:vAlign w:val="center"/>
          </w:tcPr>
          <w:p w14:paraId="0AD0DC5D">
            <w:pPr>
              <w:shd w:val="clear" w:color="auto" w:fill="FFFFFF"/>
              <w:jc w:val="left"/>
              <w:rPr>
                <w:rFonts w:ascii="宋体" w:hAnsi="宋体" w:cs="宋体"/>
                <w:color w:val="auto"/>
                <w:sz w:val="24"/>
                <w:highlight w:val="none"/>
              </w:rPr>
            </w:pPr>
            <w:r>
              <w:rPr>
                <w:rFonts w:hint="eastAsia" w:ascii="宋体" w:hAnsi="宋体" w:cs="宋体"/>
                <w:color w:val="auto"/>
                <w:sz w:val="24"/>
                <w:highlight w:val="none"/>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637 号）。有需求的供应商，可按上述通知要求办理“政采贷”。</w:t>
            </w:r>
          </w:p>
        </w:tc>
      </w:tr>
      <w:tr w14:paraId="6164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3C3970B2">
            <w:pPr>
              <w:pStyle w:val="44"/>
              <w:shd w:val="clear" w:color="auto" w:fill="FFFFFF"/>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24.1.1</w:t>
            </w:r>
          </w:p>
        </w:tc>
        <w:tc>
          <w:tcPr>
            <w:tcW w:w="1588" w:type="dxa"/>
            <w:vAlign w:val="center"/>
          </w:tcPr>
          <w:p w14:paraId="02A51EE8">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询问</w:t>
            </w:r>
          </w:p>
        </w:tc>
        <w:tc>
          <w:tcPr>
            <w:tcW w:w="6719" w:type="dxa"/>
            <w:vAlign w:val="center"/>
          </w:tcPr>
          <w:p w14:paraId="139F4D47">
            <w:pPr>
              <w:shd w:val="clear" w:color="auto" w:fill="FFFFFF"/>
              <w:jc w:val="left"/>
              <w:rPr>
                <w:rFonts w:ascii="宋体" w:hAnsi="宋体" w:cs="宋体"/>
                <w:color w:val="auto"/>
                <w:sz w:val="24"/>
                <w:highlight w:val="none"/>
              </w:rPr>
            </w:pPr>
            <w:r>
              <w:rPr>
                <w:rFonts w:hint="eastAsia" w:ascii="宋体" w:hAnsi="宋体" w:cs="宋体"/>
                <w:color w:val="auto"/>
                <w:sz w:val="24"/>
                <w:highlight w:val="none"/>
              </w:rPr>
              <w:t>询问送达形式：原件送达。</w:t>
            </w:r>
          </w:p>
        </w:tc>
      </w:tr>
      <w:tr w14:paraId="7CDF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5F687B40">
            <w:pPr>
              <w:pStyle w:val="44"/>
              <w:shd w:val="clear" w:color="auto" w:fill="FFFFFF"/>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24.3</w:t>
            </w:r>
          </w:p>
        </w:tc>
        <w:tc>
          <w:tcPr>
            <w:tcW w:w="1588" w:type="dxa"/>
            <w:vAlign w:val="center"/>
          </w:tcPr>
          <w:p w14:paraId="464D2C14">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6719" w:type="dxa"/>
            <w:vAlign w:val="center"/>
          </w:tcPr>
          <w:p w14:paraId="19A0CF56">
            <w:pPr>
              <w:jc w:val="left"/>
              <w:rPr>
                <w:rFonts w:ascii="宋体" w:hAnsi="宋体" w:cs="宋体"/>
                <w:color w:val="auto"/>
                <w:sz w:val="24"/>
                <w:highlight w:val="none"/>
              </w:rPr>
            </w:pPr>
            <w:r>
              <w:rPr>
                <w:rFonts w:hint="eastAsia" w:ascii="宋体" w:hAnsi="宋体" w:cs="宋体"/>
                <w:color w:val="auto"/>
                <w:sz w:val="24"/>
                <w:highlight w:val="none"/>
              </w:rPr>
              <w:t>接收询问和质疑的联系方式</w:t>
            </w:r>
          </w:p>
          <w:p w14:paraId="493EE870">
            <w:pPr>
              <w:jc w:val="left"/>
              <w:rPr>
                <w:rFonts w:ascii="宋体" w:hAnsi="宋体"/>
                <w:color w:val="auto"/>
                <w:sz w:val="24"/>
                <w:highlight w:val="none"/>
              </w:rPr>
            </w:pPr>
            <w:r>
              <w:rPr>
                <w:rFonts w:hint="eastAsia" w:ascii="宋体" w:hAnsi="宋体" w:cs="宋体"/>
                <w:color w:val="auto"/>
                <w:sz w:val="24"/>
                <w:highlight w:val="none"/>
              </w:rPr>
              <w:t>联系部门：</w:t>
            </w:r>
            <w:r>
              <w:rPr>
                <w:rFonts w:hint="eastAsia" w:ascii="宋体" w:hAnsi="宋体" w:cs="宋体"/>
                <w:color w:val="auto"/>
                <w:sz w:val="24"/>
                <w:highlight w:val="none"/>
                <w:u w:val="single"/>
              </w:rPr>
              <w:t>华采招标集团有限公司</w:t>
            </w:r>
            <w:r>
              <w:rPr>
                <w:rFonts w:ascii="宋体" w:hAnsi="宋体"/>
                <w:color w:val="auto"/>
                <w:sz w:val="24"/>
                <w:highlight w:val="none"/>
              </w:rPr>
              <w:t>；</w:t>
            </w:r>
          </w:p>
          <w:p w14:paraId="0D67F47F">
            <w:pPr>
              <w:jc w:val="left"/>
              <w:rPr>
                <w:rFonts w:ascii="宋体" w:hAnsi="宋体" w:cs="宋体"/>
                <w:color w:val="auto"/>
                <w:sz w:val="24"/>
                <w:highlight w:val="none"/>
              </w:rPr>
            </w:pPr>
            <w:r>
              <w:rPr>
                <w:rFonts w:ascii="宋体" w:hAnsi="宋体"/>
                <w:color w:val="auto"/>
                <w:sz w:val="24"/>
                <w:highlight w:val="none"/>
              </w:rPr>
              <w:t>联系电话：</w:t>
            </w:r>
            <w:r>
              <w:rPr>
                <w:rFonts w:hint="eastAsia" w:ascii="宋体" w:hAnsi="宋体"/>
                <w:color w:val="auto"/>
                <w:sz w:val="24"/>
                <w:highlight w:val="none"/>
                <w:u w:val="single"/>
              </w:rPr>
              <w:t>贾东敏、姚冲 186-1228-7813/7807</w:t>
            </w:r>
            <w:r>
              <w:rPr>
                <w:rFonts w:hint="eastAsia" w:ascii="宋体" w:hAnsi="宋体" w:cs="宋体"/>
                <w:color w:val="auto"/>
                <w:sz w:val="24"/>
                <w:highlight w:val="none"/>
              </w:rPr>
              <w:t>；</w:t>
            </w:r>
          </w:p>
          <w:p w14:paraId="681B5D83">
            <w:pPr>
              <w:shd w:val="clear" w:color="auto" w:fill="FFFFFF"/>
              <w:jc w:val="left"/>
              <w:rPr>
                <w:rFonts w:ascii="宋体" w:hAnsi="宋体" w:cs="宋体"/>
                <w:color w:val="auto"/>
                <w:sz w:val="24"/>
                <w:highlight w:val="none"/>
              </w:rPr>
            </w:pPr>
            <w:r>
              <w:rPr>
                <w:rFonts w:hint="eastAsia" w:ascii="宋体" w:hAnsi="宋体" w:cs="宋体"/>
                <w:color w:val="auto"/>
                <w:sz w:val="24"/>
                <w:highlight w:val="none"/>
              </w:rPr>
              <w:t>通讯地址：</w:t>
            </w:r>
            <w:r>
              <w:rPr>
                <w:rFonts w:hint="eastAsia" w:ascii="宋体" w:hAnsi="宋体"/>
                <w:color w:val="auto"/>
                <w:sz w:val="24"/>
                <w:highlight w:val="none"/>
                <w:u w:val="single"/>
              </w:rPr>
              <w:t>北京市丰台区广安路9号国投财富广场6号楼1601室</w:t>
            </w:r>
            <w:r>
              <w:rPr>
                <w:rFonts w:ascii="宋体" w:hAnsi="宋体"/>
                <w:color w:val="auto"/>
                <w:sz w:val="24"/>
                <w:highlight w:val="none"/>
                <w:u w:val="single"/>
              </w:rPr>
              <w:t>。</w:t>
            </w:r>
          </w:p>
        </w:tc>
      </w:tr>
      <w:tr w14:paraId="618F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2" w:type="dxa"/>
            <w:vAlign w:val="center"/>
          </w:tcPr>
          <w:p w14:paraId="2058F335">
            <w:pPr>
              <w:pStyle w:val="44"/>
              <w:shd w:val="clear" w:color="auto" w:fill="FFFFFF"/>
              <w:adjustRightInd w:val="0"/>
              <w:snapToGrid w:val="0"/>
              <w:jc w:val="center"/>
              <w:rPr>
                <w:rFonts w:hint="default" w:hAnsi="宋体" w:cs="宋体"/>
                <w:color w:val="auto"/>
                <w:sz w:val="24"/>
                <w:szCs w:val="24"/>
                <w:highlight w:val="none"/>
              </w:rPr>
            </w:pPr>
            <w:r>
              <w:rPr>
                <w:rFonts w:hAnsi="宋体" w:cs="宋体"/>
                <w:color w:val="auto"/>
                <w:sz w:val="24"/>
                <w:szCs w:val="24"/>
                <w:highlight w:val="none"/>
              </w:rPr>
              <w:t>25</w:t>
            </w:r>
          </w:p>
        </w:tc>
        <w:tc>
          <w:tcPr>
            <w:tcW w:w="1588" w:type="dxa"/>
            <w:vAlign w:val="center"/>
          </w:tcPr>
          <w:p w14:paraId="0F76FC11">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代理费</w:t>
            </w:r>
          </w:p>
        </w:tc>
        <w:tc>
          <w:tcPr>
            <w:tcW w:w="6719" w:type="dxa"/>
            <w:vAlign w:val="center"/>
          </w:tcPr>
          <w:p w14:paraId="62B0DA69">
            <w:pPr>
              <w:shd w:val="clear" w:color="auto" w:fill="FFFFFF"/>
              <w:jc w:val="left"/>
              <w:rPr>
                <w:color w:val="auto"/>
                <w:sz w:val="24"/>
                <w:highlight w:val="none"/>
              </w:rPr>
            </w:pPr>
            <w:r>
              <w:rPr>
                <w:color w:val="auto"/>
                <w:sz w:val="24"/>
                <w:highlight w:val="none"/>
              </w:rPr>
              <w:t>收费对象：</w:t>
            </w:r>
          </w:p>
          <w:p w14:paraId="35B7DDDD">
            <w:pPr>
              <w:shd w:val="clear" w:color="auto" w:fill="FFFFFF"/>
              <w:jc w:val="left"/>
              <w:rPr>
                <w:rFonts w:ascii="宋体" w:hAnsi="宋体" w:cs="宋体"/>
                <w:color w:val="auto"/>
                <w:sz w:val="24"/>
                <w:highlight w:val="none"/>
              </w:rPr>
            </w:pPr>
            <w:r>
              <w:rPr>
                <w:rFonts w:hint="eastAsia" w:ascii="宋体" w:hAnsi="宋体" w:cs="宋体"/>
                <w:color w:val="auto"/>
                <w:sz w:val="24"/>
                <w:highlight w:val="none"/>
              </w:rPr>
              <w:t>□采购人</w:t>
            </w:r>
          </w:p>
          <w:p w14:paraId="69C73A74">
            <w:pPr>
              <w:shd w:val="clear" w:color="auto" w:fill="FFFFFF"/>
              <w:jc w:val="left"/>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成交供应商</w:t>
            </w:r>
          </w:p>
          <w:p w14:paraId="1B1A65CF">
            <w:pPr>
              <w:jc w:val="left"/>
              <w:rPr>
                <w:rFonts w:ascii="宋体" w:hAnsi="宋体"/>
                <w:color w:val="auto"/>
                <w:sz w:val="24"/>
                <w:highlight w:val="none"/>
              </w:rPr>
            </w:pPr>
            <w:r>
              <w:rPr>
                <w:rFonts w:ascii="宋体" w:hAnsi="宋体"/>
                <w:color w:val="auto"/>
                <w:sz w:val="24"/>
                <w:highlight w:val="none"/>
              </w:rPr>
              <w:t>收费标准：</w:t>
            </w:r>
          </w:p>
          <w:p w14:paraId="5EC07EBA">
            <w:pPr>
              <w:jc w:val="left"/>
              <w:rPr>
                <w:rFonts w:ascii="宋体" w:hAnsi="宋体"/>
                <w:color w:val="auto"/>
                <w:sz w:val="24"/>
                <w:highlight w:val="none"/>
              </w:rPr>
            </w:pPr>
            <w:r>
              <w:rPr>
                <w:rFonts w:hint="eastAsia" w:ascii="宋体" w:hAnsi="宋体"/>
                <w:color w:val="auto"/>
                <w:sz w:val="24"/>
                <w:highlight w:val="none"/>
              </w:rPr>
              <w:t>（1）以中标金额作为收费的计算基数。</w:t>
            </w:r>
          </w:p>
          <w:p w14:paraId="19CA9F2E">
            <w:pPr>
              <w:jc w:val="left"/>
              <w:rPr>
                <w:rFonts w:ascii="宋体" w:hAnsi="宋体"/>
                <w:color w:val="auto"/>
                <w:sz w:val="24"/>
                <w:highlight w:val="none"/>
              </w:rPr>
            </w:pPr>
            <w:r>
              <w:rPr>
                <w:rFonts w:hint="eastAsia" w:ascii="宋体" w:hAnsi="宋体"/>
                <w:color w:val="auto"/>
                <w:sz w:val="24"/>
                <w:highlight w:val="none"/>
              </w:rPr>
              <w:t>（2）采购代理机构参照原计价格[2002]1980号文、发改办价格[2003]857号文及发改价格[2011]534号文有关规定向中标人收取中标服务费用。</w:t>
            </w:r>
          </w:p>
          <w:p w14:paraId="0D4979FC">
            <w:pPr>
              <w:jc w:val="left"/>
              <w:rPr>
                <w:rFonts w:ascii="宋体" w:hAnsi="宋体"/>
                <w:color w:val="auto"/>
                <w:sz w:val="24"/>
                <w:highlight w:val="none"/>
              </w:rPr>
            </w:pPr>
            <w:r>
              <w:rPr>
                <w:rFonts w:hint="eastAsia" w:ascii="宋体" w:hAnsi="宋体"/>
                <w:color w:val="auto"/>
                <w:sz w:val="24"/>
                <w:highlight w:val="none"/>
              </w:rPr>
              <w:t>（3）中标服务费币种与中标签订合同的币种相同或采购代理机构同意的币种。</w:t>
            </w:r>
          </w:p>
          <w:p w14:paraId="56D97CF5">
            <w:pPr>
              <w:jc w:val="left"/>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缴纳时间：</w:t>
            </w:r>
            <w:r>
              <w:rPr>
                <w:rFonts w:hint="eastAsia" w:ascii="宋体" w:hAnsi="宋体"/>
                <w:color w:val="auto"/>
                <w:sz w:val="24"/>
                <w:highlight w:val="none"/>
              </w:rPr>
              <w:t>中标人</w:t>
            </w:r>
            <w:r>
              <w:rPr>
                <w:rFonts w:ascii="宋体" w:hAnsi="宋体"/>
                <w:color w:val="auto"/>
                <w:sz w:val="24"/>
                <w:highlight w:val="none"/>
              </w:rPr>
              <w:t>在领取中标通知书时一次</w:t>
            </w:r>
            <w:r>
              <w:rPr>
                <w:rFonts w:hint="eastAsia" w:ascii="宋体" w:hAnsi="宋体"/>
                <w:color w:val="auto"/>
                <w:sz w:val="24"/>
                <w:highlight w:val="none"/>
              </w:rPr>
              <w:t>性</w:t>
            </w:r>
            <w:r>
              <w:rPr>
                <w:rFonts w:ascii="宋体" w:hAnsi="宋体"/>
                <w:color w:val="auto"/>
                <w:sz w:val="24"/>
                <w:highlight w:val="none"/>
              </w:rPr>
              <w:t>向采购代理机构交纳所有中标服务费。</w:t>
            </w:r>
          </w:p>
          <w:p w14:paraId="709B969F">
            <w:pPr>
              <w:rPr>
                <w:rFonts w:ascii="宋体" w:hAnsi="宋体" w:cs="宋体"/>
                <w:b/>
                <w:color w:val="auto"/>
                <w:sz w:val="24"/>
                <w:highlight w:val="none"/>
              </w:rPr>
            </w:pPr>
            <w:r>
              <w:rPr>
                <w:rFonts w:hint="eastAsia" w:ascii="宋体" w:hAnsi="宋体" w:cs="宋体"/>
                <w:b/>
                <w:color w:val="auto"/>
                <w:sz w:val="24"/>
                <w:highlight w:val="none"/>
              </w:rPr>
              <w:t xml:space="preserve">服务费汇款账户： </w:t>
            </w:r>
          </w:p>
          <w:p w14:paraId="1BEE46E1">
            <w:pPr>
              <w:rPr>
                <w:rFonts w:ascii="宋体" w:hAnsi="宋体" w:cs="宋体"/>
                <w:b/>
                <w:color w:val="auto"/>
                <w:sz w:val="24"/>
                <w:highlight w:val="none"/>
              </w:rPr>
            </w:pPr>
            <w:r>
              <w:rPr>
                <w:rFonts w:hint="eastAsia" w:ascii="宋体" w:hAnsi="宋体" w:cs="宋体"/>
                <w:b/>
                <w:color w:val="auto"/>
                <w:sz w:val="24"/>
                <w:highlight w:val="none"/>
              </w:rPr>
              <w:t>开户名：华采招标集团有限公司</w:t>
            </w:r>
          </w:p>
          <w:p w14:paraId="1F21D59F">
            <w:pPr>
              <w:rPr>
                <w:rFonts w:ascii="宋体" w:hAnsi="宋体" w:cs="宋体"/>
                <w:b/>
                <w:color w:val="auto"/>
                <w:sz w:val="24"/>
                <w:highlight w:val="none"/>
              </w:rPr>
            </w:pPr>
            <w:r>
              <w:rPr>
                <w:rFonts w:hint="eastAsia" w:ascii="宋体" w:hAnsi="宋体" w:cs="宋体"/>
                <w:b/>
                <w:color w:val="auto"/>
                <w:sz w:val="24"/>
                <w:highlight w:val="none"/>
              </w:rPr>
              <w:t>开户行：建设银行北京保福寺支行</w:t>
            </w:r>
          </w:p>
          <w:p w14:paraId="700CEADB">
            <w:pPr>
              <w:rPr>
                <w:rFonts w:ascii="宋体" w:hAnsi="宋体" w:cs="宋体"/>
                <w:b/>
                <w:color w:val="auto"/>
                <w:sz w:val="24"/>
                <w:highlight w:val="none"/>
              </w:rPr>
            </w:pPr>
            <w:r>
              <w:rPr>
                <w:rFonts w:hint="eastAsia" w:ascii="宋体" w:hAnsi="宋体" w:cs="宋体"/>
                <w:b/>
                <w:color w:val="auto"/>
                <w:sz w:val="24"/>
                <w:highlight w:val="none"/>
              </w:rPr>
              <w:t>账  号：11050163990000000889</w:t>
            </w:r>
          </w:p>
          <w:p w14:paraId="3A9AD94E">
            <w:pPr>
              <w:rPr>
                <w:rFonts w:ascii="宋体" w:hAnsi="宋体" w:cs="宋体"/>
                <w:color w:val="auto"/>
                <w:sz w:val="24"/>
                <w:highlight w:val="none"/>
              </w:rPr>
            </w:pPr>
            <w:r>
              <w:rPr>
                <w:rFonts w:hint="eastAsia" w:ascii="宋体" w:hAnsi="宋体" w:cs="宋体"/>
                <w:b/>
                <w:color w:val="auto"/>
                <w:sz w:val="24"/>
                <w:highlight w:val="none"/>
              </w:rPr>
              <w:t>行  号：1051 0005 0245</w:t>
            </w:r>
          </w:p>
        </w:tc>
      </w:tr>
    </w:tbl>
    <w:p w14:paraId="057E0E1E">
      <w:pPr>
        <w:shd w:val="clear" w:color="auto" w:fill="FFFFFF"/>
        <w:tabs>
          <w:tab w:val="left" w:pos="5580"/>
        </w:tabs>
        <w:adjustRightInd w:val="0"/>
        <w:spacing w:line="360" w:lineRule="auto"/>
        <w:jc w:val="distribute"/>
        <w:rPr>
          <w:rFonts w:ascii="宋体" w:hAnsi="宋体" w:cs="宋体"/>
          <w:color w:val="auto"/>
          <w:sz w:val="24"/>
          <w:highlight w:val="none"/>
        </w:rPr>
        <w:sectPr>
          <w:footerReference r:id="rId9" w:type="first"/>
          <w:footerReference r:id="rId8" w:type="default"/>
          <w:pgSz w:w="11907" w:h="16840"/>
          <w:pgMar w:top="1417" w:right="1417" w:bottom="1417" w:left="1417" w:header="851" w:footer="851" w:gutter="0"/>
          <w:pgNumType w:start="1"/>
          <w:cols w:space="720" w:num="1"/>
          <w:titlePg/>
          <w:docGrid w:linePitch="462" w:charSpace="0"/>
        </w:sectPr>
      </w:pPr>
    </w:p>
    <w:p w14:paraId="4FF044DA">
      <w:pPr>
        <w:shd w:val="clear" w:color="auto" w:fill="FFFFFF"/>
        <w:spacing w:before="240" w:beforeLines="100" w:after="240" w:afterLines="100"/>
        <w:jc w:val="center"/>
        <w:rPr>
          <w:rFonts w:ascii="宋体" w:hAnsi="宋体" w:cs="宋体"/>
          <w:b/>
          <w:color w:val="auto"/>
          <w:sz w:val="28"/>
          <w:szCs w:val="28"/>
          <w:highlight w:val="none"/>
        </w:rPr>
      </w:pPr>
      <w:r>
        <w:rPr>
          <w:rFonts w:hint="eastAsia" w:ascii="宋体" w:hAnsi="宋体" w:cs="宋体"/>
          <w:b/>
          <w:color w:val="auto"/>
          <w:sz w:val="28"/>
          <w:szCs w:val="28"/>
          <w:highlight w:val="none"/>
        </w:rPr>
        <w:t>供应商须知</w:t>
      </w:r>
    </w:p>
    <w:p w14:paraId="4F8E42A0">
      <w:pPr>
        <w:pStyle w:val="4"/>
        <w:shd w:val="clear" w:color="auto" w:fill="FFFFFF"/>
        <w:tabs>
          <w:tab w:val="center" w:pos="4592"/>
          <w:tab w:val="left" w:pos="7860"/>
        </w:tabs>
        <w:spacing w:before="0" w:line="360" w:lineRule="auto"/>
        <w:jc w:val="left"/>
        <w:rPr>
          <w:rFonts w:ascii="宋体" w:hAnsi="宋体" w:eastAsia="宋体" w:cs="宋体"/>
          <w:color w:val="auto"/>
          <w:sz w:val="28"/>
          <w:highlight w:val="none"/>
        </w:rPr>
      </w:pPr>
      <w:bookmarkStart w:id="72" w:name="_Toc520356143"/>
      <w:bookmarkStart w:id="73" w:name="_Toc127151518"/>
      <w:r>
        <w:rPr>
          <w:rFonts w:hint="eastAsia" w:ascii="宋体" w:hAnsi="宋体" w:eastAsia="宋体" w:cs="宋体"/>
          <w:color w:val="auto"/>
          <w:sz w:val="28"/>
          <w:highlight w:val="none"/>
        </w:rPr>
        <w:tab/>
      </w:r>
      <w:bookmarkStart w:id="74" w:name="_Toc226965791"/>
      <w:bookmarkStart w:id="75" w:name="_Toc151193760"/>
      <w:bookmarkStart w:id="76" w:name="_Toc226965708"/>
      <w:bookmarkStart w:id="77" w:name="_Toc226337214"/>
      <w:bookmarkStart w:id="78" w:name="_Toc150774723"/>
      <w:bookmarkStart w:id="79" w:name="_Toc305158786"/>
      <w:bookmarkStart w:id="80" w:name="_Toc226309762"/>
      <w:bookmarkStart w:id="81" w:name="_Toc142311020"/>
      <w:bookmarkStart w:id="82" w:name="_Toc151193906"/>
      <w:bookmarkStart w:id="83" w:name="_Toc151190145"/>
      <w:bookmarkStart w:id="84" w:name="_Toc264969208"/>
      <w:bookmarkStart w:id="85" w:name="_Toc150480756"/>
      <w:bookmarkStart w:id="86" w:name="_Toc151193832"/>
      <w:bookmarkStart w:id="87" w:name="_Toc151193616"/>
      <w:bookmarkStart w:id="88" w:name="_Toc151193688"/>
      <w:bookmarkStart w:id="89" w:name="_Toc150774618"/>
      <w:bookmarkStart w:id="90" w:name="_Toc195842883"/>
      <w:bookmarkStart w:id="91" w:name="_Toc305158860"/>
      <w:bookmarkStart w:id="92" w:name="_Toc150509269"/>
      <w:bookmarkStart w:id="93" w:name="_Toc265228356"/>
      <w:r>
        <w:rPr>
          <w:rFonts w:hint="eastAsia" w:ascii="宋体" w:hAnsi="宋体" w:eastAsia="宋体" w:cs="宋体"/>
          <w:color w:val="auto"/>
          <w:sz w:val="28"/>
          <w:highlight w:val="none"/>
        </w:rPr>
        <w:t>一   说  明</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Pr>
          <w:rFonts w:hint="eastAsia" w:ascii="宋体" w:hAnsi="宋体" w:eastAsia="宋体" w:cs="宋体"/>
          <w:color w:val="auto"/>
          <w:sz w:val="28"/>
          <w:highlight w:val="none"/>
        </w:rPr>
        <w:tab/>
      </w:r>
    </w:p>
    <w:p w14:paraId="1F9ECF64">
      <w:pPr>
        <w:numPr>
          <w:ilvl w:val="0"/>
          <w:numId w:val="18"/>
        </w:numPr>
        <w:shd w:val="clear" w:color="auto" w:fill="FFFFFF"/>
        <w:tabs>
          <w:tab w:val="clear" w:pos="900"/>
        </w:tabs>
        <w:snapToGrid w:val="0"/>
        <w:spacing w:line="360" w:lineRule="auto"/>
        <w:ind w:left="357" w:hanging="357"/>
        <w:outlineLvl w:val="1"/>
        <w:rPr>
          <w:rFonts w:ascii="宋体" w:hAnsi="宋体" w:cs="宋体"/>
          <w:color w:val="auto"/>
          <w:sz w:val="24"/>
          <w:highlight w:val="none"/>
        </w:rPr>
      </w:pPr>
      <w:bookmarkStart w:id="94" w:name="_Toc265228357"/>
      <w:bookmarkStart w:id="95" w:name="_Toc264969209"/>
      <w:bookmarkStart w:id="96" w:name="_Toc305158787"/>
      <w:bookmarkStart w:id="97" w:name="_Toc305158861"/>
      <w:r>
        <w:rPr>
          <w:rFonts w:hint="eastAsia" w:ascii="宋体" w:hAnsi="宋体" w:cs="宋体"/>
          <w:color w:val="auto"/>
          <w:sz w:val="24"/>
          <w:highlight w:val="none"/>
        </w:rPr>
        <w:t>采购人、采购代理机构、供应商</w:t>
      </w:r>
      <w:bookmarkEnd w:id="94"/>
      <w:bookmarkEnd w:id="95"/>
      <w:bookmarkEnd w:id="96"/>
      <w:bookmarkEnd w:id="97"/>
      <w:r>
        <w:rPr>
          <w:rFonts w:hint="eastAsia" w:ascii="宋体" w:hAnsi="宋体" w:cs="宋体"/>
          <w:color w:val="auto"/>
          <w:sz w:val="24"/>
          <w:highlight w:val="none"/>
        </w:rPr>
        <w:t>、联合体</w:t>
      </w:r>
    </w:p>
    <w:p w14:paraId="2A86EBF2">
      <w:pPr>
        <w:numPr>
          <w:ilvl w:val="1"/>
          <w:numId w:val="18"/>
        </w:numPr>
        <w:shd w:val="clear" w:color="auto" w:fill="FFFFFF"/>
        <w:tabs>
          <w:tab w:val="left" w:pos="1080"/>
          <w:tab w:val="left" w:pos="2014"/>
          <w:tab w:val="left" w:pos="5521"/>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采购人、采购代理机构:指依法进行政府采购的国家机关、事业单位、团体组织，及其委托的采购代理机构。本项目采购人、采购代理机构见第一章《采购邀请》。</w:t>
      </w:r>
    </w:p>
    <w:p w14:paraId="15167ABC">
      <w:pPr>
        <w:numPr>
          <w:ilvl w:val="1"/>
          <w:numId w:val="18"/>
        </w:numPr>
        <w:shd w:val="clear" w:color="auto" w:fill="FFFFFF"/>
        <w:tabs>
          <w:tab w:val="left" w:pos="1080"/>
          <w:tab w:val="left" w:pos="2014"/>
          <w:tab w:val="left" w:pos="5521"/>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供应商（也称“申请人”）：指向采购人提供货物、工程或者服务的法人、其他组织或者自然人。</w:t>
      </w:r>
    </w:p>
    <w:p w14:paraId="1A6F2D48">
      <w:pPr>
        <w:numPr>
          <w:ilvl w:val="1"/>
          <w:numId w:val="18"/>
        </w:numPr>
        <w:shd w:val="clear" w:color="auto" w:fill="FFFFFF"/>
        <w:tabs>
          <w:tab w:val="left" w:pos="1080"/>
          <w:tab w:val="left" w:pos="2014"/>
          <w:tab w:val="left" w:pos="5521"/>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联合体：指两个以上的自然人、法人或者其他组织组成一个联合体，以一个供应商的身份共同参加政府采购。</w:t>
      </w:r>
    </w:p>
    <w:p w14:paraId="3628D25D">
      <w:pPr>
        <w:numPr>
          <w:ilvl w:val="0"/>
          <w:numId w:val="18"/>
        </w:numPr>
        <w:shd w:val="clear" w:color="auto" w:fill="FFFFFF"/>
        <w:tabs>
          <w:tab w:val="clear" w:pos="900"/>
        </w:tabs>
        <w:snapToGrid w:val="0"/>
        <w:spacing w:line="360" w:lineRule="auto"/>
        <w:ind w:left="357" w:hanging="357"/>
        <w:outlineLvl w:val="1"/>
        <w:rPr>
          <w:rFonts w:ascii="宋体" w:hAnsi="宋体" w:cs="宋体"/>
          <w:color w:val="auto"/>
          <w:sz w:val="24"/>
          <w:highlight w:val="none"/>
        </w:rPr>
      </w:pPr>
      <w:bookmarkStart w:id="98" w:name="_Toc142311022"/>
      <w:bookmarkStart w:id="99" w:name="_Toc150509271"/>
      <w:bookmarkStart w:id="100" w:name="_Toc195842885"/>
      <w:bookmarkStart w:id="101" w:name="_Toc149720813"/>
      <w:bookmarkStart w:id="102" w:name="_Toc226965793"/>
      <w:bookmarkStart w:id="103" w:name="_Toc264969210"/>
      <w:bookmarkStart w:id="104" w:name="_Toc150774725"/>
      <w:bookmarkStart w:id="105" w:name="_Toc151190147"/>
      <w:bookmarkStart w:id="106" w:name="_Toc305158788"/>
      <w:bookmarkStart w:id="107" w:name="_Toc151193762"/>
      <w:bookmarkStart w:id="108" w:name="_Toc226309764"/>
      <w:bookmarkStart w:id="109" w:name="_Toc164351614"/>
      <w:bookmarkStart w:id="110" w:name="_Toc265228358"/>
      <w:bookmarkStart w:id="111" w:name="_Toc164608789"/>
      <w:bookmarkStart w:id="112" w:name="_Toc164229361"/>
      <w:bookmarkStart w:id="113" w:name="_Toc226965710"/>
      <w:bookmarkStart w:id="114" w:name="_Toc164608634"/>
      <w:bookmarkStart w:id="115" w:name="_Toc151193690"/>
      <w:bookmarkStart w:id="116" w:name="_Toc151193908"/>
      <w:bookmarkStart w:id="117" w:name="_Toc151193834"/>
      <w:bookmarkStart w:id="118" w:name="_Toc127151520"/>
      <w:bookmarkStart w:id="119" w:name="_Toc151193618"/>
      <w:bookmarkStart w:id="120" w:name="_Toc226337216"/>
      <w:bookmarkStart w:id="121" w:name="_Toc150480758"/>
      <w:bookmarkStart w:id="122" w:name="_Toc305158862"/>
      <w:bookmarkStart w:id="123" w:name="_Toc164229215"/>
      <w:bookmarkStart w:id="124" w:name="_Toc127161434"/>
      <w:bookmarkStart w:id="125" w:name="_Toc127151721"/>
      <w:bookmarkStart w:id="126" w:name="_Toc150774620"/>
      <w:r>
        <w:rPr>
          <w:rFonts w:hint="eastAsia" w:ascii="宋体" w:hAnsi="宋体" w:cs="宋体"/>
          <w:color w:val="auto"/>
          <w:sz w:val="24"/>
          <w:highlight w:val="none"/>
        </w:rPr>
        <w:t>资金来源</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Pr>
          <w:rFonts w:hint="eastAsia" w:ascii="宋体" w:hAnsi="宋体" w:cs="宋体"/>
          <w:color w:val="auto"/>
          <w:sz w:val="24"/>
          <w:highlight w:val="none"/>
        </w:rPr>
        <w:t>、项目属性、科研仪器设备采购</w:t>
      </w:r>
    </w:p>
    <w:p w14:paraId="571AFDE5">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资金来源为财政性资金和/或本项目采购中无法与财政性资金分割的非财政性资金。</w:t>
      </w:r>
    </w:p>
    <w:p w14:paraId="418B184D">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项目属性见《供应商须知资料表》。</w:t>
      </w:r>
    </w:p>
    <w:p w14:paraId="10302136">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是否属于科研仪器设备采购见《供应商须知资料表》。</w:t>
      </w:r>
    </w:p>
    <w:p w14:paraId="2176C2ED">
      <w:pPr>
        <w:numPr>
          <w:ilvl w:val="0"/>
          <w:numId w:val="18"/>
        </w:numPr>
        <w:shd w:val="clear" w:color="auto" w:fill="FFFFFF"/>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现场考察、磋商前答疑会</w:t>
      </w:r>
    </w:p>
    <w:p w14:paraId="6420BB50">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8"/>
          <w:highlight w:val="none"/>
        </w:rPr>
      </w:pPr>
      <w:r>
        <w:rPr>
          <w:rFonts w:hint="eastAsia" w:ascii="宋体" w:hAnsi="宋体" w:cs="宋体"/>
          <w:color w:val="auto"/>
          <w:sz w:val="24"/>
          <w:highlight w:val="none"/>
        </w:rPr>
        <w:t>若《供应商须知资料表》中规定了组织现场考察、召开磋商前答疑会，则供应商应按要求在规定的时间和地点参加。</w:t>
      </w:r>
      <w:bookmarkStart w:id="127" w:name="_Toc265228360"/>
      <w:bookmarkStart w:id="128" w:name="_Toc151193764"/>
      <w:bookmarkStart w:id="129" w:name="_Toc226965795"/>
      <w:bookmarkStart w:id="130" w:name="_Toc150774622"/>
      <w:bookmarkStart w:id="131" w:name="_Toc151190149"/>
      <w:bookmarkStart w:id="132" w:name="_Toc520356146"/>
      <w:bookmarkStart w:id="133" w:name="_Toc151193910"/>
      <w:bookmarkStart w:id="134" w:name="_Toc142311024"/>
      <w:bookmarkStart w:id="135" w:name="_Toc195842887"/>
      <w:bookmarkStart w:id="136" w:name="_Toc226309766"/>
      <w:bookmarkStart w:id="137" w:name="_Toc150480760"/>
      <w:bookmarkStart w:id="138" w:name="_Toc226965712"/>
      <w:bookmarkStart w:id="139" w:name="_Toc264969212"/>
      <w:bookmarkStart w:id="140" w:name="_Toc150774727"/>
      <w:bookmarkStart w:id="141" w:name="_Toc151193836"/>
      <w:bookmarkStart w:id="142" w:name="_Toc150509273"/>
      <w:bookmarkStart w:id="143" w:name="_Toc226337218"/>
      <w:bookmarkStart w:id="144" w:name="_Toc305158864"/>
      <w:bookmarkStart w:id="145" w:name="_Toc305158790"/>
      <w:bookmarkStart w:id="146" w:name="_Toc151193692"/>
      <w:bookmarkStart w:id="147" w:name="_Toc151193620"/>
      <w:bookmarkStart w:id="148" w:name="_Toc127151522"/>
    </w:p>
    <w:p w14:paraId="56BED543">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由于未参加现场考察或磋商前答疑会而导致对项目实际情况不了解，影响响应文件编制、报价准确性、综合因素响应不全面等问题的，由供应商自行承担不利评审后果。</w:t>
      </w:r>
    </w:p>
    <w:p w14:paraId="72084613">
      <w:pPr>
        <w:numPr>
          <w:ilvl w:val="0"/>
          <w:numId w:val="18"/>
        </w:numPr>
        <w:shd w:val="clear" w:color="auto" w:fill="FFFFFF"/>
        <w:tabs>
          <w:tab w:val="clear" w:pos="90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政府采购政策（包括但不限于下列具体政策要求）</w:t>
      </w:r>
    </w:p>
    <w:p w14:paraId="427545D5">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bookmarkStart w:id="149" w:name="_1.8_计量单位"/>
      <w:bookmarkEnd w:id="149"/>
      <w:r>
        <w:rPr>
          <w:rFonts w:hint="eastAsia" w:ascii="宋体" w:hAnsi="宋体" w:cs="宋体"/>
          <w:color w:val="auto"/>
          <w:sz w:val="24"/>
          <w:highlight w:val="none"/>
        </w:rPr>
        <w:t>采购本国货物、工程和服务</w:t>
      </w:r>
    </w:p>
    <w:p w14:paraId="2804CAD5">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政府采购应当采购本国货物、工程和服务。但有《中华人民共和国政府采购法》第十条规定情形的除外。</w:t>
      </w:r>
    </w:p>
    <w:p w14:paraId="5AE607AC">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本项目如接受非本国货物、工程、服务参与投标，则具体要求见第四章《采购需求》。</w:t>
      </w:r>
    </w:p>
    <w:p w14:paraId="45C13776">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20798BE0">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中小企业、监狱企业及残疾人福利性单位</w:t>
      </w:r>
    </w:p>
    <w:p w14:paraId="71F7DA54">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中小企业定义：</w:t>
      </w:r>
    </w:p>
    <w:p w14:paraId="4C7FAD12">
      <w:pPr>
        <w:numPr>
          <w:ilvl w:val="3"/>
          <w:numId w:val="18"/>
        </w:numPr>
        <w:shd w:val="clear" w:color="auto" w:fill="FFFFFF"/>
        <w:tabs>
          <w:tab w:val="clear" w:pos="900"/>
        </w:tabs>
        <w:snapToGrid w:val="0"/>
        <w:spacing w:line="360" w:lineRule="auto"/>
        <w:ind w:left="2885"/>
        <w:rPr>
          <w:rFonts w:ascii="宋体" w:hAnsi="宋体" w:cs="宋体"/>
          <w:color w:val="auto"/>
          <w:sz w:val="24"/>
          <w:highlight w:val="none"/>
        </w:rPr>
      </w:pPr>
      <w:r>
        <w:rPr>
          <w:rFonts w:hint="eastAsia" w:ascii="宋体" w:hAnsi="宋体" w:cs="宋体"/>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 工信部联企业〔2011〕300 号)《金融业企业划型标准规定》(〔2015〕309号)等国务院批准的中小企业划分标准执行。</w:t>
      </w:r>
    </w:p>
    <w:p w14:paraId="591F5C63">
      <w:pPr>
        <w:numPr>
          <w:ilvl w:val="3"/>
          <w:numId w:val="18"/>
        </w:numPr>
        <w:shd w:val="clear" w:color="auto" w:fill="FFFFFF"/>
        <w:tabs>
          <w:tab w:val="clear" w:pos="900"/>
        </w:tabs>
        <w:snapToGrid w:val="0"/>
        <w:spacing w:line="360" w:lineRule="auto"/>
        <w:ind w:left="2885"/>
        <w:rPr>
          <w:rFonts w:ascii="宋体" w:hAnsi="宋体" w:cs="宋体"/>
          <w:color w:val="auto"/>
          <w:sz w:val="24"/>
          <w:highlight w:val="none"/>
        </w:rPr>
      </w:pPr>
      <w:r>
        <w:rPr>
          <w:rFonts w:hint="eastAsia" w:ascii="宋体" w:hAnsi="宋体" w:cs="宋体"/>
          <w:color w:val="auto"/>
          <w:sz w:val="24"/>
          <w:highlight w:val="none"/>
        </w:rPr>
        <w:t>供应商提供的货物、工程或者服务符合下列情形的，享受中小企业扶持政策:</w:t>
      </w:r>
    </w:p>
    <w:p w14:paraId="23281B6E">
      <w:pPr>
        <w:numPr>
          <w:ilvl w:val="0"/>
          <w:numId w:val="19"/>
        </w:numPr>
        <w:shd w:val="clear" w:color="auto" w:fill="FFFFFF"/>
        <w:snapToGrid w:val="0"/>
        <w:spacing w:line="360" w:lineRule="auto"/>
        <w:ind w:left="2835" w:leftChars="1350"/>
        <w:rPr>
          <w:rFonts w:ascii="宋体" w:hAnsi="宋体" w:cs="宋体"/>
          <w:color w:val="auto"/>
          <w:sz w:val="24"/>
          <w:highlight w:val="none"/>
        </w:rPr>
      </w:pPr>
      <w:r>
        <w:rPr>
          <w:rFonts w:hint="eastAsia" w:ascii="宋体" w:hAnsi="宋体" w:cs="宋体"/>
          <w:color w:val="auto"/>
          <w:sz w:val="24"/>
          <w:highlight w:val="none"/>
        </w:rPr>
        <w:t>在货物采购项目中，货物由中小企业制造，即货物由中小企业生产且使用该中小企业商号或者注册商标；</w:t>
      </w:r>
    </w:p>
    <w:p w14:paraId="54B12027">
      <w:pPr>
        <w:numPr>
          <w:ilvl w:val="0"/>
          <w:numId w:val="19"/>
        </w:numPr>
        <w:shd w:val="clear" w:color="auto" w:fill="FFFFFF"/>
        <w:snapToGrid w:val="0"/>
        <w:spacing w:line="360" w:lineRule="auto"/>
        <w:ind w:left="2835" w:leftChars="1350"/>
        <w:rPr>
          <w:rFonts w:ascii="宋体" w:hAnsi="宋体" w:cs="宋体"/>
          <w:color w:val="auto"/>
          <w:sz w:val="24"/>
          <w:highlight w:val="none"/>
        </w:rPr>
      </w:pPr>
      <w:r>
        <w:rPr>
          <w:rFonts w:hint="eastAsia" w:ascii="宋体" w:hAnsi="宋体" w:cs="宋体"/>
          <w:color w:val="auto"/>
          <w:sz w:val="24"/>
          <w:highlight w:val="none"/>
        </w:rPr>
        <w:t>在工程采购项目中，工程由中小企业承建，即工程施工单位为中小企业；</w:t>
      </w:r>
    </w:p>
    <w:p w14:paraId="2A2B662A">
      <w:pPr>
        <w:shd w:val="clear" w:color="auto" w:fill="FFFFFF"/>
        <w:tabs>
          <w:tab w:val="left" w:pos="1980"/>
        </w:tabs>
        <w:snapToGrid w:val="0"/>
        <w:spacing w:line="360" w:lineRule="auto"/>
        <w:ind w:left="2835" w:leftChars="1350"/>
        <w:rPr>
          <w:rFonts w:ascii="宋体" w:hAnsi="宋体" w:cs="宋体"/>
          <w:color w:val="auto"/>
          <w:sz w:val="24"/>
          <w:highlight w:val="none"/>
        </w:rPr>
      </w:pPr>
      <w:r>
        <w:rPr>
          <w:rFonts w:hint="eastAsia" w:ascii="宋体" w:hAnsi="宋体" w:cs="宋体"/>
          <w:color w:val="auto"/>
          <w:sz w:val="24"/>
          <w:highlight w:val="none"/>
        </w:rPr>
        <w:t xml:space="preserve">(3)在服务采购项目中，服务由中小企业承接，即提供服务的人员为中小企业依照《中华人民共和国劳动合同法》订立劳动合同的从业人员。 </w:t>
      </w:r>
    </w:p>
    <w:p w14:paraId="5DFB259C">
      <w:pPr>
        <w:numPr>
          <w:ilvl w:val="3"/>
          <w:numId w:val="18"/>
        </w:numPr>
        <w:shd w:val="clear" w:color="auto" w:fill="FFFFFF"/>
        <w:tabs>
          <w:tab w:val="clear" w:pos="900"/>
        </w:tabs>
        <w:snapToGrid w:val="0"/>
        <w:spacing w:line="360" w:lineRule="auto"/>
        <w:ind w:left="2885"/>
        <w:rPr>
          <w:rFonts w:ascii="宋体" w:hAnsi="宋体" w:cs="宋体"/>
          <w:color w:val="auto"/>
          <w:sz w:val="24"/>
          <w:highlight w:val="none"/>
        </w:rPr>
      </w:pPr>
      <w:r>
        <w:rPr>
          <w:rFonts w:hint="eastAsia" w:ascii="宋体" w:hAnsi="宋体" w:cs="宋体"/>
          <w:color w:val="auto"/>
          <w:sz w:val="24"/>
          <w:highlight w:val="none"/>
        </w:rPr>
        <w:t>在货物采购项目中，供应商提供的货物既有中小企业制造货物，也有大型企业制造货物的，不享受中小企业扶持政策。</w:t>
      </w:r>
    </w:p>
    <w:p w14:paraId="06DEAF09">
      <w:pPr>
        <w:numPr>
          <w:ilvl w:val="3"/>
          <w:numId w:val="18"/>
        </w:numPr>
        <w:shd w:val="clear" w:color="auto" w:fill="FFFFFF"/>
        <w:tabs>
          <w:tab w:val="clear" w:pos="900"/>
        </w:tabs>
        <w:snapToGrid w:val="0"/>
        <w:spacing w:line="360" w:lineRule="auto"/>
        <w:ind w:left="2885"/>
        <w:rPr>
          <w:rFonts w:ascii="宋体" w:hAnsi="宋体" w:cs="宋体"/>
          <w:color w:val="auto"/>
          <w:sz w:val="24"/>
          <w:highlight w:val="none"/>
        </w:rPr>
      </w:pPr>
      <w:r>
        <w:rPr>
          <w:rFonts w:hint="eastAsia" w:ascii="宋体" w:hAnsi="宋体" w:cs="宋体"/>
          <w:color w:val="auto"/>
          <w:sz w:val="24"/>
          <w:highlight w:val="none"/>
        </w:rPr>
        <w:t>以联合体形式参加政府采购活动，联合体各方均为中小企业的，联合体视同中小企业。其中，联合体各方均为小微企业的，联合体视同小微企业。</w:t>
      </w:r>
    </w:p>
    <w:p w14:paraId="27EDAC2F">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3F35E97">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A80A6B1">
      <w:pPr>
        <w:numPr>
          <w:ilvl w:val="3"/>
          <w:numId w:val="18"/>
        </w:numPr>
        <w:shd w:val="clear" w:color="auto" w:fill="FFFFFF"/>
        <w:tabs>
          <w:tab w:val="clear" w:pos="900"/>
        </w:tabs>
        <w:snapToGrid w:val="0"/>
        <w:spacing w:line="360" w:lineRule="auto"/>
        <w:ind w:left="2885"/>
        <w:rPr>
          <w:rFonts w:ascii="宋体" w:hAnsi="宋体" w:cs="宋体"/>
          <w:color w:val="auto"/>
          <w:sz w:val="24"/>
          <w:highlight w:val="none"/>
        </w:rPr>
      </w:pPr>
      <w:r>
        <w:rPr>
          <w:rFonts w:hint="eastAsia" w:ascii="宋体" w:hAnsi="宋体" w:cs="宋体"/>
          <w:color w:val="auto"/>
          <w:sz w:val="24"/>
          <w:highlight w:val="none"/>
        </w:rPr>
        <w:t>安置的残疾人占本单位在职职工人数的比例不低于 25%（含 25%），并且安置的残疾人人数不少于 10  人（含 10人）；</w:t>
      </w:r>
    </w:p>
    <w:p w14:paraId="048793FE">
      <w:pPr>
        <w:numPr>
          <w:ilvl w:val="3"/>
          <w:numId w:val="18"/>
        </w:numPr>
        <w:shd w:val="clear" w:color="auto" w:fill="FFFFFF"/>
        <w:tabs>
          <w:tab w:val="clear" w:pos="900"/>
        </w:tabs>
        <w:snapToGrid w:val="0"/>
        <w:spacing w:line="360" w:lineRule="auto"/>
        <w:ind w:left="2885"/>
        <w:rPr>
          <w:rFonts w:ascii="宋体" w:hAnsi="宋体" w:cs="宋体"/>
          <w:color w:val="auto"/>
          <w:sz w:val="24"/>
          <w:highlight w:val="none"/>
        </w:rPr>
      </w:pPr>
      <w:r>
        <w:rPr>
          <w:rFonts w:hint="eastAsia" w:ascii="宋体" w:hAnsi="宋体" w:cs="宋体"/>
          <w:color w:val="auto"/>
          <w:sz w:val="24"/>
          <w:highlight w:val="none"/>
        </w:rPr>
        <w:t>依法与安置的每位残疾人签订了一年以上（含一年）的劳动合同或服务协议；</w:t>
      </w:r>
    </w:p>
    <w:p w14:paraId="604539E2">
      <w:pPr>
        <w:numPr>
          <w:ilvl w:val="3"/>
          <w:numId w:val="18"/>
        </w:numPr>
        <w:shd w:val="clear" w:color="auto" w:fill="FFFFFF"/>
        <w:tabs>
          <w:tab w:val="clear" w:pos="900"/>
        </w:tabs>
        <w:snapToGrid w:val="0"/>
        <w:spacing w:line="360" w:lineRule="auto"/>
        <w:ind w:left="2885"/>
        <w:rPr>
          <w:rFonts w:ascii="宋体" w:hAnsi="宋体" w:cs="宋体"/>
          <w:color w:val="auto"/>
          <w:sz w:val="24"/>
          <w:highlight w:val="none"/>
        </w:rPr>
      </w:pPr>
      <w:r>
        <w:rPr>
          <w:rFonts w:hint="eastAsia" w:ascii="宋体" w:hAnsi="宋体" w:cs="宋体"/>
          <w:color w:val="auto"/>
          <w:sz w:val="24"/>
          <w:highlight w:val="none"/>
        </w:rPr>
        <w:t>为安置的每位残疾人按月足额缴纳了基本养老保险、基本医疗保险、失业保险、工伤保险和生育保险等社会保险费；</w:t>
      </w:r>
    </w:p>
    <w:p w14:paraId="5ACA7F4C">
      <w:pPr>
        <w:numPr>
          <w:ilvl w:val="3"/>
          <w:numId w:val="18"/>
        </w:numPr>
        <w:shd w:val="clear" w:color="auto" w:fill="FFFFFF"/>
        <w:tabs>
          <w:tab w:val="clear" w:pos="900"/>
        </w:tabs>
        <w:snapToGrid w:val="0"/>
        <w:spacing w:line="360" w:lineRule="auto"/>
        <w:ind w:left="2885"/>
        <w:rPr>
          <w:rFonts w:ascii="宋体" w:hAnsi="宋体" w:cs="宋体"/>
          <w:color w:val="auto"/>
          <w:sz w:val="24"/>
          <w:highlight w:val="none"/>
        </w:rPr>
      </w:pPr>
      <w:r>
        <w:rPr>
          <w:rFonts w:hint="eastAsia" w:ascii="宋体" w:hAnsi="宋体" w:cs="宋体"/>
          <w:color w:val="auto"/>
          <w:sz w:val="24"/>
          <w:highlight w:val="none"/>
        </w:rPr>
        <w:t>通过银行等金融机构向安置的每位残疾人，按月支付了不低于单位所在区县适用的经省级人民政府批准的月最低工资标准的工资；</w:t>
      </w:r>
    </w:p>
    <w:p w14:paraId="25826B8A">
      <w:pPr>
        <w:numPr>
          <w:ilvl w:val="3"/>
          <w:numId w:val="18"/>
        </w:numPr>
        <w:shd w:val="clear" w:color="auto" w:fill="FFFFFF"/>
        <w:tabs>
          <w:tab w:val="clear" w:pos="900"/>
        </w:tabs>
        <w:snapToGrid w:val="0"/>
        <w:spacing w:line="360" w:lineRule="auto"/>
        <w:ind w:left="2885"/>
        <w:rPr>
          <w:rFonts w:ascii="宋体" w:hAnsi="宋体" w:cs="宋体"/>
          <w:color w:val="auto"/>
          <w:sz w:val="24"/>
          <w:highlight w:val="none"/>
        </w:rPr>
      </w:pPr>
      <w:r>
        <w:rPr>
          <w:rFonts w:hint="eastAsia" w:ascii="宋体" w:hAnsi="宋体" w:cs="宋体"/>
          <w:color w:val="auto"/>
          <w:sz w:val="24"/>
          <w:highlight w:val="none"/>
        </w:rPr>
        <w:t>提供本单位制造的货物、承担的工程或者服务（以下简称产品），或者提供其他残疾人福利性单位制造的货物（不包括使用非残疾人福利性单位注册商标的货物）；</w:t>
      </w:r>
    </w:p>
    <w:p w14:paraId="17645A50">
      <w:pPr>
        <w:numPr>
          <w:ilvl w:val="3"/>
          <w:numId w:val="18"/>
        </w:numPr>
        <w:shd w:val="clear" w:color="auto" w:fill="FFFFFF"/>
        <w:tabs>
          <w:tab w:val="clear" w:pos="900"/>
        </w:tabs>
        <w:snapToGrid w:val="0"/>
        <w:spacing w:line="360" w:lineRule="auto"/>
        <w:ind w:left="2885"/>
        <w:rPr>
          <w:rFonts w:ascii="宋体" w:hAnsi="宋体" w:cs="宋体"/>
          <w:color w:val="auto"/>
          <w:sz w:val="24"/>
          <w:highlight w:val="none"/>
        </w:rPr>
      </w:pPr>
      <w:r>
        <w:rPr>
          <w:rFonts w:hint="eastAsia" w:ascii="宋体" w:hAnsi="宋体" w:cs="宋体"/>
          <w:color w:val="auto"/>
          <w:sz w:val="24"/>
          <w:highlight w:val="none"/>
        </w:rPr>
        <w:t>前款所称残疾人是指法定劳动年龄内，持有《中华人民共和 国残疾人证》或者《中华人民共和国残疾军人证（1 至 8 级）》的自然人，包括具有劳动条件和劳动意愿的精神残疾人。在职职工人数是指与残疾人福利性单位建立劳动关系并依法签订劳动合同或服务协议的雇员人数。</w:t>
      </w:r>
    </w:p>
    <w:p w14:paraId="7FE965FB">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本项目是否专门面向中小企业预留采购份额见第一章《采购邀请》。</w:t>
      </w:r>
    </w:p>
    <w:p w14:paraId="37FA53DB">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采购标的对应的中小企业划分标准所属行业见《供应商须知资料表》。</w:t>
      </w:r>
    </w:p>
    <w:p w14:paraId="196FD433">
      <w:pPr>
        <w:numPr>
          <w:ilvl w:val="2"/>
          <w:numId w:val="18"/>
        </w:numPr>
        <w:shd w:val="clear" w:color="auto" w:fill="FFFFFF"/>
        <w:snapToGrid w:val="0"/>
        <w:spacing w:line="360" w:lineRule="auto"/>
        <w:rPr>
          <w:rFonts w:ascii="宋体" w:hAnsi="宋体" w:cs="宋体"/>
          <w:color w:val="auto"/>
          <w:sz w:val="24"/>
          <w:highlight w:val="none"/>
        </w:rPr>
        <w:sectPr>
          <w:pgSz w:w="11910" w:h="16840"/>
          <w:pgMar w:top="1417" w:right="1417" w:bottom="1417" w:left="1417" w:header="879" w:footer="879" w:gutter="0"/>
          <w:cols w:space="720" w:num="1"/>
        </w:sectPr>
      </w:pPr>
    </w:p>
    <w:p w14:paraId="722C619F">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小微企业价格评审优惠的政策调整：见第三章《评审方法和评审标准》。</w:t>
      </w:r>
    </w:p>
    <w:p w14:paraId="2BA9FA56">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政府采购节能产品、环境标志产品</w:t>
      </w:r>
    </w:p>
    <w:p w14:paraId="32F58C89">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11D2EB3">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27955515">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如本项目采购产品属于实施政府强制采购品目清单范围的节能产品， 则供应商所报产品必须获得国家确定的认证机构出具的、处于有效期之内的节能产品认证证书，否则</w:t>
      </w:r>
      <w:r>
        <w:rPr>
          <w:rFonts w:hint="eastAsia" w:ascii="宋体" w:hAnsi="宋体" w:cs="宋体"/>
          <w:b/>
          <w:bCs/>
          <w:color w:val="auto"/>
          <w:sz w:val="24"/>
          <w:highlight w:val="none"/>
        </w:rPr>
        <w:t>响应无效</w:t>
      </w:r>
      <w:r>
        <w:rPr>
          <w:rFonts w:hint="eastAsia" w:ascii="宋体" w:hAnsi="宋体" w:cs="宋体"/>
          <w:color w:val="auto"/>
          <w:sz w:val="24"/>
          <w:highlight w:val="none"/>
        </w:rPr>
        <w:t>；</w:t>
      </w:r>
    </w:p>
    <w:p w14:paraId="26EDC81E">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非政府强制采购的节能产品或环境标志产品，依据品目清单和认证证书实施政府优先采购。优先采购的具体规定见第三章《评审方法和评审标准》（如涉及）。</w:t>
      </w:r>
    </w:p>
    <w:p w14:paraId="0B22F74D">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正版软件</w:t>
      </w:r>
    </w:p>
    <w:p w14:paraId="5775F4A0">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3368C0B">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网络安全专用产品</w:t>
      </w:r>
    </w:p>
    <w:p w14:paraId="3EA76DBE">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根据《关于调整网络安全专用产品安全管理有关事项的公告》(2023年第1号)，所提供产品属于列人《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829F382">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推广使用低挥发性有机化合物（VOCs）</w:t>
      </w:r>
    </w:p>
    <w:p w14:paraId="3C6F81C4">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 供应商应执行符合本市和国家的 VOCs 含量限制标准（具体标准见第四章《采购需求》），否则响应无效；属于推荐性标准的，优先采购， 具体见第三章《评审方法和评审标准》。</w:t>
      </w:r>
    </w:p>
    <w:p w14:paraId="1CD2173E">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采购需求标准</w:t>
      </w:r>
    </w:p>
    <w:p w14:paraId="42D27399">
      <w:pPr>
        <w:numPr>
          <w:ilvl w:val="2"/>
          <w:numId w:val="18"/>
        </w:numPr>
        <w:shd w:val="clear" w:color="auto" w:fill="FFFFFF"/>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商品包装、快递包装政府采购需求标准（试行）                             为助力打好污染防治攻坚战，推广使用绿色包装，根据财政部关于印发《商品包装政府采购需求标准（试行）》、《快递包装政府采购需求标准（试行）》的通知（财办库〔2020〕123 号），本项目如涉及商品包装和快递包装的，则其具体要求见第四章《采购需求》。</w:t>
      </w:r>
    </w:p>
    <w:p w14:paraId="1EA998C3">
      <w:pPr>
        <w:numPr>
          <w:ilvl w:val="2"/>
          <w:numId w:val="18"/>
        </w:numPr>
        <w:shd w:val="clear" w:color="auto" w:fill="FFFFFF"/>
        <w:snapToGrid w:val="0"/>
        <w:spacing w:line="360" w:lineRule="auto"/>
        <w:jc w:val="left"/>
        <w:rPr>
          <w:rFonts w:ascii="宋体" w:hAnsi="宋体" w:cs="宋体"/>
          <w:color w:val="auto"/>
          <w:sz w:val="24"/>
          <w:highlight w:val="none"/>
        </w:rPr>
      </w:pPr>
      <w:r>
        <w:rPr>
          <w:rFonts w:hint="eastAsia" w:ascii="宋体" w:hAnsi="宋体" w:cs="宋体"/>
          <w:color w:val="auto"/>
          <w:sz w:val="24"/>
          <w:highlight w:val="none"/>
        </w:rPr>
        <w:t>其他政府采购需求标准                                      为贯彻落实《深化政府采购制度改革方案》有关要求，推动政府采购需求标准建设,财政部门会同有关部门制定发布的其他政府采购需求标准，本项目如涉及，则具体要求见第四章《采购需求》。</w:t>
      </w:r>
    </w:p>
    <w:p w14:paraId="6B56450F">
      <w:pPr>
        <w:numPr>
          <w:ilvl w:val="0"/>
          <w:numId w:val="18"/>
        </w:numPr>
        <w:shd w:val="clear" w:color="auto" w:fill="FFFFFF"/>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响应费用</w:t>
      </w:r>
    </w:p>
    <w:p w14:paraId="67A43095">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供应商应自行承担所有与准备和参加磋商有关的费用，无论磋商的结果如何，采购人或采购代理机构在任何情况下均无承担这些费用的义务和责任。</w:t>
      </w:r>
    </w:p>
    <w:p w14:paraId="20E89FC5">
      <w:pPr>
        <w:shd w:val="clear" w:color="auto" w:fill="FFFFFF"/>
        <w:tabs>
          <w:tab w:val="left" w:pos="1080"/>
        </w:tabs>
        <w:snapToGrid w:val="0"/>
        <w:spacing w:line="360" w:lineRule="auto"/>
        <w:ind w:left="1080"/>
        <w:rPr>
          <w:rFonts w:ascii="宋体" w:hAnsi="宋体" w:cs="宋体"/>
          <w:color w:val="auto"/>
          <w:sz w:val="28"/>
          <w:highlight w:val="none"/>
        </w:rPr>
      </w:pPr>
    </w:p>
    <w:p w14:paraId="174601AA">
      <w:pPr>
        <w:pStyle w:val="4"/>
        <w:shd w:val="clear" w:color="auto" w:fill="FFFFFF"/>
        <w:spacing w:before="0" w:line="360" w:lineRule="auto"/>
        <w:rPr>
          <w:rFonts w:ascii="宋体" w:hAnsi="宋体" w:eastAsia="宋体" w:cs="宋体"/>
          <w:color w:val="auto"/>
          <w:sz w:val="28"/>
          <w:highlight w:val="none"/>
        </w:rPr>
      </w:pPr>
      <w:r>
        <w:rPr>
          <w:rFonts w:hint="eastAsia" w:ascii="宋体" w:hAnsi="宋体" w:eastAsia="宋体" w:cs="宋体"/>
          <w:color w:val="auto"/>
          <w:sz w:val="28"/>
          <w:highlight w:val="none"/>
        </w:rPr>
        <w:t>二   竞争性磋商文件</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3BA99F7">
      <w:pPr>
        <w:numPr>
          <w:ilvl w:val="0"/>
          <w:numId w:val="18"/>
        </w:numPr>
        <w:shd w:val="clear" w:color="auto" w:fill="FFFFFF"/>
        <w:tabs>
          <w:tab w:val="left" w:pos="360"/>
        </w:tabs>
        <w:snapToGrid w:val="0"/>
        <w:spacing w:line="360" w:lineRule="auto"/>
        <w:ind w:left="357" w:hanging="357"/>
        <w:outlineLvl w:val="1"/>
        <w:rPr>
          <w:rFonts w:ascii="宋体" w:hAnsi="宋体" w:cs="宋体"/>
          <w:color w:val="auto"/>
          <w:sz w:val="24"/>
          <w:highlight w:val="none"/>
        </w:rPr>
      </w:pPr>
      <w:bookmarkStart w:id="150" w:name="_Toc264969213"/>
      <w:bookmarkStart w:id="151" w:name="_Toc226965796"/>
      <w:bookmarkStart w:id="152" w:name="_Toc127151523"/>
      <w:bookmarkStart w:id="153" w:name="_Toc150509274"/>
      <w:bookmarkStart w:id="154" w:name="_Toc520356147"/>
      <w:bookmarkStart w:id="155" w:name="_Toc151193693"/>
      <w:bookmarkStart w:id="156" w:name="_Toc151193837"/>
      <w:bookmarkStart w:id="157" w:name="_Toc226309767"/>
      <w:bookmarkStart w:id="158" w:name="_Toc151193911"/>
      <w:bookmarkStart w:id="159" w:name="_Toc265228361"/>
      <w:bookmarkStart w:id="160" w:name="_Toc164351617"/>
      <w:bookmarkStart w:id="161" w:name="_Toc151193765"/>
      <w:bookmarkStart w:id="162" w:name="_Toc226337219"/>
      <w:bookmarkStart w:id="163" w:name="_Toc149720816"/>
      <w:bookmarkStart w:id="164" w:name="_Toc150774728"/>
      <w:bookmarkStart w:id="165" w:name="_Toc127151724"/>
      <w:bookmarkStart w:id="166" w:name="_Toc164229364"/>
      <w:bookmarkStart w:id="167" w:name="_Toc164608792"/>
      <w:bookmarkStart w:id="168" w:name="_Toc195842888"/>
      <w:bookmarkStart w:id="169" w:name="_Toc164229218"/>
      <w:bookmarkStart w:id="170" w:name="_Toc305158791"/>
      <w:bookmarkStart w:id="171" w:name="_Toc151190150"/>
      <w:bookmarkStart w:id="172" w:name="_Toc142311025"/>
      <w:bookmarkStart w:id="173" w:name="_Toc164608637"/>
      <w:bookmarkStart w:id="174" w:name="_Toc150774623"/>
      <w:bookmarkStart w:id="175" w:name="_Toc150480761"/>
      <w:bookmarkStart w:id="176" w:name="_Toc305158865"/>
      <w:bookmarkStart w:id="177" w:name="_Toc226965713"/>
      <w:bookmarkStart w:id="178" w:name="_Toc151193621"/>
      <w:bookmarkStart w:id="179" w:name="_Toc127161437"/>
      <w:r>
        <w:rPr>
          <w:rFonts w:hint="eastAsia" w:ascii="宋体" w:hAnsi="宋体" w:cs="宋体"/>
          <w:color w:val="auto"/>
          <w:sz w:val="24"/>
          <w:highlight w:val="none"/>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宋体" w:hAnsi="宋体" w:cs="宋体"/>
          <w:color w:val="auto"/>
          <w:sz w:val="24"/>
          <w:highlight w:val="none"/>
        </w:rPr>
        <w:t>成</w:t>
      </w:r>
    </w:p>
    <w:p w14:paraId="58B1964F">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竞争性磋商文件包括以下部分：</w:t>
      </w:r>
    </w:p>
    <w:p w14:paraId="2FE03F06">
      <w:pPr>
        <w:numPr>
          <w:ilvl w:val="0"/>
          <w:numId w:val="20"/>
        </w:numPr>
        <w:shd w:val="clear" w:color="auto" w:fill="FFFFFF"/>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采购邀请</w:t>
      </w:r>
    </w:p>
    <w:p w14:paraId="48DE995A">
      <w:pPr>
        <w:numPr>
          <w:ilvl w:val="0"/>
          <w:numId w:val="20"/>
        </w:numPr>
        <w:shd w:val="clear" w:color="auto" w:fill="FFFFFF"/>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供应商须知</w:t>
      </w:r>
    </w:p>
    <w:p w14:paraId="1EADF92C">
      <w:pPr>
        <w:numPr>
          <w:ilvl w:val="0"/>
          <w:numId w:val="20"/>
        </w:numPr>
        <w:shd w:val="clear" w:color="auto" w:fill="FFFFFF"/>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评审方法和评审标准</w:t>
      </w:r>
    </w:p>
    <w:p w14:paraId="133CE0E8">
      <w:pPr>
        <w:numPr>
          <w:ilvl w:val="0"/>
          <w:numId w:val="20"/>
        </w:numPr>
        <w:shd w:val="clear" w:color="auto" w:fill="FFFFFF"/>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采购需求</w:t>
      </w:r>
    </w:p>
    <w:p w14:paraId="218CE88B">
      <w:pPr>
        <w:numPr>
          <w:ilvl w:val="0"/>
          <w:numId w:val="20"/>
        </w:numPr>
        <w:shd w:val="clear" w:color="auto" w:fill="FFFFFF"/>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合同草案条款</w:t>
      </w:r>
    </w:p>
    <w:p w14:paraId="35C1E22E">
      <w:pPr>
        <w:numPr>
          <w:ilvl w:val="0"/>
          <w:numId w:val="20"/>
        </w:numPr>
        <w:shd w:val="clear" w:color="auto" w:fill="FFFFFF"/>
        <w:tabs>
          <w:tab w:val="left" w:pos="1980"/>
          <w:tab w:val="left" w:pos="2520"/>
        </w:tabs>
        <w:snapToGrid w:val="0"/>
        <w:spacing w:line="360" w:lineRule="auto"/>
        <w:ind w:left="1440" w:firstLine="5"/>
        <w:rPr>
          <w:rFonts w:ascii="宋体" w:hAnsi="宋体" w:cs="宋体"/>
          <w:color w:val="auto"/>
          <w:sz w:val="24"/>
          <w:highlight w:val="none"/>
        </w:rPr>
      </w:pPr>
      <w:r>
        <w:rPr>
          <w:rFonts w:hint="eastAsia" w:ascii="宋体" w:hAnsi="宋体" w:cs="宋体"/>
          <w:color w:val="auto"/>
          <w:sz w:val="24"/>
          <w:highlight w:val="none"/>
        </w:rPr>
        <w:t>响应文件格式</w:t>
      </w:r>
    </w:p>
    <w:p w14:paraId="6A0ED5B3">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供应商应认真阅读竞争性磋商文件的全部内容。供应商应按照竞争性磋商文件要求提交响应文件并保证所提供的全部资料的真实性，并对竞争性磋商文件做出实质性响应，否则</w:t>
      </w:r>
      <w:r>
        <w:rPr>
          <w:rFonts w:hint="eastAsia" w:ascii="宋体" w:hAnsi="宋体" w:cs="宋体"/>
          <w:b/>
          <w:color w:val="auto"/>
          <w:sz w:val="24"/>
          <w:highlight w:val="none"/>
        </w:rPr>
        <w:t>响应无效</w:t>
      </w:r>
      <w:r>
        <w:rPr>
          <w:rFonts w:hint="eastAsia" w:ascii="宋体" w:hAnsi="宋体" w:cs="宋体"/>
          <w:color w:val="auto"/>
          <w:sz w:val="24"/>
          <w:highlight w:val="none"/>
        </w:rPr>
        <w:t>。</w:t>
      </w:r>
    </w:p>
    <w:p w14:paraId="56292FCF">
      <w:pPr>
        <w:numPr>
          <w:ilvl w:val="0"/>
          <w:numId w:val="18"/>
        </w:numPr>
        <w:shd w:val="clear" w:color="auto" w:fill="FFFFFF"/>
        <w:tabs>
          <w:tab w:val="left" w:pos="1080"/>
          <w:tab w:val="left" w:pos="2014"/>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对竞争性磋商文件的澄清或修改</w:t>
      </w:r>
    </w:p>
    <w:p w14:paraId="051BF4BD">
      <w:pPr>
        <w:numPr>
          <w:ilvl w:val="1"/>
          <w:numId w:val="18"/>
        </w:numPr>
        <w:shd w:val="clear" w:color="auto" w:fill="FFFFFF"/>
        <w:tabs>
          <w:tab w:val="left" w:pos="1080"/>
          <w:tab w:val="left" w:pos="1561"/>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C88B6A7">
      <w:pPr>
        <w:numPr>
          <w:ilvl w:val="1"/>
          <w:numId w:val="18"/>
        </w:numPr>
        <w:shd w:val="clear" w:color="auto" w:fill="FFFFFF"/>
        <w:tabs>
          <w:tab w:val="left" w:pos="1080"/>
          <w:tab w:val="left" w:pos="1561"/>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上述书面通知，按照获取竞争性磋商文件的潜在供应商提供的联系方式发出，因提供的信息有误导致通知延迟或无法通知的，采购人或采购代理机构不承担责任。</w:t>
      </w:r>
    </w:p>
    <w:p w14:paraId="43D3DCCA">
      <w:pPr>
        <w:numPr>
          <w:ilvl w:val="1"/>
          <w:numId w:val="18"/>
        </w:numPr>
        <w:shd w:val="clear" w:color="auto" w:fill="FFFFFF"/>
        <w:tabs>
          <w:tab w:val="left" w:pos="1080"/>
          <w:tab w:val="left" w:pos="1561"/>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以书面形式通知所有获取磋商文件的供应商；不足上述时间的，将顺延提交首次响应文件截止时间。</w:t>
      </w:r>
    </w:p>
    <w:p w14:paraId="31CA0D19">
      <w:pPr>
        <w:shd w:val="clear" w:color="auto" w:fill="FFFFFF"/>
        <w:tabs>
          <w:tab w:val="left" w:pos="1080"/>
          <w:tab w:val="left" w:pos="1561"/>
        </w:tabs>
        <w:snapToGrid w:val="0"/>
        <w:spacing w:line="360" w:lineRule="auto"/>
        <w:ind w:left="1080"/>
        <w:rPr>
          <w:rFonts w:ascii="宋体" w:hAnsi="宋体" w:cs="宋体"/>
          <w:color w:val="auto"/>
          <w:sz w:val="28"/>
          <w:highlight w:val="none"/>
        </w:rPr>
      </w:pPr>
      <w:bookmarkStart w:id="180" w:name="_Toc516367020"/>
      <w:bookmarkStart w:id="181" w:name="_Toc127151526"/>
      <w:bookmarkStart w:id="182" w:name="_Toc264969216"/>
      <w:bookmarkStart w:id="183" w:name="_Toc151193624"/>
      <w:bookmarkStart w:id="184" w:name="_Toc226965716"/>
      <w:bookmarkStart w:id="185" w:name="_Toc151193840"/>
      <w:bookmarkStart w:id="186" w:name="_Toc150774626"/>
      <w:bookmarkStart w:id="187" w:name="_Toc151193696"/>
      <w:bookmarkStart w:id="188" w:name="_Toc265228364"/>
      <w:bookmarkStart w:id="189" w:name="_Toc151193914"/>
      <w:bookmarkStart w:id="190" w:name="_Toc226965799"/>
      <w:bookmarkStart w:id="191" w:name="_Toc195842891"/>
      <w:bookmarkStart w:id="192" w:name="_Toc150509277"/>
      <w:bookmarkStart w:id="193" w:name="_Toc150774731"/>
      <w:bookmarkStart w:id="194" w:name="_Toc142311028"/>
      <w:bookmarkStart w:id="195" w:name="_Toc151190153"/>
      <w:bookmarkStart w:id="196" w:name="_Toc520356150"/>
      <w:bookmarkStart w:id="197" w:name="_Toc226337222"/>
      <w:bookmarkStart w:id="198" w:name="_Toc305158794"/>
      <w:bookmarkStart w:id="199" w:name="_Toc305158868"/>
      <w:bookmarkStart w:id="200" w:name="_Toc151193768"/>
      <w:bookmarkStart w:id="201" w:name="_Toc150480764"/>
      <w:bookmarkStart w:id="202" w:name="_Toc226309770"/>
    </w:p>
    <w:p w14:paraId="2F653826">
      <w:pPr>
        <w:pStyle w:val="4"/>
        <w:shd w:val="clear" w:color="auto" w:fill="FFFFFF"/>
        <w:spacing w:before="0" w:line="360" w:lineRule="auto"/>
        <w:rPr>
          <w:rFonts w:ascii="宋体" w:hAnsi="宋体" w:eastAsia="宋体" w:cs="宋体"/>
          <w:color w:val="auto"/>
          <w:sz w:val="28"/>
          <w:highlight w:val="none"/>
        </w:rPr>
      </w:pPr>
      <w:r>
        <w:rPr>
          <w:rFonts w:hint="eastAsia" w:ascii="宋体" w:hAnsi="宋体" w:eastAsia="宋体" w:cs="宋体"/>
          <w:color w:val="auto"/>
          <w:sz w:val="28"/>
          <w:highlight w:val="none"/>
        </w:rPr>
        <w:t>三   响应文件</w:t>
      </w:r>
      <w:bookmarkEnd w:id="180"/>
      <w:r>
        <w:rPr>
          <w:rFonts w:hint="eastAsia" w:ascii="宋体" w:hAnsi="宋体" w:eastAsia="宋体" w:cs="宋体"/>
          <w:color w:val="auto"/>
          <w:sz w:val="28"/>
          <w:highlight w:val="none"/>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5927C8E5">
      <w:pPr>
        <w:numPr>
          <w:ilvl w:val="0"/>
          <w:numId w:val="18"/>
        </w:numPr>
        <w:shd w:val="clear" w:color="auto" w:fill="FFFFFF"/>
        <w:tabs>
          <w:tab w:val="left" w:pos="360"/>
        </w:tabs>
        <w:snapToGrid w:val="0"/>
        <w:spacing w:line="360" w:lineRule="auto"/>
        <w:ind w:left="357" w:hanging="357"/>
        <w:outlineLvl w:val="1"/>
        <w:rPr>
          <w:rFonts w:ascii="宋体" w:hAnsi="宋体" w:cs="宋体"/>
          <w:color w:val="auto"/>
          <w:sz w:val="24"/>
          <w:highlight w:val="none"/>
        </w:rPr>
      </w:pPr>
      <w:bookmarkStart w:id="203" w:name="_Toc226337223"/>
      <w:bookmarkStart w:id="204" w:name="_Toc149720820"/>
      <w:bookmarkStart w:id="205" w:name="_Toc151193841"/>
      <w:bookmarkStart w:id="206" w:name="_Toc226965717"/>
      <w:bookmarkStart w:id="207" w:name="_Toc127151728"/>
      <w:bookmarkStart w:id="208" w:name="_Toc127161441"/>
      <w:bookmarkStart w:id="209" w:name="_Toc520356151"/>
      <w:bookmarkStart w:id="210" w:name="_Toc305158869"/>
      <w:bookmarkStart w:id="211" w:name="_Toc264969217"/>
      <w:bookmarkStart w:id="212" w:name="_Toc164608796"/>
      <w:bookmarkStart w:id="213" w:name="_Toc226309771"/>
      <w:bookmarkStart w:id="214" w:name="_Toc164351621"/>
      <w:bookmarkStart w:id="215" w:name="_Toc195842892"/>
      <w:bookmarkStart w:id="216" w:name="_Toc150774732"/>
      <w:bookmarkStart w:id="217" w:name="_Toc151190154"/>
      <w:bookmarkStart w:id="218" w:name="_Toc151193625"/>
      <w:bookmarkStart w:id="219" w:name="_Toc151193697"/>
      <w:bookmarkStart w:id="220" w:name="_Toc164229222"/>
      <w:bookmarkStart w:id="221" w:name="_Toc150509278"/>
      <w:bookmarkStart w:id="222" w:name="_Toc127151527"/>
      <w:bookmarkStart w:id="223" w:name="_Toc305158795"/>
      <w:bookmarkStart w:id="224" w:name="_Toc164608641"/>
      <w:bookmarkStart w:id="225" w:name="_Toc516367021"/>
      <w:bookmarkStart w:id="226" w:name="_Toc150480765"/>
      <w:bookmarkStart w:id="227" w:name="_Toc226965800"/>
      <w:bookmarkStart w:id="228" w:name="_Toc151193915"/>
      <w:bookmarkStart w:id="229" w:name="_Toc151193769"/>
      <w:bookmarkStart w:id="230" w:name="_Toc150774627"/>
      <w:bookmarkStart w:id="231" w:name="_Toc265228365"/>
      <w:bookmarkStart w:id="232" w:name="_Toc164229368"/>
      <w:bookmarkStart w:id="233" w:name="_Toc142311029"/>
      <w:r>
        <w:rPr>
          <w:rFonts w:hint="eastAsia" w:ascii="宋体" w:hAnsi="宋体" w:cs="宋体"/>
          <w:color w:val="auto"/>
          <w:sz w:val="24"/>
          <w:highlight w:val="none"/>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hint="eastAsia" w:ascii="宋体" w:hAnsi="宋体" w:cs="宋体"/>
          <w:color w:val="auto"/>
          <w:sz w:val="24"/>
          <w:highlight w:val="none"/>
        </w:rPr>
        <w:t>及磋商语言</w:t>
      </w:r>
    </w:p>
    <w:p w14:paraId="6652D0C8">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hint="eastAsia" w:ascii="宋体" w:hAnsi="宋体" w:cs="宋体"/>
          <w:b/>
          <w:bCs/>
          <w:color w:val="auto"/>
          <w:sz w:val="24"/>
          <w:highlight w:val="none"/>
        </w:rPr>
        <w:t>无效响应</w:t>
      </w:r>
      <w:r>
        <w:rPr>
          <w:rFonts w:hint="eastAsia" w:ascii="宋体" w:hAnsi="宋体" w:cs="宋体"/>
          <w:color w:val="auto"/>
          <w:sz w:val="24"/>
          <w:highlight w:val="none"/>
        </w:rPr>
        <w:t>。</w:t>
      </w:r>
    </w:p>
    <w:p w14:paraId="12206F76">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除竞争性磋商文件有特殊要求外，本项目磋商所使用的计量单位，应采用中华人民共和国法定计量单位。</w:t>
      </w:r>
    </w:p>
    <w:p w14:paraId="0160BD70">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75034AC">
      <w:pPr>
        <w:numPr>
          <w:ilvl w:val="0"/>
          <w:numId w:val="18"/>
        </w:numPr>
        <w:shd w:val="clear" w:color="auto" w:fill="FFFFFF"/>
        <w:tabs>
          <w:tab w:val="left" w:pos="360"/>
        </w:tabs>
        <w:snapToGrid w:val="0"/>
        <w:spacing w:line="360" w:lineRule="auto"/>
        <w:ind w:left="357" w:hanging="357"/>
        <w:outlineLvl w:val="1"/>
        <w:rPr>
          <w:rFonts w:ascii="宋体" w:hAnsi="宋体" w:cs="宋体"/>
          <w:color w:val="auto"/>
          <w:sz w:val="24"/>
          <w:highlight w:val="none"/>
        </w:rPr>
      </w:pPr>
      <w:bookmarkStart w:id="234" w:name="_Toc516367022"/>
      <w:bookmarkStart w:id="235" w:name="_Ref467306195"/>
      <w:bookmarkStart w:id="236" w:name="_Ref467306676"/>
      <w:bookmarkStart w:id="237" w:name="_Toc305158796"/>
      <w:bookmarkStart w:id="238" w:name="_Toc164229223"/>
      <w:bookmarkStart w:id="239" w:name="_Toc305158870"/>
      <w:bookmarkStart w:id="240" w:name="_Toc151193770"/>
      <w:bookmarkStart w:id="241" w:name="_Toc151193916"/>
      <w:bookmarkStart w:id="242" w:name="_Toc127151528"/>
      <w:bookmarkStart w:id="243" w:name="_Toc195842893"/>
      <w:bookmarkStart w:id="244" w:name="_Toc226965718"/>
      <w:bookmarkStart w:id="245" w:name="_Toc164608642"/>
      <w:bookmarkStart w:id="246" w:name="_Toc151193842"/>
      <w:bookmarkStart w:id="247" w:name="_Toc151193626"/>
      <w:bookmarkStart w:id="248" w:name="_Toc150774733"/>
      <w:bookmarkStart w:id="249" w:name="_Toc127161442"/>
      <w:bookmarkStart w:id="250" w:name="_Toc149720821"/>
      <w:bookmarkStart w:id="251" w:name="_Toc265228366"/>
      <w:bookmarkStart w:id="252" w:name="_Toc127151729"/>
      <w:bookmarkStart w:id="253" w:name="_Toc164351622"/>
      <w:bookmarkStart w:id="254" w:name="_Toc164229369"/>
      <w:bookmarkStart w:id="255" w:name="_Toc150509279"/>
      <w:bookmarkStart w:id="256" w:name="_Toc164608797"/>
      <w:bookmarkStart w:id="257" w:name="_Toc226337224"/>
      <w:bookmarkStart w:id="258" w:name="_Toc520356152"/>
      <w:bookmarkStart w:id="259" w:name="_Toc226309772"/>
      <w:bookmarkStart w:id="260" w:name="_Toc264969218"/>
      <w:bookmarkStart w:id="261" w:name="_Toc150480766"/>
      <w:bookmarkStart w:id="262" w:name="_Toc226965801"/>
      <w:bookmarkStart w:id="263" w:name="_Toc151190155"/>
      <w:bookmarkStart w:id="264" w:name="_Toc150774628"/>
      <w:bookmarkStart w:id="265" w:name="_Toc151193698"/>
      <w:bookmarkStart w:id="266" w:name="_Toc142311030"/>
      <w:r>
        <w:rPr>
          <w:rFonts w:hint="eastAsia" w:ascii="宋体" w:hAnsi="宋体" w:cs="宋体"/>
          <w:color w:val="auto"/>
          <w:sz w:val="24"/>
          <w:highlight w:val="none"/>
        </w:rPr>
        <w:t>响应文件</w:t>
      </w:r>
      <w:bookmarkEnd w:id="234"/>
      <w:bookmarkEnd w:id="235"/>
      <w:bookmarkEnd w:id="236"/>
      <w:r>
        <w:rPr>
          <w:rFonts w:hint="eastAsia" w:ascii="宋体" w:hAnsi="宋体" w:cs="宋体"/>
          <w:color w:val="auto"/>
          <w:sz w:val="24"/>
          <w:highlight w:val="none"/>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5B019329">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bookmarkStart w:id="267" w:name="_Ref467052588"/>
      <w:r>
        <w:rPr>
          <w:rFonts w:hint="eastAsia" w:ascii="宋体" w:hAnsi="宋体" w:cs="宋体"/>
          <w:color w:val="auto"/>
          <w:sz w:val="24"/>
          <w:highlight w:val="none"/>
        </w:rPr>
        <w:t>供应商应当按照竞争性磋商文件的要求编制响应文件，</w:t>
      </w:r>
      <w:r>
        <w:rPr>
          <w:rFonts w:hint="eastAsia" w:ascii="宋体" w:hAnsi="宋体" w:cs="宋体"/>
          <w:color w:val="auto"/>
          <w:kern w:val="0"/>
          <w:sz w:val="24"/>
          <w:highlight w:val="none"/>
        </w:rPr>
        <w:t>并对其提交的响应文件的真实性、合法性承担法律责任</w:t>
      </w:r>
      <w:r>
        <w:rPr>
          <w:rFonts w:hint="eastAsia" w:ascii="宋体" w:hAnsi="宋体" w:cs="宋体"/>
          <w:color w:val="auto"/>
          <w:sz w:val="24"/>
          <w:highlight w:val="none"/>
        </w:rPr>
        <w:t>。响应文件的部分格式要求，见第六章《响应文件格式》。</w:t>
      </w:r>
    </w:p>
    <w:p w14:paraId="667767D4">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kern w:val="0"/>
          <w:sz w:val="24"/>
          <w:highlight w:val="none"/>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bCs/>
          <w:color w:val="auto"/>
          <w:kern w:val="0"/>
          <w:sz w:val="24"/>
          <w:highlight w:val="none"/>
        </w:rPr>
        <w:t>否则响应无效</w:t>
      </w:r>
      <w:r>
        <w:rPr>
          <w:rFonts w:hint="eastAsia" w:ascii="宋体" w:hAnsi="宋体" w:cs="宋体"/>
          <w:color w:val="auto"/>
          <w:kern w:val="0"/>
          <w:sz w:val="24"/>
          <w:highlight w:val="none"/>
        </w:rPr>
        <w:t>。未标记“实质性格式"的文件和竞争性磋商文件未提供格式的内容，可由供应商自行编写。</w:t>
      </w:r>
    </w:p>
    <w:p w14:paraId="0DD72B5A">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第三章《评审方法和评审标准》中涉及的证明文件。</w:t>
      </w:r>
    </w:p>
    <w:p w14:paraId="12A6CE6D">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449DDF4">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供应商认为应附的其他材料。</w:t>
      </w:r>
      <w:bookmarkEnd w:id="267"/>
    </w:p>
    <w:p w14:paraId="40D48F84">
      <w:pPr>
        <w:numPr>
          <w:ilvl w:val="0"/>
          <w:numId w:val="18"/>
        </w:numPr>
        <w:shd w:val="clear" w:color="auto" w:fill="FFFFFF"/>
        <w:tabs>
          <w:tab w:val="left" w:pos="360"/>
        </w:tabs>
        <w:snapToGrid w:val="0"/>
        <w:spacing w:line="360" w:lineRule="auto"/>
        <w:ind w:left="357" w:hanging="357"/>
        <w:outlineLvl w:val="1"/>
        <w:rPr>
          <w:rFonts w:ascii="宋体" w:hAnsi="宋体" w:cs="宋体"/>
          <w:color w:val="auto"/>
          <w:sz w:val="24"/>
          <w:highlight w:val="none"/>
        </w:rPr>
      </w:pPr>
      <w:bookmarkStart w:id="268" w:name="_Toc142311032"/>
      <w:bookmarkStart w:id="269" w:name="_Toc149720823"/>
      <w:bookmarkStart w:id="270" w:name="_Toc151193700"/>
      <w:bookmarkStart w:id="271" w:name="_Toc151190157"/>
      <w:bookmarkStart w:id="272" w:name="_Toc195842895"/>
      <w:bookmarkStart w:id="273" w:name="_Toc520356155"/>
      <w:bookmarkStart w:id="274" w:name="_Toc150774735"/>
      <w:bookmarkStart w:id="275" w:name="_Toc164229225"/>
      <w:bookmarkStart w:id="276" w:name="_Toc151193918"/>
      <w:bookmarkStart w:id="277" w:name="_Toc151193844"/>
      <w:bookmarkStart w:id="278" w:name="_Toc151193628"/>
      <w:bookmarkStart w:id="279" w:name="_Toc150774630"/>
      <w:bookmarkStart w:id="280" w:name="_Toc127161444"/>
      <w:bookmarkStart w:id="281" w:name="_Toc127151530"/>
      <w:bookmarkStart w:id="282" w:name="_Toc127151731"/>
      <w:bookmarkStart w:id="283" w:name="_Toc150509281"/>
      <w:bookmarkStart w:id="284" w:name="_Toc164608799"/>
      <w:bookmarkStart w:id="285" w:name="_Toc150480768"/>
      <w:bookmarkStart w:id="286" w:name="_Toc164608644"/>
      <w:bookmarkStart w:id="287" w:name="_Toc164229371"/>
      <w:bookmarkStart w:id="288" w:name="_Toc151193772"/>
      <w:bookmarkStart w:id="289" w:name="_Toc164351624"/>
      <w:r>
        <w:rPr>
          <w:rFonts w:hint="eastAsia" w:ascii="宋体" w:hAnsi="宋体" w:cs="宋体"/>
          <w:color w:val="auto"/>
          <w:sz w:val="24"/>
          <w:highlight w:val="none"/>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3592856F">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所有响应均以人民币为计价货币。</w:t>
      </w:r>
    </w:p>
    <w:p w14:paraId="5115BBEE">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供应商的报价应包括为完成本项目所发生的一切费用和税费,采购人将不再支付报价以外的任何费用。供应商的报价应包括但不限于下列内容，《供应商须知资料表》中有特殊规定的，从其规定。</w:t>
      </w:r>
    </w:p>
    <w:p w14:paraId="49D773AD">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697D81FF">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按照竞争性磋商文件要求完成本项目的全部相关费用。</w:t>
      </w:r>
    </w:p>
    <w:p w14:paraId="0EF0FECA">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采购人不得向供应商索要或者接受其给予的赠品、回扣或者与采购无关的其他商品、服务。</w:t>
      </w:r>
    </w:p>
    <w:p w14:paraId="4E6B351E">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供应商不能提供任何有选择性或可调整的最后报价（</w:t>
      </w:r>
      <w:r>
        <w:rPr>
          <w:rFonts w:hint="eastAsia" w:ascii="宋体" w:hAnsi="宋体" w:cs="宋体"/>
          <w:color w:val="auto"/>
          <w:kern w:val="0"/>
          <w:sz w:val="24"/>
          <w:highlight w:val="none"/>
        </w:rPr>
        <w:t>竞争性磋商文件</w:t>
      </w:r>
      <w:r>
        <w:rPr>
          <w:rFonts w:hint="eastAsia" w:ascii="宋体" w:hAnsi="宋体" w:cs="宋体"/>
          <w:color w:val="auto"/>
          <w:sz w:val="24"/>
          <w:highlight w:val="none"/>
        </w:rPr>
        <w:t>另有规定的除外），否则其</w:t>
      </w:r>
      <w:r>
        <w:rPr>
          <w:rFonts w:hint="eastAsia" w:ascii="宋体" w:hAnsi="宋体" w:cs="宋体"/>
          <w:b/>
          <w:color w:val="auto"/>
          <w:sz w:val="24"/>
          <w:highlight w:val="none"/>
        </w:rPr>
        <w:t>响应无效</w:t>
      </w:r>
      <w:r>
        <w:rPr>
          <w:rFonts w:hint="eastAsia" w:ascii="宋体" w:hAnsi="宋体" w:cs="宋体"/>
          <w:color w:val="auto"/>
          <w:sz w:val="24"/>
          <w:highlight w:val="none"/>
        </w:rPr>
        <w:t>。</w:t>
      </w:r>
    </w:p>
    <w:p w14:paraId="01E1A069">
      <w:pPr>
        <w:numPr>
          <w:ilvl w:val="0"/>
          <w:numId w:val="18"/>
        </w:numPr>
        <w:shd w:val="clear" w:color="auto" w:fill="FFFFFF"/>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磋商保证金</w:t>
      </w:r>
    </w:p>
    <w:p w14:paraId="47D38DD2">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bookmarkStart w:id="290" w:name="_Ref467306302"/>
      <w:r>
        <w:rPr>
          <w:rFonts w:hint="eastAsia" w:ascii="宋体" w:hAnsi="宋体" w:cs="宋体"/>
          <w:color w:val="auto"/>
          <w:sz w:val="24"/>
          <w:highlight w:val="none"/>
        </w:rPr>
        <w:t>供应商应按《供应商须知资料表》中规定的金额及要求交纳磋商保证金</w:t>
      </w:r>
      <w:bookmarkEnd w:id="290"/>
      <w:r>
        <w:rPr>
          <w:rFonts w:hint="eastAsia" w:ascii="宋体" w:hAnsi="宋体" w:cs="宋体"/>
          <w:color w:val="auto"/>
          <w:sz w:val="24"/>
          <w:highlight w:val="none"/>
        </w:rPr>
        <w:t>。供</w:t>
      </w:r>
      <w:r>
        <w:rPr>
          <w:rFonts w:hint="eastAsia" w:ascii="FZSSK--GBK1-0" w:hAnsi="FZSSK--GBK1-0" w:eastAsia="FZSSK--GBK1-0"/>
          <w:color w:val="auto"/>
          <w:sz w:val="24"/>
          <w:highlight w:val="none"/>
        </w:rPr>
        <w:t>应商自愿超额缴纳磋商保证金的，响应文件不做无效处理。</w:t>
      </w:r>
    </w:p>
    <w:p w14:paraId="19F49B8B">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交纳磋商保证金可采用的形式：政府采购法律法规接受的支票、汇票、本票、网上银行支付或者金融机构、担保机构出具的保函等非现金形式。</w:t>
      </w:r>
    </w:p>
    <w:p w14:paraId="57FFDD57">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磋商保证金到账(保函提交)截止时间同首次响应文件提交截止时间。以支票、汇票、本票、网上银行支付等形式提交磋商保证金的，应在首次响应文件提交截止时间前到账；以金融机构、担保机构出具的纸质保函等形式提交磋商保证金的，应在首次响应文件提交截止时间前将原件提交至采购代理机构;以电子保函形式提交磋商保证金的，应在首次响应文件提交截止时间前通过北京市政府采购电子交易平台完成电子保函在线办理。未按上述要求缴纳保证金的，其</w:t>
      </w:r>
      <w:r>
        <w:rPr>
          <w:rFonts w:hint="eastAsia" w:ascii="宋体" w:hAnsi="宋体" w:cs="宋体"/>
          <w:b/>
          <w:color w:val="auto"/>
          <w:sz w:val="24"/>
          <w:highlight w:val="none"/>
        </w:rPr>
        <w:t>响应无效</w:t>
      </w:r>
      <w:r>
        <w:rPr>
          <w:rFonts w:hint="eastAsia" w:ascii="宋体" w:hAnsi="宋体" w:cs="宋体"/>
          <w:color w:val="auto"/>
          <w:sz w:val="24"/>
          <w:highlight w:val="none"/>
        </w:rPr>
        <w:t>。</w:t>
      </w:r>
    </w:p>
    <w:p w14:paraId="0DDB3524">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供应商除需在响应文件中提供“磋商保证金凭证/交款单据”，还需在首次响应文件提交截止时间前，通过电子交易平台上传“磋商保证金凭证/交款单据电子件”。（仅适用于电子标）</w:t>
      </w:r>
    </w:p>
    <w:p w14:paraId="2D925416">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磋商保证金有效期同响应有效期。</w:t>
      </w:r>
    </w:p>
    <w:p w14:paraId="61B097B2">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供应商为联合体的，可以由联合体中的一方或者多方共同交纳磋商保证金，其交纳的保证金对联合体各方均具有约束力。</w:t>
      </w:r>
    </w:p>
    <w:p w14:paraId="4EB88159">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17470C93">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snapToGrid w:val="0"/>
          <w:color w:val="auto"/>
          <w:kern w:val="0"/>
          <w:sz w:val="24"/>
          <w:highlight w:val="none"/>
        </w:rPr>
        <w:t>已提交响应文件的供应商，在提交最后报价之前，可以根据磋商情况退出磋商。采购人、采购代理机构将退还退出磋商的供应商的磋商保证金；</w:t>
      </w:r>
    </w:p>
    <w:p w14:paraId="1BBA23B2">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成交供应商的磋商保证金，在采购合同签订后5个工作日内退还成交供应商；</w:t>
      </w:r>
    </w:p>
    <w:p w14:paraId="4EF8114B">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未成交供应商的磋商保证金，在成交通知书发出后5个工作日内退还。</w:t>
      </w:r>
    </w:p>
    <w:p w14:paraId="1DBC5BD7">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有下列情形之一的，采购人或采购代理机构不予退还磋商保证金：</w:t>
      </w:r>
    </w:p>
    <w:p w14:paraId="5E1C08AB">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供应商在提交响应文件截止时间后撤回响应文件的；</w:t>
      </w:r>
    </w:p>
    <w:p w14:paraId="74855F7C">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供应商在响应文件中提供虚假材料的；</w:t>
      </w:r>
    </w:p>
    <w:p w14:paraId="3BAD104F">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除因不可抗力或磋商文件认可的情形以外，成交供应商不与采购人签订合同的；</w:t>
      </w:r>
    </w:p>
    <w:p w14:paraId="79576EB4">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供应商与采购人、其他供应商或者采购代理机构恶意串通的；</w:t>
      </w:r>
    </w:p>
    <w:p w14:paraId="2A3EDE96">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《供应商须知资料表》规定的其他情形。</w:t>
      </w:r>
    </w:p>
    <w:p w14:paraId="48EDE93F">
      <w:pPr>
        <w:numPr>
          <w:ilvl w:val="0"/>
          <w:numId w:val="18"/>
        </w:numPr>
        <w:shd w:val="clear" w:color="auto" w:fill="FFFFFF"/>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响应有效期</w:t>
      </w:r>
    </w:p>
    <w:p w14:paraId="6A19FE09">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响应文件应在本竞争性磋商文件《供应商须知资料表》中规定的响应有效期内保持有效，响应有效期少于竞争性磋商文件规定期限的，其</w:t>
      </w:r>
      <w:r>
        <w:rPr>
          <w:rFonts w:hint="eastAsia" w:ascii="宋体" w:hAnsi="宋体" w:cs="宋体"/>
          <w:b/>
          <w:color w:val="auto"/>
          <w:sz w:val="24"/>
          <w:highlight w:val="none"/>
        </w:rPr>
        <w:t>响应无效</w:t>
      </w:r>
      <w:r>
        <w:rPr>
          <w:rFonts w:hint="eastAsia" w:ascii="宋体" w:hAnsi="宋体" w:cs="宋体"/>
          <w:color w:val="auto"/>
          <w:sz w:val="24"/>
          <w:highlight w:val="none"/>
        </w:rPr>
        <w:t>。</w:t>
      </w:r>
    </w:p>
    <w:p w14:paraId="02338B8C">
      <w:pPr>
        <w:numPr>
          <w:ilvl w:val="0"/>
          <w:numId w:val="18"/>
        </w:numPr>
        <w:shd w:val="clear" w:color="auto" w:fill="FFFFFF"/>
        <w:tabs>
          <w:tab w:val="left" w:pos="360"/>
        </w:tabs>
        <w:snapToGrid w:val="0"/>
        <w:spacing w:line="360" w:lineRule="auto"/>
        <w:ind w:left="357" w:hanging="357"/>
        <w:outlineLvl w:val="1"/>
        <w:rPr>
          <w:rFonts w:ascii="宋体" w:hAnsi="宋体" w:cs="宋体"/>
          <w:color w:val="auto"/>
          <w:sz w:val="24"/>
          <w:highlight w:val="none"/>
        </w:rPr>
      </w:pPr>
      <w:bookmarkStart w:id="291" w:name="_Toc264969223"/>
      <w:bookmarkStart w:id="292" w:name="_Toc520356158"/>
      <w:bookmarkStart w:id="293" w:name="_Toc127161447"/>
      <w:bookmarkStart w:id="294" w:name="_Toc150774633"/>
      <w:bookmarkStart w:id="295" w:name="_Toc151193847"/>
      <w:bookmarkStart w:id="296" w:name="_Toc151190160"/>
      <w:bookmarkStart w:id="297" w:name="_Toc226965806"/>
      <w:bookmarkStart w:id="298" w:name="_Toc127151734"/>
      <w:bookmarkStart w:id="299" w:name="_Toc164608647"/>
      <w:bookmarkStart w:id="300" w:name="_Toc150480771"/>
      <w:bookmarkStart w:id="301" w:name="_Toc195842898"/>
      <w:bookmarkStart w:id="302" w:name="_Toc127151533"/>
      <w:bookmarkStart w:id="303" w:name="_Toc150774738"/>
      <w:bookmarkStart w:id="304" w:name="_Toc151193921"/>
      <w:bookmarkStart w:id="305" w:name="_Toc150509284"/>
      <w:bookmarkStart w:id="306" w:name="_Toc164351627"/>
      <w:bookmarkStart w:id="307" w:name="_Toc151193775"/>
      <w:bookmarkStart w:id="308" w:name="_Toc164229374"/>
      <w:bookmarkStart w:id="309" w:name="_Toc226965723"/>
      <w:bookmarkStart w:id="310" w:name="_Toc305158875"/>
      <w:bookmarkStart w:id="311" w:name="_Toc164608802"/>
      <w:bookmarkStart w:id="312" w:name="_Toc305158801"/>
      <w:bookmarkStart w:id="313" w:name="_Toc164229228"/>
      <w:bookmarkStart w:id="314" w:name="_Toc151193631"/>
      <w:bookmarkStart w:id="315" w:name="_Toc142311035"/>
      <w:bookmarkStart w:id="316" w:name="_Toc226309777"/>
      <w:bookmarkStart w:id="317" w:name="_Toc149720826"/>
      <w:bookmarkStart w:id="318" w:name="_Toc151193703"/>
      <w:bookmarkStart w:id="319" w:name="_Toc226337229"/>
      <w:bookmarkStart w:id="320" w:name="_Toc265228371"/>
      <w:r>
        <w:rPr>
          <w:rFonts w:hint="eastAsia" w:ascii="宋体" w:hAnsi="宋体" w:cs="宋体"/>
          <w:color w:val="auto"/>
          <w:sz w:val="24"/>
          <w:highlight w:val="none"/>
        </w:rPr>
        <w:t>响应文件的签署</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r>
        <w:rPr>
          <w:rFonts w:hint="eastAsia" w:ascii="宋体" w:hAnsi="宋体" w:cs="宋体"/>
          <w:color w:val="auto"/>
          <w:sz w:val="24"/>
          <w:highlight w:val="none"/>
        </w:rPr>
        <w:t>、盖章</w:t>
      </w:r>
    </w:p>
    <w:p w14:paraId="0E7D1908">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bookmarkStart w:id="321" w:name="_Toc195842899"/>
      <w:bookmarkStart w:id="322" w:name="_Toc150774739"/>
      <w:bookmarkStart w:id="323" w:name="_Toc150480772"/>
      <w:bookmarkStart w:id="324" w:name="_Toc520356159"/>
      <w:bookmarkStart w:id="325" w:name="_Toc127151534"/>
      <w:bookmarkStart w:id="326" w:name="_Toc226965724"/>
      <w:bookmarkStart w:id="327" w:name="_Toc151193704"/>
      <w:bookmarkStart w:id="328" w:name="_Toc226309778"/>
      <w:bookmarkStart w:id="329" w:name="_Toc226337230"/>
      <w:bookmarkStart w:id="330" w:name="_Toc151193922"/>
      <w:bookmarkStart w:id="331" w:name="_Toc151193776"/>
      <w:bookmarkStart w:id="332" w:name="_Toc226965807"/>
      <w:bookmarkStart w:id="333" w:name="_Toc151193632"/>
      <w:bookmarkStart w:id="334" w:name="_Toc151193848"/>
      <w:bookmarkStart w:id="335" w:name="_Toc150509285"/>
      <w:bookmarkStart w:id="336" w:name="_Toc151190161"/>
      <w:bookmarkStart w:id="337" w:name="_Toc150774634"/>
      <w:bookmarkStart w:id="338" w:name="_Toc265228372"/>
      <w:bookmarkStart w:id="339" w:name="_Toc305158876"/>
      <w:bookmarkStart w:id="340" w:name="_Toc305158802"/>
      <w:bookmarkStart w:id="341" w:name="_Toc142311036"/>
      <w:bookmarkStart w:id="342" w:name="_Toc264969224"/>
      <w:r>
        <w:rPr>
          <w:rFonts w:hint="eastAsia" w:ascii="宋体" w:hAnsi="宋体" w:cs="宋体"/>
          <w:color w:val="auto"/>
          <w:sz w:val="24"/>
          <w:highlight w:val="none"/>
        </w:rPr>
        <w:t>供应商应按竞争性磋商文件第二章供应商须知资料表的规定准备响应文件的正本、副本、电子版，每份响应文件须清楚地标明“正本”、“副本”、“电子版”。副本可以为正本的复印件，若正本和副本、电子文件不符，以纸质正本为准。</w:t>
      </w:r>
      <w:r>
        <w:rPr>
          <w:rFonts w:hint="eastAsia" w:ascii="宋体" w:hAnsi="宋体"/>
          <w:color w:val="auto"/>
          <w:sz w:val="24"/>
          <w:highlight w:val="none"/>
        </w:rPr>
        <w:t>响应文件可双面打印。</w:t>
      </w:r>
    </w:p>
    <w:p w14:paraId="703610F6">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响应文件的正本需打印或用不退色墨水书写；</w:t>
      </w:r>
    </w:p>
    <w:p w14:paraId="6535A207">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任何对响应文件行间插字、涂改和增删，必须由法定代表人或其授权代表签字或加盖本单位公章后有效；</w:t>
      </w:r>
    </w:p>
    <w:p w14:paraId="5595DFB3">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响应文件因字迹潦草或表达不清所引起的后果由供应商负责；</w:t>
      </w:r>
    </w:p>
    <w:p w14:paraId="71B3CB36">
      <w:pPr>
        <w:shd w:val="clear" w:color="auto" w:fill="FFFFFF"/>
        <w:tabs>
          <w:tab w:val="left" w:pos="900"/>
          <w:tab w:val="left" w:pos="1080"/>
        </w:tabs>
        <w:snapToGrid w:val="0"/>
        <w:spacing w:line="360" w:lineRule="auto"/>
        <w:ind w:left="357"/>
        <w:rPr>
          <w:rFonts w:ascii="宋体" w:hAnsi="宋体" w:cs="宋体"/>
          <w:color w:val="auto"/>
          <w:highlight w:val="none"/>
        </w:rPr>
      </w:pPr>
      <w:r>
        <w:rPr>
          <w:rFonts w:hint="eastAsia" w:ascii="宋体" w:hAnsi="宋体" w:cs="宋体"/>
          <w:color w:val="auto"/>
          <w:sz w:val="24"/>
          <w:highlight w:val="none"/>
        </w:rPr>
        <w:t>竞争性磋商文件中所要求加盖的供应商公章是指与供应商名称全称相一致的“行政公章”，不得加盖其它“合同专用章、投标专用章、财务专用章”等非行政公章，否则将被视为无效响应。</w:t>
      </w:r>
    </w:p>
    <w:p w14:paraId="1987DA1E">
      <w:pPr>
        <w:shd w:val="clear" w:color="auto" w:fill="FFFFFF"/>
        <w:tabs>
          <w:tab w:val="left" w:pos="900"/>
          <w:tab w:val="left" w:pos="1080"/>
        </w:tabs>
        <w:snapToGrid w:val="0"/>
        <w:spacing w:line="360" w:lineRule="auto"/>
        <w:ind w:left="357"/>
        <w:rPr>
          <w:rFonts w:ascii="宋体" w:hAnsi="宋体" w:cs="宋体"/>
          <w:color w:val="auto"/>
          <w:highlight w:val="none"/>
        </w:rPr>
      </w:pPr>
    </w:p>
    <w:p w14:paraId="0BC78259">
      <w:pPr>
        <w:pStyle w:val="4"/>
        <w:shd w:val="clear" w:color="auto" w:fill="FFFFFF"/>
        <w:spacing w:before="0" w:line="360" w:lineRule="auto"/>
        <w:rPr>
          <w:rFonts w:ascii="宋体" w:hAnsi="宋体" w:eastAsia="宋体" w:cs="宋体"/>
          <w:color w:val="auto"/>
          <w:sz w:val="28"/>
          <w:highlight w:val="none"/>
        </w:rPr>
      </w:pPr>
      <w:r>
        <w:rPr>
          <w:rFonts w:hint="eastAsia" w:ascii="宋体" w:hAnsi="宋体" w:eastAsia="宋体" w:cs="宋体"/>
          <w:color w:val="auto"/>
          <w:sz w:val="28"/>
          <w:highlight w:val="none"/>
        </w:rPr>
        <w:t>四   响应文件的提交</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7FE054D0">
      <w:pPr>
        <w:numPr>
          <w:ilvl w:val="0"/>
          <w:numId w:val="18"/>
        </w:numPr>
        <w:shd w:val="clear" w:color="auto" w:fill="FFFFFF"/>
        <w:tabs>
          <w:tab w:val="left" w:pos="360"/>
        </w:tabs>
        <w:snapToGrid w:val="0"/>
        <w:spacing w:line="360" w:lineRule="auto"/>
        <w:ind w:left="357" w:hanging="357"/>
        <w:outlineLvl w:val="1"/>
        <w:rPr>
          <w:rFonts w:ascii="宋体" w:hAnsi="宋体" w:cs="宋体"/>
          <w:color w:val="auto"/>
          <w:sz w:val="24"/>
          <w:highlight w:val="none"/>
        </w:rPr>
      </w:pPr>
      <w:bookmarkStart w:id="343" w:name="_Toc164608804"/>
      <w:bookmarkStart w:id="344" w:name="_Toc520356160"/>
      <w:bookmarkStart w:id="345" w:name="_Toc127151535"/>
      <w:bookmarkStart w:id="346" w:name="_Toc226965808"/>
      <w:bookmarkStart w:id="347" w:name="_Toc265228373"/>
      <w:bookmarkStart w:id="348" w:name="_Toc164229230"/>
      <w:bookmarkStart w:id="349" w:name="_Toc150509286"/>
      <w:bookmarkStart w:id="350" w:name="_Toc151193923"/>
      <w:bookmarkStart w:id="351" w:name="_Toc164229376"/>
      <w:bookmarkStart w:id="352" w:name="_Toc305158877"/>
      <w:bookmarkStart w:id="353" w:name="_Toc164351629"/>
      <w:bookmarkStart w:id="354" w:name="_Toc164608649"/>
      <w:bookmarkStart w:id="355" w:name="_Toc150480773"/>
      <w:bookmarkStart w:id="356" w:name="_Toc264969225"/>
      <w:bookmarkStart w:id="357" w:name="_Toc142311037"/>
      <w:bookmarkStart w:id="358" w:name="_Toc195842900"/>
      <w:bookmarkStart w:id="359" w:name="_Toc150774635"/>
      <w:bookmarkStart w:id="360" w:name="_Toc226965725"/>
      <w:bookmarkStart w:id="361" w:name="_Toc149720828"/>
      <w:bookmarkStart w:id="362" w:name="_Toc226309779"/>
      <w:bookmarkStart w:id="363" w:name="_Toc151193705"/>
      <w:bookmarkStart w:id="364" w:name="_Toc151193633"/>
      <w:bookmarkStart w:id="365" w:name="_Toc151193849"/>
      <w:bookmarkStart w:id="366" w:name="_Toc305158803"/>
      <w:bookmarkStart w:id="367" w:name="_Toc151190162"/>
      <w:bookmarkStart w:id="368" w:name="_Toc150774740"/>
      <w:bookmarkStart w:id="369" w:name="_Toc127161449"/>
      <w:bookmarkStart w:id="370" w:name="_Toc127151736"/>
      <w:bookmarkStart w:id="371" w:name="_Toc151193777"/>
      <w:bookmarkStart w:id="372" w:name="_Toc226337231"/>
      <w:r>
        <w:rPr>
          <w:rFonts w:hint="eastAsia" w:ascii="宋体" w:hAnsi="宋体" w:cs="宋体"/>
          <w:color w:val="auto"/>
          <w:sz w:val="24"/>
          <w:highlight w:val="none"/>
        </w:rPr>
        <w:t>响应文件的</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Pr>
          <w:rFonts w:hint="eastAsia" w:ascii="宋体" w:hAnsi="宋体" w:cs="宋体"/>
          <w:color w:val="auto"/>
          <w:sz w:val="24"/>
          <w:highlight w:val="none"/>
        </w:rPr>
        <w:t>提交</w:t>
      </w:r>
    </w:p>
    <w:p w14:paraId="5C22B083">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b/>
          <w:color w:val="auto"/>
          <w:sz w:val="24"/>
          <w:highlight w:val="none"/>
        </w:rPr>
        <w:t>响应文件一律采用A4纸（图纸、彩页等除外）左侧装订。装订应牢固可靠，不易散落，不得采用活页式装订，采购人或采购代理机构对因装订不牢造成的文件散失不负责任。</w:t>
      </w:r>
    </w:p>
    <w:p w14:paraId="39DA82A8">
      <w:pPr>
        <w:numPr>
          <w:ilvl w:val="1"/>
          <w:numId w:val="18"/>
        </w:numPr>
        <w:tabs>
          <w:tab w:val="left" w:pos="1080"/>
          <w:tab w:val="left" w:pos="2014"/>
        </w:tabs>
        <w:snapToGrid w:val="0"/>
        <w:spacing w:line="360" w:lineRule="auto"/>
        <w:ind w:left="1134" w:hanging="708"/>
        <w:rPr>
          <w:rFonts w:ascii="宋体" w:hAnsi="宋体"/>
          <w:color w:val="auto"/>
          <w:sz w:val="24"/>
          <w:highlight w:val="none"/>
        </w:rPr>
      </w:pPr>
      <w:r>
        <w:rPr>
          <w:rFonts w:hint="eastAsia" w:ascii="宋体" w:hAnsi="宋体"/>
          <w:color w:val="auto"/>
          <w:sz w:val="24"/>
          <w:highlight w:val="none"/>
        </w:rPr>
        <w:t>所有响应文件必须装入密封的信封，并在封口上加盖供应商的公章。响应文件的正本、副本和电子版应分别封装，并在每一信封或包装的封面上写明：</w:t>
      </w:r>
    </w:p>
    <w:p w14:paraId="0ED3448C">
      <w:pPr>
        <w:tabs>
          <w:tab w:val="left" w:pos="1080"/>
          <w:tab w:val="left" w:pos="1589"/>
          <w:tab w:val="left" w:pos="2014"/>
        </w:tabs>
        <w:snapToGrid w:val="0"/>
        <w:spacing w:line="360" w:lineRule="auto"/>
        <w:ind w:left="1077"/>
        <w:rPr>
          <w:rFonts w:ascii="宋体" w:hAnsi="宋体"/>
          <w:color w:val="auto"/>
          <w:sz w:val="24"/>
          <w:highlight w:val="none"/>
        </w:rPr>
      </w:pPr>
      <w:r>
        <w:rPr>
          <w:rFonts w:hint="eastAsia" w:ascii="宋体" w:hAnsi="宋体"/>
          <w:color w:val="auto"/>
          <w:sz w:val="24"/>
          <w:highlight w:val="none"/>
        </w:rPr>
        <w:t>正本或副本或电子版；</w:t>
      </w:r>
    </w:p>
    <w:p w14:paraId="59F95658">
      <w:pPr>
        <w:tabs>
          <w:tab w:val="left" w:pos="1080"/>
          <w:tab w:val="left" w:pos="1589"/>
          <w:tab w:val="left" w:pos="2014"/>
        </w:tabs>
        <w:snapToGrid w:val="0"/>
        <w:spacing w:line="360" w:lineRule="auto"/>
        <w:ind w:left="1077"/>
        <w:rPr>
          <w:rFonts w:ascii="宋体" w:hAnsi="宋体"/>
          <w:color w:val="auto"/>
          <w:sz w:val="24"/>
          <w:highlight w:val="none"/>
        </w:rPr>
      </w:pPr>
      <w:r>
        <w:rPr>
          <w:rFonts w:hint="eastAsia" w:ascii="宋体" w:hAnsi="宋体"/>
          <w:color w:val="auto"/>
          <w:sz w:val="24"/>
          <w:highlight w:val="none"/>
        </w:rPr>
        <w:t>采购人名称；</w:t>
      </w:r>
    </w:p>
    <w:p w14:paraId="4D72639B">
      <w:pPr>
        <w:tabs>
          <w:tab w:val="left" w:pos="1080"/>
          <w:tab w:val="left" w:pos="1589"/>
          <w:tab w:val="left" w:pos="2014"/>
        </w:tabs>
        <w:snapToGrid w:val="0"/>
        <w:spacing w:line="360" w:lineRule="auto"/>
        <w:ind w:left="1077"/>
        <w:rPr>
          <w:rFonts w:ascii="宋体" w:hAnsi="宋体"/>
          <w:color w:val="auto"/>
          <w:sz w:val="24"/>
          <w:highlight w:val="none"/>
        </w:rPr>
      </w:pPr>
      <w:r>
        <w:rPr>
          <w:rFonts w:hint="eastAsia" w:ascii="宋体" w:hAnsi="宋体"/>
          <w:color w:val="auto"/>
          <w:sz w:val="24"/>
          <w:highlight w:val="none"/>
        </w:rPr>
        <w:t>磋商地点及时间；</w:t>
      </w:r>
    </w:p>
    <w:p w14:paraId="386411E4">
      <w:pPr>
        <w:tabs>
          <w:tab w:val="left" w:pos="1080"/>
          <w:tab w:val="left" w:pos="1589"/>
          <w:tab w:val="left" w:pos="2014"/>
        </w:tabs>
        <w:snapToGrid w:val="0"/>
        <w:spacing w:line="360" w:lineRule="auto"/>
        <w:ind w:left="1077"/>
        <w:rPr>
          <w:rFonts w:ascii="宋体" w:hAnsi="宋体"/>
          <w:color w:val="auto"/>
          <w:sz w:val="24"/>
          <w:highlight w:val="none"/>
        </w:rPr>
      </w:pPr>
      <w:r>
        <w:rPr>
          <w:rFonts w:hint="eastAsia" w:ascii="宋体" w:hAnsi="宋体"/>
          <w:color w:val="auto"/>
          <w:sz w:val="24"/>
          <w:highlight w:val="none"/>
        </w:rPr>
        <w:t>项目编号；</w:t>
      </w:r>
    </w:p>
    <w:p w14:paraId="720F36D6">
      <w:pPr>
        <w:tabs>
          <w:tab w:val="left" w:pos="1080"/>
          <w:tab w:val="left" w:pos="1589"/>
          <w:tab w:val="left" w:pos="2014"/>
        </w:tabs>
        <w:snapToGrid w:val="0"/>
        <w:spacing w:line="360" w:lineRule="auto"/>
        <w:ind w:left="1077"/>
        <w:rPr>
          <w:rFonts w:ascii="宋体" w:hAnsi="宋体"/>
          <w:color w:val="auto"/>
          <w:sz w:val="24"/>
          <w:highlight w:val="none"/>
        </w:rPr>
      </w:pPr>
      <w:r>
        <w:rPr>
          <w:rFonts w:hint="eastAsia" w:ascii="宋体" w:hAnsi="宋体"/>
          <w:color w:val="auto"/>
          <w:sz w:val="24"/>
          <w:highlight w:val="none"/>
        </w:rPr>
        <w:t>项目名称；</w:t>
      </w:r>
    </w:p>
    <w:p w14:paraId="4CB795DE">
      <w:pPr>
        <w:shd w:val="clear" w:color="auto" w:fill="FFFFFF"/>
        <w:tabs>
          <w:tab w:val="left" w:pos="900"/>
          <w:tab w:val="left" w:pos="1080"/>
          <w:tab w:val="left" w:pos="1589"/>
          <w:tab w:val="left" w:pos="2014"/>
        </w:tabs>
        <w:snapToGrid w:val="0"/>
        <w:spacing w:line="360" w:lineRule="auto"/>
        <w:ind w:firstLine="991" w:firstLineChars="413"/>
        <w:rPr>
          <w:rFonts w:ascii="宋体" w:hAnsi="宋体" w:cs="宋体"/>
          <w:color w:val="auto"/>
          <w:sz w:val="24"/>
          <w:highlight w:val="none"/>
        </w:rPr>
      </w:pPr>
      <w:r>
        <w:rPr>
          <w:rFonts w:hint="eastAsia" w:ascii="宋体" w:hAnsi="宋体"/>
          <w:color w:val="auto"/>
          <w:sz w:val="24"/>
          <w:highlight w:val="none"/>
        </w:rPr>
        <w:t>供应商名称及地址。</w:t>
      </w:r>
    </w:p>
    <w:p w14:paraId="39FD55AB">
      <w:pPr>
        <w:numPr>
          <w:ilvl w:val="0"/>
          <w:numId w:val="18"/>
        </w:numPr>
        <w:shd w:val="clear" w:color="auto" w:fill="FFFFFF"/>
        <w:tabs>
          <w:tab w:val="left" w:pos="360"/>
        </w:tabs>
        <w:snapToGrid w:val="0"/>
        <w:spacing w:line="360" w:lineRule="auto"/>
        <w:ind w:left="357" w:hanging="357"/>
        <w:outlineLvl w:val="2"/>
        <w:rPr>
          <w:rFonts w:ascii="宋体" w:hAnsi="宋体" w:cs="宋体"/>
          <w:color w:val="auto"/>
          <w:sz w:val="24"/>
          <w:highlight w:val="none"/>
        </w:rPr>
      </w:pPr>
      <w:bookmarkStart w:id="373" w:name="_Toc226309780"/>
      <w:bookmarkStart w:id="374" w:name="_Toc151193634"/>
      <w:bookmarkStart w:id="375" w:name="_Toc226965809"/>
      <w:bookmarkStart w:id="376" w:name="_Toc151193706"/>
      <w:bookmarkStart w:id="377" w:name="_Toc265228374"/>
      <w:bookmarkStart w:id="378" w:name="_Toc164351630"/>
      <w:bookmarkStart w:id="379" w:name="_Toc151193924"/>
      <w:bookmarkStart w:id="380" w:name="_Toc127161450"/>
      <w:bookmarkStart w:id="381" w:name="_Toc305158804"/>
      <w:bookmarkStart w:id="382" w:name="_Toc149720829"/>
      <w:bookmarkStart w:id="383" w:name="_Toc264969226"/>
      <w:bookmarkStart w:id="384" w:name="_Toc164608805"/>
      <w:bookmarkStart w:id="385" w:name="_Toc151190163"/>
      <w:bookmarkStart w:id="386" w:name="_Toc305158878"/>
      <w:bookmarkStart w:id="387" w:name="_Toc142311038"/>
      <w:bookmarkStart w:id="388" w:name="_Toc150774741"/>
      <w:bookmarkStart w:id="389" w:name="_Toc520356161"/>
      <w:bookmarkStart w:id="390" w:name="_Toc127151737"/>
      <w:bookmarkStart w:id="391" w:name="_Toc127151536"/>
      <w:bookmarkStart w:id="392" w:name="_Toc150480774"/>
      <w:bookmarkStart w:id="393" w:name="_Toc164608650"/>
      <w:bookmarkStart w:id="394" w:name="_Toc151193778"/>
      <w:bookmarkStart w:id="395" w:name="_Toc164229231"/>
      <w:bookmarkStart w:id="396" w:name="_Toc226337232"/>
      <w:bookmarkStart w:id="397" w:name="_Toc226965726"/>
      <w:bookmarkStart w:id="398" w:name="_Toc164229377"/>
      <w:bookmarkStart w:id="399" w:name="_Toc151193850"/>
      <w:bookmarkStart w:id="400" w:name="_Toc150509287"/>
      <w:bookmarkStart w:id="401" w:name="_Toc150774636"/>
      <w:bookmarkStart w:id="402" w:name="_Toc195842901"/>
      <w:r>
        <w:rPr>
          <w:rFonts w:hint="eastAsia" w:ascii="宋体" w:hAnsi="宋体" w:cs="宋体"/>
          <w:color w:val="auto"/>
          <w:sz w:val="24"/>
          <w:highlight w:val="none"/>
        </w:rPr>
        <w:t>响应文件递交截止</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r>
        <w:rPr>
          <w:rFonts w:hint="eastAsia" w:ascii="宋体" w:hAnsi="宋体" w:cs="宋体"/>
          <w:color w:val="auto"/>
          <w:sz w:val="24"/>
          <w:highlight w:val="none"/>
        </w:rPr>
        <w:t>时间</w:t>
      </w:r>
    </w:p>
    <w:p w14:paraId="46CC49CD">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供应商应在竞争性磋商文件要求提交响应文件截止时间前，将响应文件按竞争性磋商邀请中规定的地点递交。</w:t>
      </w:r>
    </w:p>
    <w:p w14:paraId="26381EA8">
      <w:pPr>
        <w:numPr>
          <w:ilvl w:val="0"/>
          <w:numId w:val="18"/>
        </w:numPr>
        <w:shd w:val="clear" w:color="auto" w:fill="FFFFFF"/>
        <w:tabs>
          <w:tab w:val="left" w:pos="360"/>
        </w:tabs>
        <w:snapToGrid w:val="0"/>
        <w:spacing w:line="360" w:lineRule="auto"/>
        <w:ind w:left="357" w:hanging="357"/>
        <w:outlineLvl w:val="2"/>
        <w:rPr>
          <w:rFonts w:ascii="宋体" w:hAnsi="宋体" w:cs="宋体"/>
          <w:color w:val="auto"/>
          <w:sz w:val="24"/>
          <w:highlight w:val="none"/>
        </w:rPr>
      </w:pPr>
      <w:bookmarkStart w:id="403" w:name="_Toc151193707"/>
      <w:bookmarkStart w:id="404" w:name="_Toc127151537"/>
      <w:bookmarkStart w:id="405" w:name="_Toc164608806"/>
      <w:bookmarkStart w:id="406" w:name="_Toc127161451"/>
      <w:bookmarkStart w:id="407" w:name="_Toc226965810"/>
      <w:bookmarkStart w:id="408" w:name="_Toc149720830"/>
      <w:bookmarkStart w:id="409" w:name="_Toc195842902"/>
      <w:bookmarkStart w:id="410" w:name="_Toc142311039"/>
      <w:bookmarkStart w:id="411" w:name="_Toc151193635"/>
      <w:bookmarkStart w:id="412" w:name="_Toc151193779"/>
      <w:bookmarkStart w:id="413" w:name="_Toc520356162"/>
      <w:bookmarkStart w:id="414" w:name="_Toc305158805"/>
      <w:bookmarkStart w:id="415" w:name="_Toc150774742"/>
      <w:bookmarkStart w:id="416" w:name="_Toc151193851"/>
      <w:bookmarkStart w:id="417" w:name="_Toc150480775"/>
      <w:bookmarkStart w:id="418" w:name="_Toc164351631"/>
      <w:bookmarkStart w:id="419" w:name="_Toc164229378"/>
      <w:bookmarkStart w:id="420" w:name="_Toc226337233"/>
      <w:bookmarkStart w:id="421" w:name="_Toc127151738"/>
      <w:bookmarkStart w:id="422" w:name="_Toc265228375"/>
      <w:bookmarkStart w:id="423" w:name="_Toc305158879"/>
      <w:bookmarkStart w:id="424" w:name="_Toc226965727"/>
      <w:bookmarkStart w:id="425" w:name="_Toc164608651"/>
      <w:bookmarkStart w:id="426" w:name="_Toc264969227"/>
      <w:bookmarkStart w:id="427" w:name="_Toc164229232"/>
      <w:bookmarkStart w:id="428" w:name="_Toc151193925"/>
      <w:bookmarkStart w:id="429" w:name="_Toc226309781"/>
      <w:bookmarkStart w:id="430" w:name="_Toc150509288"/>
      <w:bookmarkStart w:id="431" w:name="_Toc151190164"/>
      <w:bookmarkStart w:id="432" w:name="_Toc150774637"/>
      <w:r>
        <w:rPr>
          <w:rFonts w:hint="eastAsia" w:ascii="宋体" w:hAnsi="宋体" w:cs="宋体"/>
          <w:color w:val="auto"/>
          <w:sz w:val="24"/>
          <w:highlight w:val="none"/>
        </w:rPr>
        <w:t>响应文件的修改与撤回</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51FCDD0F">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提交响应文件截止时间前，供应商可以对所提交的响应文件进行补充、修改或者撤回。磋商保证金的补充、修改或者撤回无需通过电子交易平台，但应就其补充、修改或者撤回通知采购人或采购代理机构。</w:t>
      </w:r>
    </w:p>
    <w:p w14:paraId="6CB973F8">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供应商对响应文件的补充、修改的内容应当按照竞争性磋商文件要求签署、盖章，作为响应文件的组成部分。补充、修改的内容与响应文件不一致的， 以补充、修改的内容为准。</w:t>
      </w:r>
    </w:p>
    <w:p w14:paraId="21A2E409">
      <w:pPr>
        <w:shd w:val="clear" w:color="auto" w:fill="FFFFFF"/>
        <w:tabs>
          <w:tab w:val="left" w:pos="900"/>
          <w:tab w:val="left" w:pos="1080"/>
          <w:tab w:val="left" w:pos="1589"/>
        </w:tabs>
        <w:snapToGrid w:val="0"/>
        <w:spacing w:line="360" w:lineRule="auto"/>
        <w:ind w:left="357"/>
        <w:rPr>
          <w:rFonts w:ascii="宋体" w:hAnsi="宋体" w:cs="宋体"/>
          <w:color w:val="auto"/>
          <w:sz w:val="24"/>
          <w:highlight w:val="none"/>
        </w:rPr>
      </w:pPr>
    </w:p>
    <w:p w14:paraId="0112F953">
      <w:pPr>
        <w:pStyle w:val="4"/>
        <w:shd w:val="clear" w:color="auto" w:fill="FFFFFF"/>
        <w:spacing w:before="0" w:line="360" w:lineRule="auto"/>
        <w:rPr>
          <w:rFonts w:ascii="宋体" w:hAnsi="宋体" w:eastAsia="宋体" w:cs="宋体"/>
          <w:color w:val="auto"/>
          <w:sz w:val="28"/>
          <w:highlight w:val="none"/>
        </w:rPr>
      </w:pPr>
      <w:bookmarkStart w:id="433" w:name="_Toc150774638"/>
      <w:bookmarkStart w:id="434" w:name="_Toc226337234"/>
      <w:bookmarkStart w:id="435" w:name="_Toc195842903"/>
      <w:bookmarkStart w:id="436" w:name="_Toc265228376"/>
      <w:bookmarkStart w:id="437" w:name="_Toc150509289"/>
      <w:bookmarkStart w:id="438" w:name="_Toc226965811"/>
      <w:bookmarkStart w:id="439" w:name="_Toc151193708"/>
      <w:bookmarkStart w:id="440" w:name="_Toc264969228"/>
      <w:bookmarkStart w:id="441" w:name="_Toc142311040"/>
      <w:bookmarkStart w:id="442" w:name="_Toc305158806"/>
      <w:bookmarkStart w:id="443" w:name="_Toc520356163"/>
      <w:bookmarkStart w:id="444" w:name="_Toc151193852"/>
      <w:bookmarkStart w:id="445" w:name="_Toc226965728"/>
      <w:bookmarkStart w:id="446" w:name="_Toc150480776"/>
      <w:bookmarkStart w:id="447" w:name="_Toc151193636"/>
      <w:bookmarkStart w:id="448" w:name="_Toc305158880"/>
      <w:bookmarkStart w:id="449" w:name="_Toc226309782"/>
      <w:bookmarkStart w:id="450" w:name="_Toc151193780"/>
      <w:bookmarkStart w:id="451" w:name="_Toc151190165"/>
      <w:bookmarkStart w:id="452" w:name="_Toc151193926"/>
      <w:bookmarkStart w:id="453" w:name="_Toc150774743"/>
      <w:bookmarkStart w:id="454" w:name="_Toc127151538"/>
      <w:r>
        <w:rPr>
          <w:rFonts w:hint="eastAsia" w:ascii="宋体" w:hAnsi="宋体" w:eastAsia="宋体" w:cs="宋体"/>
          <w:color w:val="auto"/>
          <w:sz w:val="28"/>
          <w:highlight w:val="none"/>
        </w:rPr>
        <w:t xml:space="preserve">五   </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r>
        <w:rPr>
          <w:rFonts w:hint="eastAsia" w:ascii="宋体" w:hAnsi="宋体" w:eastAsia="宋体" w:cs="宋体"/>
          <w:color w:val="auto"/>
          <w:sz w:val="28"/>
          <w:highlight w:val="none"/>
        </w:rPr>
        <w:t>评审</w:t>
      </w:r>
    </w:p>
    <w:p w14:paraId="4FF3A6A4">
      <w:pPr>
        <w:numPr>
          <w:ilvl w:val="0"/>
          <w:numId w:val="18"/>
        </w:numPr>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响应文件的开启</w:t>
      </w:r>
    </w:p>
    <w:p w14:paraId="514CB1FA">
      <w:pPr>
        <w:numPr>
          <w:ilvl w:val="1"/>
          <w:numId w:val="18"/>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采购人或采购代理机构将按竞争性磋商文件的规定，在响应文件提交截止时间的同一时间和竞争性磋商文件预先确定的地点开启响应文件。</w:t>
      </w:r>
    </w:p>
    <w:p w14:paraId="0654A54E">
      <w:pPr>
        <w:numPr>
          <w:ilvl w:val="1"/>
          <w:numId w:val="18"/>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785660DF">
      <w:pPr>
        <w:numPr>
          <w:ilvl w:val="1"/>
          <w:numId w:val="18"/>
        </w:numPr>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供应商不足3家的，</w:t>
      </w:r>
      <w:r>
        <w:rPr>
          <w:rFonts w:hint="eastAsia" w:ascii="宋体" w:hAnsi="宋体"/>
          <w:color w:val="auto"/>
          <w:sz w:val="24"/>
          <w:highlight w:val="none"/>
        </w:rPr>
        <w:t>不予开启响应文件，磋商文件有特殊要求的除外</w:t>
      </w:r>
      <w:r>
        <w:rPr>
          <w:rFonts w:hint="eastAsia" w:ascii="宋体" w:hAnsi="宋体" w:cs="宋体"/>
          <w:color w:val="auto"/>
          <w:sz w:val="24"/>
          <w:highlight w:val="none"/>
        </w:rPr>
        <w:t>。</w:t>
      </w:r>
    </w:p>
    <w:p w14:paraId="24CF4C6A">
      <w:pPr>
        <w:numPr>
          <w:ilvl w:val="1"/>
          <w:numId w:val="18"/>
        </w:numPr>
        <w:tabs>
          <w:tab w:val="left" w:pos="1080"/>
          <w:tab w:val="left" w:pos="2014"/>
        </w:tabs>
        <w:snapToGrid w:val="0"/>
        <w:spacing w:line="360" w:lineRule="auto"/>
        <w:ind w:left="1077" w:hanging="720"/>
        <w:rPr>
          <w:rFonts w:ascii="宋体" w:hAnsi="宋体" w:cs="宋体"/>
          <w:color w:val="auto"/>
          <w:sz w:val="24"/>
          <w:highlight w:val="none"/>
        </w:rPr>
      </w:pPr>
      <w:bookmarkStart w:id="455" w:name="_Toc520356165"/>
      <w:r>
        <w:rPr>
          <w:rFonts w:hint="eastAsia" w:ascii="宋体" w:hAnsi="宋体" w:cs="宋体"/>
          <w:color w:val="auto"/>
          <w:sz w:val="24"/>
          <w:highlight w:val="none"/>
        </w:rPr>
        <w:t>本项目不公开报价。</w:t>
      </w:r>
    </w:p>
    <w:bookmarkEnd w:id="455"/>
    <w:p w14:paraId="3FB34CA9">
      <w:pPr>
        <w:numPr>
          <w:ilvl w:val="0"/>
          <w:numId w:val="18"/>
        </w:numPr>
        <w:shd w:val="clear" w:color="auto" w:fill="FFFFFF"/>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磋商小组</w:t>
      </w:r>
    </w:p>
    <w:p w14:paraId="5C90B42D">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磋商小组根据政府采购有关规定和本次采购项目的特点进行组建，并负责具体评审与磋商事务，独立履行职责。</w:t>
      </w:r>
      <w:bookmarkStart w:id="456" w:name="_Toc520356166"/>
    </w:p>
    <w:p w14:paraId="365D18CF">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56"/>
      <w:bookmarkStart w:id="457" w:name="_Toc520356169"/>
    </w:p>
    <w:p w14:paraId="2C8D9DB5">
      <w:pPr>
        <w:numPr>
          <w:ilvl w:val="0"/>
          <w:numId w:val="18"/>
        </w:numPr>
        <w:shd w:val="clear" w:color="auto" w:fill="FFFFFF"/>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评审方法和评审标准</w:t>
      </w:r>
    </w:p>
    <w:p w14:paraId="4FE800CB">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见第三章《评审方法和评审标准》。</w:t>
      </w:r>
    </w:p>
    <w:p w14:paraId="127355FF">
      <w:pPr>
        <w:shd w:val="clear" w:color="auto" w:fill="FFFFFF"/>
        <w:tabs>
          <w:tab w:val="left" w:pos="360"/>
          <w:tab w:val="left" w:pos="1080"/>
        </w:tabs>
        <w:snapToGrid w:val="0"/>
        <w:spacing w:line="360" w:lineRule="auto"/>
        <w:ind w:left="1080"/>
        <w:rPr>
          <w:rFonts w:ascii="宋体" w:hAnsi="宋体" w:cs="宋体"/>
          <w:color w:val="auto"/>
          <w:sz w:val="24"/>
          <w:highlight w:val="none"/>
        </w:rPr>
      </w:pPr>
    </w:p>
    <w:p w14:paraId="6DB6E0D7">
      <w:pPr>
        <w:pStyle w:val="4"/>
        <w:shd w:val="clear" w:color="auto" w:fill="FFFFFF"/>
        <w:spacing w:before="0" w:line="360" w:lineRule="auto"/>
        <w:rPr>
          <w:rFonts w:ascii="宋体" w:hAnsi="宋体" w:eastAsia="宋体" w:cs="宋体"/>
          <w:color w:val="auto"/>
          <w:sz w:val="28"/>
          <w:highlight w:val="none"/>
        </w:rPr>
      </w:pPr>
      <w:bookmarkStart w:id="458" w:name="_Toc127151545"/>
      <w:bookmarkStart w:id="459" w:name="_Toc305158887"/>
      <w:bookmarkStart w:id="460" w:name="_Toc151190172"/>
      <w:bookmarkStart w:id="461" w:name="_Toc142311047"/>
      <w:bookmarkStart w:id="462" w:name="_Toc151193859"/>
      <w:bookmarkStart w:id="463" w:name="_Toc151193787"/>
      <w:bookmarkStart w:id="464" w:name="_Toc226309789"/>
      <w:bookmarkStart w:id="465" w:name="_Toc150509296"/>
      <w:bookmarkStart w:id="466" w:name="_Toc305158813"/>
      <w:bookmarkStart w:id="467" w:name="_Toc151193643"/>
      <w:bookmarkStart w:id="468" w:name="_Toc265228383"/>
      <w:bookmarkStart w:id="469" w:name="_Toc150480783"/>
      <w:bookmarkStart w:id="470" w:name="_Toc226965735"/>
      <w:bookmarkStart w:id="471" w:name="_Toc150774750"/>
      <w:bookmarkStart w:id="472" w:name="_Toc226965818"/>
      <w:bookmarkStart w:id="473" w:name="_Toc151193933"/>
      <w:bookmarkStart w:id="474" w:name="_Toc150774645"/>
      <w:bookmarkStart w:id="475" w:name="_Toc195842910"/>
      <w:bookmarkStart w:id="476" w:name="_Toc226337241"/>
      <w:bookmarkStart w:id="477" w:name="_Toc264969235"/>
      <w:bookmarkStart w:id="478" w:name="_Toc151193715"/>
      <w:r>
        <w:rPr>
          <w:rFonts w:hint="eastAsia" w:ascii="宋体" w:hAnsi="宋体" w:eastAsia="宋体" w:cs="宋体"/>
          <w:color w:val="auto"/>
          <w:sz w:val="28"/>
          <w:highlight w:val="none"/>
        </w:rPr>
        <w:t xml:space="preserve">六   </w:t>
      </w:r>
      <w:bookmarkEnd w:id="457"/>
      <w:r>
        <w:rPr>
          <w:rFonts w:hint="eastAsia" w:ascii="宋体" w:hAnsi="宋体" w:eastAsia="宋体" w:cs="宋体"/>
          <w:color w:val="auto"/>
          <w:sz w:val="28"/>
          <w:highlight w:val="none"/>
        </w:rPr>
        <w:t>确定</w:t>
      </w:r>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r>
        <w:rPr>
          <w:rFonts w:hint="eastAsia" w:ascii="宋体" w:hAnsi="宋体" w:eastAsia="宋体" w:cs="宋体"/>
          <w:color w:val="auto"/>
          <w:sz w:val="28"/>
          <w:highlight w:val="none"/>
        </w:rPr>
        <w:t>成交</w:t>
      </w:r>
    </w:p>
    <w:p w14:paraId="1BDC83B4">
      <w:pPr>
        <w:numPr>
          <w:ilvl w:val="0"/>
          <w:numId w:val="18"/>
        </w:numPr>
        <w:shd w:val="clear" w:color="auto" w:fill="FFFFFF"/>
        <w:tabs>
          <w:tab w:val="left" w:pos="360"/>
        </w:tabs>
        <w:snapToGrid w:val="0"/>
        <w:spacing w:line="360" w:lineRule="auto"/>
        <w:ind w:left="357" w:hanging="357"/>
        <w:outlineLvl w:val="1"/>
        <w:rPr>
          <w:rFonts w:ascii="宋体" w:hAnsi="宋体" w:cs="宋体"/>
          <w:color w:val="auto"/>
          <w:sz w:val="24"/>
          <w:highlight w:val="none"/>
        </w:rPr>
      </w:pPr>
      <w:bookmarkStart w:id="479" w:name="_Toc150774752"/>
      <w:bookmarkStart w:id="480" w:name="_Toc265228385"/>
      <w:bookmarkStart w:id="481" w:name="_Toc264969237"/>
      <w:bookmarkStart w:id="482" w:name="_Toc150774647"/>
      <w:bookmarkStart w:id="483" w:name="_Toc226965820"/>
      <w:bookmarkStart w:id="484" w:name="_Toc151190174"/>
      <w:bookmarkStart w:id="485" w:name="_Toc305158889"/>
      <w:bookmarkStart w:id="486" w:name="_Toc150509298"/>
      <w:bookmarkStart w:id="487" w:name="_Toc142311049"/>
      <w:bookmarkStart w:id="488" w:name="_Toc127151547"/>
      <w:bookmarkStart w:id="489" w:name="_Toc226337243"/>
      <w:bookmarkStart w:id="490" w:name="_Toc164229388"/>
      <w:bookmarkStart w:id="491" w:name="_Toc150480785"/>
      <w:bookmarkStart w:id="492" w:name="_Toc151193645"/>
      <w:bookmarkStart w:id="493" w:name="_Toc127151748"/>
      <w:bookmarkStart w:id="494" w:name="_Toc226309791"/>
      <w:bookmarkStart w:id="495" w:name="_Toc151193789"/>
      <w:bookmarkStart w:id="496" w:name="_Toc151193935"/>
      <w:bookmarkStart w:id="497" w:name="_Toc151193717"/>
      <w:bookmarkStart w:id="498" w:name="_Toc164351641"/>
      <w:bookmarkStart w:id="499" w:name="_Toc164229242"/>
      <w:bookmarkStart w:id="500" w:name="_Toc164608661"/>
      <w:bookmarkStart w:id="501" w:name="_Toc149720840"/>
      <w:bookmarkStart w:id="502" w:name="_Toc127161461"/>
      <w:bookmarkStart w:id="503" w:name="_Toc195842912"/>
      <w:bookmarkStart w:id="504" w:name="_Toc164608816"/>
      <w:bookmarkStart w:id="505" w:name="_Toc151193861"/>
      <w:bookmarkStart w:id="506" w:name="_Toc305158815"/>
      <w:bookmarkStart w:id="507" w:name="_Toc226965737"/>
      <w:r>
        <w:rPr>
          <w:rFonts w:hint="eastAsia" w:ascii="宋体" w:hAnsi="宋体" w:cs="宋体"/>
          <w:color w:val="auto"/>
          <w:sz w:val="24"/>
          <w:highlight w:val="none"/>
        </w:rPr>
        <w:t>确定成交供应商</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14:paraId="75B563EF">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AC7B5F8">
      <w:pPr>
        <w:numPr>
          <w:ilvl w:val="0"/>
          <w:numId w:val="18"/>
        </w:numPr>
        <w:shd w:val="clear" w:color="auto" w:fill="FFFFFF"/>
        <w:tabs>
          <w:tab w:val="left" w:pos="360"/>
        </w:tabs>
        <w:snapToGrid w:val="0"/>
        <w:spacing w:line="360" w:lineRule="auto"/>
        <w:ind w:left="357" w:hanging="357"/>
        <w:outlineLvl w:val="1"/>
        <w:rPr>
          <w:rFonts w:ascii="宋体" w:hAnsi="宋体" w:cs="宋体"/>
          <w:color w:val="auto"/>
          <w:sz w:val="24"/>
          <w:highlight w:val="none"/>
        </w:rPr>
      </w:pPr>
      <w:bookmarkStart w:id="508" w:name="_Toc305158817"/>
      <w:bookmarkStart w:id="509" w:name="_Toc305158891"/>
      <w:bookmarkStart w:id="510" w:name="_Toc151193647"/>
      <w:bookmarkStart w:id="511" w:name="_Toc150774754"/>
      <w:bookmarkStart w:id="512" w:name="_Toc150774649"/>
      <w:bookmarkStart w:id="513" w:name="_Toc226309793"/>
      <w:bookmarkStart w:id="514" w:name="_Toc164229390"/>
      <w:bookmarkStart w:id="515" w:name="_Toc149720842"/>
      <w:bookmarkStart w:id="516" w:name="_Toc151193791"/>
      <w:bookmarkStart w:id="517" w:name="_Toc150480787"/>
      <w:bookmarkStart w:id="518" w:name="_Toc150509300"/>
      <w:bookmarkStart w:id="519" w:name="_Toc264969239"/>
      <w:bookmarkStart w:id="520" w:name="_Toc226965822"/>
      <w:bookmarkStart w:id="521" w:name="_Toc164608818"/>
      <w:bookmarkStart w:id="522" w:name="_Toc151190176"/>
      <w:bookmarkStart w:id="523" w:name="_Toc164229244"/>
      <w:bookmarkStart w:id="524" w:name="_Toc127151750"/>
      <w:bookmarkStart w:id="525" w:name="_Toc226337245"/>
      <w:bookmarkStart w:id="526" w:name="_Toc195842914"/>
      <w:bookmarkStart w:id="527" w:name="_Toc151193937"/>
      <w:bookmarkStart w:id="528" w:name="_Toc142311051"/>
      <w:bookmarkStart w:id="529" w:name="_Toc265228387"/>
      <w:bookmarkStart w:id="530" w:name="_Toc151193719"/>
      <w:bookmarkStart w:id="531" w:name="_Toc127161463"/>
      <w:bookmarkStart w:id="532" w:name="_Toc164608663"/>
      <w:bookmarkStart w:id="533" w:name="_Toc127151549"/>
      <w:bookmarkStart w:id="534" w:name="_Toc164351643"/>
      <w:bookmarkStart w:id="535" w:name="_Toc226965739"/>
      <w:bookmarkStart w:id="536" w:name="_Toc151193863"/>
      <w:bookmarkStart w:id="537" w:name="_Ref467307090"/>
      <w:bookmarkStart w:id="538" w:name="_Ref467306425"/>
      <w:bookmarkStart w:id="539" w:name="_Toc520356176"/>
      <w:r>
        <w:rPr>
          <w:rFonts w:hint="eastAsia" w:ascii="宋体" w:hAnsi="宋体" w:cs="宋体"/>
          <w:color w:val="auto"/>
          <w:sz w:val="24"/>
          <w:highlight w:val="none"/>
        </w:rPr>
        <w:t>成交公告与成交通知书</w:t>
      </w:r>
      <w:bookmarkEnd w:id="508"/>
      <w:bookmarkEnd w:id="509"/>
    </w:p>
    <w:p w14:paraId="6A9CC588">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采购人或采购代理机构将</w:t>
      </w:r>
      <w:r>
        <w:rPr>
          <w:rFonts w:hint="eastAsia" w:ascii="宋体" w:hAnsi="宋体" w:cs="宋体"/>
          <w:color w:val="auto"/>
          <w:kern w:val="0"/>
          <w:sz w:val="24"/>
          <w:highlight w:val="none"/>
        </w:rPr>
        <w:t>在成交供应商确定后2个工作日内，在</w:t>
      </w:r>
      <w:r>
        <w:rPr>
          <w:rFonts w:hint="eastAsia" w:ascii="宋体" w:hAnsi="宋体" w:cs="宋体"/>
          <w:color w:val="auto"/>
          <w:sz w:val="24"/>
          <w:highlight w:val="none"/>
        </w:rPr>
        <w:t>北京市政府采购网</w:t>
      </w:r>
      <w:r>
        <w:rPr>
          <w:rFonts w:hint="eastAsia" w:ascii="宋体" w:hAnsi="宋体" w:cs="宋体"/>
          <w:color w:val="auto"/>
          <w:kern w:val="0"/>
          <w:sz w:val="24"/>
          <w:highlight w:val="none"/>
        </w:rPr>
        <w:t>公告成交结果，同时向成交供应商发出成交通知书，</w:t>
      </w:r>
      <w:r>
        <w:rPr>
          <w:rFonts w:hint="eastAsia" w:ascii="宋体" w:hAnsi="宋体" w:cs="宋体"/>
          <w:color w:val="auto"/>
          <w:sz w:val="24"/>
          <w:highlight w:val="none"/>
        </w:rPr>
        <w:t>成交公告期限为1个工作日。</w:t>
      </w:r>
    </w:p>
    <w:p w14:paraId="1B52D577">
      <w:pPr>
        <w:numPr>
          <w:ilvl w:val="1"/>
          <w:numId w:val="18"/>
        </w:numPr>
        <w:shd w:val="clear" w:color="auto" w:fill="FFFFFF"/>
        <w:tabs>
          <w:tab w:val="left" w:pos="1080"/>
          <w:tab w:val="left" w:pos="2014"/>
        </w:tabs>
        <w:snapToGrid w:val="0"/>
        <w:spacing w:line="360" w:lineRule="auto"/>
        <w:ind w:left="1080" w:hanging="720"/>
        <w:rPr>
          <w:rFonts w:ascii="宋体" w:hAnsi="宋体" w:cs="宋体"/>
          <w:color w:val="auto"/>
          <w:sz w:val="24"/>
          <w:highlight w:val="none"/>
        </w:rPr>
      </w:pPr>
      <w:r>
        <w:rPr>
          <w:rFonts w:hint="eastAsia" w:ascii="宋体" w:hAnsi="宋体" w:cs="宋体"/>
          <w:color w:val="auto"/>
          <w:sz w:val="24"/>
          <w:highlight w:val="none"/>
        </w:rPr>
        <w:t>成交通知书对采购人和成交供应商均具有法律效力。成交通知书发出后，采购人改变成交结果的，或者成交供应商放弃成交项目的，将依法承担法律责任。</w:t>
      </w:r>
    </w:p>
    <w:p w14:paraId="53D3EEA7">
      <w:pPr>
        <w:numPr>
          <w:ilvl w:val="0"/>
          <w:numId w:val="18"/>
        </w:numPr>
        <w:shd w:val="clear" w:color="auto" w:fill="FFFFFF"/>
        <w:tabs>
          <w:tab w:val="left" w:pos="360"/>
        </w:tabs>
        <w:snapToGrid w:val="0"/>
        <w:spacing w:line="360" w:lineRule="auto"/>
        <w:ind w:left="357" w:hanging="357"/>
        <w:outlineLvl w:val="1"/>
        <w:rPr>
          <w:rFonts w:ascii="宋体" w:hAnsi="宋体" w:cs="宋体"/>
          <w:color w:val="auto"/>
          <w:sz w:val="24"/>
          <w:highlight w:val="none"/>
        </w:rPr>
      </w:pPr>
      <w:r>
        <w:rPr>
          <w:rFonts w:hint="eastAsia" w:ascii="宋体" w:hAnsi="宋体" w:cs="宋体"/>
          <w:color w:val="auto"/>
          <w:sz w:val="24"/>
          <w:highlight w:val="none"/>
        </w:rPr>
        <w:t>终止</w:t>
      </w:r>
    </w:p>
    <w:p w14:paraId="04774DE5">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出现下列情形之一的，采购人或采购代理机构将终止竞争性磋商采购活动，发布项目终止公告并说明原因，重新开展采购活动：</w:t>
      </w:r>
    </w:p>
    <w:p w14:paraId="6FF3F9C5">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因情况变化，不再符合规定的竞争性磋商采购方式适用情形的；</w:t>
      </w:r>
    </w:p>
    <w:p w14:paraId="7DC1E184">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出现影响采购公正的违法、违规行为的；</w:t>
      </w:r>
    </w:p>
    <w:p w14:paraId="11F574F9">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snapToGrid w:val="0"/>
          <w:color w:val="auto"/>
          <w:kern w:val="0"/>
          <w:sz w:val="24"/>
          <w:szCs w:val="20"/>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14:paraId="10953D37">
      <w:pPr>
        <w:numPr>
          <w:ilvl w:val="0"/>
          <w:numId w:val="18"/>
        </w:numPr>
        <w:shd w:val="clear" w:color="auto" w:fill="FFFFFF"/>
        <w:tabs>
          <w:tab w:val="left" w:pos="360"/>
        </w:tabs>
        <w:snapToGrid w:val="0"/>
        <w:spacing w:line="360" w:lineRule="auto"/>
        <w:ind w:left="357" w:hanging="357"/>
        <w:outlineLvl w:val="1"/>
        <w:rPr>
          <w:rFonts w:ascii="宋体" w:hAnsi="宋体" w:cs="宋体"/>
          <w:color w:val="auto"/>
          <w:sz w:val="24"/>
          <w:highlight w:val="none"/>
        </w:rPr>
      </w:pPr>
      <w:bookmarkStart w:id="540" w:name="_Toc164229245"/>
      <w:bookmarkStart w:id="541" w:name="_Toc151193938"/>
      <w:bookmarkStart w:id="542" w:name="_Toc127151751"/>
      <w:bookmarkStart w:id="543" w:name="_Toc150480788"/>
      <w:bookmarkStart w:id="544" w:name="_Toc151193720"/>
      <w:bookmarkStart w:id="545" w:name="_Toc150774650"/>
      <w:bookmarkStart w:id="546" w:name="_Toc151193648"/>
      <w:bookmarkStart w:id="547" w:name="_Toc226337246"/>
      <w:bookmarkStart w:id="548" w:name="_Toc164608664"/>
      <w:bookmarkStart w:id="549" w:name="_Toc264969240"/>
      <w:bookmarkStart w:id="550" w:name="_Toc195842915"/>
      <w:bookmarkStart w:id="551" w:name="_Toc305158818"/>
      <w:bookmarkStart w:id="552" w:name="_Toc305158892"/>
      <w:bookmarkStart w:id="553" w:name="_Ref467307204"/>
      <w:bookmarkStart w:id="554" w:name="_Toc149720843"/>
      <w:bookmarkStart w:id="555" w:name="_Toc151193792"/>
      <w:bookmarkStart w:id="556" w:name="_Ref467307062"/>
      <w:bookmarkStart w:id="557" w:name="_Toc150509301"/>
      <w:bookmarkStart w:id="558" w:name="_Toc151190177"/>
      <w:bookmarkStart w:id="559" w:name="_Toc226309794"/>
      <w:bookmarkStart w:id="560" w:name="_Toc164608819"/>
      <w:bookmarkStart w:id="561" w:name="_Toc127151550"/>
      <w:bookmarkStart w:id="562" w:name="_Toc164229391"/>
      <w:bookmarkStart w:id="563" w:name="_Toc150774755"/>
      <w:bookmarkStart w:id="564" w:name="_Toc164351644"/>
      <w:bookmarkStart w:id="565" w:name="_Ref467306377"/>
      <w:bookmarkStart w:id="566" w:name="_Ref467306978"/>
      <w:bookmarkStart w:id="567" w:name="_Toc265228388"/>
      <w:bookmarkStart w:id="568" w:name="_Toc142311052"/>
      <w:bookmarkStart w:id="569" w:name="_Toc226965740"/>
      <w:bookmarkStart w:id="570" w:name="_Toc226965823"/>
      <w:bookmarkStart w:id="571" w:name="_Toc520356175"/>
      <w:bookmarkStart w:id="572" w:name="_Toc127161464"/>
      <w:bookmarkStart w:id="573" w:name="_Toc151193864"/>
      <w:r>
        <w:rPr>
          <w:rFonts w:hint="eastAsia" w:ascii="宋体" w:hAnsi="宋体" w:cs="宋体"/>
          <w:color w:val="auto"/>
          <w:sz w:val="24"/>
          <w:highlight w:val="none"/>
        </w:rPr>
        <w:t>签订合同</w:t>
      </w:r>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485A28C4">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采购人与成交供应商应当在成交通知书发出之日起30日内，按照磋商文件确定的合同文本以及采购标的、规格型号、采购金额、采购数量、技术和服务要求等事项签订政府采购合同。</w:t>
      </w:r>
    </w:p>
    <w:p w14:paraId="45DAD379">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6EFB4DA">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联合体成交的，联合体各方应当共同与采购人签订合同，就采购合同约定的事项向采购人承担连带责任。</w:t>
      </w:r>
    </w:p>
    <w:p w14:paraId="64F9FE9D">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政府采购合同不能转包。</w:t>
      </w:r>
    </w:p>
    <w:p w14:paraId="65A9AAC5">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宋体" w:hAnsi="宋体" w:cs="宋体"/>
          <w:b/>
          <w:bCs/>
          <w:color w:val="auto"/>
          <w:sz w:val="24"/>
          <w:highlight w:val="none"/>
        </w:rPr>
        <w:t>否则响应无效</w:t>
      </w:r>
      <w:r>
        <w:rPr>
          <w:rFonts w:hint="eastAsia" w:ascii="宋体" w:hAnsi="宋体" w:cs="宋体"/>
          <w:color w:val="auto"/>
          <w:sz w:val="24"/>
          <w:highlight w:val="none"/>
        </w:rPr>
        <w:t>。成交供应商就采购项目和分包项目向采购人负责，分包供应商就分包项目承担责任。</w:t>
      </w:r>
    </w:p>
    <w:p w14:paraId="39092A53">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FZSSK--GBK1-0" w:hAnsi="FZSSK--GBK1-0" w:eastAsia="FZSSK--GBK1-0"/>
          <w:color w:val="auto"/>
          <w:sz w:val="24"/>
          <w:highlight w:val="none"/>
        </w:rPr>
        <w:t>“政采贷”融资指引：详见《供应商须知资料表》。</w:t>
      </w:r>
    </w:p>
    <w:bookmarkEnd w:id="537"/>
    <w:bookmarkEnd w:id="538"/>
    <w:bookmarkEnd w:id="539"/>
    <w:p w14:paraId="2FA97511">
      <w:pPr>
        <w:numPr>
          <w:ilvl w:val="0"/>
          <w:numId w:val="18"/>
        </w:numPr>
        <w:shd w:val="clear" w:color="auto" w:fill="FFFFFF"/>
        <w:tabs>
          <w:tab w:val="left" w:pos="360"/>
        </w:tabs>
        <w:snapToGrid w:val="0"/>
        <w:spacing w:line="360" w:lineRule="auto"/>
        <w:ind w:left="357" w:hanging="357"/>
        <w:outlineLvl w:val="1"/>
        <w:rPr>
          <w:rFonts w:ascii="宋体" w:hAnsi="宋体" w:cs="宋体"/>
          <w:b/>
          <w:bCs/>
          <w:color w:val="auto"/>
          <w:sz w:val="24"/>
          <w:highlight w:val="none"/>
        </w:rPr>
      </w:pPr>
      <w:r>
        <w:rPr>
          <w:rFonts w:hint="eastAsia" w:ascii="宋体" w:hAnsi="宋体" w:cs="宋体"/>
          <w:b/>
          <w:bCs/>
          <w:color w:val="auto"/>
          <w:sz w:val="24"/>
          <w:highlight w:val="none"/>
        </w:rPr>
        <w:t>询问与质疑</w:t>
      </w:r>
    </w:p>
    <w:p w14:paraId="12FCC886">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询问</w:t>
      </w:r>
    </w:p>
    <w:p w14:paraId="06A56AC4">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供应商对政府采购活动事项有疑问的,可依法向采购人或采购代理机构提出询问，提出形式见《供应商须知资料表》。</w:t>
      </w:r>
    </w:p>
    <w:p w14:paraId="12FD8985">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采购人或采购代理机构对供应商依法提出的询问，在3个工作日内作出答复，但答复的内容不得涉及商业秘密。</w:t>
      </w:r>
    </w:p>
    <w:p w14:paraId="23915C28">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质疑</w:t>
      </w:r>
    </w:p>
    <w:p w14:paraId="1A891DC9">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194864CA">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质疑函须使用财政部制定的范本文件。供应商为自然人的，质疑函应当由本人签字；供应商为法人或者其他组织的，质疑函应当由法定代表人、主要负责人，或者其授权代表签字或者盖章，并加盖公章。</w:t>
      </w:r>
    </w:p>
    <w:p w14:paraId="094F58C7">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40D7108">
      <w:pPr>
        <w:numPr>
          <w:ilvl w:val="2"/>
          <w:numId w:val="18"/>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供应商应在法定质疑期内一次性提出针对同一采购程序环节的质疑。法定质疑期内针对同一采购程序环节再次提出的质疑,采购人、采购代理机构有权不予答复。</w:t>
      </w:r>
    </w:p>
    <w:p w14:paraId="52B61639">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接收询问和质疑的联系部门、联系电话和通讯地址见《供应商须知资料表》。</w:t>
      </w:r>
    </w:p>
    <w:p w14:paraId="2E7F6C23">
      <w:pPr>
        <w:numPr>
          <w:ilvl w:val="0"/>
          <w:numId w:val="18"/>
        </w:numPr>
        <w:shd w:val="clear" w:color="auto" w:fill="FFFFFF"/>
        <w:tabs>
          <w:tab w:val="left" w:pos="360"/>
        </w:tabs>
        <w:snapToGrid w:val="0"/>
        <w:spacing w:line="360" w:lineRule="auto"/>
        <w:ind w:left="357" w:hanging="357"/>
        <w:outlineLvl w:val="1"/>
        <w:rPr>
          <w:rFonts w:ascii="宋体" w:hAnsi="宋体" w:cs="宋体"/>
          <w:b/>
          <w:bCs/>
          <w:color w:val="auto"/>
          <w:sz w:val="24"/>
          <w:highlight w:val="none"/>
        </w:rPr>
      </w:pPr>
      <w:r>
        <w:rPr>
          <w:rFonts w:hint="eastAsia" w:ascii="宋体" w:hAnsi="宋体" w:cs="宋体"/>
          <w:b/>
          <w:bCs/>
          <w:color w:val="auto"/>
          <w:sz w:val="24"/>
          <w:highlight w:val="none"/>
        </w:rPr>
        <w:t>代理费</w:t>
      </w:r>
    </w:p>
    <w:p w14:paraId="696455FA">
      <w:pPr>
        <w:numPr>
          <w:ilvl w:val="1"/>
          <w:numId w:val="18"/>
        </w:numPr>
        <w:shd w:val="clear" w:color="auto" w:fill="FFFFFF"/>
        <w:tabs>
          <w:tab w:val="left" w:pos="1080"/>
          <w:tab w:val="left" w:pos="2014"/>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收费对象、收费标准及缴纳时间见《供应商须知资料表》。由成交供应商支付的，成交供应商须一次性向采购代理机构缴纳代理费，报价应包含代理费用。</w:t>
      </w:r>
    </w:p>
    <w:p w14:paraId="49433ACD">
      <w:pPr>
        <w:shd w:val="clear" w:color="auto" w:fill="FFFFFF"/>
        <w:spacing w:line="360" w:lineRule="auto"/>
        <w:jc w:val="center"/>
        <w:outlineLvl w:val="0"/>
        <w:rPr>
          <w:rFonts w:ascii="宋体" w:hAnsi="宋体" w:cs="宋体"/>
          <w:b/>
          <w:color w:val="auto"/>
          <w:sz w:val="36"/>
          <w:szCs w:val="36"/>
          <w:highlight w:val="none"/>
        </w:rPr>
      </w:pPr>
      <w:bookmarkStart w:id="574" w:name="_Toc305158896"/>
      <w:bookmarkStart w:id="575" w:name="_Toc305158822"/>
      <w:bookmarkStart w:id="576" w:name="_Toc353873934"/>
      <w:bookmarkStart w:id="577" w:name="_Toc142311056"/>
      <w:bookmarkStart w:id="578" w:name="_Toc226337250"/>
      <w:bookmarkStart w:id="579" w:name="_Toc150480792"/>
      <w:bookmarkStart w:id="580" w:name="_Toc353825544"/>
      <w:bookmarkStart w:id="581" w:name="_Toc127151554"/>
      <w:bookmarkStart w:id="582" w:name="_Toc264969244"/>
      <w:bookmarkStart w:id="583" w:name="_Toc150774759"/>
      <w:bookmarkStart w:id="584" w:name="_Toc265228392"/>
      <w:bookmarkStart w:id="585" w:name="_Toc353873664"/>
      <w:bookmarkStart w:id="586" w:name="_Toc226965827"/>
      <w:r>
        <w:rPr>
          <w:rFonts w:hint="eastAsia" w:ascii="宋体" w:hAnsi="宋体" w:cs="宋体"/>
          <w:b/>
          <w:color w:val="auto"/>
          <w:sz w:val="36"/>
          <w:szCs w:val="36"/>
          <w:highlight w:val="none"/>
        </w:rPr>
        <w:br w:type="page"/>
      </w:r>
      <w:bookmarkStart w:id="587" w:name="_Toc24630"/>
      <w:r>
        <w:rPr>
          <w:rFonts w:hint="eastAsia" w:ascii="宋体" w:hAnsi="宋体" w:cs="宋体"/>
          <w:b/>
          <w:color w:val="auto"/>
          <w:sz w:val="36"/>
          <w:szCs w:val="36"/>
          <w:highlight w:val="none"/>
        </w:rPr>
        <w:t xml:space="preserve">第三章   </w:t>
      </w:r>
      <w:bookmarkEnd w:id="574"/>
      <w:bookmarkEnd w:id="575"/>
      <w:bookmarkEnd w:id="576"/>
      <w:bookmarkEnd w:id="577"/>
      <w:bookmarkEnd w:id="578"/>
      <w:bookmarkEnd w:id="579"/>
      <w:bookmarkEnd w:id="580"/>
      <w:bookmarkEnd w:id="581"/>
      <w:bookmarkEnd w:id="582"/>
      <w:bookmarkEnd w:id="583"/>
      <w:bookmarkEnd w:id="584"/>
      <w:bookmarkEnd w:id="585"/>
      <w:bookmarkEnd w:id="586"/>
      <w:r>
        <w:rPr>
          <w:rFonts w:hint="eastAsia" w:ascii="宋体" w:hAnsi="宋体" w:cs="宋体"/>
          <w:b/>
          <w:color w:val="auto"/>
          <w:sz w:val="36"/>
          <w:szCs w:val="36"/>
          <w:highlight w:val="none"/>
        </w:rPr>
        <w:t>评审方法和评审标准</w:t>
      </w:r>
      <w:bookmarkEnd w:id="587"/>
      <w:bookmarkStart w:id="588" w:name="_Toc487900382"/>
    </w:p>
    <w:p w14:paraId="3333A24A">
      <w:pPr>
        <w:pStyle w:val="4"/>
        <w:shd w:val="clear" w:color="auto" w:fill="FFFFFF"/>
        <w:spacing w:before="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一、资格审查程序</w:t>
      </w:r>
    </w:p>
    <w:p w14:paraId="5EE5C639">
      <w:pPr>
        <w:shd w:val="clear" w:color="auto" w:fill="FFFFFF"/>
        <w:tabs>
          <w:tab w:val="left" w:pos="1080"/>
        </w:tabs>
        <w:snapToGrid w:val="0"/>
        <w:jc w:val="left"/>
        <w:rPr>
          <w:rFonts w:ascii="宋体" w:hAnsi="宋体" w:cs="宋体"/>
          <w:b/>
          <w:color w:val="auto"/>
          <w:sz w:val="24"/>
          <w:highlight w:val="none"/>
        </w:rPr>
      </w:pPr>
      <w:r>
        <w:rPr>
          <w:rFonts w:hint="eastAsia" w:ascii="宋体" w:hAnsi="宋体" w:cs="宋体"/>
          <w:b/>
          <w:color w:val="auto"/>
          <w:sz w:val="24"/>
          <w:highlight w:val="none"/>
        </w:rPr>
        <w:tab/>
      </w:r>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588"/>
    <w:p w14:paraId="2FF274A4">
      <w:pPr>
        <w:numPr>
          <w:ilvl w:val="0"/>
          <w:numId w:val="21"/>
        </w:numPr>
        <w:shd w:val="clear" w:color="auto" w:fill="FFFFFF"/>
        <w:tabs>
          <w:tab w:val="left" w:pos="360"/>
        </w:tabs>
        <w:snapToGrid w:val="0"/>
        <w:spacing w:line="360" w:lineRule="auto"/>
        <w:outlineLvl w:val="1"/>
        <w:rPr>
          <w:rFonts w:ascii="宋体" w:hAnsi="宋体" w:cs="宋体"/>
          <w:color w:val="auto"/>
          <w:sz w:val="24"/>
          <w:highlight w:val="none"/>
        </w:rPr>
      </w:pPr>
      <w:bookmarkStart w:id="589" w:name="_Toc151193711"/>
      <w:bookmarkStart w:id="590" w:name="_Toc151193639"/>
      <w:bookmarkStart w:id="591" w:name="_Toc226309785"/>
      <w:bookmarkStart w:id="592" w:name="_Toc226965814"/>
      <w:bookmarkStart w:id="593" w:name="_Toc151193855"/>
      <w:bookmarkStart w:id="594" w:name="_Toc150480779"/>
      <w:bookmarkStart w:id="595" w:name="_Toc226337237"/>
      <w:bookmarkStart w:id="596" w:name="_Toc305158809"/>
      <w:bookmarkStart w:id="597" w:name="_Toc195842906"/>
      <w:bookmarkStart w:id="598" w:name="_Toc164608810"/>
      <w:bookmarkStart w:id="599" w:name="_Toc127161455"/>
      <w:bookmarkStart w:id="600" w:name="_Toc150509292"/>
      <w:bookmarkStart w:id="601" w:name="_Toc149720834"/>
      <w:bookmarkStart w:id="602" w:name="_Toc142311043"/>
      <w:bookmarkStart w:id="603" w:name="_Toc164229382"/>
      <w:bookmarkStart w:id="604" w:name="_Toc151190168"/>
      <w:bookmarkStart w:id="605" w:name="_Toc164351635"/>
      <w:bookmarkStart w:id="606" w:name="_Toc164229236"/>
      <w:bookmarkStart w:id="607" w:name="_Toc226965731"/>
      <w:bookmarkStart w:id="608" w:name="_Toc265228379"/>
      <w:bookmarkStart w:id="609" w:name="_Toc151193929"/>
      <w:bookmarkStart w:id="610" w:name="_Toc264969231"/>
      <w:bookmarkStart w:id="611" w:name="_Toc164608655"/>
      <w:bookmarkStart w:id="612" w:name="_Toc127151742"/>
      <w:bookmarkStart w:id="613" w:name="_Toc150774641"/>
      <w:bookmarkStart w:id="614" w:name="_Toc305158883"/>
      <w:bookmarkStart w:id="615" w:name="_Toc127151541"/>
      <w:bookmarkStart w:id="616" w:name="_Toc150774746"/>
      <w:bookmarkStart w:id="617" w:name="_Toc151193783"/>
      <w:bookmarkStart w:id="618" w:name="_Toc353825551"/>
      <w:bookmarkStart w:id="619" w:name="_Toc353873941"/>
      <w:bookmarkStart w:id="620" w:name="_Toc305158823"/>
      <w:bookmarkStart w:id="621" w:name="_Toc353873665"/>
      <w:bookmarkStart w:id="622" w:name="_Toc265228393"/>
      <w:bookmarkStart w:id="623" w:name="_Toc264969245"/>
      <w:bookmarkStart w:id="624" w:name="_Toc305158897"/>
      <w:bookmarkStart w:id="625" w:name="_Toc226965828"/>
      <w:bookmarkStart w:id="626" w:name="_Toc226337251"/>
      <w:bookmarkStart w:id="627" w:name="_Toc353825545"/>
      <w:bookmarkStart w:id="628" w:name="_Toc150774760"/>
      <w:bookmarkStart w:id="629" w:name="_Toc142311057"/>
      <w:bookmarkStart w:id="630" w:name="_Toc127151555"/>
      <w:bookmarkStart w:id="631" w:name="_Toc150480793"/>
      <w:bookmarkStart w:id="632" w:name="_Toc195842920"/>
      <w:bookmarkStart w:id="633" w:name="_Toc353873935"/>
      <w:r>
        <w:rPr>
          <w:rFonts w:hint="eastAsia" w:ascii="宋体" w:hAnsi="宋体" w:cs="宋体"/>
          <w:color w:val="auto"/>
          <w:sz w:val="24"/>
          <w:highlight w:val="none"/>
        </w:rPr>
        <w:t>响应文件的</w:t>
      </w:r>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Pr>
          <w:rFonts w:hint="eastAsia" w:ascii="宋体" w:hAnsi="宋体" w:cs="宋体"/>
          <w:color w:val="auto"/>
          <w:sz w:val="24"/>
          <w:highlight w:val="none"/>
        </w:rPr>
        <w:t>资格审查和符合性审查</w:t>
      </w:r>
    </w:p>
    <w:p w14:paraId="03717BB1">
      <w:pPr>
        <w:numPr>
          <w:ilvl w:val="1"/>
          <w:numId w:val="21"/>
        </w:numPr>
        <w:shd w:val="clear" w:color="auto" w:fill="FFFFFF"/>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hint="eastAsia" w:ascii="宋体" w:hAnsi="宋体" w:cs="宋体"/>
          <w:b/>
          <w:bCs/>
          <w:color w:val="auto"/>
          <w:sz w:val="24"/>
          <w:highlight w:val="none"/>
        </w:rPr>
        <w:t>无效响应</w:t>
      </w:r>
      <w:r>
        <w:rPr>
          <w:rFonts w:hint="eastAsia" w:ascii="宋体" w:hAnsi="宋体" w:cs="宋体"/>
          <w:color w:val="auto"/>
          <w:sz w:val="24"/>
          <w:highlight w:val="none"/>
        </w:rPr>
        <w:t>处理，磋商小组应当告知提交响应文件的供应商。</w:t>
      </w:r>
    </w:p>
    <w:p w14:paraId="33A2ED0C">
      <w:pPr>
        <w:numPr>
          <w:ilvl w:val="1"/>
          <w:numId w:val="21"/>
        </w:numPr>
        <w:shd w:val="clear" w:color="auto" w:fill="FFFFFF"/>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《资格审查要求》中对格式有要求的，除竞争性磋商文件另有规定外，均为“实质性格式”文件。</w:t>
      </w:r>
    </w:p>
    <w:p w14:paraId="0C6CC499">
      <w:pPr>
        <w:numPr>
          <w:ilvl w:val="1"/>
          <w:numId w:val="21"/>
        </w:numPr>
        <w:shd w:val="clear" w:color="auto" w:fill="FFFFFF"/>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《资格审查要求》见下表：</w:t>
      </w:r>
    </w:p>
    <w:p w14:paraId="43BECFE3">
      <w:pPr>
        <w:shd w:val="clear" w:color="auto" w:fill="FFFFFF"/>
        <w:tabs>
          <w:tab w:val="left" w:pos="900"/>
          <w:tab w:val="left" w:pos="1080"/>
        </w:tabs>
        <w:snapToGrid w:val="0"/>
        <w:spacing w:line="360" w:lineRule="auto"/>
        <w:ind w:left="1077" w:firstLine="2650" w:firstLineChars="1100"/>
        <w:rPr>
          <w:rFonts w:ascii="宋体" w:hAnsi="宋体" w:cs="宋体"/>
          <w:b/>
          <w:color w:val="auto"/>
          <w:sz w:val="24"/>
          <w:highlight w:val="none"/>
        </w:rPr>
      </w:pPr>
      <w:r>
        <w:rPr>
          <w:rFonts w:hint="eastAsia" w:ascii="宋体" w:hAnsi="宋体" w:cs="宋体"/>
          <w:b/>
          <w:color w:val="auto"/>
          <w:sz w:val="24"/>
          <w:highlight w:val="none"/>
        </w:rPr>
        <w:t>资格审查要求</w:t>
      </w:r>
    </w:p>
    <w:tbl>
      <w:tblPr>
        <w:tblStyle w:val="83"/>
        <w:tblW w:w="928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4"/>
        <w:gridCol w:w="1742"/>
        <w:gridCol w:w="4792"/>
        <w:gridCol w:w="1909"/>
      </w:tblGrid>
      <w:tr w14:paraId="55230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blHeader/>
        </w:trPr>
        <w:tc>
          <w:tcPr>
            <w:tcW w:w="844" w:type="dxa"/>
            <w:vAlign w:val="center"/>
          </w:tcPr>
          <w:p w14:paraId="0A3A1B0C">
            <w:pPr>
              <w:shd w:val="clear" w:color="auto" w:fill="FFFFFF"/>
              <w:tabs>
                <w:tab w:val="left" w:pos="1080"/>
              </w:tabs>
              <w:snapToGrid w:val="0"/>
              <w:jc w:val="center"/>
              <w:rPr>
                <w:rFonts w:ascii="宋体" w:hAnsi="宋体" w:cs="宋体"/>
                <w:b/>
                <w:color w:val="auto"/>
                <w:sz w:val="24"/>
                <w:highlight w:val="none"/>
              </w:rPr>
            </w:pPr>
            <w:bookmarkStart w:id="634" w:name="_Hlt487972895"/>
            <w:bookmarkEnd w:id="634"/>
            <w:r>
              <w:rPr>
                <w:rFonts w:hint="eastAsia" w:ascii="宋体" w:hAnsi="宋体" w:cs="宋体"/>
                <w:b/>
                <w:color w:val="auto"/>
                <w:sz w:val="24"/>
                <w:highlight w:val="none"/>
              </w:rPr>
              <w:t>序号</w:t>
            </w:r>
          </w:p>
        </w:tc>
        <w:tc>
          <w:tcPr>
            <w:tcW w:w="1742" w:type="dxa"/>
            <w:vAlign w:val="center"/>
          </w:tcPr>
          <w:p w14:paraId="722C5E31">
            <w:pPr>
              <w:shd w:val="clear" w:color="auto" w:fill="FFFFFF"/>
              <w:tabs>
                <w:tab w:val="left" w:pos="1080"/>
              </w:tabs>
              <w:snapToGrid w:val="0"/>
              <w:jc w:val="center"/>
              <w:rPr>
                <w:rFonts w:ascii="宋体" w:hAnsi="宋体" w:cs="宋体"/>
                <w:b/>
                <w:color w:val="auto"/>
                <w:sz w:val="24"/>
                <w:highlight w:val="none"/>
              </w:rPr>
            </w:pPr>
            <w:r>
              <w:rPr>
                <w:rFonts w:hint="eastAsia" w:ascii="宋体" w:hAnsi="宋体" w:cs="宋体"/>
                <w:b/>
                <w:color w:val="auto"/>
                <w:sz w:val="24"/>
                <w:highlight w:val="none"/>
              </w:rPr>
              <w:t>检查因素</w:t>
            </w:r>
          </w:p>
        </w:tc>
        <w:tc>
          <w:tcPr>
            <w:tcW w:w="4792" w:type="dxa"/>
            <w:vAlign w:val="center"/>
          </w:tcPr>
          <w:p w14:paraId="2B267EE7">
            <w:pPr>
              <w:shd w:val="clear" w:color="auto" w:fill="FFFFFF"/>
              <w:tabs>
                <w:tab w:val="left" w:pos="1080"/>
              </w:tabs>
              <w:snapToGrid w:val="0"/>
              <w:jc w:val="center"/>
              <w:rPr>
                <w:rFonts w:ascii="宋体" w:hAnsi="宋体" w:cs="宋体"/>
                <w:b/>
                <w:color w:val="auto"/>
                <w:sz w:val="24"/>
                <w:highlight w:val="none"/>
              </w:rPr>
            </w:pPr>
            <w:r>
              <w:rPr>
                <w:rFonts w:hint="eastAsia" w:ascii="宋体" w:hAnsi="宋体" w:cs="宋体"/>
                <w:b/>
                <w:color w:val="auto"/>
                <w:sz w:val="24"/>
                <w:highlight w:val="none"/>
              </w:rPr>
              <w:t>检查内容</w:t>
            </w:r>
          </w:p>
        </w:tc>
        <w:tc>
          <w:tcPr>
            <w:tcW w:w="1909" w:type="dxa"/>
            <w:vAlign w:val="center"/>
          </w:tcPr>
          <w:p w14:paraId="7EDF3C8E">
            <w:pPr>
              <w:shd w:val="clear" w:color="auto" w:fill="FFFFFF"/>
              <w:tabs>
                <w:tab w:val="left" w:pos="1080"/>
              </w:tabs>
              <w:snapToGrid w:val="0"/>
              <w:jc w:val="center"/>
              <w:rPr>
                <w:rFonts w:ascii="宋体" w:hAnsi="宋体" w:cs="宋体"/>
                <w:b/>
                <w:color w:val="auto"/>
                <w:sz w:val="24"/>
                <w:highlight w:val="none"/>
              </w:rPr>
            </w:pPr>
            <w:r>
              <w:rPr>
                <w:rFonts w:hint="eastAsia" w:ascii="宋体" w:hAnsi="宋体" w:cs="宋体"/>
                <w:b/>
                <w:color w:val="auto"/>
                <w:sz w:val="24"/>
                <w:highlight w:val="none"/>
              </w:rPr>
              <w:t>格式要求</w:t>
            </w:r>
          </w:p>
        </w:tc>
      </w:tr>
      <w:tr w14:paraId="7B8D7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3D0BA618">
            <w:pPr>
              <w:shd w:val="clear" w:color="auto" w:fill="FFFFFF"/>
              <w:tabs>
                <w:tab w:val="left" w:pos="1080"/>
              </w:tabs>
              <w:snapToGrid w:val="0"/>
              <w:jc w:val="center"/>
              <w:rPr>
                <w:rFonts w:ascii="宋体" w:hAnsi="宋体" w:cs="宋体"/>
                <w:color w:val="auto"/>
                <w:sz w:val="24"/>
                <w:highlight w:val="none"/>
              </w:rPr>
            </w:pPr>
            <w:r>
              <w:rPr>
                <w:rFonts w:hint="eastAsia" w:ascii="宋体" w:hAnsi="宋体" w:cs="宋体"/>
                <w:color w:val="auto"/>
                <w:sz w:val="24"/>
                <w:highlight w:val="none"/>
              </w:rPr>
              <w:t>1</w:t>
            </w:r>
          </w:p>
        </w:tc>
        <w:tc>
          <w:tcPr>
            <w:tcW w:w="1742" w:type="dxa"/>
            <w:vAlign w:val="center"/>
          </w:tcPr>
          <w:p w14:paraId="02EFBCE4">
            <w:pPr>
              <w:shd w:val="clear" w:color="auto" w:fill="FFFFFF"/>
              <w:tabs>
                <w:tab w:val="left" w:pos="1080"/>
              </w:tabs>
              <w:snapToGrid w:val="0"/>
              <w:jc w:val="left"/>
              <w:rPr>
                <w:rFonts w:ascii="宋体" w:hAnsi="宋体" w:cs="宋体"/>
                <w:color w:val="auto"/>
                <w:sz w:val="24"/>
                <w:highlight w:val="none"/>
              </w:rPr>
            </w:pPr>
            <w:r>
              <w:rPr>
                <w:rFonts w:hint="eastAsia" w:ascii="宋体" w:hAnsi="宋体" w:cs="宋体"/>
                <w:color w:val="auto"/>
                <w:sz w:val="24"/>
                <w:highlight w:val="none"/>
              </w:rPr>
              <w:t>满足《中华人民共和国政府采购法》第二十二条规定</w:t>
            </w:r>
          </w:p>
        </w:tc>
        <w:tc>
          <w:tcPr>
            <w:tcW w:w="4792" w:type="dxa"/>
            <w:vAlign w:val="center"/>
          </w:tcPr>
          <w:p w14:paraId="422E25F5">
            <w:pPr>
              <w:shd w:val="clear" w:color="auto" w:fill="FFFFFF"/>
              <w:tabs>
                <w:tab w:val="left" w:pos="1080"/>
              </w:tabs>
              <w:snapToGrid w:val="0"/>
              <w:jc w:val="left"/>
              <w:rPr>
                <w:rFonts w:ascii="宋体" w:hAnsi="宋体" w:cs="宋体"/>
                <w:color w:val="auto"/>
                <w:sz w:val="24"/>
                <w:highlight w:val="none"/>
              </w:rPr>
            </w:pPr>
            <w:r>
              <w:rPr>
                <w:rFonts w:hint="eastAsia" w:ascii="宋体" w:hAnsi="宋体" w:cs="宋体"/>
                <w:color w:val="auto"/>
                <w:sz w:val="24"/>
                <w:highlight w:val="none"/>
              </w:rPr>
              <w:t>具体规定见第一章《采购邀请》</w:t>
            </w:r>
          </w:p>
        </w:tc>
        <w:tc>
          <w:tcPr>
            <w:tcW w:w="1909" w:type="dxa"/>
            <w:vAlign w:val="center"/>
          </w:tcPr>
          <w:p w14:paraId="7F730B82">
            <w:pPr>
              <w:shd w:val="clear" w:color="auto" w:fill="FFFFFF"/>
              <w:tabs>
                <w:tab w:val="left" w:pos="1080"/>
              </w:tabs>
              <w:snapToGrid w:val="0"/>
              <w:jc w:val="left"/>
              <w:rPr>
                <w:rFonts w:ascii="宋体" w:hAnsi="宋体" w:cs="宋体"/>
                <w:color w:val="auto"/>
                <w:sz w:val="24"/>
                <w:highlight w:val="none"/>
              </w:rPr>
            </w:pPr>
          </w:p>
        </w:tc>
      </w:tr>
      <w:tr w14:paraId="7BCA50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7C934BCE">
            <w:pPr>
              <w:shd w:val="clear" w:color="auto" w:fill="FFFFFF"/>
              <w:tabs>
                <w:tab w:val="left" w:pos="1080"/>
              </w:tabs>
              <w:snapToGrid w:val="0"/>
              <w:jc w:val="center"/>
              <w:rPr>
                <w:rFonts w:ascii="宋体" w:hAnsi="宋体" w:cs="宋体"/>
                <w:color w:val="auto"/>
                <w:sz w:val="24"/>
                <w:highlight w:val="none"/>
              </w:rPr>
            </w:pPr>
            <w:r>
              <w:rPr>
                <w:rFonts w:hint="eastAsia" w:ascii="宋体" w:hAnsi="宋体" w:cs="宋体"/>
                <w:color w:val="auto"/>
                <w:sz w:val="24"/>
                <w:highlight w:val="none"/>
              </w:rPr>
              <w:t>1-1</w:t>
            </w:r>
          </w:p>
        </w:tc>
        <w:tc>
          <w:tcPr>
            <w:tcW w:w="1742" w:type="dxa"/>
            <w:vAlign w:val="center"/>
          </w:tcPr>
          <w:p w14:paraId="39D02B3A">
            <w:pPr>
              <w:shd w:val="clear" w:color="auto" w:fill="FFFFFF"/>
              <w:tabs>
                <w:tab w:val="left" w:pos="1080"/>
              </w:tabs>
              <w:snapToGrid w:val="0"/>
              <w:jc w:val="left"/>
              <w:rPr>
                <w:rFonts w:ascii="宋体" w:hAnsi="宋体" w:cs="宋体"/>
                <w:color w:val="auto"/>
                <w:sz w:val="24"/>
                <w:highlight w:val="none"/>
              </w:rPr>
            </w:pPr>
            <w:r>
              <w:rPr>
                <w:rFonts w:hint="eastAsia" w:ascii="宋体" w:hAnsi="宋体" w:cs="宋体"/>
                <w:color w:val="auto"/>
                <w:sz w:val="24"/>
                <w:highlight w:val="none"/>
              </w:rPr>
              <w:t>营业执照等证明文件</w:t>
            </w:r>
          </w:p>
        </w:tc>
        <w:tc>
          <w:tcPr>
            <w:tcW w:w="4792" w:type="dxa"/>
            <w:vAlign w:val="center"/>
          </w:tcPr>
          <w:p w14:paraId="0217209F">
            <w:pPr>
              <w:pStyle w:val="305"/>
              <w:kinsoku w:val="0"/>
              <w:overflowPunct w:val="0"/>
              <w:spacing w:line="242" w:lineRule="auto"/>
              <w:rPr>
                <w:color w:val="auto"/>
                <w:kern w:val="2"/>
                <w:sz w:val="24"/>
                <w:szCs w:val="24"/>
                <w:highlight w:val="none"/>
                <w:lang w:eastAsia="zh-CN"/>
              </w:rPr>
            </w:pPr>
            <w:r>
              <w:rPr>
                <w:rFonts w:hint="eastAsia"/>
                <w:color w:val="auto"/>
                <w:kern w:val="2"/>
                <w:sz w:val="24"/>
                <w:szCs w:val="24"/>
                <w:highlight w:val="none"/>
                <w:lang w:eastAsia="zh-CN"/>
              </w:rPr>
              <w:t>供应商为企业（包括合伙企业）的，应提供有效的“营业执照”；</w:t>
            </w:r>
          </w:p>
          <w:p w14:paraId="4C4B315A">
            <w:pPr>
              <w:pStyle w:val="305"/>
              <w:kinsoku w:val="0"/>
              <w:overflowPunct w:val="0"/>
              <w:spacing w:line="242" w:lineRule="auto"/>
              <w:rPr>
                <w:color w:val="auto"/>
                <w:kern w:val="2"/>
                <w:sz w:val="24"/>
                <w:szCs w:val="24"/>
                <w:highlight w:val="none"/>
                <w:lang w:eastAsia="zh-CN"/>
              </w:rPr>
            </w:pPr>
            <w:r>
              <w:rPr>
                <w:rFonts w:hint="eastAsia"/>
                <w:color w:val="auto"/>
                <w:kern w:val="2"/>
                <w:sz w:val="24"/>
                <w:szCs w:val="24"/>
                <w:highlight w:val="none"/>
                <w:lang w:eastAsia="zh-CN"/>
              </w:rPr>
              <w:t>供应商为事业单位的，应提供有效的“事业单位法人证书”；</w:t>
            </w:r>
          </w:p>
          <w:p w14:paraId="7BB12F5F">
            <w:pPr>
              <w:pStyle w:val="305"/>
              <w:kinsoku w:val="0"/>
              <w:overflowPunct w:val="0"/>
              <w:spacing w:line="242" w:lineRule="auto"/>
              <w:rPr>
                <w:color w:val="auto"/>
                <w:kern w:val="2"/>
                <w:sz w:val="24"/>
                <w:szCs w:val="24"/>
                <w:highlight w:val="none"/>
                <w:lang w:eastAsia="zh-CN"/>
              </w:rPr>
            </w:pPr>
            <w:r>
              <w:rPr>
                <w:rFonts w:hint="eastAsia"/>
                <w:color w:val="auto"/>
                <w:kern w:val="2"/>
                <w:sz w:val="24"/>
                <w:szCs w:val="24"/>
                <w:highlight w:val="none"/>
                <w:lang w:eastAsia="zh-CN"/>
              </w:rPr>
              <w:t>供应商是非企业机构的，应提供有效的“执业许可证”、“登记证书”等证明文件；</w:t>
            </w:r>
          </w:p>
          <w:p w14:paraId="57735303">
            <w:pPr>
              <w:pStyle w:val="305"/>
              <w:kinsoku w:val="0"/>
              <w:overflowPunct w:val="0"/>
              <w:spacing w:line="242" w:lineRule="auto"/>
              <w:rPr>
                <w:color w:val="auto"/>
                <w:kern w:val="2"/>
                <w:sz w:val="24"/>
                <w:szCs w:val="24"/>
                <w:highlight w:val="none"/>
                <w:lang w:eastAsia="zh-CN"/>
              </w:rPr>
            </w:pPr>
            <w:r>
              <w:rPr>
                <w:rFonts w:hint="eastAsia"/>
                <w:color w:val="auto"/>
                <w:kern w:val="2"/>
                <w:sz w:val="24"/>
                <w:szCs w:val="24"/>
                <w:highlight w:val="none"/>
                <w:lang w:eastAsia="zh-CN"/>
              </w:rPr>
              <w:t>供应商是个体工商户的，应提供有效的“个体工商户营业执照”；</w:t>
            </w:r>
          </w:p>
          <w:p w14:paraId="7E446B89">
            <w:pPr>
              <w:pStyle w:val="305"/>
              <w:kinsoku w:val="0"/>
              <w:overflowPunct w:val="0"/>
              <w:spacing w:line="242" w:lineRule="auto"/>
              <w:rPr>
                <w:color w:val="auto"/>
                <w:kern w:val="2"/>
                <w:sz w:val="24"/>
                <w:szCs w:val="24"/>
                <w:highlight w:val="none"/>
                <w:lang w:eastAsia="zh-CN"/>
              </w:rPr>
            </w:pPr>
            <w:r>
              <w:rPr>
                <w:rFonts w:hint="eastAsia"/>
                <w:color w:val="auto"/>
                <w:kern w:val="2"/>
                <w:sz w:val="24"/>
                <w:szCs w:val="24"/>
                <w:highlight w:val="none"/>
                <w:lang w:eastAsia="zh-CN"/>
              </w:rPr>
              <w:t>供应商是自然人的，应提供有效的自然人身份证明。</w:t>
            </w:r>
          </w:p>
          <w:p w14:paraId="21DE519F">
            <w:pPr>
              <w:pStyle w:val="305"/>
              <w:kinsoku w:val="0"/>
              <w:overflowPunct w:val="0"/>
              <w:spacing w:line="242" w:lineRule="auto"/>
              <w:rPr>
                <w:color w:val="auto"/>
                <w:kern w:val="2"/>
                <w:sz w:val="24"/>
                <w:szCs w:val="24"/>
                <w:highlight w:val="none"/>
                <w:lang w:eastAsia="zh-CN"/>
              </w:rPr>
            </w:pPr>
            <w:r>
              <w:rPr>
                <w:rFonts w:hint="eastAsia"/>
                <w:color w:val="auto"/>
                <w:kern w:val="2"/>
                <w:sz w:val="24"/>
                <w:szCs w:val="24"/>
                <w:highlight w:val="none"/>
                <w:lang w:eastAsia="zh-CN"/>
              </w:rPr>
              <w:t>分支机构参加响应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w:t>
            </w:r>
          </w:p>
          <w:p w14:paraId="68EDF522">
            <w:pPr>
              <w:shd w:val="clear" w:color="auto" w:fill="FFFFFF"/>
              <w:tabs>
                <w:tab w:val="left" w:pos="1080"/>
              </w:tabs>
              <w:snapToGrid w:val="0"/>
              <w:jc w:val="left"/>
              <w:rPr>
                <w:rFonts w:ascii="宋体" w:hAnsi="宋体" w:cs="宋体"/>
                <w:color w:val="auto"/>
                <w:sz w:val="24"/>
                <w:highlight w:val="none"/>
              </w:rPr>
            </w:pPr>
            <w:r>
              <w:rPr>
                <w:rFonts w:hint="eastAsia" w:ascii="宋体" w:hAnsi="宋体" w:cs="宋体"/>
                <w:color w:val="auto"/>
                <w:sz w:val="24"/>
                <w:highlight w:val="none"/>
              </w:rPr>
              <w:t>证明授权其独立开展业务的证明材料。</w:t>
            </w:r>
          </w:p>
        </w:tc>
        <w:tc>
          <w:tcPr>
            <w:tcW w:w="1909" w:type="dxa"/>
            <w:vAlign w:val="center"/>
          </w:tcPr>
          <w:p w14:paraId="0BE21849">
            <w:pPr>
              <w:shd w:val="clear" w:color="auto" w:fill="FFFFFF"/>
              <w:tabs>
                <w:tab w:val="left" w:pos="1080"/>
              </w:tabs>
              <w:snapToGrid w:val="0"/>
              <w:jc w:val="left"/>
              <w:rPr>
                <w:rFonts w:ascii="宋体" w:hAnsi="宋体" w:cs="宋体"/>
                <w:color w:val="auto"/>
                <w:sz w:val="24"/>
                <w:highlight w:val="none"/>
              </w:rPr>
            </w:pPr>
            <w:r>
              <w:rPr>
                <w:rFonts w:hint="eastAsia" w:ascii="宋体" w:hAnsi="宋体" w:cs="宋体"/>
                <w:color w:val="auto"/>
                <w:sz w:val="24"/>
                <w:highlight w:val="none"/>
              </w:rPr>
              <w:t>提供证明文件的电子件或电子证照</w:t>
            </w:r>
          </w:p>
        </w:tc>
      </w:tr>
      <w:tr w14:paraId="4C102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1B7D6B3A">
            <w:pPr>
              <w:shd w:val="clear" w:color="auto" w:fill="FFFFFF"/>
              <w:tabs>
                <w:tab w:val="left" w:pos="1080"/>
              </w:tabs>
              <w:snapToGrid w:val="0"/>
              <w:jc w:val="center"/>
              <w:rPr>
                <w:rFonts w:ascii="宋体" w:hAnsi="宋体" w:cs="宋体"/>
                <w:color w:val="auto"/>
                <w:sz w:val="24"/>
                <w:highlight w:val="none"/>
              </w:rPr>
            </w:pPr>
            <w:r>
              <w:rPr>
                <w:rFonts w:hint="eastAsia" w:ascii="宋体" w:hAnsi="宋体" w:cs="宋体"/>
                <w:color w:val="auto"/>
                <w:sz w:val="24"/>
                <w:highlight w:val="none"/>
              </w:rPr>
              <w:t>1-2</w:t>
            </w:r>
          </w:p>
        </w:tc>
        <w:tc>
          <w:tcPr>
            <w:tcW w:w="1742" w:type="dxa"/>
            <w:vAlign w:val="center"/>
          </w:tcPr>
          <w:p w14:paraId="358757ED">
            <w:pPr>
              <w:shd w:val="clear" w:color="auto" w:fill="FFFFFF"/>
              <w:tabs>
                <w:tab w:val="left" w:pos="1080"/>
              </w:tabs>
              <w:snapToGrid w:val="0"/>
              <w:jc w:val="left"/>
              <w:rPr>
                <w:rFonts w:ascii="宋体" w:hAnsi="宋体" w:cs="宋体"/>
                <w:color w:val="auto"/>
                <w:sz w:val="24"/>
                <w:highlight w:val="none"/>
              </w:rPr>
            </w:pPr>
            <w:r>
              <w:rPr>
                <w:rFonts w:hint="eastAsia" w:ascii="宋体" w:hAnsi="宋体" w:cs="宋体"/>
                <w:color w:val="auto"/>
                <w:sz w:val="24"/>
                <w:highlight w:val="none"/>
              </w:rPr>
              <w:t>供应商资格声明书</w:t>
            </w:r>
          </w:p>
        </w:tc>
        <w:tc>
          <w:tcPr>
            <w:tcW w:w="4792" w:type="dxa"/>
            <w:vAlign w:val="center"/>
          </w:tcPr>
          <w:p w14:paraId="2445005B">
            <w:pPr>
              <w:shd w:val="clear" w:color="auto" w:fill="FFFFFF"/>
              <w:tabs>
                <w:tab w:val="left" w:pos="1080"/>
              </w:tabs>
              <w:snapToGrid w:val="0"/>
              <w:jc w:val="left"/>
              <w:rPr>
                <w:rFonts w:ascii="宋体" w:hAnsi="宋体" w:cs="宋体"/>
                <w:color w:val="auto"/>
                <w:sz w:val="24"/>
                <w:highlight w:val="none"/>
              </w:rPr>
            </w:pPr>
            <w:r>
              <w:rPr>
                <w:rFonts w:hint="eastAsia" w:ascii="宋体" w:hAnsi="宋体" w:cs="宋体"/>
                <w:color w:val="auto"/>
                <w:sz w:val="24"/>
                <w:highlight w:val="none"/>
              </w:rPr>
              <w:t>提供了符合竞争性磋商文件要求的《供应商资格声明书》。</w:t>
            </w:r>
          </w:p>
        </w:tc>
        <w:tc>
          <w:tcPr>
            <w:tcW w:w="1909" w:type="dxa"/>
            <w:vAlign w:val="center"/>
          </w:tcPr>
          <w:p w14:paraId="062B740F">
            <w:pPr>
              <w:shd w:val="clear" w:color="auto" w:fill="FFFFFF"/>
              <w:tabs>
                <w:tab w:val="left" w:pos="1080"/>
              </w:tabs>
              <w:snapToGrid w:val="0"/>
              <w:jc w:val="left"/>
              <w:rPr>
                <w:rFonts w:ascii="宋体" w:hAnsi="宋体" w:cs="宋体"/>
                <w:color w:val="auto"/>
                <w:sz w:val="24"/>
                <w:highlight w:val="none"/>
              </w:rPr>
            </w:pPr>
            <w:r>
              <w:rPr>
                <w:rFonts w:hint="eastAsia" w:ascii="宋体" w:hAnsi="宋体" w:cs="宋体"/>
                <w:color w:val="auto"/>
                <w:sz w:val="24"/>
                <w:highlight w:val="none"/>
              </w:rPr>
              <w:t>格式见《响应文件格式》</w:t>
            </w:r>
          </w:p>
        </w:tc>
      </w:tr>
      <w:tr w14:paraId="2ADB0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22549C5D">
            <w:pPr>
              <w:shd w:val="clear" w:color="auto" w:fill="FFFFFF"/>
              <w:tabs>
                <w:tab w:val="left" w:pos="1080"/>
              </w:tabs>
              <w:snapToGrid w:val="0"/>
              <w:jc w:val="center"/>
              <w:rPr>
                <w:rFonts w:ascii="宋体" w:hAnsi="宋体" w:cs="宋体"/>
                <w:color w:val="auto"/>
                <w:sz w:val="24"/>
                <w:highlight w:val="none"/>
              </w:rPr>
            </w:pPr>
            <w:r>
              <w:rPr>
                <w:rFonts w:hint="eastAsia" w:ascii="宋体" w:hAnsi="宋体" w:cs="宋体"/>
                <w:color w:val="auto"/>
                <w:sz w:val="24"/>
                <w:highlight w:val="none"/>
              </w:rPr>
              <w:t>1-3</w:t>
            </w:r>
          </w:p>
        </w:tc>
        <w:tc>
          <w:tcPr>
            <w:tcW w:w="1742" w:type="dxa"/>
            <w:vAlign w:val="center"/>
          </w:tcPr>
          <w:p w14:paraId="22FF642B">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供应商信用记录</w:t>
            </w:r>
          </w:p>
        </w:tc>
        <w:tc>
          <w:tcPr>
            <w:tcW w:w="4792" w:type="dxa"/>
            <w:vAlign w:val="center"/>
          </w:tcPr>
          <w:p w14:paraId="3AB28AEE">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查询渠道：信用中国网站和中国政府采购网（</w:t>
            </w:r>
            <w:r>
              <w:rPr>
                <w:rFonts w:hint="eastAsia" w:ascii="宋体" w:hAnsi="宋体" w:cs="宋体"/>
                <w:color w:val="auto"/>
                <w:highlight w:val="none"/>
              </w:rPr>
              <w:t>www.creditchina.gov.cn</w:t>
            </w:r>
            <w:r>
              <w:rPr>
                <w:rFonts w:hint="eastAsia" w:ascii="宋体" w:hAnsi="宋体" w:cs="宋体"/>
                <w:color w:val="auto"/>
                <w:sz w:val="24"/>
                <w:highlight w:val="none"/>
              </w:rPr>
              <w:t>、</w:t>
            </w:r>
            <w:r>
              <w:rPr>
                <w:rFonts w:hint="eastAsia" w:ascii="宋体" w:hAnsi="宋体" w:cs="宋体"/>
                <w:color w:val="auto"/>
                <w:highlight w:val="none"/>
              </w:rPr>
              <w:t>www.ccgp.gov.cn</w:t>
            </w:r>
            <w:r>
              <w:rPr>
                <w:rFonts w:hint="eastAsia" w:ascii="宋体" w:hAnsi="宋体" w:cs="宋体"/>
                <w:color w:val="auto"/>
                <w:sz w:val="24"/>
                <w:highlight w:val="none"/>
              </w:rPr>
              <w:t>）；</w:t>
            </w:r>
          </w:p>
          <w:p w14:paraId="6E88A6F9">
            <w:pPr>
              <w:shd w:val="clear" w:color="auto" w:fill="FFFFFF"/>
              <w:tabs>
                <w:tab w:val="left" w:pos="900"/>
                <w:tab w:val="left" w:pos="1980"/>
              </w:tabs>
              <w:snapToGrid w:val="0"/>
              <w:rPr>
                <w:rFonts w:ascii="宋体" w:hAnsi="宋体" w:cs="宋体"/>
                <w:color w:val="auto"/>
                <w:sz w:val="24"/>
                <w:highlight w:val="none"/>
              </w:rPr>
            </w:pPr>
            <w:r>
              <w:rPr>
                <w:rFonts w:hint="eastAsia" w:ascii="宋体" w:hAnsi="宋体" w:cs="宋体"/>
                <w:color w:val="auto"/>
                <w:sz w:val="24"/>
                <w:highlight w:val="none"/>
              </w:rPr>
              <w:t>截止时点：</w:t>
            </w:r>
            <w:r>
              <w:rPr>
                <w:rFonts w:hint="eastAsia" w:ascii="宋体" w:hAnsi="宋体" w:cs="宋体"/>
                <w:color w:val="auto"/>
                <w:kern w:val="0"/>
                <w:sz w:val="24"/>
                <w:szCs w:val="20"/>
                <w:highlight w:val="none"/>
              </w:rPr>
              <w:t>首次响应文件提交截止时间以后</w:t>
            </w:r>
            <w:r>
              <w:rPr>
                <w:rFonts w:hint="eastAsia" w:ascii="宋体" w:hAnsi="宋体" w:cs="宋体"/>
                <w:color w:val="auto"/>
                <w:sz w:val="24"/>
                <w:highlight w:val="none"/>
              </w:rPr>
              <w:t>、资格性检查阶段采购人或采购代理机构的实际查询时间为准；</w:t>
            </w:r>
          </w:p>
          <w:p w14:paraId="0B7A887C">
            <w:pPr>
              <w:shd w:val="clear" w:color="auto" w:fill="FFFFFF"/>
              <w:tabs>
                <w:tab w:val="left" w:pos="900"/>
                <w:tab w:val="left" w:pos="1980"/>
              </w:tabs>
              <w:snapToGrid w:val="0"/>
              <w:rPr>
                <w:rFonts w:ascii="宋体" w:hAnsi="宋体" w:cs="宋体"/>
                <w:color w:val="auto"/>
                <w:sz w:val="24"/>
                <w:highlight w:val="none"/>
              </w:rPr>
            </w:pPr>
            <w:r>
              <w:rPr>
                <w:rFonts w:hint="eastAsia" w:ascii="宋体" w:hAnsi="宋体" w:cs="宋体"/>
                <w:color w:val="auto"/>
                <w:sz w:val="24"/>
                <w:highlight w:val="none"/>
              </w:rPr>
              <w:t>信用信息查询记录和证据留存具体方式：查询结果网页打印页作为查询记录和证据，与其他竞争性磋商文件一并保存；</w:t>
            </w:r>
          </w:p>
          <w:p w14:paraId="76D2B16B">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信用信息的使用原则：经认定的被列入失信被执行人、重大税收违法案件当事人名单、政府采购严重违法失信行为记录名单的供应商，其</w:t>
            </w:r>
            <w:r>
              <w:rPr>
                <w:rFonts w:hint="eastAsia" w:ascii="宋体" w:hAnsi="宋体" w:cs="宋体"/>
                <w:b/>
                <w:color w:val="auto"/>
                <w:sz w:val="24"/>
                <w:highlight w:val="none"/>
              </w:rPr>
              <w:t>响应无效</w:t>
            </w:r>
            <w:r>
              <w:rPr>
                <w:rFonts w:hint="eastAsia" w:ascii="宋体" w:hAnsi="宋体" w:cs="宋体"/>
                <w:color w:val="auto"/>
                <w:sz w:val="24"/>
                <w:highlight w:val="none"/>
              </w:rPr>
              <w:t>。联合体形式磋商的，联合体成员存在不良信用记录，视同联合体存在不良信用记录。</w:t>
            </w:r>
          </w:p>
        </w:tc>
        <w:tc>
          <w:tcPr>
            <w:tcW w:w="1909" w:type="dxa"/>
            <w:vAlign w:val="center"/>
          </w:tcPr>
          <w:p w14:paraId="0BED54CE">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无须供应商提供，由采购人或采购代理机构查询。</w:t>
            </w:r>
          </w:p>
        </w:tc>
      </w:tr>
      <w:tr w14:paraId="607D0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303EE065">
            <w:pPr>
              <w:shd w:val="clear" w:color="auto" w:fill="FFFFFF"/>
              <w:tabs>
                <w:tab w:val="left" w:pos="1080"/>
              </w:tabs>
              <w:snapToGrid w:val="0"/>
              <w:jc w:val="center"/>
              <w:rPr>
                <w:rFonts w:ascii="宋体" w:hAnsi="宋体" w:cs="宋体"/>
                <w:color w:val="auto"/>
                <w:sz w:val="24"/>
                <w:highlight w:val="none"/>
              </w:rPr>
            </w:pPr>
            <w:r>
              <w:rPr>
                <w:rFonts w:hint="eastAsia" w:ascii="宋体" w:hAnsi="宋体" w:cs="宋体"/>
                <w:color w:val="auto"/>
                <w:sz w:val="24"/>
                <w:highlight w:val="none"/>
              </w:rPr>
              <w:t>1-4</w:t>
            </w:r>
          </w:p>
        </w:tc>
        <w:tc>
          <w:tcPr>
            <w:tcW w:w="1742" w:type="dxa"/>
          </w:tcPr>
          <w:p w14:paraId="7733424D">
            <w:pPr>
              <w:shd w:val="clear" w:color="auto" w:fill="FFFFFF"/>
              <w:tabs>
                <w:tab w:val="left" w:pos="1080"/>
              </w:tabs>
              <w:snapToGrid w:val="0"/>
              <w:jc w:val="left"/>
              <w:rPr>
                <w:rFonts w:ascii="宋体" w:hAnsi="宋体" w:cs="宋体"/>
                <w:color w:val="auto"/>
                <w:sz w:val="24"/>
                <w:highlight w:val="none"/>
              </w:rPr>
            </w:pPr>
            <w:r>
              <w:rPr>
                <w:rFonts w:hint="eastAsia" w:ascii="宋体" w:hAnsi="宋体" w:cs="宋体"/>
                <w:color w:val="auto"/>
                <w:sz w:val="24"/>
                <w:highlight w:val="none"/>
              </w:rPr>
              <w:t>法律、行政法规规定的其他条件</w:t>
            </w:r>
          </w:p>
        </w:tc>
        <w:tc>
          <w:tcPr>
            <w:tcW w:w="4792" w:type="dxa"/>
          </w:tcPr>
          <w:p w14:paraId="04838C59">
            <w:pPr>
              <w:shd w:val="clear" w:color="auto" w:fill="FFFFFF"/>
              <w:tabs>
                <w:tab w:val="left" w:pos="1080"/>
              </w:tabs>
              <w:snapToGrid w:val="0"/>
              <w:jc w:val="center"/>
              <w:rPr>
                <w:rFonts w:ascii="宋体" w:hAnsi="宋体" w:cs="宋体"/>
                <w:color w:val="auto"/>
                <w:sz w:val="24"/>
                <w:highlight w:val="none"/>
              </w:rPr>
            </w:pPr>
          </w:p>
          <w:p w14:paraId="45ABD5EC">
            <w:pPr>
              <w:shd w:val="clear" w:color="auto" w:fill="FFFFFF"/>
              <w:tabs>
                <w:tab w:val="left" w:pos="1080"/>
              </w:tabs>
              <w:snapToGrid w:val="0"/>
              <w:jc w:val="left"/>
              <w:rPr>
                <w:rFonts w:ascii="宋体" w:hAnsi="宋体" w:cs="宋体"/>
                <w:color w:val="auto"/>
                <w:sz w:val="24"/>
                <w:highlight w:val="none"/>
              </w:rPr>
            </w:pPr>
            <w:r>
              <w:rPr>
                <w:rFonts w:hint="eastAsia" w:ascii="宋体" w:hAnsi="宋体" w:cs="宋体"/>
                <w:color w:val="auto"/>
                <w:sz w:val="24"/>
                <w:highlight w:val="none"/>
              </w:rPr>
              <w:t>法律、行政法规规定的其他条件</w:t>
            </w:r>
          </w:p>
        </w:tc>
        <w:tc>
          <w:tcPr>
            <w:tcW w:w="1909" w:type="dxa"/>
          </w:tcPr>
          <w:p w14:paraId="6C3AA349">
            <w:pPr>
              <w:shd w:val="clear" w:color="auto" w:fill="FFFFFF"/>
              <w:tabs>
                <w:tab w:val="left" w:pos="1080"/>
              </w:tabs>
              <w:snapToGrid w:val="0"/>
              <w:jc w:val="center"/>
              <w:rPr>
                <w:rFonts w:ascii="宋体" w:hAnsi="宋体" w:cs="宋体"/>
                <w:color w:val="auto"/>
                <w:sz w:val="24"/>
                <w:highlight w:val="none"/>
              </w:rPr>
            </w:pPr>
          </w:p>
          <w:p w14:paraId="20971E95">
            <w:pPr>
              <w:shd w:val="clear" w:color="auto" w:fill="FFFFFF"/>
              <w:tabs>
                <w:tab w:val="left" w:pos="1080"/>
              </w:tabs>
              <w:snapToGrid w:val="0"/>
              <w:jc w:val="center"/>
              <w:rPr>
                <w:rFonts w:ascii="宋体" w:hAnsi="宋体" w:cs="宋体"/>
                <w:color w:val="auto"/>
                <w:sz w:val="24"/>
                <w:highlight w:val="none"/>
              </w:rPr>
            </w:pPr>
            <w:r>
              <w:rPr>
                <w:rFonts w:hint="eastAsia" w:ascii="宋体" w:hAnsi="宋体" w:cs="宋体"/>
                <w:color w:val="auto"/>
                <w:sz w:val="24"/>
                <w:highlight w:val="none"/>
              </w:rPr>
              <w:t>/</w:t>
            </w:r>
          </w:p>
        </w:tc>
      </w:tr>
      <w:tr w14:paraId="5A7BE9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3751BB57">
            <w:pPr>
              <w:shd w:val="clear" w:color="auto" w:fill="FFFFFF"/>
              <w:tabs>
                <w:tab w:val="left" w:pos="1080"/>
              </w:tabs>
              <w:snapToGrid w:val="0"/>
              <w:jc w:val="center"/>
              <w:rPr>
                <w:rFonts w:ascii="宋体" w:hAnsi="宋体" w:cs="宋体"/>
                <w:color w:val="auto"/>
                <w:sz w:val="24"/>
                <w:highlight w:val="none"/>
              </w:rPr>
            </w:pPr>
            <w:r>
              <w:rPr>
                <w:rFonts w:hint="eastAsia" w:ascii="宋体" w:hAnsi="宋体" w:cs="宋体"/>
                <w:color w:val="auto"/>
                <w:sz w:val="24"/>
                <w:highlight w:val="none"/>
              </w:rPr>
              <w:t>2</w:t>
            </w:r>
          </w:p>
        </w:tc>
        <w:tc>
          <w:tcPr>
            <w:tcW w:w="1742" w:type="dxa"/>
            <w:vAlign w:val="center"/>
          </w:tcPr>
          <w:p w14:paraId="558CBB5E">
            <w:pPr>
              <w:shd w:val="clear" w:color="auto" w:fill="FFFFFF"/>
              <w:tabs>
                <w:tab w:val="left" w:pos="1080"/>
              </w:tabs>
              <w:snapToGrid w:val="0"/>
              <w:jc w:val="left"/>
              <w:rPr>
                <w:rFonts w:ascii="宋体" w:hAnsi="宋体" w:cs="宋体"/>
                <w:color w:val="auto"/>
                <w:sz w:val="24"/>
                <w:highlight w:val="none"/>
              </w:rPr>
            </w:pPr>
            <w:r>
              <w:rPr>
                <w:rFonts w:hint="eastAsia" w:ascii="宋体" w:hAnsi="宋体" w:cs="宋体"/>
                <w:color w:val="auto"/>
                <w:sz w:val="24"/>
                <w:highlight w:val="none"/>
              </w:rPr>
              <w:t>落实政府采购政策需满足的资格要求</w:t>
            </w:r>
          </w:p>
        </w:tc>
        <w:tc>
          <w:tcPr>
            <w:tcW w:w="4792" w:type="dxa"/>
            <w:vAlign w:val="center"/>
          </w:tcPr>
          <w:p w14:paraId="12FCD8EC">
            <w:pPr>
              <w:shd w:val="clear" w:color="auto" w:fill="FFFFFF"/>
              <w:tabs>
                <w:tab w:val="left" w:pos="1080"/>
              </w:tabs>
              <w:snapToGrid w:val="0"/>
              <w:jc w:val="left"/>
              <w:rPr>
                <w:rFonts w:ascii="宋体" w:hAnsi="宋体" w:cs="宋体"/>
                <w:color w:val="auto"/>
                <w:sz w:val="24"/>
                <w:highlight w:val="none"/>
              </w:rPr>
            </w:pPr>
            <w:r>
              <w:rPr>
                <w:rFonts w:hint="eastAsia" w:ascii="宋体" w:hAnsi="宋体" w:cs="宋体"/>
                <w:color w:val="auto"/>
                <w:sz w:val="24"/>
                <w:highlight w:val="none"/>
              </w:rPr>
              <w:t>具体要求见第一章《采购邀请》</w:t>
            </w:r>
          </w:p>
        </w:tc>
        <w:tc>
          <w:tcPr>
            <w:tcW w:w="1909" w:type="dxa"/>
            <w:vAlign w:val="center"/>
          </w:tcPr>
          <w:p w14:paraId="091A8C10">
            <w:pPr>
              <w:shd w:val="clear" w:color="auto" w:fill="FFFFFF"/>
              <w:tabs>
                <w:tab w:val="left" w:pos="1080"/>
              </w:tabs>
              <w:snapToGrid w:val="0"/>
              <w:jc w:val="left"/>
              <w:rPr>
                <w:rFonts w:ascii="宋体" w:hAnsi="宋体" w:cs="宋体"/>
                <w:color w:val="auto"/>
                <w:sz w:val="24"/>
                <w:highlight w:val="none"/>
              </w:rPr>
            </w:pPr>
          </w:p>
        </w:tc>
      </w:tr>
      <w:tr w14:paraId="3508D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5EB4DE1E">
            <w:pPr>
              <w:shd w:val="clear" w:color="auto" w:fill="FFFFFF"/>
              <w:tabs>
                <w:tab w:val="left" w:pos="1080"/>
              </w:tabs>
              <w:snapToGrid w:val="0"/>
              <w:jc w:val="center"/>
              <w:rPr>
                <w:rFonts w:ascii="宋体" w:hAnsi="宋体" w:cs="宋体"/>
                <w:color w:val="auto"/>
                <w:sz w:val="24"/>
                <w:highlight w:val="none"/>
              </w:rPr>
            </w:pPr>
            <w:r>
              <w:rPr>
                <w:rFonts w:hint="eastAsia" w:ascii="宋体" w:hAnsi="宋体" w:cs="宋体"/>
                <w:color w:val="auto"/>
                <w:sz w:val="24"/>
                <w:highlight w:val="none"/>
              </w:rPr>
              <w:t>2-1</w:t>
            </w:r>
          </w:p>
        </w:tc>
        <w:tc>
          <w:tcPr>
            <w:tcW w:w="1742" w:type="dxa"/>
            <w:vAlign w:val="center"/>
          </w:tcPr>
          <w:p w14:paraId="5BBA015C">
            <w:pPr>
              <w:shd w:val="clear" w:color="auto" w:fill="FFFFFF"/>
              <w:tabs>
                <w:tab w:val="left" w:pos="1080"/>
              </w:tabs>
              <w:snapToGrid w:val="0"/>
              <w:rPr>
                <w:rFonts w:ascii="宋体" w:hAnsi="宋体" w:cs="宋体"/>
                <w:color w:val="auto"/>
                <w:sz w:val="24"/>
                <w:highlight w:val="none"/>
                <w:lang w:eastAsia="en-US"/>
              </w:rPr>
            </w:pPr>
            <w:r>
              <w:rPr>
                <w:rFonts w:hint="eastAsia" w:ascii="宋体" w:hAnsi="宋体" w:cs="宋体"/>
                <w:color w:val="auto"/>
                <w:sz w:val="24"/>
                <w:highlight w:val="none"/>
              </w:rPr>
              <w:t>中小企业政策</w:t>
            </w:r>
          </w:p>
        </w:tc>
        <w:tc>
          <w:tcPr>
            <w:tcW w:w="4792" w:type="dxa"/>
            <w:vAlign w:val="center"/>
          </w:tcPr>
          <w:p w14:paraId="09D305CF">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具体要求见第一章《采购邀请》</w:t>
            </w:r>
          </w:p>
        </w:tc>
        <w:tc>
          <w:tcPr>
            <w:tcW w:w="1909" w:type="dxa"/>
            <w:vAlign w:val="center"/>
          </w:tcPr>
          <w:p w14:paraId="7F929270">
            <w:pPr>
              <w:shd w:val="clear" w:color="auto" w:fill="FFFFFF"/>
              <w:tabs>
                <w:tab w:val="left" w:pos="1080"/>
              </w:tabs>
              <w:snapToGrid w:val="0"/>
              <w:rPr>
                <w:rFonts w:ascii="宋体" w:hAnsi="宋体" w:cs="宋体"/>
                <w:color w:val="auto"/>
                <w:sz w:val="24"/>
                <w:highlight w:val="none"/>
              </w:rPr>
            </w:pPr>
          </w:p>
        </w:tc>
      </w:tr>
      <w:tr w14:paraId="34F98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2EC8C3FD">
            <w:pPr>
              <w:shd w:val="clear" w:color="auto" w:fill="FFFFFF"/>
              <w:tabs>
                <w:tab w:val="left" w:pos="1080"/>
              </w:tabs>
              <w:snapToGrid w:val="0"/>
              <w:jc w:val="center"/>
              <w:rPr>
                <w:rFonts w:ascii="宋体" w:hAnsi="宋体" w:cs="宋体"/>
                <w:color w:val="auto"/>
                <w:sz w:val="24"/>
                <w:highlight w:val="none"/>
              </w:rPr>
            </w:pPr>
            <w:r>
              <w:rPr>
                <w:rFonts w:hint="eastAsia" w:ascii="宋体" w:hAnsi="宋体" w:cs="宋体"/>
                <w:color w:val="auto"/>
                <w:sz w:val="24"/>
                <w:highlight w:val="none"/>
              </w:rPr>
              <w:t>2-1-1</w:t>
            </w:r>
          </w:p>
        </w:tc>
        <w:tc>
          <w:tcPr>
            <w:tcW w:w="1742" w:type="dxa"/>
            <w:vAlign w:val="center"/>
          </w:tcPr>
          <w:p w14:paraId="67139B92">
            <w:pPr>
              <w:shd w:val="clear" w:color="auto" w:fill="FFFFFF"/>
              <w:tabs>
                <w:tab w:val="left" w:pos="1080"/>
              </w:tabs>
              <w:snapToGrid w:val="0"/>
              <w:jc w:val="left"/>
              <w:rPr>
                <w:rFonts w:ascii="宋体" w:hAnsi="宋体" w:cs="宋体"/>
                <w:color w:val="auto"/>
                <w:sz w:val="24"/>
                <w:highlight w:val="none"/>
              </w:rPr>
            </w:pPr>
            <w:r>
              <w:rPr>
                <w:rFonts w:hint="eastAsia" w:ascii="宋体" w:hAnsi="宋体" w:cs="宋体"/>
                <w:color w:val="auto"/>
                <w:sz w:val="24"/>
                <w:highlight w:val="none"/>
              </w:rPr>
              <w:t>中小企业声明函</w:t>
            </w:r>
          </w:p>
        </w:tc>
        <w:tc>
          <w:tcPr>
            <w:tcW w:w="4792" w:type="dxa"/>
            <w:vAlign w:val="center"/>
          </w:tcPr>
          <w:p w14:paraId="764427FF">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当本项目（包）涉及预留份额专门面向中小企业采购，提供如下资料：</w:t>
            </w:r>
          </w:p>
          <w:p w14:paraId="2FBF5A6C">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1、供应商单独响应的，应提供《中小企业声明函》或《残疾人福利性单位声明函》或由省级以上监狱管理局、戒毒管理局（含新疆生产建设兵团）出具的属于监狱企业的证明文件。</w:t>
            </w:r>
          </w:p>
          <w:p w14:paraId="5AFCB394">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2、如磋商文件要求以联合体形式参加或者要求合同分包的，且供应商为联合体或拟进行合同分包的，则联合体中的中小企业、签订分包意向协议的中小企业具体情况须在</w:t>
            </w:r>
          </w:p>
          <w:p w14:paraId="2B822682">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《中小企业声明函》或《残疾人福利性单位声明函》或由省级以上监狱管理局、戒毒管理局（含新疆生产建设兵团）出具的属于监狱企业的证明文件中如实填报，且满足采购</w:t>
            </w:r>
          </w:p>
          <w:p w14:paraId="3B0C18BA">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文件关于预留份额的要求。</w:t>
            </w:r>
          </w:p>
        </w:tc>
        <w:tc>
          <w:tcPr>
            <w:tcW w:w="1909" w:type="dxa"/>
            <w:vAlign w:val="center"/>
          </w:tcPr>
          <w:p w14:paraId="5A1D66B1">
            <w:pPr>
              <w:shd w:val="clear" w:color="auto" w:fill="FFFFFF"/>
              <w:tabs>
                <w:tab w:val="left" w:pos="1080"/>
              </w:tabs>
              <w:snapToGrid w:val="0"/>
              <w:jc w:val="left"/>
              <w:rPr>
                <w:rFonts w:ascii="宋体" w:hAnsi="宋体" w:cs="宋体"/>
                <w:color w:val="auto"/>
                <w:sz w:val="24"/>
                <w:highlight w:val="none"/>
              </w:rPr>
            </w:pPr>
            <w:r>
              <w:rPr>
                <w:rFonts w:hint="eastAsia" w:ascii="宋体" w:hAnsi="宋体" w:cs="宋体"/>
                <w:color w:val="auto"/>
                <w:sz w:val="24"/>
                <w:highlight w:val="none"/>
              </w:rPr>
              <w:t>格式见《响应文件格式》</w:t>
            </w:r>
          </w:p>
        </w:tc>
      </w:tr>
      <w:tr w14:paraId="2F512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64AEF6F3">
            <w:pPr>
              <w:shd w:val="clear" w:color="auto" w:fill="FFFFFF"/>
              <w:tabs>
                <w:tab w:val="left" w:pos="1080"/>
              </w:tabs>
              <w:snapToGrid w:val="0"/>
              <w:jc w:val="center"/>
              <w:rPr>
                <w:rFonts w:ascii="宋体" w:hAnsi="宋体" w:cs="宋体"/>
                <w:color w:val="auto"/>
                <w:sz w:val="24"/>
                <w:highlight w:val="none"/>
              </w:rPr>
            </w:pPr>
            <w:r>
              <w:rPr>
                <w:rFonts w:hint="eastAsia" w:ascii="宋体" w:hAnsi="宋体" w:cs="宋体"/>
                <w:color w:val="auto"/>
                <w:sz w:val="24"/>
                <w:highlight w:val="none"/>
              </w:rPr>
              <w:t>2-1-2</w:t>
            </w:r>
          </w:p>
        </w:tc>
        <w:tc>
          <w:tcPr>
            <w:tcW w:w="1742" w:type="dxa"/>
            <w:vAlign w:val="center"/>
          </w:tcPr>
          <w:p w14:paraId="2744ADA8">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拟分包情况说</w:t>
            </w:r>
          </w:p>
          <w:p w14:paraId="10C6D6A8">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明及分包意向协议</w:t>
            </w:r>
          </w:p>
        </w:tc>
        <w:tc>
          <w:tcPr>
            <w:tcW w:w="4792" w:type="dxa"/>
            <w:vAlign w:val="center"/>
          </w:tcPr>
          <w:p w14:paraId="3725AF97">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如本项目（包）要求通过分包措施预留部分</w:t>
            </w:r>
          </w:p>
          <w:p w14:paraId="3BCE156A">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采购份额面向中小企业采购、且供应商因落实政府采购政策拟进行分包的，必须提供； 否则无须提供。</w:t>
            </w:r>
          </w:p>
          <w:p w14:paraId="6C184A03">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对于预留份额专门面向中小企业采购的项目</w:t>
            </w:r>
          </w:p>
          <w:p w14:paraId="7ADC525E">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（包），组成联合体或者接受分包合同的中小企业与联合体内其他企业、分包企业之间不得存在直接控股、管理关系。</w:t>
            </w:r>
          </w:p>
        </w:tc>
        <w:tc>
          <w:tcPr>
            <w:tcW w:w="1909" w:type="dxa"/>
            <w:vAlign w:val="center"/>
          </w:tcPr>
          <w:p w14:paraId="7150D4F5">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格式见《响应文</w:t>
            </w:r>
          </w:p>
          <w:p w14:paraId="4506C21A">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件格式》</w:t>
            </w:r>
          </w:p>
        </w:tc>
      </w:tr>
      <w:tr w14:paraId="2379C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572F984C">
            <w:pPr>
              <w:shd w:val="clear" w:color="auto" w:fill="FFFFFF"/>
              <w:tabs>
                <w:tab w:val="left" w:pos="1080"/>
              </w:tabs>
              <w:snapToGrid w:val="0"/>
              <w:jc w:val="center"/>
              <w:rPr>
                <w:rFonts w:ascii="宋体" w:hAnsi="宋体" w:cs="宋体"/>
                <w:color w:val="auto"/>
                <w:sz w:val="24"/>
                <w:highlight w:val="none"/>
              </w:rPr>
            </w:pPr>
            <w:r>
              <w:rPr>
                <w:rFonts w:hint="eastAsia" w:ascii="宋体" w:hAnsi="宋体" w:cs="宋体"/>
                <w:color w:val="auto"/>
                <w:sz w:val="24"/>
                <w:highlight w:val="none"/>
              </w:rPr>
              <w:t>2-2</w:t>
            </w:r>
          </w:p>
        </w:tc>
        <w:tc>
          <w:tcPr>
            <w:tcW w:w="1742" w:type="dxa"/>
            <w:vAlign w:val="center"/>
          </w:tcPr>
          <w:p w14:paraId="57F2882E">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其它落实政府采购政策的资</w:t>
            </w:r>
          </w:p>
          <w:p w14:paraId="0E5F2E1F">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格要求</w:t>
            </w:r>
          </w:p>
        </w:tc>
        <w:tc>
          <w:tcPr>
            <w:tcW w:w="4792" w:type="dxa"/>
            <w:vAlign w:val="center"/>
          </w:tcPr>
          <w:p w14:paraId="747913D4">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如有，见第一章《采购邀请》</w:t>
            </w:r>
          </w:p>
        </w:tc>
        <w:tc>
          <w:tcPr>
            <w:tcW w:w="1909" w:type="dxa"/>
            <w:vAlign w:val="center"/>
          </w:tcPr>
          <w:p w14:paraId="63FAB189">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提供证明文件的电子件或电子证照</w:t>
            </w:r>
          </w:p>
        </w:tc>
      </w:tr>
      <w:tr w14:paraId="67E12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12203AD3">
            <w:pPr>
              <w:shd w:val="clear" w:color="auto" w:fill="FFFFFF"/>
              <w:tabs>
                <w:tab w:val="left" w:pos="1080"/>
              </w:tabs>
              <w:snapToGrid w:val="0"/>
              <w:jc w:val="center"/>
              <w:rPr>
                <w:rFonts w:ascii="宋体" w:hAnsi="宋体" w:cs="宋体"/>
                <w:color w:val="auto"/>
                <w:sz w:val="24"/>
                <w:highlight w:val="none"/>
              </w:rPr>
            </w:pPr>
            <w:r>
              <w:rPr>
                <w:rFonts w:hint="eastAsia" w:ascii="宋体" w:hAnsi="宋体" w:cs="宋体"/>
                <w:color w:val="auto"/>
                <w:sz w:val="24"/>
                <w:highlight w:val="none"/>
              </w:rPr>
              <w:t>3</w:t>
            </w:r>
          </w:p>
        </w:tc>
        <w:tc>
          <w:tcPr>
            <w:tcW w:w="1742" w:type="dxa"/>
            <w:vAlign w:val="center"/>
          </w:tcPr>
          <w:p w14:paraId="797D6ADE">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本项目的特定资格要求</w:t>
            </w:r>
          </w:p>
        </w:tc>
        <w:tc>
          <w:tcPr>
            <w:tcW w:w="4792" w:type="dxa"/>
            <w:vAlign w:val="center"/>
          </w:tcPr>
          <w:p w14:paraId="5B79CC05">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如有，见第一章《采购邀请》</w:t>
            </w:r>
          </w:p>
        </w:tc>
        <w:tc>
          <w:tcPr>
            <w:tcW w:w="1909" w:type="dxa"/>
            <w:vAlign w:val="center"/>
          </w:tcPr>
          <w:p w14:paraId="6A94C1F1">
            <w:pPr>
              <w:shd w:val="clear" w:color="auto" w:fill="FFFFFF"/>
              <w:tabs>
                <w:tab w:val="left" w:pos="1080"/>
              </w:tabs>
              <w:snapToGrid w:val="0"/>
              <w:rPr>
                <w:rFonts w:ascii="宋体" w:hAnsi="宋体" w:cs="宋体"/>
                <w:color w:val="auto"/>
                <w:sz w:val="24"/>
                <w:highlight w:val="none"/>
              </w:rPr>
            </w:pPr>
          </w:p>
        </w:tc>
      </w:tr>
      <w:tr w14:paraId="6CD45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44280BD9">
            <w:pPr>
              <w:shd w:val="clear" w:color="auto" w:fill="FFFFFF"/>
              <w:tabs>
                <w:tab w:val="left" w:pos="1080"/>
              </w:tabs>
              <w:snapToGrid w:val="0"/>
              <w:jc w:val="center"/>
              <w:rPr>
                <w:rFonts w:ascii="宋体" w:hAnsi="宋体" w:cs="宋体"/>
                <w:color w:val="auto"/>
                <w:sz w:val="24"/>
                <w:highlight w:val="none"/>
                <w:lang w:eastAsia="en-US"/>
              </w:rPr>
            </w:pPr>
            <w:r>
              <w:rPr>
                <w:rFonts w:hint="eastAsia" w:ascii="宋体" w:hAnsi="宋体" w:cs="宋体"/>
                <w:color w:val="auto"/>
                <w:sz w:val="24"/>
                <w:highlight w:val="none"/>
              </w:rPr>
              <w:t>3-1</w:t>
            </w:r>
          </w:p>
        </w:tc>
        <w:tc>
          <w:tcPr>
            <w:tcW w:w="1742" w:type="dxa"/>
            <w:vAlign w:val="center"/>
          </w:tcPr>
          <w:p w14:paraId="4F5B6922">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本项目对于联合体的要求</w:t>
            </w:r>
          </w:p>
        </w:tc>
        <w:tc>
          <w:tcPr>
            <w:tcW w:w="4792" w:type="dxa"/>
            <w:vAlign w:val="center"/>
          </w:tcPr>
          <w:p w14:paraId="00DD2D60">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40225E31">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2、联合体各成员单位均须提供本表中序号1-1、1-2 的证明文件。联合体各成员单位均应满足本表3-2 项规定。</w:t>
            </w:r>
          </w:p>
          <w:p w14:paraId="01845EFD">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3、本表序号3-3 项规定的其他特定资格要求中的每一小项要求，联合体各方中至少应当有一方符合本表中其他资格要求并提供证明文件。</w:t>
            </w:r>
          </w:p>
          <w:p w14:paraId="4E3CBF0A">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4、联合体中有同类资质的供应商按照联合体分工承担相同工作的，应当按照资质等级较低的供应商确定资质等级。</w:t>
            </w:r>
          </w:p>
          <w:p w14:paraId="0B79C624">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5、以联合体形式参加政府采购活动的，联合体各方不得再单独参加或者与其他供应商另外组成联合体参加同一合同项下的政府采购活动。</w:t>
            </w:r>
          </w:p>
          <w:p w14:paraId="59B31A69">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6、若联合体中任一成员单位中途退出，则该联合体的响应无效。</w:t>
            </w:r>
          </w:p>
          <w:p w14:paraId="470904FC">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7、本项目不接受联合体响应时，供应商不得为联合体。</w:t>
            </w:r>
          </w:p>
        </w:tc>
        <w:tc>
          <w:tcPr>
            <w:tcW w:w="1909" w:type="dxa"/>
            <w:vAlign w:val="center"/>
          </w:tcPr>
          <w:p w14:paraId="40112564">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提供《联合协议》原件的电子件格式见《响应文件格式》</w:t>
            </w:r>
          </w:p>
        </w:tc>
      </w:tr>
      <w:tr w14:paraId="358D8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285EBB6A">
            <w:pPr>
              <w:shd w:val="clear" w:color="auto" w:fill="FFFFFF"/>
              <w:tabs>
                <w:tab w:val="left" w:pos="1080"/>
              </w:tabs>
              <w:snapToGrid w:val="0"/>
              <w:jc w:val="center"/>
              <w:rPr>
                <w:rFonts w:ascii="宋体" w:hAnsi="宋体" w:cs="宋体"/>
                <w:color w:val="auto"/>
                <w:sz w:val="24"/>
                <w:highlight w:val="none"/>
                <w:lang w:eastAsia="en-US"/>
              </w:rPr>
            </w:pPr>
            <w:r>
              <w:rPr>
                <w:rFonts w:hint="eastAsia" w:ascii="宋体" w:hAnsi="宋体" w:cs="宋体"/>
                <w:color w:val="auto"/>
                <w:sz w:val="24"/>
                <w:highlight w:val="none"/>
              </w:rPr>
              <w:t>3-2</w:t>
            </w:r>
          </w:p>
        </w:tc>
        <w:tc>
          <w:tcPr>
            <w:tcW w:w="1742" w:type="dxa"/>
            <w:vAlign w:val="center"/>
          </w:tcPr>
          <w:p w14:paraId="554890AC">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政府购买服务</w:t>
            </w:r>
          </w:p>
          <w:p w14:paraId="5BE2F50B">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承接主体的要求</w:t>
            </w:r>
          </w:p>
        </w:tc>
        <w:tc>
          <w:tcPr>
            <w:tcW w:w="4792" w:type="dxa"/>
            <w:vAlign w:val="center"/>
          </w:tcPr>
          <w:p w14:paraId="2CDF89AE">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如本项目属于政府购买服务，供应商不属于公益一类事业单位、使用事业编制且由财政拨款保障的群团组织。</w:t>
            </w:r>
          </w:p>
        </w:tc>
        <w:tc>
          <w:tcPr>
            <w:tcW w:w="1909" w:type="dxa"/>
            <w:vAlign w:val="center"/>
          </w:tcPr>
          <w:p w14:paraId="16B19428">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格式见《响应文件格式》“ 1-2供应商资格声明书”</w:t>
            </w:r>
          </w:p>
        </w:tc>
      </w:tr>
      <w:tr w14:paraId="4B417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10C0E7B6">
            <w:pPr>
              <w:shd w:val="clear" w:color="auto" w:fill="FFFFFF"/>
              <w:tabs>
                <w:tab w:val="left" w:pos="1080"/>
              </w:tabs>
              <w:snapToGrid w:val="0"/>
              <w:jc w:val="center"/>
              <w:rPr>
                <w:rFonts w:ascii="宋体" w:hAnsi="宋体" w:cs="宋体"/>
                <w:color w:val="auto"/>
                <w:sz w:val="24"/>
                <w:highlight w:val="none"/>
                <w:lang w:eastAsia="en-US"/>
              </w:rPr>
            </w:pPr>
            <w:r>
              <w:rPr>
                <w:rFonts w:hint="eastAsia" w:ascii="宋体" w:hAnsi="宋体" w:cs="宋体"/>
                <w:color w:val="auto"/>
                <w:sz w:val="24"/>
                <w:highlight w:val="none"/>
              </w:rPr>
              <w:t>3-3</w:t>
            </w:r>
          </w:p>
        </w:tc>
        <w:tc>
          <w:tcPr>
            <w:tcW w:w="1742" w:type="dxa"/>
            <w:vAlign w:val="center"/>
          </w:tcPr>
          <w:p w14:paraId="5385DCF3">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其他特定资格要求</w:t>
            </w:r>
          </w:p>
        </w:tc>
        <w:tc>
          <w:tcPr>
            <w:tcW w:w="4792" w:type="dxa"/>
            <w:vAlign w:val="center"/>
          </w:tcPr>
          <w:p w14:paraId="517A3A15">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如有，见第一章《采购邀请》注：如联合体中有同类资质的供应商按照联合体分工承担相同工作的，均应当提供资质证书电子件或电子证照。</w:t>
            </w:r>
          </w:p>
        </w:tc>
        <w:tc>
          <w:tcPr>
            <w:tcW w:w="1909" w:type="dxa"/>
            <w:vAlign w:val="center"/>
          </w:tcPr>
          <w:p w14:paraId="59130F5E">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提供证明文件的电子件或电子证照</w:t>
            </w:r>
          </w:p>
        </w:tc>
      </w:tr>
      <w:tr w14:paraId="19F43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2A874728">
            <w:pPr>
              <w:shd w:val="clear" w:color="auto" w:fill="FFFFFF"/>
              <w:tabs>
                <w:tab w:val="left" w:pos="1080"/>
              </w:tabs>
              <w:snapToGrid w:val="0"/>
              <w:jc w:val="center"/>
              <w:rPr>
                <w:rFonts w:ascii="宋体" w:hAnsi="宋体" w:cs="宋体"/>
                <w:color w:val="auto"/>
                <w:sz w:val="24"/>
                <w:highlight w:val="none"/>
                <w:lang w:eastAsia="en-US"/>
              </w:rPr>
            </w:pPr>
            <w:r>
              <w:rPr>
                <w:rFonts w:hint="eastAsia" w:ascii="宋体" w:hAnsi="宋体" w:cs="宋体"/>
                <w:color w:val="auto"/>
                <w:sz w:val="24"/>
                <w:highlight w:val="none"/>
              </w:rPr>
              <w:t>4</w:t>
            </w:r>
          </w:p>
        </w:tc>
        <w:tc>
          <w:tcPr>
            <w:tcW w:w="1742" w:type="dxa"/>
            <w:vAlign w:val="center"/>
          </w:tcPr>
          <w:p w14:paraId="22C18D45">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磋商保证金</w:t>
            </w:r>
          </w:p>
        </w:tc>
        <w:tc>
          <w:tcPr>
            <w:tcW w:w="4792" w:type="dxa"/>
            <w:vAlign w:val="center"/>
          </w:tcPr>
          <w:p w14:paraId="76554B55">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按照竞争性磋商文件的要求提交磋商保证金。</w:t>
            </w:r>
          </w:p>
        </w:tc>
        <w:tc>
          <w:tcPr>
            <w:tcW w:w="1909" w:type="dxa"/>
            <w:vAlign w:val="center"/>
          </w:tcPr>
          <w:p w14:paraId="4137EFB8">
            <w:pPr>
              <w:shd w:val="clear" w:color="auto" w:fill="FFFFFF"/>
              <w:tabs>
                <w:tab w:val="left" w:pos="1080"/>
              </w:tabs>
              <w:snapToGrid w:val="0"/>
              <w:rPr>
                <w:rFonts w:ascii="宋体" w:hAnsi="宋体" w:cs="宋体"/>
                <w:color w:val="auto"/>
                <w:sz w:val="24"/>
                <w:highlight w:val="none"/>
              </w:rPr>
            </w:pPr>
          </w:p>
        </w:tc>
      </w:tr>
      <w:tr w14:paraId="69D9C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trPr>
        <w:tc>
          <w:tcPr>
            <w:tcW w:w="844" w:type="dxa"/>
            <w:vAlign w:val="center"/>
          </w:tcPr>
          <w:p w14:paraId="49337A25">
            <w:pPr>
              <w:shd w:val="clear" w:color="auto" w:fill="FFFFFF"/>
              <w:tabs>
                <w:tab w:val="left" w:pos="1080"/>
              </w:tabs>
              <w:snapToGrid w:val="0"/>
              <w:jc w:val="center"/>
              <w:rPr>
                <w:rFonts w:ascii="宋体" w:hAnsi="宋体" w:cs="宋体"/>
                <w:color w:val="auto"/>
                <w:sz w:val="24"/>
                <w:highlight w:val="none"/>
              </w:rPr>
            </w:pPr>
            <w:r>
              <w:rPr>
                <w:rFonts w:hint="eastAsia" w:ascii="宋体" w:hAnsi="宋体" w:cs="宋体"/>
                <w:color w:val="auto"/>
                <w:sz w:val="24"/>
                <w:highlight w:val="none"/>
              </w:rPr>
              <w:t>5</w:t>
            </w:r>
          </w:p>
        </w:tc>
        <w:tc>
          <w:tcPr>
            <w:tcW w:w="1742" w:type="dxa"/>
            <w:vAlign w:val="center"/>
          </w:tcPr>
          <w:p w14:paraId="56E1B256">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获取磋商文件</w:t>
            </w:r>
          </w:p>
        </w:tc>
        <w:tc>
          <w:tcPr>
            <w:tcW w:w="4792" w:type="dxa"/>
            <w:vAlign w:val="center"/>
          </w:tcPr>
          <w:p w14:paraId="2B835F5D">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在规定期限内通过采购文件第一章《采购邀请》规定的方式获取所参与包的磋商文件。</w:t>
            </w:r>
          </w:p>
          <w:p w14:paraId="69EE4F9E">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注：如本项目接受联合体，且供应商为联合</w:t>
            </w:r>
          </w:p>
          <w:p w14:paraId="7671629F">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体时，联合体中任一成员获取文件即视为满</w:t>
            </w:r>
          </w:p>
          <w:p w14:paraId="76E1621F">
            <w:pPr>
              <w:shd w:val="clear" w:color="auto" w:fill="FFFFFF"/>
              <w:tabs>
                <w:tab w:val="left" w:pos="1080"/>
              </w:tabs>
              <w:snapToGrid w:val="0"/>
              <w:rPr>
                <w:rFonts w:ascii="宋体" w:hAnsi="宋体" w:cs="宋体"/>
                <w:color w:val="auto"/>
                <w:sz w:val="24"/>
                <w:highlight w:val="none"/>
              </w:rPr>
            </w:pPr>
            <w:r>
              <w:rPr>
                <w:rFonts w:hint="eastAsia" w:ascii="宋体" w:hAnsi="宋体" w:cs="宋体"/>
                <w:color w:val="auto"/>
                <w:sz w:val="24"/>
                <w:highlight w:val="none"/>
              </w:rPr>
              <w:t>足要求。</w:t>
            </w:r>
          </w:p>
        </w:tc>
        <w:tc>
          <w:tcPr>
            <w:tcW w:w="1909" w:type="dxa"/>
            <w:vAlign w:val="center"/>
          </w:tcPr>
          <w:p w14:paraId="3F7E42E9">
            <w:pPr>
              <w:shd w:val="clear" w:color="auto" w:fill="FFFFFF"/>
              <w:tabs>
                <w:tab w:val="left" w:pos="1080"/>
              </w:tabs>
              <w:snapToGrid w:val="0"/>
              <w:rPr>
                <w:rFonts w:ascii="宋体" w:hAnsi="宋体" w:cs="宋体"/>
                <w:color w:val="auto"/>
                <w:sz w:val="24"/>
                <w:highlight w:val="none"/>
              </w:rPr>
            </w:pPr>
          </w:p>
        </w:tc>
      </w:tr>
    </w:tbl>
    <w:p w14:paraId="62422326">
      <w:pPr>
        <w:widowControl/>
        <w:shd w:val="clear" w:color="auto" w:fill="FFFFFF"/>
        <w:jc w:val="left"/>
        <w:rPr>
          <w:rFonts w:ascii="宋体" w:hAnsi="宋体" w:cs="宋体"/>
          <w:color w:val="auto"/>
          <w:sz w:val="24"/>
          <w:highlight w:val="none"/>
        </w:rPr>
      </w:pPr>
    </w:p>
    <w:p w14:paraId="1E4B4425">
      <w:pPr>
        <w:numPr>
          <w:ilvl w:val="1"/>
          <w:numId w:val="21"/>
        </w:numPr>
        <w:shd w:val="clear" w:color="auto" w:fill="FFFFFF"/>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《符合性审查要求》见下表：</w:t>
      </w:r>
    </w:p>
    <w:p w14:paraId="48820307">
      <w:pPr>
        <w:widowControl/>
        <w:shd w:val="clear" w:color="auto" w:fill="FFFFFF"/>
        <w:spacing w:line="36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符合性审查要求</w:t>
      </w:r>
    </w:p>
    <w:tbl>
      <w:tblPr>
        <w:tblStyle w:val="83"/>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1842"/>
        <w:gridCol w:w="4533"/>
        <w:gridCol w:w="2031"/>
      </w:tblGrid>
      <w:tr w14:paraId="00AA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3EBAF73D">
            <w:pPr>
              <w:widowControl/>
              <w:shd w:val="clear" w:color="auto" w:fill="FFFFFF"/>
              <w:jc w:val="center"/>
              <w:rPr>
                <w:rFonts w:ascii="宋体" w:hAnsi="宋体" w:cs="宋体"/>
                <w:b/>
                <w:color w:val="auto"/>
                <w:kern w:val="0"/>
                <w:sz w:val="24"/>
                <w:highlight w:val="none"/>
              </w:rPr>
            </w:pPr>
            <w:r>
              <w:rPr>
                <w:rFonts w:hint="eastAsia" w:ascii="宋体" w:hAnsi="宋体" w:cs="宋体"/>
                <w:b/>
                <w:color w:val="auto"/>
                <w:kern w:val="0"/>
                <w:sz w:val="24"/>
                <w:highlight w:val="none"/>
              </w:rPr>
              <w:t>序号</w:t>
            </w:r>
          </w:p>
        </w:tc>
        <w:tc>
          <w:tcPr>
            <w:tcW w:w="1842" w:type="dxa"/>
            <w:shd w:val="clear" w:color="000000" w:fill="FFFFFF"/>
            <w:vAlign w:val="center"/>
          </w:tcPr>
          <w:p w14:paraId="25ABB4E1">
            <w:pPr>
              <w:widowControl/>
              <w:shd w:val="clear" w:color="auto" w:fill="FFFFFF"/>
              <w:jc w:val="center"/>
              <w:rPr>
                <w:rFonts w:ascii="宋体" w:hAnsi="宋体" w:cs="宋体"/>
                <w:b/>
                <w:color w:val="auto"/>
                <w:kern w:val="0"/>
                <w:sz w:val="24"/>
                <w:highlight w:val="none"/>
              </w:rPr>
            </w:pPr>
            <w:r>
              <w:rPr>
                <w:rFonts w:hint="eastAsia" w:ascii="宋体" w:hAnsi="宋体" w:cs="宋体"/>
                <w:b/>
                <w:color w:val="auto"/>
                <w:sz w:val="24"/>
                <w:highlight w:val="none"/>
              </w:rPr>
              <w:t>检查</w:t>
            </w:r>
            <w:r>
              <w:rPr>
                <w:rFonts w:hint="eastAsia" w:ascii="宋体" w:hAnsi="宋体" w:cs="宋体"/>
                <w:b/>
                <w:color w:val="auto"/>
                <w:kern w:val="0"/>
                <w:sz w:val="24"/>
                <w:highlight w:val="none"/>
              </w:rPr>
              <w:t>因素</w:t>
            </w:r>
          </w:p>
        </w:tc>
        <w:tc>
          <w:tcPr>
            <w:tcW w:w="4533" w:type="dxa"/>
            <w:shd w:val="clear" w:color="000000" w:fill="FFFFFF"/>
            <w:vAlign w:val="center"/>
          </w:tcPr>
          <w:p w14:paraId="4746EDC9">
            <w:pPr>
              <w:widowControl/>
              <w:shd w:val="clear" w:color="auto" w:fill="FFFFFF"/>
              <w:jc w:val="center"/>
              <w:rPr>
                <w:rFonts w:ascii="宋体" w:hAnsi="宋体" w:cs="宋体"/>
                <w:b/>
                <w:color w:val="auto"/>
                <w:kern w:val="0"/>
                <w:sz w:val="24"/>
                <w:highlight w:val="none"/>
              </w:rPr>
            </w:pPr>
            <w:r>
              <w:rPr>
                <w:rFonts w:hint="eastAsia" w:ascii="宋体" w:hAnsi="宋体" w:cs="宋体"/>
                <w:b/>
                <w:color w:val="auto"/>
                <w:sz w:val="24"/>
                <w:highlight w:val="none"/>
              </w:rPr>
              <w:t>检查</w:t>
            </w:r>
            <w:r>
              <w:rPr>
                <w:rFonts w:hint="eastAsia" w:ascii="宋体" w:hAnsi="宋体" w:cs="宋体"/>
                <w:b/>
                <w:color w:val="auto"/>
                <w:kern w:val="0"/>
                <w:sz w:val="24"/>
                <w:highlight w:val="none"/>
              </w:rPr>
              <w:t>内容</w:t>
            </w:r>
          </w:p>
        </w:tc>
        <w:tc>
          <w:tcPr>
            <w:tcW w:w="2031" w:type="dxa"/>
            <w:shd w:val="clear" w:color="000000" w:fill="FFFFFF"/>
            <w:vAlign w:val="center"/>
          </w:tcPr>
          <w:p w14:paraId="071D0DE4">
            <w:pPr>
              <w:widowControl/>
              <w:shd w:val="clear" w:color="auto" w:fill="FFFFFF"/>
              <w:jc w:val="center"/>
              <w:rPr>
                <w:rFonts w:ascii="宋体" w:hAnsi="宋体" w:cs="宋体"/>
                <w:b/>
                <w:color w:val="auto"/>
                <w:kern w:val="0"/>
                <w:sz w:val="24"/>
                <w:highlight w:val="none"/>
              </w:rPr>
            </w:pPr>
            <w:r>
              <w:rPr>
                <w:rFonts w:hint="eastAsia" w:ascii="宋体" w:hAnsi="宋体" w:cs="宋体"/>
                <w:b/>
                <w:color w:val="auto"/>
                <w:kern w:val="0"/>
                <w:sz w:val="24"/>
                <w:highlight w:val="none"/>
              </w:rPr>
              <w:t>是否允许澄清、说明或者更正</w:t>
            </w:r>
          </w:p>
        </w:tc>
      </w:tr>
      <w:tr w14:paraId="3765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2C671268">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1842" w:type="dxa"/>
            <w:shd w:val="clear" w:color="000000" w:fill="FFFFFF"/>
            <w:vAlign w:val="center"/>
          </w:tcPr>
          <w:p w14:paraId="0939DA28">
            <w:pPr>
              <w:pStyle w:val="305"/>
              <w:spacing w:before="117"/>
              <w:ind w:left="102"/>
              <w:rPr>
                <w:color w:val="auto"/>
                <w:sz w:val="24"/>
                <w:highlight w:val="none"/>
              </w:rPr>
            </w:pPr>
            <w:r>
              <w:rPr>
                <w:rFonts w:hint="eastAsia"/>
                <w:color w:val="auto"/>
                <w:sz w:val="24"/>
                <w:szCs w:val="24"/>
                <w:highlight w:val="none"/>
              </w:rPr>
              <w:t>授权委托书</w:t>
            </w:r>
          </w:p>
        </w:tc>
        <w:tc>
          <w:tcPr>
            <w:tcW w:w="4533" w:type="dxa"/>
            <w:shd w:val="clear" w:color="000000" w:fill="FFFFFF"/>
            <w:vAlign w:val="center"/>
          </w:tcPr>
          <w:p w14:paraId="0B72DC41">
            <w:pPr>
              <w:pStyle w:val="305"/>
              <w:spacing w:before="117"/>
              <w:ind w:left="102"/>
              <w:rPr>
                <w:color w:val="auto"/>
                <w:sz w:val="24"/>
                <w:highlight w:val="none"/>
                <w:lang w:eastAsia="zh-CN"/>
              </w:rPr>
            </w:pPr>
            <w:r>
              <w:rPr>
                <w:rFonts w:hint="eastAsia"/>
                <w:color w:val="auto"/>
                <w:sz w:val="24"/>
                <w:szCs w:val="24"/>
                <w:highlight w:val="none"/>
                <w:lang w:eastAsia="zh-CN"/>
              </w:rPr>
              <w:t>按磋商文件要求提供授权委托书；</w:t>
            </w:r>
          </w:p>
        </w:tc>
        <w:tc>
          <w:tcPr>
            <w:tcW w:w="2031" w:type="dxa"/>
            <w:shd w:val="clear" w:color="000000" w:fill="FFFFFF"/>
            <w:vAlign w:val="center"/>
          </w:tcPr>
          <w:p w14:paraId="50786FC8">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否</w:t>
            </w:r>
          </w:p>
        </w:tc>
      </w:tr>
      <w:tr w14:paraId="7592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41D8D29E">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1842" w:type="dxa"/>
            <w:shd w:val="clear" w:color="000000" w:fill="FFFFFF"/>
            <w:vAlign w:val="center"/>
          </w:tcPr>
          <w:p w14:paraId="3614BFB5">
            <w:pPr>
              <w:pStyle w:val="305"/>
              <w:spacing w:before="117"/>
              <w:ind w:left="102"/>
              <w:rPr>
                <w:color w:val="auto"/>
                <w:sz w:val="24"/>
                <w:highlight w:val="none"/>
              </w:rPr>
            </w:pPr>
            <w:r>
              <w:rPr>
                <w:rFonts w:hint="eastAsia"/>
                <w:color w:val="auto"/>
                <w:sz w:val="24"/>
                <w:szCs w:val="24"/>
                <w:highlight w:val="none"/>
              </w:rPr>
              <w:t>响应文件完整性</w:t>
            </w:r>
          </w:p>
        </w:tc>
        <w:tc>
          <w:tcPr>
            <w:tcW w:w="4533" w:type="dxa"/>
            <w:shd w:val="clear" w:color="000000" w:fill="FFFFFF"/>
            <w:vAlign w:val="center"/>
          </w:tcPr>
          <w:p w14:paraId="550B4118">
            <w:pPr>
              <w:pStyle w:val="305"/>
              <w:spacing w:before="117"/>
              <w:ind w:left="102"/>
              <w:rPr>
                <w:color w:val="auto"/>
                <w:sz w:val="24"/>
                <w:highlight w:val="none"/>
                <w:lang w:eastAsia="zh-CN"/>
              </w:rPr>
            </w:pPr>
            <w:r>
              <w:rPr>
                <w:rFonts w:hint="eastAsia"/>
                <w:color w:val="auto"/>
                <w:sz w:val="24"/>
                <w:szCs w:val="24"/>
                <w:highlight w:val="none"/>
                <w:lang w:eastAsia="zh-CN"/>
              </w:rPr>
              <w:t>未将一个采购包中的内容拆开投标；</w:t>
            </w:r>
          </w:p>
        </w:tc>
        <w:tc>
          <w:tcPr>
            <w:tcW w:w="2031" w:type="dxa"/>
            <w:shd w:val="clear" w:color="000000" w:fill="FFFFFF"/>
            <w:vAlign w:val="center"/>
          </w:tcPr>
          <w:p w14:paraId="2BCD145B">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否</w:t>
            </w:r>
          </w:p>
        </w:tc>
      </w:tr>
      <w:tr w14:paraId="6145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169DD028">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1842" w:type="dxa"/>
            <w:shd w:val="clear" w:color="000000" w:fill="FFFFFF"/>
            <w:vAlign w:val="center"/>
          </w:tcPr>
          <w:p w14:paraId="3F474E72">
            <w:pPr>
              <w:pStyle w:val="305"/>
              <w:spacing w:before="117"/>
              <w:ind w:left="102"/>
              <w:rPr>
                <w:color w:val="auto"/>
                <w:sz w:val="24"/>
                <w:highlight w:val="none"/>
              </w:rPr>
            </w:pPr>
            <w:r>
              <w:rPr>
                <w:rFonts w:hint="eastAsia"/>
                <w:color w:val="auto"/>
                <w:sz w:val="24"/>
                <w:szCs w:val="24"/>
                <w:highlight w:val="none"/>
              </w:rPr>
              <w:t>响应报价</w:t>
            </w:r>
          </w:p>
        </w:tc>
        <w:tc>
          <w:tcPr>
            <w:tcW w:w="4533" w:type="dxa"/>
            <w:shd w:val="clear" w:color="000000" w:fill="FFFFFF"/>
            <w:vAlign w:val="center"/>
          </w:tcPr>
          <w:p w14:paraId="2D9942EF">
            <w:pPr>
              <w:pStyle w:val="305"/>
              <w:spacing w:before="117"/>
              <w:ind w:left="102"/>
              <w:rPr>
                <w:color w:val="auto"/>
                <w:sz w:val="24"/>
                <w:highlight w:val="none"/>
                <w:lang w:eastAsia="zh-CN"/>
              </w:rPr>
            </w:pPr>
            <w:r>
              <w:rPr>
                <w:rFonts w:hint="eastAsia"/>
                <w:color w:val="auto"/>
                <w:sz w:val="24"/>
                <w:szCs w:val="24"/>
                <w:highlight w:val="none"/>
                <w:lang w:eastAsia="zh-CN"/>
              </w:rPr>
              <w:t>响应报价未超过磋商文件中规定的项目</w:t>
            </w:r>
            <w:r>
              <w:rPr>
                <w:color w:val="auto"/>
                <w:sz w:val="24"/>
                <w:szCs w:val="24"/>
                <w:highlight w:val="none"/>
                <w:lang w:eastAsia="zh-CN"/>
              </w:rPr>
              <w:t>/</w:t>
            </w:r>
            <w:r>
              <w:rPr>
                <w:rFonts w:hint="eastAsia"/>
                <w:color w:val="auto"/>
                <w:sz w:val="24"/>
                <w:szCs w:val="24"/>
                <w:highlight w:val="none"/>
                <w:lang w:eastAsia="zh-CN"/>
              </w:rPr>
              <w:t>采购包预算金额或者项目</w:t>
            </w:r>
            <w:r>
              <w:rPr>
                <w:color w:val="auto"/>
                <w:sz w:val="24"/>
                <w:szCs w:val="24"/>
                <w:highlight w:val="none"/>
                <w:lang w:eastAsia="zh-CN"/>
              </w:rPr>
              <w:t>/</w:t>
            </w:r>
            <w:r>
              <w:rPr>
                <w:rFonts w:hint="eastAsia"/>
                <w:color w:val="auto"/>
                <w:sz w:val="24"/>
                <w:szCs w:val="24"/>
                <w:highlight w:val="none"/>
                <w:lang w:eastAsia="zh-CN"/>
              </w:rPr>
              <w:t>采购包最高限价；</w:t>
            </w:r>
          </w:p>
        </w:tc>
        <w:tc>
          <w:tcPr>
            <w:tcW w:w="2031" w:type="dxa"/>
            <w:shd w:val="clear" w:color="000000" w:fill="FFFFFF"/>
            <w:vAlign w:val="center"/>
          </w:tcPr>
          <w:p w14:paraId="6BA9844B">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否</w:t>
            </w:r>
          </w:p>
        </w:tc>
      </w:tr>
      <w:tr w14:paraId="63BD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329BA7BC">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4</w:t>
            </w:r>
          </w:p>
        </w:tc>
        <w:tc>
          <w:tcPr>
            <w:tcW w:w="1842" w:type="dxa"/>
            <w:shd w:val="clear" w:color="000000" w:fill="FFFFFF"/>
            <w:vAlign w:val="center"/>
          </w:tcPr>
          <w:p w14:paraId="187EAB12">
            <w:pPr>
              <w:pStyle w:val="305"/>
              <w:spacing w:before="117"/>
              <w:ind w:left="102"/>
              <w:rPr>
                <w:color w:val="auto"/>
                <w:sz w:val="24"/>
                <w:highlight w:val="none"/>
              </w:rPr>
            </w:pPr>
            <w:r>
              <w:rPr>
                <w:rFonts w:hint="eastAsia"/>
                <w:color w:val="auto"/>
                <w:sz w:val="24"/>
                <w:szCs w:val="24"/>
                <w:highlight w:val="none"/>
              </w:rPr>
              <w:t>响应有效期</w:t>
            </w:r>
          </w:p>
        </w:tc>
        <w:tc>
          <w:tcPr>
            <w:tcW w:w="4533" w:type="dxa"/>
            <w:shd w:val="clear" w:color="000000" w:fill="FFFFFF"/>
            <w:vAlign w:val="center"/>
          </w:tcPr>
          <w:p w14:paraId="4E7587DD">
            <w:pPr>
              <w:pStyle w:val="305"/>
              <w:spacing w:before="117"/>
              <w:ind w:left="102"/>
              <w:rPr>
                <w:color w:val="auto"/>
                <w:sz w:val="24"/>
                <w:highlight w:val="none"/>
                <w:lang w:eastAsia="zh-CN"/>
              </w:rPr>
            </w:pPr>
            <w:r>
              <w:rPr>
                <w:rFonts w:hint="eastAsia"/>
                <w:color w:val="auto"/>
                <w:sz w:val="24"/>
                <w:szCs w:val="24"/>
                <w:highlight w:val="none"/>
                <w:lang w:eastAsia="zh-CN"/>
              </w:rPr>
              <w:t>响应文件中承诺的响应有效期满足磋商文件中载明的响应有效期的；</w:t>
            </w:r>
          </w:p>
        </w:tc>
        <w:tc>
          <w:tcPr>
            <w:tcW w:w="2031" w:type="dxa"/>
            <w:shd w:val="clear" w:color="000000" w:fill="FFFFFF"/>
            <w:vAlign w:val="center"/>
          </w:tcPr>
          <w:p w14:paraId="0DE9F737">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否</w:t>
            </w:r>
          </w:p>
        </w:tc>
      </w:tr>
      <w:tr w14:paraId="463D4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7E03DC61">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5</w:t>
            </w:r>
          </w:p>
        </w:tc>
        <w:tc>
          <w:tcPr>
            <w:tcW w:w="1842" w:type="dxa"/>
            <w:shd w:val="clear" w:color="auto" w:fill="auto"/>
            <w:vAlign w:val="center"/>
          </w:tcPr>
          <w:p w14:paraId="752A7AFB">
            <w:pPr>
              <w:pStyle w:val="305"/>
              <w:spacing w:before="117"/>
              <w:ind w:left="102"/>
              <w:rPr>
                <w:color w:val="auto"/>
                <w:sz w:val="24"/>
                <w:highlight w:val="none"/>
              </w:rPr>
            </w:pPr>
            <w:r>
              <w:rPr>
                <w:rFonts w:hint="eastAsia"/>
                <w:color w:val="auto"/>
                <w:sz w:val="24"/>
                <w:szCs w:val="24"/>
                <w:highlight w:val="none"/>
              </w:rPr>
              <w:t>签署、盖章</w:t>
            </w:r>
          </w:p>
        </w:tc>
        <w:tc>
          <w:tcPr>
            <w:tcW w:w="4533" w:type="dxa"/>
            <w:shd w:val="clear" w:color="auto" w:fill="auto"/>
            <w:vAlign w:val="center"/>
          </w:tcPr>
          <w:p w14:paraId="79BCF839">
            <w:pPr>
              <w:pStyle w:val="305"/>
              <w:spacing w:before="117"/>
              <w:ind w:left="102"/>
              <w:rPr>
                <w:color w:val="auto"/>
                <w:sz w:val="24"/>
                <w:highlight w:val="none"/>
                <w:lang w:eastAsia="zh-CN"/>
              </w:rPr>
            </w:pPr>
            <w:r>
              <w:rPr>
                <w:rFonts w:hint="eastAsia"/>
                <w:color w:val="auto"/>
                <w:sz w:val="24"/>
                <w:szCs w:val="24"/>
                <w:highlight w:val="none"/>
                <w:lang w:eastAsia="zh-CN"/>
              </w:rPr>
              <w:t>按照磋商文件要求签署、盖章的；</w:t>
            </w:r>
          </w:p>
        </w:tc>
        <w:tc>
          <w:tcPr>
            <w:tcW w:w="2031" w:type="dxa"/>
            <w:shd w:val="clear" w:color="000000" w:fill="FFFFFF"/>
            <w:vAlign w:val="center"/>
          </w:tcPr>
          <w:p w14:paraId="618BAB73">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否</w:t>
            </w:r>
          </w:p>
        </w:tc>
      </w:tr>
      <w:tr w14:paraId="0D89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37F28239">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6</w:t>
            </w:r>
          </w:p>
        </w:tc>
        <w:tc>
          <w:tcPr>
            <w:tcW w:w="1842" w:type="dxa"/>
            <w:shd w:val="clear" w:color="000000" w:fill="FFFFFF"/>
            <w:vAlign w:val="center"/>
          </w:tcPr>
          <w:p w14:paraId="6D7A9328">
            <w:pPr>
              <w:pStyle w:val="305"/>
              <w:spacing w:before="117"/>
              <w:ind w:left="102"/>
              <w:rPr>
                <w:color w:val="auto"/>
                <w:sz w:val="24"/>
                <w:highlight w:val="none"/>
              </w:rPr>
            </w:pPr>
            <w:r>
              <w:rPr>
                <w:rFonts w:hint="eastAsia"/>
                <w:color w:val="auto"/>
                <w:sz w:val="24"/>
                <w:szCs w:val="24"/>
                <w:highlight w:val="none"/>
              </w:rPr>
              <w:t>实质性格式</w:t>
            </w:r>
          </w:p>
        </w:tc>
        <w:tc>
          <w:tcPr>
            <w:tcW w:w="4533" w:type="dxa"/>
            <w:shd w:val="clear" w:color="000000" w:fill="FFFFFF"/>
            <w:vAlign w:val="center"/>
          </w:tcPr>
          <w:p w14:paraId="126C4631">
            <w:pPr>
              <w:pStyle w:val="305"/>
              <w:spacing w:before="117"/>
              <w:ind w:left="102"/>
              <w:rPr>
                <w:color w:val="auto"/>
                <w:sz w:val="24"/>
                <w:highlight w:val="none"/>
                <w:lang w:eastAsia="zh-CN"/>
              </w:rPr>
            </w:pPr>
            <w:r>
              <w:rPr>
                <w:rFonts w:hint="eastAsia"/>
                <w:color w:val="auto"/>
                <w:sz w:val="24"/>
                <w:szCs w:val="24"/>
                <w:highlight w:val="none"/>
                <w:lang w:eastAsia="zh-CN"/>
              </w:rPr>
              <w:t>标记为</w:t>
            </w:r>
            <w:r>
              <w:rPr>
                <w:color w:val="auto"/>
                <w:sz w:val="24"/>
                <w:szCs w:val="24"/>
                <w:highlight w:val="none"/>
                <w:lang w:eastAsia="zh-CN"/>
              </w:rPr>
              <w:t>“</w:t>
            </w:r>
            <w:r>
              <w:rPr>
                <w:rFonts w:hint="eastAsia"/>
                <w:color w:val="auto"/>
                <w:sz w:val="24"/>
                <w:szCs w:val="24"/>
                <w:highlight w:val="none"/>
                <w:lang w:eastAsia="zh-CN"/>
              </w:rPr>
              <w:t>实质性格式</w:t>
            </w:r>
            <w:r>
              <w:rPr>
                <w:color w:val="auto"/>
                <w:sz w:val="24"/>
                <w:szCs w:val="24"/>
                <w:highlight w:val="none"/>
                <w:lang w:eastAsia="zh-CN"/>
              </w:rPr>
              <w:t>”</w:t>
            </w:r>
            <w:r>
              <w:rPr>
                <w:rFonts w:hint="eastAsia"/>
                <w:color w:val="auto"/>
                <w:sz w:val="24"/>
                <w:szCs w:val="24"/>
                <w:highlight w:val="none"/>
                <w:lang w:eastAsia="zh-CN"/>
              </w:rPr>
              <w:t>的文件均按磋商文件要求提供；</w:t>
            </w:r>
          </w:p>
        </w:tc>
        <w:tc>
          <w:tcPr>
            <w:tcW w:w="2031" w:type="dxa"/>
            <w:shd w:val="clear" w:color="000000" w:fill="FFFFFF"/>
            <w:vAlign w:val="center"/>
          </w:tcPr>
          <w:p w14:paraId="5ECD8590">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否</w:t>
            </w:r>
          </w:p>
        </w:tc>
      </w:tr>
      <w:tr w14:paraId="4F9B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7BC706AF">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7</w:t>
            </w:r>
          </w:p>
        </w:tc>
        <w:tc>
          <w:tcPr>
            <w:tcW w:w="1842" w:type="dxa"/>
            <w:shd w:val="clear" w:color="000000" w:fill="FFFFFF"/>
            <w:vAlign w:val="center"/>
          </w:tcPr>
          <w:p w14:paraId="1D58733E">
            <w:pPr>
              <w:pStyle w:val="305"/>
              <w:spacing w:before="117"/>
              <w:ind w:left="102"/>
              <w:rPr>
                <w:color w:val="auto"/>
                <w:sz w:val="24"/>
                <w:highlight w:val="none"/>
              </w:rPr>
            </w:pPr>
            <w:r>
              <w:rPr>
                <w:color w:val="auto"/>
                <w:sz w:val="24"/>
                <w:szCs w:val="24"/>
                <w:highlight w:val="none"/>
              </w:rPr>
              <w:t>★</w:t>
            </w:r>
            <w:r>
              <w:rPr>
                <w:rFonts w:hint="eastAsia"/>
                <w:color w:val="auto"/>
                <w:sz w:val="24"/>
                <w:szCs w:val="24"/>
                <w:highlight w:val="none"/>
              </w:rPr>
              <w:t>号条款响应</w:t>
            </w:r>
          </w:p>
        </w:tc>
        <w:tc>
          <w:tcPr>
            <w:tcW w:w="4533" w:type="dxa"/>
            <w:shd w:val="clear" w:color="000000" w:fill="FFFFFF"/>
            <w:vAlign w:val="center"/>
          </w:tcPr>
          <w:p w14:paraId="6549DB2D">
            <w:pPr>
              <w:pStyle w:val="305"/>
              <w:spacing w:before="117"/>
              <w:ind w:left="102"/>
              <w:rPr>
                <w:color w:val="auto"/>
                <w:sz w:val="24"/>
                <w:highlight w:val="none"/>
                <w:lang w:eastAsia="zh-CN"/>
              </w:rPr>
            </w:pPr>
            <w:r>
              <w:rPr>
                <w:rFonts w:hint="eastAsia"/>
                <w:color w:val="auto"/>
                <w:sz w:val="24"/>
                <w:szCs w:val="24"/>
                <w:highlight w:val="none"/>
                <w:lang w:eastAsia="zh-CN"/>
              </w:rPr>
              <w:t>响应文件满足磋商文件第四章《采购需求》中</w:t>
            </w:r>
            <w:r>
              <w:rPr>
                <w:color w:val="auto"/>
                <w:sz w:val="24"/>
                <w:szCs w:val="24"/>
                <w:highlight w:val="none"/>
                <w:lang w:eastAsia="zh-CN"/>
              </w:rPr>
              <w:t>★</w:t>
            </w:r>
            <w:r>
              <w:rPr>
                <w:rFonts w:hint="eastAsia"/>
                <w:color w:val="auto"/>
                <w:sz w:val="24"/>
                <w:szCs w:val="24"/>
                <w:highlight w:val="none"/>
                <w:lang w:eastAsia="zh-CN"/>
              </w:rPr>
              <w:t>号条款要求的；</w:t>
            </w:r>
          </w:p>
        </w:tc>
        <w:tc>
          <w:tcPr>
            <w:tcW w:w="2031" w:type="dxa"/>
            <w:shd w:val="clear" w:color="000000" w:fill="FFFFFF"/>
            <w:vAlign w:val="center"/>
          </w:tcPr>
          <w:p w14:paraId="5D6A3C64">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否</w:t>
            </w:r>
          </w:p>
        </w:tc>
      </w:tr>
      <w:tr w14:paraId="36E8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21C2D09F">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8</w:t>
            </w:r>
          </w:p>
        </w:tc>
        <w:tc>
          <w:tcPr>
            <w:tcW w:w="1842" w:type="dxa"/>
            <w:shd w:val="clear" w:color="000000" w:fill="FFFFFF"/>
            <w:vAlign w:val="center"/>
          </w:tcPr>
          <w:p w14:paraId="49CA28EC">
            <w:pPr>
              <w:pStyle w:val="305"/>
              <w:spacing w:before="117"/>
              <w:ind w:left="102"/>
              <w:rPr>
                <w:color w:val="auto"/>
                <w:sz w:val="24"/>
                <w:highlight w:val="none"/>
                <w:lang w:eastAsia="zh-CN"/>
              </w:rPr>
            </w:pPr>
            <w:r>
              <w:rPr>
                <w:rFonts w:hint="eastAsia"/>
                <w:color w:val="auto"/>
                <w:sz w:val="24"/>
                <w:szCs w:val="24"/>
                <w:highlight w:val="none"/>
                <w:lang w:eastAsia="zh-CN"/>
              </w:rPr>
              <w:t>分包承担主体资质（如有）</w:t>
            </w:r>
          </w:p>
        </w:tc>
        <w:tc>
          <w:tcPr>
            <w:tcW w:w="4533" w:type="dxa"/>
            <w:shd w:val="clear" w:color="000000" w:fill="FFFFFF"/>
            <w:vAlign w:val="center"/>
          </w:tcPr>
          <w:p w14:paraId="6B90B24F">
            <w:pPr>
              <w:pStyle w:val="305"/>
              <w:spacing w:before="117"/>
              <w:ind w:left="102"/>
              <w:rPr>
                <w:color w:val="auto"/>
                <w:sz w:val="24"/>
                <w:highlight w:val="none"/>
                <w:lang w:eastAsia="zh-CN"/>
              </w:rPr>
            </w:pPr>
            <w:r>
              <w:rPr>
                <w:rFonts w:hint="eastAsia"/>
                <w:color w:val="auto"/>
                <w:sz w:val="24"/>
                <w:szCs w:val="24"/>
                <w:highlight w:val="none"/>
                <w:lang w:eastAsia="zh-CN"/>
              </w:rPr>
              <w:t>分包承担主体具备《供应商须知资料表》载明的资质条件且提供了资质证书；</w:t>
            </w:r>
          </w:p>
        </w:tc>
        <w:tc>
          <w:tcPr>
            <w:tcW w:w="2031" w:type="dxa"/>
            <w:shd w:val="clear" w:color="000000" w:fill="FFFFFF"/>
            <w:vAlign w:val="center"/>
          </w:tcPr>
          <w:p w14:paraId="291572F7">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否</w:t>
            </w:r>
          </w:p>
        </w:tc>
      </w:tr>
      <w:tr w14:paraId="0EFD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08143D75">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9</w:t>
            </w:r>
          </w:p>
        </w:tc>
        <w:tc>
          <w:tcPr>
            <w:tcW w:w="1842" w:type="dxa"/>
            <w:shd w:val="clear" w:color="000000" w:fill="FFFFFF"/>
            <w:vAlign w:val="center"/>
          </w:tcPr>
          <w:p w14:paraId="0B865C4B">
            <w:pPr>
              <w:pStyle w:val="305"/>
              <w:spacing w:before="117"/>
              <w:ind w:left="102"/>
              <w:rPr>
                <w:color w:val="auto"/>
                <w:sz w:val="24"/>
                <w:highlight w:val="none"/>
                <w:lang w:eastAsia="zh-CN"/>
              </w:rPr>
            </w:pPr>
            <w:r>
              <w:rPr>
                <w:rFonts w:hint="eastAsia"/>
                <w:color w:val="auto"/>
                <w:sz w:val="24"/>
                <w:szCs w:val="24"/>
                <w:highlight w:val="none"/>
                <w:lang w:eastAsia="zh-CN"/>
              </w:rPr>
              <w:t>分包意向协议（如有）</w:t>
            </w:r>
          </w:p>
        </w:tc>
        <w:tc>
          <w:tcPr>
            <w:tcW w:w="4533" w:type="dxa"/>
            <w:shd w:val="clear" w:color="000000" w:fill="FFFFFF"/>
            <w:vAlign w:val="center"/>
          </w:tcPr>
          <w:p w14:paraId="3C8F51DC">
            <w:pPr>
              <w:pStyle w:val="305"/>
              <w:spacing w:before="117"/>
              <w:ind w:left="102"/>
              <w:rPr>
                <w:color w:val="auto"/>
                <w:sz w:val="24"/>
                <w:highlight w:val="none"/>
                <w:lang w:eastAsia="zh-CN"/>
              </w:rPr>
            </w:pPr>
            <w:r>
              <w:rPr>
                <w:rFonts w:hint="eastAsia"/>
                <w:color w:val="auto"/>
                <w:sz w:val="24"/>
                <w:szCs w:val="24"/>
                <w:highlight w:val="none"/>
                <w:lang w:eastAsia="zh-CN"/>
              </w:rPr>
              <w:t>按磋商文件规定签订并提供分包意向协议原件的复印件的；</w:t>
            </w:r>
            <w:r>
              <w:rPr>
                <w:rFonts w:hint="eastAsia"/>
                <w:color w:val="auto"/>
                <w:sz w:val="24"/>
                <w:highlight w:val="none"/>
                <w:lang w:eastAsia="zh-CN"/>
              </w:rPr>
              <w:t xml:space="preserve"> </w:t>
            </w:r>
          </w:p>
        </w:tc>
        <w:tc>
          <w:tcPr>
            <w:tcW w:w="2031" w:type="dxa"/>
            <w:shd w:val="clear" w:color="000000" w:fill="FFFFFF"/>
            <w:vAlign w:val="center"/>
          </w:tcPr>
          <w:p w14:paraId="614429A1">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否</w:t>
            </w:r>
          </w:p>
        </w:tc>
      </w:tr>
      <w:tr w14:paraId="08EEE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3FAC25D0">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10</w:t>
            </w:r>
          </w:p>
        </w:tc>
        <w:tc>
          <w:tcPr>
            <w:tcW w:w="1842" w:type="dxa"/>
            <w:shd w:val="clear" w:color="000000" w:fill="FFFFFF"/>
            <w:vAlign w:val="center"/>
          </w:tcPr>
          <w:p w14:paraId="4A33743A">
            <w:pPr>
              <w:pStyle w:val="305"/>
              <w:spacing w:before="117"/>
              <w:ind w:left="102"/>
              <w:rPr>
                <w:color w:val="auto"/>
                <w:sz w:val="24"/>
                <w:highlight w:val="none"/>
              </w:rPr>
            </w:pPr>
            <w:r>
              <w:rPr>
                <w:rFonts w:hint="eastAsia"/>
                <w:color w:val="auto"/>
                <w:sz w:val="24"/>
                <w:szCs w:val="24"/>
                <w:highlight w:val="none"/>
              </w:rPr>
              <w:t>附加条件</w:t>
            </w:r>
          </w:p>
        </w:tc>
        <w:tc>
          <w:tcPr>
            <w:tcW w:w="4533" w:type="dxa"/>
            <w:shd w:val="clear" w:color="000000" w:fill="FFFFFF"/>
            <w:vAlign w:val="center"/>
          </w:tcPr>
          <w:p w14:paraId="32FEC2D7">
            <w:pPr>
              <w:pStyle w:val="305"/>
              <w:spacing w:before="117"/>
              <w:ind w:left="102"/>
              <w:rPr>
                <w:color w:val="auto"/>
                <w:sz w:val="24"/>
                <w:highlight w:val="none"/>
                <w:lang w:eastAsia="zh-CN"/>
              </w:rPr>
            </w:pPr>
            <w:r>
              <w:rPr>
                <w:rFonts w:hint="eastAsia"/>
                <w:color w:val="auto"/>
                <w:sz w:val="24"/>
                <w:szCs w:val="24"/>
                <w:highlight w:val="none"/>
                <w:lang w:eastAsia="zh-CN"/>
              </w:rPr>
              <w:t>响应文件未含有采购人不能接受的附加条件的；</w:t>
            </w:r>
          </w:p>
        </w:tc>
        <w:tc>
          <w:tcPr>
            <w:tcW w:w="2031" w:type="dxa"/>
            <w:shd w:val="clear" w:color="000000" w:fill="FFFFFF"/>
            <w:vAlign w:val="center"/>
          </w:tcPr>
          <w:p w14:paraId="72858FEA">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否</w:t>
            </w:r>
          </w:p>
        </w:tc>
      </w:tr>
      <w:tr w14:paraId="6B38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881" w:type="dxa"/>
            <w:shd w:val="clear" w:color="000000" w:fill="FFFFFF"/>
            <w:vAlign w:val="center"/>
          </w:tcPr>
          <w:p w14:paraId="51230429">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11</w:t>
            </w:r>
          </w:p>
        </w:tc>
        <w:tc>
          <w:tcPr>
            <w:tcW w:w="1842" w:type="dxa"/>
            <w:shd w:val="clear" w:color="000000" w:fill="FFFFFF"/>
            <w:vAlign w:val="center"/>
          </w:tcPr>
          <w:p w14:paraId="476381F2">
            <w:pPr>
              <w:pStyle w:val="305"/>
              <w:spacing w:before="117"/>
              <w:ind w:left="102"/>
              <w:rPr>
                <w:color w:val="auto"/>
                <w:sz w:val="24"/>
                <w:highlight w:val="none"/>
              </w:rPr>
            </w:pPr>
            <w:r>
              <w:rPr>
                <w:rFonts w:hint="eastAsia"/>
                <w:color w:val="auto"/>
                <w:sz w:val="24"/>
                <w:szCs w:val="24"/>
                <w:highlight w:val="none"/>
              </w:rPr>
              <w:t>其他无效情形</w:t>
            </w:r>
          </w:p>
        </w:tc>
        <w:tc>
          <w:tcPr>
            <w:tcW w:w="4533" w:type="dxa"/>
            <w:shd w:val="clear" w:color="000000" w:fill="FFFFFF"/>
            <w:vAlign w:val="center"/>
          </w:tcPr>
          <w:p w14:paraId="4F7CEDB7">
            <w:pPr>
              <w:pStyle w:val="305"/>
              <w:spacing w:before="117"/>
              <w:ind w:left="102"/>
              <w:rPr>
                <w:color w:val="auto"/>
                <w:sz w:val="24"/>
                <w:highlight w:val="none"/>
                <w:lang w:eastAsia="zh-CN"/>
              </w:rPr>
            </w:pPr>
            <w:r>
              <w:rPr>
                <w:rFonts w:hint="eastAsia"/>
                <w:color w:val="auto"/>
                <w:sz w:val="24"/>
                <w:szCs w:val="24"/>
                <w:highlight w:val="none"/>
                <w:lang w:eastAsia="zh-CN"/>
              </w:rPr>
              <w:t>响应人、响应文件不存在不符合法律、法规和磋商文件规定的其他无效情形。</w:t>
            </w:r>
          </w:p>
        </w:tc>
        <w:tc>
          <w:tcPr>
            <w:tcW w:w="2031" w:type="dxa"/>
            <w:shd w:val="clear" w:color="000000" w:fill="FFFFFF"/>
            <w:vAlign w:val="center"/>
          </w:tcPr>
          <w:p w14:paraId="06B8664B">
            <w:pPr>
              <w:widowControl/>
              <w:shd w:val="clear" w:color="auto" w:fill="FFFFFF"/>
              <w:jc w:val="center"/>
              <w:rPr>
                <w:rFonts w:ascii="宋体" w:hAnsi="宋体" w:cs="宋体"/>
                <w:color w:val="auto"/>
                <w:kern w:val="0"/>
                <w:sz w:val="24"/>
                <w:highlight w:val="none"/>
              </w:rPr>
            </w:pPr>
            <w:r>
              <w:rPr>
                <w:rFonts w:hint="eastAsia" w:ascii="宋体" w:hAnsi="宋体" w:cs="宋体"/>
                <w:color w:val="auto"/>
                <w:kern w:val="0"/>
                <w:sz w:val="24"/>
                <w:highlight w:val="none"/>
              </w:rPr>
              <w:t>否</w:t>
            </w:r>
          </w:p>
        </w:tc>
      </w:tr>
    </w:tbl>
    <w:p w14:paraId="02B96618">
      <w:pPr>
        <w:shd w:val="clear" w:color="auto" w:fill="FFFFFF"/>
        <w:tabs>
          <w:tab w:val="left" w:pos="900"/>
          <w:tab w:val="left" w:pos="1080"/>
          <w:tab w:val="left" w:pos="1589"/>
        </w:tabs>
        <w:snapToGrid w:val="0"/>
        <w:spacing w:line="360" w:lineRule="auto"/>
        <w:rPr>
          <w:rFonts w:ascii="宋体" w:hAnsi="宋体" w:cs="宋体"/>
          <w:color w:val="auto"/>
          <w:sz w:val="24"/>
          <w:highlight w:val="none"/>
        </w:rPr>
      </w:pPr>
    </w:p>
    <w:p w14:paraId="1D8E4B36">
      <w:pPr>
        <w:numPr>
          <w:ilvl w:val="0"/>
          <w:numId w:val="21"/>
        </w:numPr>
        <w:shd w:val="clear" w:color="auto" w:fill="FFFFFF"/>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磋商、响应文件有关事项的澄清、说明或者更正和最后报价</w:t>
      </w:r>
    </w:p>
    <w:p w14:paraId="76E81BB3">
      <w:pPr>
        <w:numPr>
          <w:ilvl w:val="1"/>
          <w:numId w:val="21"/>
        </w:numPr>
        <w:shd w:val="clear" w:color="auto" w:fill="FFFFFF"/>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磋商小组所有成员应当集中与单一供应商分别进行磋商，并给予所有参加磋商的供应商平等的磋商机会。</w:t>
      </w:r>
    </w:p>
    <w:p w14:paraId="417BA501">
      <w:pPr>
        <w:numPr>
          <w:ilvl w:val="1"/>
          <w:numId w:val="21"/>
        </w:numPr>
        <w:shd w:val="clear" w:color="auto" w:fill="FFFFFF"/>
        <w:tabs>
          <w:tab w:val="left" w:pos="1080"/>
          <w:tab w:val="left" w:pos="1872"/>
        </w:tabs>
        <w:snapToGrid w:val="0"/>
        <w:spacing w:line="360" w:lineRule="auto"/>
        <w:ind w:left="1077" w:hanging="720"/>
        <w:rPr>
          <w:rFonts w:ascii="宋体" w:hAnsi="宋体" w:cs="宋体"/>
          <w:color w:val="auto"/>
          <w:kern w:val="0"/>
          <w:sz w:val="24"/>
          <w:highlight w:val="none"/>
        </w:rPr>
      </w:pPr>
      <w:r>
        <w:rPr>
          <w:rFonts w:hint="eastAsia" w:ascii="宋体" w:hAnsi="宋体" w:cs="宋体"/>
          <w:color w:val="auto"/>
          <w:kern w:val="0"/>
          <w:sz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3F75DE52">
      <w:pPr>
        <w:numPr>
          <w:ilvl w:val="1"/>
          <w:numId w:val="21"/>
        </w:numPr>
        <w:shd w:val="clear" w:color="auto" w:fill="FFFFFF"/>
        <w:tabs>
          <w:tab w:val="left" w:pos="1080"/>
          <w:tab w:val="left" w:pos="1872"/>
        </w:tabs>
        <w:snapToGrid w:val="0"/>
        <w:spacing w:line="360" w:lineRule="auto"/>
        <w:ind w:left="1077" w:hanging="720"/>
        <w:rPr>
          <w:rFonts w:ascii="宋体" w:hAnsi="宋体" w:cs="宋体"/>
          <w:color w:val="auto"/>
          <w:kern w:val="0"/>
          <w:sz w:val="24"/>
          <w:highlight w:val="none"/>
        </w:rPr>
      </w:pPr>
      <w:r>
        <w:rPr>
          <w:rFonts w:hint="eastAsia" w:ascii="宋体" w:hAnsi="宋体" w:cs="宋体"/>
          <w:color w:val="auto"/>
          <w:kern w:val="0"/>
          <w:sz w:val="24"/>
          <w:highlight w:val="none"/>
        </w:rPr>
        <w:t>对磋商文件作出的实质性变动是磋商文件的有效组成部分，磋商小组应当及时以书面形式同时通知所有参加磋商的供应商。</w:t>
      </w:r>
    </w:p>
    <w:p w14:paraId="27DECA28">
      <w:pPr>
        <w:numPr>
          <w:ilvl w:val="1"/>
          <w:numId w:val="21"/>
        </w:numPr>
        <w:shd w:val="clear" w:color="auto" w:fill="FFFFFF"/>
        <w:tabs>
          <w:tab w:val="left" w:pos="1080"/>
          <w:tab w:val="left" w:pos="1872"/>
        </w:tabs>
        <w:snapToGrid w:val="0"/>
        <w:spacing w:line="360" w:lineRule="auto"/>
        <w:ind w:left="1077" w:hanging="720"/>
        <w:rPr>
          <w:rFonts w:ascii="宋体" w:hAnsi="宋体" w:cs="宋体"/>
          <w:color w:val="auto"/>
          <w:kern w:val="0"/>
          <w:sz w:val="24"/>
          <w:highlight w:val="none"/>
        </w:rPr>
      </w:pPr>
      <w:r>
        <w:rPr>
          <w:rFonts w:hint="eastAsia" w:ascii="宋体" w:hAnsi="宋体" w:cs="宋体"/>
          <w:color w:val="auto"/>
          <w:kern w:val="0"/>
          <w:sz w:val="24"/>
          <w:highlight w:val="none"/>
        </w:rPr>
        <w:t>供应商应当按照磋商文件的变动情况和磋商小组的要求重新提交响应文件，并由其法定代表人(若供应商为事业单位或其他组织或分支机构，可为单位负责人)或授权代表签字或者加盖公章。由授权代表签字的，应当附授权委托书。供应商为自然人的，应当由本人签字并附身份证明。</w:t>
      </w:r>
    </w:p>
    <w:p w14:paraId="28FE1642">
      <w:pPr>
        <w:numPr>
          <w:ilvl w:val="1"/>
          <w:numId w:val="21"/>
        </w:numPr>
        <w:shd w:val="clear" w:color="auto" w:fill="FFFFFF"/>
        <w:tabs>
          <w:tab w:val="left" w:pos="1080"/>
          <w:tab w:val="left" w:pos="1872"/>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响应文件的澄清、说明或者更正：</w:t>
      </w:r>
    </w:p>
    <w:p w14:paraId="36A89E85">
      <w:pPr>
        <w:numPr>
          <w:ilvl w:val="2"/>
          <w:numId w:val="21"/>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7DD62529">
      <w:pPr>
        <w:numPr>
          <w:ilvl w:val="2"/>
          <w:numId w:val="21"/>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z w:val="24"/>
          <w:highlight w:val="none"/>
        </w:rPr>
        <w:t>磋商小组对响应文件进行审查,如发现供应商提交的响应文件存在不满足《符合性审查要求》的内容，如属于表中“不允许”澄清、说明或者更正的内容，则供应商响应文件按</w:t>
      </w:r>
      <w:r>
        <w:rPr>
          <w:rFonts w:hint="eastAsia" w:ascii="宋体" w:hAnsi="宋体" w:cs="宋体"/>
          <w:b/>
          <w:bCs/>
          <w:color w:val="auto"/>
          <w:sz w:val="24"/>
          <w:highlight w:val="none"/>
        </w:rPr>
        <w:t>无效处理</w:t>
      </w:r>
      <w:r>
        <w:rPr>
          <w:rFonts w:hint="eastAsia" w:ascii="宋体" w:hAnsi="宋体" w:cs="宋体"/>
          <w:color w:val="auto"/>
          <w:sz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hint="eastAsia" w:ascii="宋体" w:hAnsi="宋体" w:cs="宋体"/>
          <w:b/>
          <w:bCs/>
          <w:color w:val="auto"/>
          <w:sz w:val="24"/>
          <w:highlight w:val="none"/>
        </w:rPr>
        <w:t>无效处理。</w:t>
      </w:r>
    </w:p>
    <w:p w14:paraId="1B5C95BA">
      <w:pPr>
        <w:numPr>
          <w:ilvl w:val="2"/>
          <w:numId w:val="21"/>
        </w:numPr>
        <w:shd w:val="clear" w:color="auto" w:fill="FFFFFF"/>
        <w:snapToGrid w:val="0"/>
        <w:spacing w:line="360" w:lineRule="auto"/>
        <w:rPr>
          <w:rFonts w:ascii="宋体" w:hAnsi="宋体" w:cs="宋体"/>
          <w:color w:val="auto"/>
          <w:sz w:val="24"/>
          <w:highlight w:val="none"/>
        </w:rPr>
      </w:pPr>
      <w:r>
        <w:rPr>
          <w:rFonts w:hint="eastAsia" w:ascii="宋体" w:hAnsi="宋体" w:cs="宋体"/>
          <w:color w:val="auto"/>
          <w:spacing w:val="-11"/>
          <w:sz w:val="24"/>
          <w:highlight w:val="none"/>
        </w:rPr>
        <w:t>供应商的澄清、说明或者更正不得超出响应文件的范围或者改变响应</w:t>
      </w:r>
      <w:r>
        <w:rPr>
          <w:rFonts w:hint="eastAsia" w:ascii="宋体" w:hAnsi="宋体" w:cs="宋体"/>
          <w:color w:val="auto"/>
          <w:spacing w:val="-14"/>
          <w:sz w:val="24"/>
          <w:highlight w:val="none"/>
        </w:rPr>
        <w:t>文件的实质性内容。磋商小组要求供应商澄清、说明或者更正响应文</w:t>
      </w:r>
      <w:r>
        <w:rPr>
          <w:rFonts w:hint="eastAsia" w:ascii="宋体" w:hAnsi="宋体" w:cs="宋体"/>
          <w:color w:val="auto"/>
          <w:spacing w:val="-17"/>
          <w:sz w:val="24"/>
          <w:highlight w:val="none"/>
        </w:rPr>
        <w:t>件应当以书面形式作出。供应商的澄清、说明或者更正应当由法定代</w:t>
      </w:r>
      <w:r>
        <w:rPr>
          <w:rFonts w:hint="eastAsia" w:ascii="宋体" w:hAnsi="宋体" w:cs="宋体"/>
          <w:color w:val="auto"/>
          <w:spacing w:val="-67"/>
          <w:sz w:val="24"/>
          <w:highlight w:val="none"/>
        </w:rPr>
        <w:t>表人</w:t>
      </w:r>
      <w:r>
        <w:rPr>
          <w:rFonts w:hint="eastAsia" w:ascii="宋体" w:hAnsi="宋体" w:cs="宋体"/>
          <w:color w:val="auto"/>
          <w:sz w:val="24"/>
          <w:highlight w:val="none"/>
        </w:rPr>
        <w:t>（</w:t>
      </w:r>
      <w:r>
        <w:rPr>
          <w:rFonts w:hint="eastAsia" w:ascii="宋体" w:hAnsi="宋体" w:cs="宋体"/>
          <w:color w:val="auto"/>
          <w:spacing w:val="-6"/>
          <w:sz w:val="24"/>
          <w:highlight w:val="none"/>
        </w:rPr>
        <w:t>若供应商为事业单位或其他组织或分支机构，可为单位负责人</w:t>
      </w:r>
      <w:r>
        <w:rPr>
          <w:rFonts w:hint="eastAsia" w:ascii="宋体" w:hAnsi="宋体" w:cs="宋体"/>
          <w:color w:val="auto"/>
          <w:spacing w:val="-16"/>
          <w:sz w:val="24"/>
          <w:highlight w:val="none"/>
        </w:rPr>
        <w:t xml:space="preserve">） </w:t>
      </w:r>
      <w:r>
        <w:rPr>
          <w:rFonts w:hint="eastAsia" w:ascii="宋体" w:hAnsi="宋体" w:cs="宋体"/>
          <w:color w:val="auto"/>
          <w:spacing w:val="-7"/>
          <w:sz w:val="24"/>
          <w:highlight w:val="none"/>
        </w:rPr>
        <w:t>或其授权代表签字或者加盖公章。由授权代表签字的，应当附授权委</w:t>
      </w:r>
      <w:r>
        <w:rPr>
          <w:rFonts w:hint="eastAsia" w:ascii="宋体" w:hAnsi="宋体" w:cs="宋体"/>
          <w:color w:val="auto"/>
          <w:spacing w:val="-11"/>
          <w:sz w:val="24"/>
          <w:highlight w:val="none"/>
        </w:rPr>
        <w:t>托书。供应商为自然人的，应当由本人签字并附身份证明。澄清、说明或者更正文件将作为响应文件内容的一部分。</w:t>
      </w:r>
    </w:p>
    <w:p w14:paraId="49E8AF8D">
      <w:pPr>
        <w:numPr>
          <w:ilvl w:val="1"/>
          <w:numId w:val="21"/>
        </w:numPr>
        <w:shd w:val="clear" w:color="auto" w:fill="FFFFFF"/>
        <w:tabs>
          <w:tab w:val="left" w:pos="1080"/>
          <w:tab w:val="left" w:pos="1872"/>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磋商结束后，磋商小组将要求所有实质性响应的供应商在规定时间内提交最后报价。最后报价时间为磋商小组指定的时间，具体时间根据磋商进度另行通知。</w:t>
      </w:r>
    </w:p>
    <w:p w14:paraId="7EA389CA">
      <w:pPr>
        <w:numPr>
          <w:ilvl w:val="1"/>
          <w:numId w:val="21"/>
        </w:numPr>
        <w:shd w:val="clear" w:color="auto" w:fill="FFFFFF"/>
        <w:tabs>
          <w:tab w:val="left" w:pos="1080"/>
          <w:tab w:val="left" w:pos="1872"/>
        </w:tabs>
        <w:snapToGrid w:val="0"/>
        <w:spacing w:line="360" w:lineRule="auto"/>
        <w:ind w:left="1077" w:hanging="720"/>
        <w:rPr>
          <w:rFonts w:ascii="宋体" w:hAnsi="宋体" w:cs="宋体"/>
          <w:color w:val="auto"/>
          <w:sz w:val="24"/>
          <w:highlight w:val="none"/>
        </w:rPr>
      </w:pPr>
      <w:r>
        <w:rPr>
          <w:rFonts w:hint="eastAsia" w:ascii="宋体" w:hAnsi="宋体" w:cs="宋体"/>
          <w:snapToGrid w:val="0"/>
          <w:color w:val="auto"/>
          <w:sz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r>
        <w:rPr>
          <w:rFonts w:hint="eastAsia" w:ascii="宋体" w:hAnsi="宋体" w:cs="宋体"/>
          <w:color w:val="auto"/>
          <w:sz w:val="24"/>
          <w:highlight w:val="none"/>
        </w:rPr>
        <w:t>。</w:t>
      </w:r>
    </w:p>
    <w:p w14:paraId="62E9F4DB">
      <w:pPr>
        <w:numPr>
          <w:ilvl w:val="1"/>
          <w:numId w:val="21"/>
        </w:numPr>
        <w:shd w:val="clear" w:color="auto" w:fill="FFFFFF"/>
        <w:tabs>
          <w:tab w:val="left" w:pos="1080"/>
          <w:tab w:val="left" w:pos="1872"/>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最后报价是供应商响应文件的有效组成部分。</w:t>
      </w:r>
    </w:p>
    <w:p w14:paraId="446353BE">
      <w:pPr>
        <w:numPr>
          <w:ilvl w:val="1"/>
          <w:numId w:val="21"/>
        </w:numPr>
        <w:shd w:val="clear" w:color="auto" w:fill="FFFFFF"/>
        <w:tabs>
          <w:tab w:val="left" w:pos="1080"/>
          <w:tab w:val="left" w:pos="1872"/>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已提交响应文件的供应商，在提交最后报价之前，可以根据磋商情况退出磋商。</w:t>
      </w:r>
    </w:p>
    <w:p w14:paraId="3190863A">
      <w:pPr>
        <w:numPr>
          <w:ilvl w:val="0"/>
          <w:numId w:val="21"/>
        </w:numPr>
        <w:shd w:val="clear" w:color="auto" w:fill="FFFFFF"/>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最后报价的算术修正及政策调整</w:t>
      </w:r>
    </w:p>
    <w:p w14:paraId="107A2F9F">
      <w:pPr>
        <w:numPr>
          <w:ilvl w:val="1"/>
          <w:numId w:val="21"/>
        </w:numPr>
        <w:shd w:val="clear" w:color="auto" w:fill="FFFFFF"/>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最后报价须包含竞争性磋商文件全部内容，如最后分项报价表有缺漏视为已含在其他各项报价中，将不对最后报价进行调整。磋商小组有权要求供应商在评审现场合理的时间内对此进行书面确认，供应商不确认的，视为将一个采购包中的内容拆分响应，其</w:t>
      </w:r>
      <w:r>
        <w:rPr>
          <w:rFonts w:hint="eastAsia" w:ascii="宋体" w:hAnsi="宋体" w:cs="宋体"/>
          <w:b/>
          <w:color w:val="auto"/>
          <w:sz w:val="24"/>
          <w:highlight w:val="none"/>
        </w:rPr>
        <w:t>响应无效</w:t>
      </w:r>
      <w:r>
        <w:rPr>
          <w:rFonts w:hint="eastAsia" w:ascii="宋体" w:hAnsi="宋体" w:cs="宋体"/>
          <w:color w:val="auto"/>
          <w:sz w:val="24"/>
          <w:highlight w:val="none"/>
        </w:rPr>
        <w:t>。</w:t>
      </w:r>
    </w:p>
    <w:p w14:paraId="3A81A45A">
      <w:pPr>
        <w:numPr>
          <w:ilvl w:val="1"/>
          <w:numId w:val="21"/>
        </w:numPr>
        <w:shd w:val="clear" w:color="auto" w:fill="FFFFFF"/>
        <w:tabs>
          <w:tab w:val="left" w:pos="1080"/>
          <w:tab w:val="left" w:pos="1872"/>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最后报价出现前后不一致的，按照下列规定修正：</w:t>
      </w:r>
    </w:p>
    <w:p w14:paraId="1A8AF660">
      <w:pPr>
        <w:numPr>
          <w:ilvl w:val="2"/>
          <w:numId w:val="21"/>
        </w:numPr>
        <w:shd w:val="clear" w:color="auto" w:fill="FFFFFF"/>
        <w:tabs>
          <w:tab w:val="left" w:pos="1080"/>
          <w:tab w:val="left" w:pos="1589"/>
          <w:tab w:val="left" w:pos="2035"/>
          <w:tab w:val="left" w:pos="2114"/>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竞争性磋商文件对于报价修正是否另有规定：</w:t>
      </w:r>
    </w:p>
    <w:p w14:paraId="601A8702">
      <w:pPr>
        <w:shd w:val="clear" w:color="auto" w:fill="FFFFFF"/>
        <w:tabs>
          <w:tab w:val="left" w:pos="1080"/>
          <w:tab w:val="left" w:pos="1589"/>
          <w:tab w:val="left" w:pos="2035"/>
          <w:tab w:val="left" w:pos="2114"/>
        </w:tabs>
        <w:snapToGrid w:val="0"/>
        <w:spacing w:line="360" w:lineRule="auto"/>
        <w:ind w:left="2035"/>
        <w:rPr>
          <w:rFonts w:ascii="宋体" w:hAnsi="宋体" w:cs="宋体"/>
          <w:color w:val="auto"/>
          <w:sz w:val="24"/>
          <w:highlight w:val="none"/>
          <w:u w:val="single"/>
        </w:rPr>
      </w:pPr>
      <w:r>
        <w:rPr>
          <w:rFonts w:hint="eastAsia" w:ascii="宋体" w:hAnsi="宋体" w:cs="宋体"/>
          <w:color w:val="auto"/>
          <w:sz w:val="24"/>
          <w:highlight w:val="none"/>
        </w:rPr>
        <w:t>□有，具体规定为：___________</w:t>
      </w:r>
    </w:p>
    <w:p w14:paraId="74BA322A">
      <w:pPr>
        <w:shd w:val="clear" w:color="auto" w:fill="FFFFFF"/>
        <w:tabs>
          <w:tab w:val="left" w:pos="1080"/>
          <w:tab w:val="left" w:pos="1589"/>
          <w:tab w:val="left" w:pos="2035"/>
          <w:tab w:val="left" w:pos="2114"/>
        </w:tabs>
        <w:snapToGrid w:val="0"/>
        <w:spacing w:line="360" w:lineRule="auto"/>
        <w:ind w:left="2035"/>
        <w:rPr>
          <w:rFonts w:ascii="宋体" w:hAnsi="宋体" w:cs="宋体"/>
          <w:color w:val="auto"/>
          <w:sz w:val="24"/>
          <w:highlight w:val="none"/>
        </w:rPr>
      </w:pPr>
      <w:r>
        <w:rPr>
          <w:rFonts w:hint="eastAsia" w:ascii="宋体" w:hAnsi="宋体" w:cs="宋体"/>
          <w:b/>
          <w:color w:val="auto"/>
          <w:sz w:val="24"/>
          <w:highlight w:val="none"/>
        </w:rPr>
        <w:t>■</w:t>
      </w:r>
      <w:r>
        <w:rPr>
          <w:rFonts w:hint="eastAsia" w:ascii="宋体" w:hAnsi="宋体" w:cs="宋体"/>
          <w:color w:val="auto"/>
          <w:sz w:val="24"/>
          <w:highlight w:val="none"/>
        </w:rPr>
        <w:t>无，按下述3.2.2-3.2.5项规定修正。</w:t>
      </w:r>
    </w:p>
    <w:p w14:paraId="26235851">
      <w:pPr>
        <w:numPr>
          <w:ilvl w:val="2"/>
          <w:numId w:val="21"/>
        </w:numPr>
        <w:shd w:val="clear" w:color="auto" w:fill="FFFFFF"/>
        <w:tabs>
          <w:tab w:val="left" w:pos="2035"/>
          <w:tab w:val="left" w:pos="2114"/>
          <w:tab w:val="left" w:pos="2977"/>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大写金额和小写金额不一致的，以大写金额为准；</w:t>
      </w:r>
    </w:p>
    <w:p w14:paraId="34FFD3FF">
      <w:pPr>
        <w:numPr>
          <w:ilvl w:val="2"/>
          <w:numId w:val="21"/>
        </w:numPr>
        <w:shd w:val="clear" w:color="auto" w:fill="FFFFFF"/>
        <w:tabs>
          <w:tab w:val="left" w:pos="2035"/>
          <w:tab w:val="left" w:pos="2114"/>
          <w:tab w:val="left" w:pos="2977"/>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单价金额小数点或者百分比有明显错位的，以总价为准，并修改单价；</w:t>
      </w:r>
    </w:p>
    <w:p w14:paraId="5574BCCB">
      <w:pPr>
        <w:numPr>
          <w:ilvl w:val="2"/>
          <w:numId w:val="21"/>
        </w:numPr>
        <w:shd w:val="clear" w:color="auto" w:fill="FFFFFF"/>
        <w:tabs>
          <w:tab w:val="left" w:pos="2035"/>
          <w:tab w:val="left" w:pos="2114"/>
          <w:tab w:val="left" w:pos="2977"/>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总价金额与按单价汇总金额不一致的，以单价金额计算结果为准。</w:t>
      </w:r>
    </w:p>
    <w:p w14:paraId="7A7BABCF">
      <w:pPr>
        <w:numPr>
          <w:ilvl w:val="2"/>
          <w:numId w:val="21"/>
        </w:numPr>
        <w:shd w:val="clear" w:color="auto" w:fill="FFFFFF"/>
        <w:tabs>
          <w:tab w:val="left" w:pos="1080"/>
          <w:tab w:val="left" w:pos="1589"/>
          <w:tab w:val="left" w:pos="2035"/>
          <w:tab w:val="left" w:pos="2114"/>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同时出现两种以上不一致的，按照前款规定的顺序修正。</w:t>
      </w:r>
    </w:p>
    <w:p w14:paraId="757B0BE6">
      <w:pPr>
        <w:numPr>
          <w:ilvl w:val="2"/>
          <w:numId w:val="21"/>
        </w:numPr>
        <w:shd w:val="clear" w:color="auto" w:fill="FFFFFF"/>
        <w:tabs>
          <w:tab w:val="left" w:pos="1080"/>
          <w:tab w:val="left" w:pos="1589"/>
          <w:tab w:val="left" w:pos="2035"/>
          <w:tab w:val="left" w:pos="2114"/>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修正后的报价经供应商书面确认后产生约束力，供应商不确认的，</w:t>
      </w:r>
      <w:r>
        <w:rPr>
          <w:rFonts w:hint="eastAsia" w:ascii="宋体" w:hAnsi="宋体" w:cs="宋体"/>
          <w:b/>
          <w:color w:val="auto"/>
          <w:sz w:val="24"/>
          <w:highlight w:val="none"/>
        </w:rPr>
        <w:t>其响应无效</w:t>
      </w:r>
      <w:r>
        <w:rPr>
          <w:rFonts w:hint="eastAsia" w:ascii="宋体" w:hAnsi="宋体" w:cs="宋体"/>
          <w:color w:val="auto"/>
          <w:sz w:val="24"/>
          <w:highlight w:val="none"/>
        </w:rPr>
        <w:t>。</w:t>
      </w:r>
    </w:p>
    <w:p w14:paraId="0C845F62">
      <w:pPr>
        <w:numPr>
          <w:ilvl w:val="1"/>
          <w:numId w:val="21"/>
        </w:numPr>
        <w:shd w:val="clear" w:color="auto" w:fill="FFFFFF"/>
        <w:tabs>
          <w:tab w:val="left" w:pos="1080"/>
          <w:tab w:val="left" w:pos="1872"/>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落实政府采购政策的价格调整：只有符合第二章《供应商须知》4.2条规定情形的，可以享受中小企业扶持政策，用扣除后的价格参加评审；否则，评审时价格不予扣除。</w:t>
      </w:r>
    </w:p>
    <w:p w14:paraId="4D4BEA93">
      <w:pPr>
        <w:numPr>
          <w:ilvl w:val="2"/>
          <w:numId w:val="21"/>
        </w:numPr>
        <w:tabs>
          <w:tab w:val="left" w:pos="1080"/>
          <w:tab w:val="left" w:pos="1589"/>
          <w:tab w:val="left" w:pos="2035"/>
        </w:tabs>
        <w:snapToGrid w:val="0"/>
        <w:spacing w:line="360" w:lineRule="auto"/>
        <w:rPr>
          <w:rFonts w:ascii="宋体" w:hAnsi="宋体"/>
          <w:color w:val="auto"/>
          <w:sz w:val="24"/>
          <w:highlight w:val="none"/>
        </w:rPr>
      </w:pPr>
      <w:r>
        <w:rPr>
          <w:rFonts w:ascii="宋体" w:hAnsi="宋体"/>
          <w:color w:val="auto"/>
          <w:sz w:val="24"/>
          <w:highlight w:val="none"/>
        </w:rPr>
        <w:t>对于未预留份额专门面向中小企业采购的，以及预留份额项目中的非预留部分采购包，对小微企业报价给予</w:t>
      </w:r>
      <w:r>
        <w:rPr>
          <w:rFonts w:hint="eastAsia" w:ascii="宋体" w:hAnsi="宋体"/>
          <w:color w:val="auto"/>
          <w:sz w:val="24"/>
          <w:highlight w:val="none"/>
          <w:u w:val="single"/>
        </w:rPr>
        <w:t xml:space="preserve">  </w:t>
      </w:r>
      <w:r>
        <w:rPr>
          <w:rFonts w:ascii="宋体" w:hAnsi="宋体"/>
          <w:color w:val="auto"/>
          <w:sz w:val="24"/>
          <w:highlight w:val="none"/>
          <w:u w:val="single"/>
        </w:rPr>
        <w:t>3</w:t>
      </w:r>
      <w:r>
        <w:rPr>
          <w:rFonts w:hint="eastAsia" w:ascii="宋体" w:hAnsi="宋体"/>
          <w:color w:val="auto"/>
          <w:sz w:val="24"/>
          <w:highlight w:val="none"/>
          <w:u w:val="single"/>
        </w:rPr>
        <w:t xml:space="preserve">  </w:t>
      </w:r>
      <w:r>
        <w:rPr>
          <w:rFonts w:ascii="宋体" w:hAnsi="宋体"/>
          <w:color w:val="auto"/>
          <w:sz w:val="24"/>
          <w:highlight w:val="none"/>
        </w:rPr>
        <w:t>%的扣除，用扣除后的价格参加评审。</w:t>
      </w:r>
    </w:p>
    <w:p w14:paraId="7472D72D">
      <w:pPr>
        <w:numPr>
          <w:ilvl w:val="2"/>
          <w:numId w:val="21"/>
        </w:numPr>
        <w:tabs>
          <w:tab w:val="left" w:pos="1080"/>
          <w:tab w:val="left" w:pos="1589"/>
          <w:tab w:val="left" w:pos="2035"/>
        </w:tabs>
        <w:snapToGrid w:val="0"/>
        <w:spacing w:line="360" w:lineRule="auto"/>
        <w:rPr>
          <w:rFonts w:ascii="宋体" w:hAnsi="宋体" w:cs="宋体"/>
          <w:color w:val="auto"/>
          <w:sz w:val="24"/>
          <w:highlight w:val="none"/>
        </w:rPr>
      </w:pPr>
      <w:r>
        <w:rPr>
          <w:rFonts w:hint="eastAsia" w:ascii="宋体" w:hAnsi="宋体"/>
          <w:color w:val="auto"/>
          <w:sz w:val="24"/>
          <w:highlight w:val="none"/>
        </w:rPr>
        <w:t>对</w:t>
      </w:r>
      <w:r>
        <w:rPr>
          <w:rFonts w:ascii="宋体" w:hAnsi="宋体"/>
          <w:color w:val="auto"/>
          <w:sz w:val="24"/>
          <w:highlight w:val="none"/>
        </w:rPr>
        <w:t>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w:t>
      </w:r>
      <w:r>
        <w:rPr>
          <w:rFonts w:ascii="宋体" w:hAnsi="宋体"/>
          <w:color w:val="auto"/>
          <w:sz w:val="24"/>
          <w:highlight w:val="none"/>
          <w:u w:val="single"/>
        </w:rPr>
        <w:t xml:space="preserve">1 </w:t>
      </w:r>
      <w:r>
        <w:rPr>
          <w:rFonts w:ascii="宋体" w:hAnsi="宋体"/>
          <w:color w:val="auto"/>
          <w:sz w:val="24"/>
          <w:highlight w:val="none"/>
        </w:rPr>
        <w:t>_%的扣除，用扣除后的价格参加评审。</w:t>
      </w:r>
    </w:p>
    <w:p w14:paraId="74B5C804">
      <w:pPr>
        <w:numPr>
          <w:ilvl w:val="2"/>
          <w:numId w:val="21"/>
        </w:numPr>
        <w:shd w:val="clear" w:color="auto" w:fill="FFFFFF"/>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组成联合体或者接受分包的小微企业与联合体内其他企业、分包企业之间存在直接控股、管理关系的，不享受价格扣除优惠政策。</w:t>
      </w:r>
    </w:p>
    <w:p w14:paraId="7CC7263A">
      <w:pPr>
        <w:numPr>
          <w:ilvl w:val="2"/>
          <w:numId w:val="21"/>
        </w:numPr>
        <w:shd w:val="clear" w:color="auto" w:fill="FFFFFF"/>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价格扣除比例对小型企业和微型企业同等对待，不作区分。</w:t>
      </w:r>
    </w:p>
    <w:p w14:paraId="7F128B1C">
      <w:pPr>
        <w:numPr>
          <w:ilvl w:val="2"/>
          <w:numId w:val="21"/>
        </w:numPr>
        <w:shd w:val="clear" w:color="auto" w:fill="FFFFFF"/>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中小企业参加政府采购活动，应当按照竞争性磋商文件给定的格式出具《中小企业声明函》，否则不得享受相关中小企业扶持政策。</w:t>
      </w:r>
    </w:p>
    <w:p w14:paraId="056F9DBF">
      <w:pPr>
        <w:numPr>
          <w:ilvl w:val="2"/>
          <w:numId w:val="21"/>
        </w:numPr>
        <w:shd w:val="clear" w:color="auto" w:fill="FFFFFF"/>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监狱企业提供了由省级以上监狱管理局、戒毒管理局（含新疆生产建设兵团）出具的属于监狱企业的证明文件的，视同小微企业。</w:t>
      </w:r>
    </w:p>
    <w:p w14:paraId="26036382">
      <w:pPr>
        <w:numPr>
          <w:ilvl w:val="2"/>
          <w:numId w:val="21"/>
        </w:numPr>
        <w:shd w:val="clear" w:color="auto" w:fill="FFFFFF"/>
        <w:tabs>
          <w:tab w:val="left" w:pos="1080"/>
          <w:tab w:val="left" w:pos="1589"/>
          <w:tab w:val="left" w:pos="2035"/>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残疾人福利性单位按竞争性磋商文件要求提供了《残疾人福利性单位声明函》的，视同小微企业。</w:t>
      </w:r>
    </w:p>
    <w:p w14:paraId="6B0D31C3">
      <w:pPr>
        <w:numPr>
          <w:ilvl w:val="2"/>
          <w:numId w:val="21"/>
        </w:numPr>
        <w:shd w:val="clear" w:color="auto" w:fill="FFFFFF"/>
        <w:tabs>
          <w:tab w:val="left" w:pos="1080"/>
          <w:tab w:val="left" w:pos="1589"/>
          <w:tab w:val="left" w:pos="2014"/>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若供应商同时属于小型或微型企业、监狱企业、残疾人福利性单位中的两种及以上，将不重复享受小微企业价格扣减的优惠政策。</w:t>
      </w:r>
    </w:p>
    <w:p w14:paraId="743B073D">
      <w:pPr>
        <w:numPr>
          <w:ilvl w:val="2"/>
          <w:numId w:val="21"/>
        </w:numPr>
        <w:shd w:val="clear" w:color="auto" w:fill="FFFFFF"/>
        <w:tabs>
          <w:tab w:val="left" w:pos="1080"/>
          <w:tab w:val="left" w:pos="1589"/>
          <w:tab w:val="left" w:pos="2014"/>
        </w:tabs>
        <w:snapToGrid w:val="0"/>
        <w:spacing w:line="360" w:lineRule="auto"/>
        <w:ind w:left="2035"/>
        <w:rPr>
          <w:rFonts w:ascii="宋体" w:hAnsi="宋体" w:cs="宋体"/>
          <w:color w:val="auto"/>
          <w:sz w:val="24"/>
          <w:highlight w:val="none"/>
        </w:rPr>
      </w:pPr>
      <w:r>
        <w:rPr>
          <w:rFonts w:hint="eastAsia" w:ascii="宋体" w:hAnsi="宋体" w:cs="宋体"/>
          <w:color w:val="auto"/>
          <w:sz w:val="24"/>
          <w:highlight w:val="none"/>
        </w:rPr>
        <w:t>其他为落实政府采购政策实施的优先采购：</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1791A3AD">
      <w:pPr>
        <w:numPr>
          <w:ilvl w:val="0"/>
          <w:numId w:val="21"/>
        </w:numPr>
        <w:shd w:val="clear" w:color="auto" w:fill="FFFFFF"/>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磋商环节及提交最后报价后如出现以下情况的，供应商的</w:t>
      </w:r>
      <w:r>
        <w:rPr>
          <w:rFonts w:hint="eastAsia" w:ascii="宋体" w:hAnsi="宋体" w:cs="宋体"/>
          <w:b/>
          <w:color w:val="auto"/>
          <w:sz w:val="24"/>
          <w:highlight w:val="none"/>
        </w:rPr>
        <w:t>响应文件无效</w:t>
      </w:r>
      <w:r>
        <w:rPr>
          <w:rFonts w:hint="eastAsia" w:ascii="宋体" w:hAnsi="宋体" w:cs="宋体"/>
          <w:color w:val="auto"/>
          <w:sz w:val="24"/>
          <w:highlight w:val="none"/>
        </w:rPr>
        <w:t>：</w:t>
      </w:r>
    </w:p>
    <w:p w14:paraId="4940E8B5">
      <w:pPr>
        <w:numPr>
          <w:ilvl w:val="1"/>
          <w:numId w:val="21"/>
        </w:numPr>
        <w:shd w:val="clear" w:color="auto" w:fill="FFFFFF"/>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供应商对实质性变动不予确认的；</w:t>
      </w:r>
    </w:p>
    <w:p w14:paraId="5A2C3ED2">
      <w:pPr>
        <w:numPr>
          <w:ilvl w:val="1"/>
          <w:numId w:val="21"/>
        </w:numPr>
        <w:shd w:val="clear" w:color="auto" w:fill="FFFFFF"/>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不满足磋商文件★号条款或磋商文件技术指标超出磋商文件《采购需求》中主要技术参数允许偏差的最大范围的（如有）；</w:t>
      </w:r>
    </w:p>
    <w:p w14:paraId="6E72DAAC">
      <w:pPr>
        <w:numPr>
          <w:ilvl w:val="1"/>
          <w:numId w:val="21"/>
        </w:numPr>
        <w:shd w:val="clear" w:color="auto" w:fill="FFFFFF"/>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未按照磋商小组规定的时间、逾期提交最后报价的；</w:t>
      </w:r>
    </w:p>
    <w:p w14:paraId="473BF743">
      <w:pPr>
        <w:numPr>
          <w:ilvl w:val="1"/>
          <w:numId w:val="21"/>
        </w:numPr>
        <w:shd w:val="clear" w:color="auto" w:fill="FFFFFF"/>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如供应商的最后报价超过竞争性磋商文件中规定的项目/采购包预算金额或者项目/采购包最高限价的；</w:t>
      </w:r>
    </w:p>
    <w:p w14:paraId="6289AC11">
      <w:pPr>
        <w:numPr>
          <w:ilvl w:val="1"/>
          <w:numId w:val="21"/>
        </w:numPr>
        <w:shd w:val="clear" w:color="auto" w:fill="FFFFFF"/>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响应文件中出现可选择性或可调整的报价的（竞争性磋商文件另有规定的除外）；</w:t>
      </w:r>
    </w:p>
    <w:p w14:paraId="569AE323">
      <w:pPr>
        <w:numPr>
          <w:ilvl w:val="1"/>
          <w:numId w:val="21"/>
        </w:numPr>
        <w:shd w:val="clear" w:color="auto" w:fill="FFFFFF"/>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最后报价出现前后不一致，供应商对修正后的报价不予确认的；</w:t>
      </w:r>
    </w:p>
    <w:p w14:paraId="0F08A330">
      <w:pPr>
        <w:numPr>
          <w:ilvl w:val="1"/>
          <w:numId w:val="21"/>
        </w:numPr>
        <w:shd w:val="clear" w:color="auto" w:fill="FFFFFF"/>
        <w:tabs>
          <w:tab w:val="left" w:pos="1080"/>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其他：</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bookmarkEnd w:id="618"/>
    <w:bookmarkEnd w:id="619"/>
    <w:p w14:paraId="59692A60">
      <w:pPr>
        <w:numPr>
          <w:ilvl w:val="0"/>
          <w:numId w:val="21"/>
        </w:numPr>
        <w:shd w:val="clear" w:color="auto" w:fill="FFFFFF"/>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评审方法和评审标准</w:t>
      </w:r>
    </w:p>
    <w:p w14:paraId="328B78B9">
      <w:pPr>
        <w:numPr>
          <w:ilvl w:val="1"/>
          <w:numId w:val="21"/>
        </w:numPr>
        <w:shd w:val="clear" w:color="auto" w:fill="FFFFFF"/>
        <w:tabs>
          <w:tab w:val="left" w:pos="1080"/>
          <w:tab w:val="left" w:pos="1872"/>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BA30E80">
      <w:pPr>
        <w:numPr>
          <w:ilvl w:val="1"/>
          <w:numId w:val="21"/>
        </w:numPr>
        <w:shd w:val="clear" w:color="auto" w:fill="FFFFFF"/>
        <w:tabs>
          <w:tab w:val="left" w:pos="1080"/>
          <w:tab w:val="left" w:pos="1872"/>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竞争性磋商文件中没有规定的评审标准不得作为评审依据。</w:t>
      </w:r>
    </w:p>
    <w:p w14:paraId="29700E4E">
      <w:pPr>
        <w:numPr>
          <w:ilvl w:val="1"/>
          <w:numId w:val="21"/>
        </w:numPr>
        <w:shd w:val="clear" w:color="auto" w:fill="FFFFFF"/>
        <w:tabs>
          <w:tab w:val="left" w:pos="1080"/>
          <w:tab w:val="left" w:pos="1872"/>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非政府强制采购的节能产品或环境标志产品，依据品目清单和认证证书实施政府优先采购。优先采购的具体规定（如涉及）</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p>
    <w:p w14:paraId="4AE19CF4">
      <w:pPr>
        <w:numPr>
          <w:ilvl w:val="0"/>
          <w:numId w:val="21"/>
        </w:numPr>
        <w:shd w:val="clear" w:color="auto" w:fill="FFFFFF"/>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确定</w:t>
      </w:r>
      <w:bookmarkStart w:id="635" w:name="_Toc305158888"/>
      <w:bookmarkStart w:id="636" w:name="_Toc149720839"/>
      <w:bookmarkStart w:id="637" w:name="_Toc150480784"/>
      <w:bookmarkStart w:id="638" w:name="_Toc150774751"/>
      <w:bookmarkStart w:id="639" w:name="_Toc151193860"/>
      <w:bookmarkStart w:id="640" w:name="_Toc164229241"/>
      <w:bookmarkStart w:id="641" w:name="_Toc226965819"/>
      <w:bookmarkStart w:id="642" w:name="_Toc264969236"/>
      <w:bookmarkStart w:id="643" w:name="_Toc151193644"/>
      <w:bookmarkStart w:id="644" w:name="_Toc164608660"/>
      <w:bookmarkStart w:id="645" w:name="_Toc151193934"/>
      <w:bookmarkStart w:id="646" w:name="_Toc150509297"/>
      <w:bookmarkStart w:id="647" w:name="_Toc164351640"/>
      <w:bookmarkStart w:id="648" w:name="_Toc151190173"/>
      <w:bookmarkStart w:id="649" w:name="_Toc151193716"/>
      <w:bookmarkStart w:id="650" w:name="_Toc305158814"/>
      <w:bookmarkStart w:id="651" w:name="_Toc142311048"/>
      <w:bookmarkStart w:id="652" w:name="_Toc195842911"/>
      <w:bookmarkStart w:id="653" w:name="_Toc127161460"/>
      <w:bookmarkStart w:id="654" w:name="_Ref467307010"/>
      <w:bookmarkStart w:id="655" w:name="_Toc127151546"/>
      <w:bookmarkStart w:id="656" w:name="_Toc127151747"/>
      <w:bookmarkStart w:id="657" w:name="_Toc226965736"/>
      <w:bookmarkStart w:id="658" w:name="_Toc265228384"/>
      <w:bookmarkStart w:id="659" w:name="_Toc151193788"/>
      <w:bookmarkStart w:id="660" w:name="_Toc164608815"/>
      <w:bookmarkStart w:id="661" w:name="_Toc150774646"/>
      <w:bookmarkStart w:id="662" w:name="_Toc226309790"/>
      <w:bookmarkStart w:id="663" w:name="_Toc164229387"/>
      <w:bookmarkStart w:id="664" w:name="_Toc226337242"/>
      <w:bookmarkStart w:id="665" w:name="_Toc520356170"/>
      <w:r>
        <w:rPr>
          <w:rFonts w:hint="eastAsia" w:ascii="宋体" w:hAnsi="宋体" w:cs="宋体"/>
          <w:color w:val="auto"/>
          <w:sz w:val="24"/>
          <w:highlight w:val="none"/>
        </w:rPr>
        <w:t>成交候选人名单</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p>
    <w:p w14:paraId="4C4F1595">
      <w:pPr>
        <w:numPr>
          <w:ilvl w:val="1"/>
          <w:numId w:val="21"/>
        </w:numPr>
        <w:shd w:val="clear" w:color="auto" w:fill="FFFFFF"/>
        <w:tabs>
          <w:tab w:val="left" w:pos="1080"/>
          <w:tab w:val="left" w:pos="1872"/>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10FBBFE9">
      <w:pPr>
        <w:numPr>
          <w:ilvl w:val="1"/>
          <w:numId w:val="21"/>
        </w:numPr>
        <w:shd w:val="clear" w:color="auto" w:fill="FFFFFF"/>
        <w:tabs>
          <w:tab w:val="left" w:pos="1080"/>
          <w:tab w:val="left" w:pos="1872"/>
        </w:tabs>
        <w:snapToGrid w:val="0"/>
        <w:spacing w:line="360" w:lineRule="auto"/>
        <w:ind w:left="1077" w:hanging="720"/>
        <w:rPr>
          <w:rFonts w:ascii="宋体" w:hAnsi="宋体" w:cs="宋体"/>
          <w:color w:val="auto"/>
          <w:sz w:val="24"/>
          <w:highlight w:val="none"/>
        </w:rPr>
      </w:pPr>
      <w:r>
        <w:rPr>
          <w:rFonts w:hint="eastAsia" w:ascii="宋体" w:hAnsi="宋体" w:cs="宋体"/>
          <w:color w:val="auto"/>
          <w:kern w:val="0"/>
          <w:sz w:val="24"/>
          <w:szCs w:val="20"/>
          <w:highlight w:val="none"/>
        </w:rPr>
        <w:t>磋商小组根据上述供应商排序，依次推荐排序前</w:t>
      </w:r>
      <w:r>
        <w:rPr>
          <w:rFonts w:hint="eastAsia" w:ascii="宋体" w:hAnsi="宋体" w:cs="宋体"/>
          <w:color w:val="auto"/>
          <w:sz w:val="24"/>
          <w:highlight w:val="none"/>
          <w:u w:val="single"/>
        </w:rPr>
        <w:t xml:space="preserve">  3  </w:t>
      </w:r>
      <w:r>
        <w:rPr>
          <w:rFonts w:hint="eastAsia" w:ascii="宋体" w:hAnsi="宋体" w:cs="宋体"/>
          <w:color w:val="auto"/>
          <w:sz w:val="24"/>
          <w:highlight w:val="none"/>
        </w:rPr>
        <w:t>名</w:t>
      </w:r>
      <w:r>
        <w:rPr>
          <w:rFonts w:hint="eastAsia" w:ascii="宋体" w:hAnsi="宋体" w:cs="宋体"/>
          <w:color w:val="auto"/>
          <w:kern w:val="0"/>
          <w:sz w:val="24"/>
          <w:szCs w:val="20"/>
          <w:highlight w:val="none"/>
        </w:rPr>
        <w:t>的供应商为</w:t>
      </w:r>
      <w:r>
        <w:rPr>
          <w:rFonts w:hint="eastAsia" w:ascii="宋体" w:hAnsi="宋体" w:cs="宋体"/>
          <w:snapToGrid w:val="0"/>
          <w:color w:val="auto"/>
          <w:kern w:val="0"/>
          <w:sz w:val="24"/>
          <w:szCs w:val="21"/>
          <w:highlight w:val="none"/>
        </w:rPr>
        <w:t>成交候选供应商</w:t>
      </w:r>
      <w:r>
        <w:rPr>
          <w:rFonts w:hint="eastAsia" w:ascii="宋体" w:hAnsi="宋体" w:cs="宋体"/>
          <w:color w:val="auto"/>
          <w:kern w:val="0"/>
          <w:sz w:val="24"/>
          <w:szCs w:val="20"/>
          <w:highlight w:val="none"/>
        </w:rPr>
        <w:t>（若在磋商文件允许的情形下提交最后报价的供应商为二家，则依次推荐二名供应商为成交候选供应商），并编写评审报告。</w:t>
      </w:r>
    </w:p>
    <w:p w14:paraId="24FE0BC3">
      <w:pPr>
        <w:numPr>
          <w:ilvl w:val="1"/>
          <w:numId w:val="21"/>
        </w:numPr>
        <w:shd w:val="clear" w:color="auto" w:fill="FFFFFF"/>
        <w:tabs>
          <w:tab w:val="left" w:pos="1080"/>
          <w:tab w:val="left" w:pos="1872"/>
        </w:tabs>
        <w:snapToGrid w:val="0"/>
        <w:spacing w:line="360" w:lineRule="auto"/>
        <w:ind w:left="1077" w:hanging="720"/>
        <w:rPr>
          <w:rFonts w:ascii="宋体" w:hAnsi="宋体" w:cs="宋体"/>
          <w:color w:val="auto"/>
          <w:sz w:val="24"/>
          <w:highlight w:val="none"/>
        </w:rPr>
      </w:pPr>
      <w:r>
        <w:rPr>
          <w:rFonts w:hint="eastAsia" w:ascii="宋体" w:hAnsi="宋体" w:cs="宋体"/>
          <w:color w:val="auto"/>
          <w:sz w:val="24"/>
          <w:highlight w:val="none"/>
        </w:rPr>
        <w:t>磋商小组要对评分汇总情况进行复核，特别是对排名第一的、报价最低的、响应文件被认定为无效的情形进行重点复核。</w:t>
      </w:r>
    </w:p>
    <w:p w14:paraId="41160192">
      <w:pPr>
        <w:numPr>
          <w:ilvl w:val="0"/>
          <w:numId w:val="21"/>
        </w:numPr>
        <w:shd w:val="clear" w:color="auto" w:fill="FFFFFF"/>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报告违法行为</w:t>
      </w:r>
    </w:p>
    <w:p w14:paraId="04470DB1">
      <w:pPr>
        <w:widowControl/>
        <w:numPr>
          <w:ilvl w:val="1"/>
          <w:numId w:val="21"/>
        </w:numPr>
        <w:shd w:val="clear" w:color="auto" w:fill="FFFFFF"/>
        <w:tabs>
          <w:tab w:val="left" w:pos="1080"/>
          <w:tab w:val="left" w:pos="1872"/>
        </w:tabs>
        <w:snapToGrid w:val="0"/>
        <w:spacing w:line="360" w:lineRule="auto"/>
        <w:ind w:left="1077" w:hanging="720"/>
        <w:jc w:val="left"/>
        <w:rPr>
          <w:rFonts w:ascii="宋体" w:hAnsi="宋体" w:cs="宋体"/>
          <w:b/>
          <w:color w:val="auto"/>
          <w:sz w:val="24"/>
          <w:highlight w:val="none"/>
        </w:rPr>
      </w:pPr>
      <w:r>
        <w:rPr>
          <w:rFonts w:hint="eastAsia" w:ascii="宋体" w:hAnsi="宋体" w:cs="宋体"/>
          <w:color w:val="auto"/>
          <w:sz w:val="24"/>
          <w:highlight w:val="none"/>
        </w:rPr>
        <w:t>磋商小组在评审过程中发现供应商有行贿、提供虚假材料或者串通等违法行为时，应当及时向财政部门报告。</w:t>
      </w:r>
      <w:r>
        <w:rPr>
          <w:rFonts w:hint="eastAsia" w:ascii="宋体" w:hAnsi="宋体" w:cs="宋体"/>
          <w:b/>
          <w:color w:val="auto"/>
          <w:sz w:val="24"/>
          <w:highlight w:val="none"/>
        </w:rPr>
        <w:br w:type="page"/>
      </w:r>
    </w:p>
    <w:p w14:paraId="34E4F600">
      <w:pPr>
        <w:pStyle w:val="4"/>
        <w:numPr>
          <w:ilvl w:val="0"/>
          <w:numId w:val="22"/>
        </w:numPr>
        <w:shd w:val="clear" w:color="auto" w:fill="FFFFFF"/>
        <w:spacing w:before="0"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评审标准</w:t>
      </w:r>
    </w:p>
    <w:p w14:paraId="4EBE2867">
      <w:pPr>
        <w:tabs>
          <w:tab w:val="left" w:pos="540"/>
        </w:tabs>
        <w:rPr>
          <w:rFonts w:cs="宋体" w:asciiTheme="minorEastAsia" w:hAnsiTheme="minorEastAsia" w:eastAsiaTheme="minorEastAsia"/>
          <w:b/>
          <w:color w:val="auto"/>
          <w:sz w:val="24"/>
          <w:highlight w:val="none"/>
        </w:rPr>
      </w:pPr>
      <w:r>
        <w:rPr>
          <w:rFonts w:cs="宋体" w:asciiTheme="minorEastAsia" w:hAnsiTheme="minorEastAsia" w:eastAsiaTheme="minorEastAsia"/>
          <w:b/>
          <w:color w:val="auto"/>
          <w:sz w:val="24"/>
          <w:highlight w:val="none"/>
        </w:rPr>
        <w:t>1、价格评分标准</w:t>
      </w:r>
    </w:p>
    <w:p w14:paraId="7020DF6A">
      <w:pPr>
        <w:tabs>
          <w:tab w:val="left" w:pos="540"/>
        </w:tabs>
        <w:ind w:left="613" w:firstLine="105"/>
        <w:rPr>
          <w:rFonts w:cs="宋体" w:asciiTheme="minorEastAsia" w:hAnsiTheme="minorEastAsia" w:eastAsiaTheme="minorEastAsia"/>
          <w:b/>
          <w:color w:val="auto"/>
          <w:sz w:val="24"/>
          <w:highlight w:val="none"/>
        </w:rPr>
      </w:pPr>
    </w:p>
    <w:tbl>
      <w:tblPr>
        <w:tblStyle w:val="83"/>
        <w:tblW w:w="89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8"/>
        <w:gridCol w:w="2130"/>
        <w:gridCol w:w="655"/>
        <w:gridCol w:w="5545"/>
      </w:tblGrid>
      <w:tr w14:paraId="39179C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668" w:type="dxa"/>
            <w:vAlign w:val="center"/>
          </w:tcPr>
          <w:p w14:paraId="3827EA35">
            <w:pPr>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2130" w:type="dxa"/>
            <w:vAlign w:val="center"/>
          </w:tcPr>
          <w:p w14:paraId="6E50C11A">
            <w:pPr>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评审因素</w:t>
            </w:r>
          </w:p>
        </w:tc>
        <w:tc>
          <w:tcPr>
            <w:tcW w:w="655" w:type="dxa"/>
            <w:vAlign w:val="center"/>
          </w:tcPr>
          <w:p w14:paraId="2B0CF816">
            <w:pPr>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分值</w:t>
            </w:r>
          </w:p>
        </w:tc>
        <w:tc>
          <w:tcPr>
            <w:tcW w:w="5545" w:type="dxa"/>
            <w:vAlign w:val="center"/>
          </w:tcPr>
          <w:p w14:paraId="2B961E5D">
            <w:pPr>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评分标准说明</w:t>
            </w:r>
          </w:p>
        </w:tc>
      </w:tr>
      <w:tr w14:paraId="4B7C86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15" w:hRule="atLeast"/>
          <w:jc w:val="center"/>
        </w:trPr>
        <w:tc>
          <w:tcPr>
            <w:tcW w:w="668" w:type="dxa"/>
            <w:vAlign w:val="center"/>
          </w:tcPr>
          <w:p w14:paraId="59D6A008">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2130" w:type="dxa"/>
            <w:vAlign w:val="center"/>
          </w:tcPr>
          <w:p w14:paraId="19C6439A">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价格分</w:t>
            </w:r>
          </w:p>
        </w:tc>
        <w:tc>
          <w:tcPr>
            <w:tcW w:w="655" w:type="dxa"/>
            <w:vAlign w:val="center"/>
          </w:tcPr>
          <w:p w14:paraId="661C259D">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15</w:t>
            </w:r>
          </w:p>
        </w:tc>
        <w:tc>
          <w:tcPr>
            <w:tcW w:w="5545" w:type="dxa"/>
            <w:vAlign w:val="center"/>
          </w:tcPr>
          <w:p w14:paraId="60DBDA7D">
            <w:pPr>
              <w:spacing w:line="360" w:lineRule="auto"/>
              <w:rPr>
                <w:rFonts w:asciiTheme="minorEastAsia" w:hAnsiTheme="minorEastAsia" w:eastAsiaTheme="minorEastAsia"/>
                <w:b/>
                <w:color w:val="auto"/>
                <w:sz w:val="24"/>
                <w:highlight w:val="none"/>
              </w:rPr>
            </w:pPr>
            <w:r>
              <w:rPr>
                <w:rFonts w:asciiTheme="minorEastAsia" w:hAnsiTheme="minorEastAsia" w:eastAsiaTheme="minorEastAsia"/>
                <w:color w:val="auto"/>
                <w:sz w:val="24"/>
                <w:highlight w:val="none"/>
              </w:rPr>
              <w:t>1、价格分统一采用低价优先法计算即满足竞争性磋商文件要求且投标价格最低的有效响应报价（即除低于成本报价以外的所有报价）为评审基准价，其价格分为满分。</w:t>
            </w:r>
            <w:r>
              <w:rPr>
                <w:rFonts w:hint="eastAsia" w:asciiTheme="minorEastAsia" w:hAnsiTheme="minorEastAsia" w:eastAsiaTheme="minorEastAsia"/>
                <w:b/>
                <w:color w:val="auto"/>
                <w:sz w:val="24"/>
                <w:highlight w:val="none"/>
              </w:rPr>
              <w:t>磋商小组有权判定明显低于成本的报价是无效报价，经磋商小组判定供应商的报价为无效报价的，将不计入评审基准价计算。</w:t>
            </w:r>
          </w:p>
          <w:p w14:paraId="6D59E12C">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2、其他供应商的价格分统一按照以下公式计算：</w:t>
            </w:r>
          </w:p>
          <w:p w14:paraId="2C20472D">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响应报价得分</w:t>
            </w:r>
            <w:r>
              <w:rPr>
                <w:rFonts w:asciiTheme="minorEastAsia" w:hAnsiTheme="minorEastAsia" w:eastAsiaTheme="minorEastAsia"/>
                <w:color w:val="auto"/>
                <w:sz w:val="24"/>
                <w:highlight w:val="none"/>
              </w:rPr>
              <w:t>=（评审基准价/响应报价）×15</w:t>
            </w:r>
          </w:p>
          <w:p w14:paraId="6D575C4A">
            <w:pPr>
              <w:spacing w:line="360" w:lineRule="auto"/>
              <w:rPr>
                <w:rFonts w:asciiTheme="minorEastAsia" w:hAnsiTheme="minorEastAsia" w:eastAsiaTheme="minorEastAsia"/>
                <w:b/>
                <w:bCs/>
                <w:color w:val="auto"/>
                <w:sz w:val="24"/>
                <w:highlight w:val="none"/>
              </w:rPr>
            </w:pPr>
            <w:r>
              <w:rPr>
                <w:rFonts w:asciiTheme="minorEastAsia" w:hAnsiTheme="minorEastAsia" w:eastAsiaTheme="minorEastAsia"/>
                <w:b/>
                <w:bCs/>
                <w:color w:val="auto"/>
                <w:sz w:val="24"/>
                <w:highlight w:val="none"/>
              </w:rPr>
              <w:t>3、最低报价不作为成交的保证；且供应商报价明显不合理、过低或明显低于成本报价的，有可能</w:t>
            </w:r>
            <w:r>
              <w:rPr>
                <w:rFonts w:hint="eastAsia" w:asciiTheme="minorEastAsia" w:hAnsiTheme="minorEastAsia" w:eastAsiaTheme="minorEastAsia"/>
                <w:b/>
                <w:color w:val="auto"/>
                <w:sz w:val="24"/>
                <w:highlight w:val="none"/>
              </w:rPr>
              <w:t>经磋商小组判定供应商的报价为无效报价，不可再参与后续评审</w:t>
            </w:r>
          </w:p>
        </w:tc>
      </w:tr>
      <w:tr w14:paraId="065406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2798" w:type="dxa"/>
            <w:gridSpan w:val="2"/>
            <w:vAlign w:val="center"/>
          </w:tcPr>
          <w:p w14:paraId="032DCFC6">
            <w:pPr>
              <w:spacing w:before="120" w:beforeLines="50"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合计</w:t>
            </w:r>
          </w:p>
        </w:tc>
        <w:tc>
          <w:tcPr>
            <w:tcW w:w="6200" w:type="dxa"/>
            <w:gridSpan w:val="2"/>
            <w:vAlign w:val="center"/>
          </w:tcPr>
          <w:p w14:paraId="0F8898A1">
            <w:pPr>
              <w:spacing w:before="120" w:beforeLines="50"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满分</w:t>
            </w:r>
            <w:r>
              <w:rPr>
                <w:rFonts w:asciiTheme="minorEastAsia" w:hAnsiTheme="minorEastAsia" w:eastAsiaTheme="minorEastAsia"/>
                <w:b/>
                <w:color w:val="auto"/>
                <w:sz w:val="24"/>
                <w:highlight w:val="none"/>
              </w:rPr>
              <w:t>15</w:t>
            </w:r>
          </w:p>
        </w:tc>
      </w:tr>
    </w:tbl>
    <w:p w14:paraId="6092B475">
      <w:pPr>
        <w:tabs>
          <w:tab w:val="left" w:pos="540"/>
        </w:tabs>
        <w:ind w:left="613" w:leftChars="292" w:firstLine="120" w:firstLineChars="50"/>
        <w:rPr>
          <w:rFonts w:cs="宋体" w:asciiTheme="minorEastAsia" w:hAnsiTheme="minorEastAsia" w:eastAsiaTheme="minorEastAsia"/>
          <w:b/>
          <w:color w:val="auto"/>
          <w:sz w:val="24"/>
          <w:highlight w:val="none"/>
        </w:rPr>
      </w:pPr>
    </w:p>
    <w:p w14:paraId="7721D0C1">
      <w:pPr>
        <w:tabs>
          <w:tab w:val="left" w:pos="540"/>
        </w:tabs>
        <w:ind w:left="613" w:leftChars="292" w:firstLine="120" w:firstLineChars="50"/>
        <w:rPr>
          <w:rFonts w:cs="宋体" w:asciiTheme="minorEastAsia" w:hAnsiTheme="minorEastAsia" w:eastAsiaTheme="minorEastAsia"/>
          <w:b/>
          <w:color w:val="auto"/>
          <w:sz w:val="24"/>
          <w:highlight w:val="none"/>
        </w:rPr>
      </w:pPr>
    </w:p>
    <w:p w14:paraId="67527DAA">
      <w:pPr>
        <w:tabs>
          <w:tab w:val="left" w:pos="540"/>
        </w:tabs>
        <w:rPr>
          <w:rFonts w:cs="宋体" w:asciiTheme="minorEastAsia" w:hAnsiTheme="minorEastAsia" w:eastAsiaTheme="minorEastAsia"/>
          <w:b/>
          <w:color w:val="auto"/>
          <w:sz w:val="24"/>
          <w:highlight w:val="none"/>
        </w:rPr>
      </w:pPr>
      <w:r>
        <w:rPr>
          <w:rFonts w:cs="宋体" w:asciiTheme="minorEastAsia" w:hAnsiTheme="minorEastAsia" w:eastAsiaTheme="minorEastAsia"/>
          <w:b/>
          <w:color w:val="auto"/>
          <w:sz w:val="24"/>
          <w:highlight w:val="none"/>
        </w:rPr>
        <w:t>2、商务评分标准</w:t>
      </w:r>
    </w:p>
    <w:p w14:paraId="62ABBED8">
      <w:pPr>
        <w:tabs>
          <w:tab w:val="left" w:pos="540"/>
        </w:tabs>
        <w:ind w:left="613" w:leftChars="292" w:firstLine="120" w:firstLineChars="50"/>
        <w:rPr>
          <w:rFonts w:cs="宋体" w:asciiTheme="minorEastAsia" w:hAnsiTheme="minorEastAsia" w:eastAsiaTheme="minorEastAsia"/>
          <w:b/>
          <w:color w:val="auto"/>
          <w:sz w:val="24"/>
          <w:highlight w:val="none"/>
        </w:rPr>
      </w:pPr>
    </w:p>
    <w:tbl>
      <w:tblPr>
        <w:tblStyle w:val="83"/>
        <w:tblW w:w="900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2091"/>
        <w:gridCol w:w="709"/>
        <w:gridCol w:w="5493"/>
      </w:tblGrid>
      <w:tr w14:paraId="481A2BE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709" w:type="dxa"/>
            <w:vAlign w:val="center"/>
          </w:tcPr>
          <w:p w14:paraId="71C5475F">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序号</w:t>
            </w:r>
          </w:p>
        </w:tc>
        <w:tc>
          <w:tcPr>
            <w:tcW w:w="2091" w:type="dxa"/>
            <w:vAlign w:val="center"/>
          </w:tcPr>
          <w:p w14:paraId="384FFEB9">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评审因素</w:t>
            </w:r>
          </w:p>
        </w:tc>
        <w:tc>
          <w:tcPr>
            <w:tcW w:w="709" w:type="dxa"/>
            <w:vAlign w:val="center"/>
          </w:tcPr>
          <w:p w14:paraId="6FEBD8BE">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分值</w:t>
            </w:r>
          </w:p>
        </w:tc>
        <w:tc>
          <w:tcPr>
            <w:tcW w:w="5493" w:type="dxa"/>
            <w:vAlign w:val="center"/>
          </w:tcPr>
          <w:p w14:paraId="45E6F38C">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评分标准说明</w:t>
            </w:r>
          </w:p>
        </w:tc>
      </w:tr>
      <w:tr w14:paraId="4E624E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709" w:type="dxa"/>
            <w:vAlign w:val="center"/>
          </w:tcPr>
          <w:p w14:paraId="2F1257C4">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1</w:t>
            </w:r>
          </w:p>
        </w:tc>
        <w:tc>
          <w:tcPr>
            <w:tcW w:w="2091" w:type="dxa"/>
            <w:vAlign w:val="center"/>
          </w:tcPr>
          <w:p w14:paraId="6DBDCBCC">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项目经理</w:t>
            </w:r>
          </w:p>
        </w:tc>
        <w:tc>
          <w:tcPr>
            <w:tcW w:w="709" w:type="dxa"/>
            <w:vAlign w:val="center"/>
          </w:tcPr>
          <w:p w14:paraId="254049E5">
            <w:pPr>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5493" w:type="dxa"/>
            <w:vAlign w:val="center"/>
          </w:tcPr>
          <w:p w14:paraId="2E5FA88A">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bCs/>
                <w:color w:val="auto"/>
                <w:sz w:val="24"/>
                <w:highlight w:val="none"/>
              </w:rPr>
              <w:t>拟派项目经理具有</w:t>
            </w:r>
            <w:r>
              <w:rPr>
                <w:rFonts w:asciiTheme="minorEastAsia" w:hAnsiTheme="minorEastAsia" w:eastAsiaTheme="minorEastAsia"/>
                <w:bCs/>
                <w:color w:val="auto"/>
                <w:sz w:val="24"/>
                <w:highlight w:val="none"/>
              </w:rPr>
              <w:t>5年以上工作经验</w:t>
            </w:r>
            <w:r>
              <w:rPr>
                <w:rFonts w:hint="eastAsia" w:asciiTheme="minorEastAsia" w:hAnsiTheme="minorEastAsia" w:eastAsiaTheme="minorEastAsia"/>
                <w:color w:val="auto"/>
                <w:sz w:val="24"/>
                <w:highlight w:val="none"/>
              </w:rPr>
              <w:t>得</w:t>
            </w:r>
            <w:r>
              <w:rPr>
                <w:rFonts w:asciiTheme="minorEastAsia" w:hAnsiTheme="minorEastAsia" w:eastAsiaTheme="minorEastAsia"/>
                <w:color w:val="auto"/>
                <w:sz w:val="24"/>
                <w:highlight w:val="none"/>
              </w:rPr>
              <w:t>2分，具有中级职称以上得</w:t>
            </w:r>
            <w:r>
              <w:rPr>
                <w:rFonts w:hint="eastAsia" w:asciiTheme="minorEastAsia" w:hAnsiTheme="minorEastAsia" w:eastAsiaTheme="minorEastAsia"/>
                <w:color w:val="auto"/>
                <w:sz w:val="24"/>
                <w:highlight w:val="none"/>
              </w:rPr>
              <w:t>2分，需提供证明材料。</w:t>
            </w:r>
          </w:p>
          <w:p w14:paraId="26D18183">
            <w:pPr>
              <w:spacing w:line="360" w:lineRule="auto"/>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拟派项目经理近三年具有类似项目业绩，每提供一项得</w:t>
            </w:r>
            <w:r>
              <w:rPr>
                <w:rFonts w:asciiTheme="minorEastAsia" w:hAnsiTheme="minorEastAsia" w:eastAsiaTheme="minorEastAsia"/>
                <w:color w:val="auto"/>
                <w:sz w:val="24"/>
                <w:highlight w:val="none"/>
              </w:rPr>
              <w:t>1分，最多得3分，需提供能够证明上述项目业绩真实性的</w:t>
            </w:r>
            <w:r>
              <w:rPr>
                <w:rFonts w:hint="eastAsia" w:asciiTheme="minorEastAsia" w:hAnsiTheme="minorEastAsia" w:eastAsiaTheme="minorEastAsia"/>
                <w:color w:val="auto"/>
                <w:sz w:val="24"/>
                <w:highlight w:val="none"/>
              </w:rPr>
              <w:t>合同复印件及</w:t>
            </w:r>
            <w:r>
              <w:rPr>
                <w:rFonts w:hint="eastAsia"/>
                <w:color w:val="auto"/>
                <w:sz w:val="24"/>
                <w:highlight w:val="none"/>
              </w:rPr>
              <w:t>竣工验收单复印件并加盖单位公章</w:t>
            </w:r>
            <w:r>
              <w:rPr>
                <w:rFonts w:hint="eastAsia" w:asciiTheme="minorEastAsia" w:hAnsiTheme="minorEastAsia" w:eastAsiaTheme="minorEastAsia"/>
                <w:color w:val="auto"/>
                <w:sz w:val="24"/>
                <w:highlight w:val="none"/>
              </w:rPr>
              <w:t>。</w:t>
            </w:r>
          </w:p>
        </w:tc>
      </w:tr>
      <w:tr w14:paraId="28FC89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709" w:type="dxa"/>
            <w:vAlign w:val="center"/>
          </w:tcPr>
          <w:p w14:paraId="2C5A977B">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2</w:t>
            </w:r>
          </w:p>
        </w:tc>
        <w:tc>
          <w:tcPr>
            <w:tcW w:w="2091" w:type="dxa"/>
            <w:vAlign w:val="center"/>
          </w:tcPr>
          <w:p w14:paraId="2A721C55">
            <w:pPr>
              <w:spacing w:line="360" w:lineRule="auto"/>
              <w:jc w:val="center"/>
              <w:rPr>
                <w:rFonts w:cs="宋体"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其他主要人员</w:t>
            </w:r>
          </w:p>
        </w:tc>
        <w:tc>
          <w:tcPr>
            <w:tcW w:w="709" w:type="dxa"/>
            <w:vAlign w:val="center"/>
          </w:tcPr>
          <w:p w14:paraId="76B5A9C4">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8</w:t>
            </w:r>
          </w:p>
        </w:tc>
        <w:tc>
          <w:tcPr>
            <w:tcW w:w="5493" w:type="dxa"/>
            <w:vAlign w:val="center"/>
          </w:tcPr>
          <w:p w14:paraId="323EA995">
            <w:pPr>
              <w:spacing w:line="360" w:lineRule="auto"/>
              <w:jc w:val="left"/>
              <w:rPr>
                <w:rFonts w:cs="Arial" w:asciiTheme="minorEastAsia" w:hAnsiTheme="minorEastAsia" w:eastAsiaTheme="minorEastAsia"/>
                <w:color w:val="auto"/>
                <w:sz w:val="24"/>
                <w:highlight w:val="none"/>
              </w:rPr>
            </w:pPr>
            <w:r>
              <w:rPr>
                <w:rFonts w:hint="eastAsia" w:cs="Arial" w:asciiTheme="minorEastAsia" w:hAnsiTheme="minorEastAsia" w:eastAsiaTheme="minorEastAsia"/>
                <w:color w:val="auto"/>
                <w:sz w:val="24"/>
                <w:highlight w:val="none"/>
              </w:rPr>
              <w:t>供应商应</w:t>
            </w:r>
            <w:r>
              <w:rPr>
                <w:rFonts w:cs="Arial" w:asciiTheme="minorEastAsia" w:hAnsiTheme="minorEastAsia" w:eastAsiaTheme="minorEastAsia"/>
                <w:color w:val="auto"/>
                <w:sz w:val="24"/>
                <w:highlight w:val="none"/>
              </w:rPr>
              <w:t>根据</w:t>
            </w:r>
            <w:r>
              <w:rPr>
                <w:rFonts w:hint="eastAsia" w:cs="Arial" w:asciiTheme="minorEastAsia" w:hAnsiTheme="minorEastAsia" w:eastAsiaTheme="minorEastAsia"/>
                <w:color w:val="auto"/>
                <w:sz w:val="24"/>
                <w:highlight w:val="none"/>
              </w:rPr>
              <w:t>项目</w:t>
            </w:r>
            <w:r>
              <w:rPr>
                <w:rFonts w:cs="Arial" w:asciiTheme="minorEastAsia" w:hAnsiTheme="minorEastAsia" w:eastAsiaTheme="minorEastAsia"/>
                <w:color w:val="auto"/>
                <w:sz w:val="24"/>
                <w:highlight w:val="none"/>
              </w:rPr>
              <w:t>特点提供团队</w:t>
            </w:r>
            <w:r>
              <w:rPr>
                <w:rFonts w:hint="eastAsia" w:cs="Arial" w:asciiTheme="minorEastAsia" w:hAnsiTheme="minorEastAsia" w:eastAsiaTheme="minorEastAsia"/>
                <w:color w:val="auto"/>
                <w:sz w:val="24"/>
                <w:highlight w:val="none"/>
              </w:rPr>
              <w:t>人员</w:t>
            </w:r>
            <w:r>
              <w:rPr>
                <w:rFonts w:cs="Arial" w:asciiTheme="minorEastAsia" w:hAnsiTheme="minorEastAsia" w:eastAsiaTheme="minorEastAsia"/>
                <w:color w:val="auto"/>
                <w:sz w:val="24"/>
                <w:highlight w:val="none"/>
              </w:rPr>
              <w:t>，</w:t>
            </w:r>
            <w:r>
              <w:rPr>
                <w:rFonts w:hint="eastAsia" w:cs="Arial" w:asciiTheme="minorEastAsia" w:hAnsiTheme="minorEastAsia" w:eastAsiaTheme="minorEastAsia"/>
                <w:color w:val="auto"/>
                <w:sz w:val="24"/>
                <w:highlight w:val="none"/>
              </w:rPr>
              <w:t>包括但不限于施工管理、质量管理、安全管理、工程建设标准管理、机械管理、材料管理、预算管理、资料管理</w:t>
            </w:r>
            <w:r>
              <w:rPr>
                <w:rFonts w:cs="Arial" w:asciiTheme="minorEastAsia" w:hAnsiTheme="minorEastAsia" w:eastAsiaTheme="minorEastAsia"/>
                <w:color w:val="auto"/>
                <w:sz w:val="24"/>
                <w:highlight w:val="none"/>
              </w:rPr>
              <w:t>等专业</w:t>
            </w:r>
            <w:r>
              <w:rPr>
                <w:rFonts w:hint="eastAsia" w:cs="Arial" w:asciiTheme="minorEastAsia" w:hAnsiTheme="minorEastAsia" w:eastAsiaTheme="minorEastAsia"/>
                <w:color w:val="auto"/>
                <w:sz w:val="24"/>
                <w:highlight w:val="none"/>
              </w:rPr>
              <w:t>。专业齐全，人员配置合理，每有一个专业得</w:t>
            </w:r>
            <w:r>
              <w:rPr>
                <w:rFonts w:cs="Arial" w:asciiTheme="minorEastAsia" w:hAnsiTheme="minorEastAsia" w:eastAsiaTheme="minorEastAsia"/>
                <w:color w:val="auto"/>
                <w:sz w:val="24"/>
                <w:highlight w:val="none"/>
              </w:rPr>
              <w:t>1分，</w:t>
            </w:r>
            <w:r>
              <w:rPr>
                <w:rFonts w:hint="eastAsia" w:cs="宋体" w:asciiTheme="minorEastAsia" w:hAnsiTheme="minorEastAsia" w:eastAsiaTheme="minorEastAsia"/>
                <w:color w:val="auto"/>
                <w:sz w:val="24"/>
                <w:highlight w:val="none"/>
              </w:rPr>
              <w:t>完全满足要求的得</w:t>
            </w:r>
            <w:r>
              <w:rPr>
                <w:rFonts w:cs="宋体" w:asciiTheme="minorEastAsia" w:hAnsiTheme="minorEastAsia" w:eastAsiaTheme="minorEastAsia"/>
                <w:color w:val="auto"/>
                <w:sz w:val="24"/>
                <w:highlight w:val="none"/>
              </w:rPr>
              <w:t>8分，每缺少一项专业扣1分，最低得0分。</w:t>
            </w:r>
          </w:p>
        </w:tc>
      </w:tr>
      <w:tr w14:paraId="286E09B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709" w:type="dxa"/>
            <w:vAlign w:val="center"/>
          </w:tcPr>
          <w:p w14:paraId="7B40558A">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3</w:t>
            </w:r>
          </w:p>
        </w:tc>
        <w:tc>
          <w:tcPr>
            <w:tcW w:w="2091" w:type="dxa"/>
            <w:vAlign w:val="center"/>
          </w:tcPr>
          <w:p w14:paraId="6E1E92EE">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业绩</w:t>
            </w:r>
          </w:p>
        </w:tc>
        <w:tc>
          <w:tcPr>
            <w:tcW w:w="709" w:type="dxa"/>
            <w:vAlign w:val="center"/>
          </w:tcPr>
          <w:p w14:paraId="25F7A1C9">
            <w:pPr>
              <w:spacing w:line="360" w:lineRule="auto"/>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10</w:t>
            </w:r>
          </w:p>
        </w:tc>
        <w:tc>
          <w:tcPr>
            <w:tcW w:w="5493" w:type="dxa"/>
            <w:vAlign w:val="center"/>
          </w:tcPr>
          <w:p w14:paraId="28065019">
            <w:pPr>
              <w:spacing w:line="360" w:lineRule="auto"/>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业绩要求：</w:t>
            </w:r>
            <w:r>
              <w:rPr>
                <w:rFonts w:hint="eastAsia" w:asciiTheme="minorEastAsia" w:hAnsiTheme="minorEastAsia" w:eastAsiaTheme="minorEastAsia"/>
                <w:color w:val="auto"/>
                <w:sz w:val="24"/>
                <w:highlight w:val="none"/>
              </w:rPr>
              <w:t>供应商近三年内承担过类似工程项目</w:t>
            </w:r>
            <w:r>
              <w:rPr>
                <w:rFonts w:hint="eastAsia" w:cs="Arial" w:asciiTheme="minorEastAsia" w:hAnsiTheme="minorEastAsia" w:eastAsiaTheme="minorEastAsia"/>
                <w:color w:val="auto"/>
                <w:sz w:val="24"/>
                <w:highlight w:val="none"/>
              </w:rPr>
              <w:t>业</w:t>
            </w:r>
            <w:r>
              <w:rPr>
                <w:rFonts w:hint="eastAsia" w:asciiTheme="minorEastAsia" w:hAnsiTheme="minorEastAsia" w:eastAsiaTheme="minorEastAsia"/>
                <w:color w:val="auto"/>
                <w:sz w:val="24"/>
                <w:highlight w:val="none"/>
              </w:rPr>
              <w:t>绩，每提供一项</w:t>
            </w:r>
            <w:r>
              <w:rPr>
                <w:rFonts w:asciiTheme="minorEastAsia" w:hAnsiTheme="minorEastAsia" w:eastAsiaTheme="minorEastAsia"/>
                <w:color w:val="auto"/>
                <w:sz w:val="24"/>
                <w:highlight w:val="none"/>
              </w:rPr>
              <w:t>2分，最多10分。</w:t>
            </w:r>
          </w:p>
          <w:p w14:paraId="153B8BC7">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w:t>
            </w:r>
            <w:r>
              <w:rPr>
                <w:rFonts w:asciiTheme="minorEastAsia" w:hAnsiTheme="minorEastAsia" w:eastAsiaTheme="minorEastAsia"/>
                <w:color w:val="auto"/>
                <w:sz w:val="24"/>
                <w:highlight w:val="none"/>
              </w:rPr>
              <w:t>1、供应商必须提供能够证明上述项目业绩真实性的</w:t>
            </w:r>
            <w:r>
              <w:rPr>
                <w:rFonts w:hint="eastAsia" w:asciiTheme="minorEastAsia" w:hAnsiTheme="minorEastAsia" w:eastAsiaTheme="minorEastAsia"/>
                <w:color w:val="auto"/>
                <w:sz w:val="24"/>
                <w:highlight w:val="none"/>
              </w:rPr>
              <w:t>合同复印件及</w:t>
            </w:r>
            <w:r>
              <w:rPr>
                <w:rFonts w:hint="eastAsia"/>
                <w:color w:val="auto"/>
                <w:sz w:val="24"/>
                <w:highlight w:val="none"/>
              </w:rPr>
              <w:t>竣工验收单复印件并加盖单位公章</w:t>
            </w:r>
            <w:r>
              <w:rPr>
                <w:rFonts w:hint="eastAsia" w:asciiTheme="minorEastAsia" w:hAnsiTheme="minorEastAsia" w:eastAsiaTheme="minorEastAsia"/>
                <w:color w:val="auto"/>
                <w:sz w:val="24"/>
                <w:highlight w:val="none"/>
              </w:rPr>
              <w:t>，否则不予认可。</w:t>
            </w:r>
          </w:p>
        </w:tc>
      </w:tr>
      <w:tr w14:paraId="1818E8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05" w:hRule="atLeast"/>
          <w:jc w:val="center"/>
        </w:trPr>
        <w:tc>
          <w:tcPr>
            <w:tcW w:w="2800" w:type="dxa"/>
            <w:gridSpan w:val="2"/>
            <w:vAlign w:val="center"/>
          </w:tcPr>
          <w:p w14:paraId="207782B4">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合计</w:t>
            </w:r>
          </w:p>
        </w:tc>
        <w:tc>
          <w:tcPr>
            <w:tcW w:w="6202" w:type="dxa"/>
            <w:gridSpan w:val="2"/>
            <w:vAlign w:val="center"/>
          </w:tcPr>
          <w:p w14:paraId="23DE0956">
            <w:pPr>
              <w:spacing w:line="360" w:lineRule="auto"/>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满分</w:t>
            </w:r>
            <w:r>
              <w:rPr>
                <w:rFonts w:asciiTheme="minorEastAsia" w:hAnsiTheme="minorEastAsia" w:eastAsiaTheme="minorEastAsia"/>
                <w:b/>
                <w:color w:val="auto"/>
                <w:sz w:val="24"/>
                <w:highlight w:val="none"/>
              </w:rPr>
              <w:t>25</w:t>
            </w:r>
          </w:p>
        </w:tc>
      </w:tr>
    </w:tbl>
    <w:p w14:paraId="0EA8FCE3">
      <w:pPr>
        <w:rPr>
          <w:rFonts w:cs="宋体" w:asciiTheme="minorEastAsia" w:hAnsiTheme="minorEastAsia" w:eastAsiaTheme="minorEastAsia"/>
          <w:b/>
          <w:bCs/>
          <w:color w:val="auto"/>
          <w:sz w:val="24"/>
          <w:highlight w:val="none"/>
        </w:rPr>
      </w:pPr>
    </w:p>
    <w:p w14:paraId="03FA4B36">
      <w:pPr>
        <w:rPr>
          <w:rFonts w:cs="宋体" w:asciiTheme="minorEastAsia" w:hAnsiTheme="minorEastAsia" w:eastAsiaTheme="minorEastAsia"/>
          <w:b/>
          <w:bCs/>
          <w:color w:val="auto"/>
          <w:sz w:val="24"/>
          <w:highlight w:val="none"/>
        </w:rPr>
      </w:pPr>
      <w:r>
        <w:rPr>
          <w:rFonts w:cs="宋体" w:asciiTheme="minorEastAsia" w:hAnsiTheme="minorEastAsia" w:eastAsiaTheme="minorEastAsia"/>
          <w:b/>
          <w:bCs/>
          <w:color w:val="auto"/>
          <w:sz w:val="24"/>
          <w:highlight w:val="none"/>
        </w:rPr>
        <w:t>3、技术评分标准</w:t>
      </w:r>
    </w:p>
    <w:tbl>
      <w:tblPr>
        <w:tblStyle w:val="83"/>
        <w:tblpPr w:leftFromText="180" w:rightFromText="180" w:vertAnchor="text" w:horzAnchor="margin" w:tblpX="-176" w:tblpY="360"/>
        <w:tblW w:w="946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0"/>
        <w:gridCol w:w="1457"/>
        <w:gridCol w:w="675"/>
        <w:gridCol w:w="708"/>
        <w:gridCol w:w="5954"/>
      </w:tblGrid>
      <w:tr w14:paraId="237F31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6" w:hRule="atLeast"/>
        </w:trPr>
        <w:tc>
          <w:tcPr>
            <w:tcW w:w="670" w:type="dxa"/>
            <w:tcBorders>
              <w:top w:val="single" w:color="auto" w:sz="4" w:space="0"/>
              <w:left w:val="single" w:color="auto" w:sz="4" w:space="0"/>
              <w:bottom w:val="single" w:color="auto" w:sz="4" w:space="0"/>
              <w:right w:val="single" w:color="auto" w:sz="4" w:space="0"/>
            </w:tcBorders>
            <w:vAlign w:val="center"/>
          </w:tcPr>
          <w:p w14:paraId="342419AE">
            <w:pPr>
              <w:spacing w:before="60" w:beforeLines="25" w:after="60" w:afterLines="25"/>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1457" w:type="dxa"/>
            <w:tcBorders>
              <w:top w:val="single" w:color="auto" w:sz="4" w:space="0"/>
              <w:left w:val="single" w:color="auto" w:sz="4" w:space="0"/>
              <w:bottom w:val="single" w:color="auto" w:sz="4" w:space="0"/>
              <w:right w:val="single" w:color="auto" w:sz="4" w:space="0"/>
            </w:tcBorders>
            <w:vAlign w:val="center"/>
          </w:tcPr>
          <w:p w14:paraId="67F9F17D">
            <w:pPr>
              <w:spacing w:before="60" w:beforeLines="25" w:after="60" w:afterLines="25"/>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评审因素</w:t>
            </w:r>
          </w:p>
        </w:tc>
        <w:tc>
          <w:tcPr>
            <w:tcW w:w="1383" w:type="dxa"/>
            <w:gridSpan w:val="2"/>
            <w:tcBorders>
              <w:top w:val="single" w:color="auto" w:sz="4" w:space="0"/>
              <w:left w:val="single" w:color="auto" w:sz="4" w:space="0"/>
              <w:bottom w:val="single" w:color="auto" w:sz="4" w:space="0"/>
              <w:right w:val="single" w:color="auto" w:sz="4" w:space="0"/>
            </w:tcBorders>
            <w:vAlign w:val="center"/>
          </w:tcPr>
          <w:p w14:paraId="7AB23AF9">
            <w:pPr>
              <w:spacing w:before="60" w:beforeLines="25" w:after="60" w:afterLines="25"/>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分值</w:t>
            </w:r>
          </w:p>
        </w:tc>
        <w:tc>
          <w:tcPr>
            <w:tcW w:w="5954" w:type="dxa"/>
            <w:tcBorders>
              <w:top w:val="single" w:color="auto" w:sz="4" w:space="0"/>
              <w:left w:val="single" w:color="auto" w:sz="4" w:space="0"/>
              <w:bottom w:val="single" w:color="auto" w:sz="4" w:space="0"/>
            </w:tcBorders>
            <w:vAlign w:val="center"/>
          </w:tcPr>
          <w:p w14:paraId="228D583F">
            <w:pPr>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评分标准</w:t>
            </w:r>
          </w:p>
        </w:tc>
      </w:tr>
      <w:tr w14:paraId="74F887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top w:val="single" w:color="auto" w:sz="4" w:space="0"/>
              <w:left w:val="single" w:color="auto" w:sz="4" w:space="0"/>
              <w:right w:val="single" w:color="auto" w:sz="4" w:space="0"/>
            </w:tcBorders>
            <w:vAlign w:val="center"/>
          </w:tcPr>
          <w:p w14:paraId="618949C3">
            <w:pPr>
              <w:spacing w:before="60" w:beforeLines="25" w:after="60" w:afterLines="25"/>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1</w:t>
            </w:r>
          </w:p>
        </w:tc>
        <w:tc>
          <w:tcPr>
            <w:tcW w:w="1457" w:type="dxa"/>
            <w:vMerge w:val="restart"/>
            <w:tcBorders>
              <w:top w:val="single" w:color="auto" w:sz="4" w:space="0"/>
              <w:left w:val="single" w:color="auto" w:sz="4" w:space="0"/>
              <w:right w:val="single" w:color="auto" w:sz="4" w:space="0"/>
            </w:tcBorders>
            <w:vAlign w:val="center"/>
          </w:tcPr>
          <w:p w14:paraId="6ADFA4B7">
            <w:pPr>
              <w:spacing w:before="60" w:beforeLines="25" w:after="60" w:afterLines="25"/>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施工方案与技术措施</w:t>
            </w:r>
          </w:p>
        </w:tc>
        <w:tc>
          <w:tcPr>
            <w:tcW w:w="675" w:type="dxa"/>
            <w:vMerge w:val="restart"/>
            <w:tcBorders>
              <w:top w:val="single" w:color="auto" w:sz="4" w:space="0"/>
              <w:left w:val="single" w:color="auto" w:sz="4" w:space="0"/>
              <w:right w:val="single" w:color="auto" w:sz="4" w:space="0"/>
            </w:tcBorders>
            <w:vAlign w:val="center"/>
          </w:tcPr>
          <w:p w14:paraId="20BEE962">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15</w:t>
            </w:r>
          </w:p>
        </w:tc>
        <w:tc>
          <w:tcPr>
            <w:tcW w:w="708" w:type="dxa"/>
            <w:tcBorders>
              <w:top w:val="single" w:color="auto" w:sz="4" w:space="0"/>
              <w:left w:val="single" w:color="auto" w:sz="4" w:space="0"/>
              <w:bottom w:val="single" w:color="auto" w:sz="4" w:space="0"/>
              <w:right w:val="single" w:color="auto" w:sz="4" w:space="0"/>
            </w:tcBorders>
            <w:vAlign w:val="center"/>
          </w:tcPr>
          <w:p w14:paraId="570C1377">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15分</w:t>
            </w:r>
          </w:p>
        </w:tc>
        <w:tc>
          <w:tcPr>
            <w:tcW w:w="5954" w:type="dxa"/>
            <w:tcBorders>
              <w:top w:val="single" w:color="auto" w:sz="4" w:space="0"/>
              <w:left w:val="single" w:color="auto" w:sz="4" w:space="0"/>
              <w:bottom w:val="single" w:color="auto" w:sz="4" w:space="0"/>
              <w:right w:val="single" w:color="auto" w:sz="4" w:space="0"/>
            </w:tcBorders>
            <w:vAlign w:val="center"/>
          </w:tcPr>
          <w:p w14:paraId="0553A549">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供应商应针对学校工程特点，提出全面明确的整体实施方案</w:t>
            </w:r>
            <w:r>
              <w:rPr>
                <w:rFonts w:cs="宋体" w:asciiTheme="minorEastAsia" w:hAnsiTheme="minorEastAsia" w:eastAsiaTheme="minorEastAsia"/>
                <w:color w:val="auto"/>
                <w:sz w:val="24"/>
                <w:highlight w:val="none"/>
              </w:rPr>
              <w:t>,包括但不限于施工方案与技术措施、专业技术人员配备、资源配备计划、施工现场平面布置图等方案内容完全满足以上要求并且全面详细、切实可行、针对性强</w:t>
            </w:r>
          </w:p>
        </w:tc>
      </w:tr>
      <w:tr w14:paraId="08D57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7D84A2CF">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right w:val="single" w:color="auto" w:sz="4" w:space="0"/>
            </w:tcBorders>
            <w:vAlign w:val="center"/>
          </w:tcPr>
          <w:p w14:paraId="6466D31D">
            <w:pPr>
              <w:spacing w:before="60" w:beforeLines="25" w:after="60" w:afterLines="25"/>
              <w:rPr>
                <w:rFonts w:cs="宋体" w:asciiTheme="minorEastAsia" w:hAnsiTheme="minorEastAsia" w:eastAsiaTheme="minorEastAsia"/>
                <w:color w:val="auto"/>
                <w:sz w:val="24"/>
                <w:highlight w:val="none"/>
              </w:rPr>
            </w:pPr>
          </w:p>
        </w:tc>
        <w:tc>
          <w:tcPr>
            <w:tcW w:w="675" w:type="dxa"/>
            <w:vMerge w:val="continue"/>
            <w:tcBorders>
              <w:left w:val="single" w:color="auto" w:sz="4" w:space="0"/>
              <w:right w:val="single" w:color="auto" w:sz="4" w:space="0"/>
            </w:tcBorders>
            <w:vAlign w:val="center"/>
          </w:tcPr>
          <w:p w14:paraId="57BDD960">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949098C">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12分</w:t>
            </w:r>
          </w:p>
        </w:tc>
        <w:tc>
          <w:tcPr>
            <w:tcW w:w="5954" w:type="dxa"/>
            <w:tcBorders>
              <w:top w:val="single" w:color="auto" w:sz="4" w:space="0"/>
              <w:left w:val="single" w:color="auto" w:sz="4" w:space="0"/>
              <w:bottom w:val="single" w:color="auto" w:sz="4" w:space="0"/>
              <w:right w:val="single" w:color="auto" w:sz="4" w:space="0"/>
            </w:tcBorders>
            <w:vAlign w:val="center"/>
          </w:tcPr>
          <w:p w14:paraId="7200193F">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施工技术方案与技术措施较全面、专业技术人员配备较合理、资源配备计划内容较全面、方案针对性较强</w:t>
            </w:r>
          </w:p>
        </w:tc>
      </w:tr>
      <w:tr w14:paraId="1D3C6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00C86614">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right w:val="single" w:color="auto" w:sz="4" w:space="0"/>
            </w:tcBorders>
            <w:vAlign w:val="center"/>
          </w:tcPr>
          <w:p w14:paraId="2300B2E2">
            <w:pPr>
              <w:spacing w:before="60" w:beforeLines="25" w:after="60" w:afterLines="25"/>
              <w:rPr>
                <w:rFonts w:cs="宋体" w:asciiTheme="minorEastAsia" w:hAnsiTheme="minorEastAsia" w:eastAsiaTheme="minorEastAsia"/>
                <w:color w:val="auto"/>
                <w:sz w:val="24"/>
                <w:highlight w:val="none"/>
              </w:rPr>
            </w:pPr>
          </w:p>
        </w:tc>
        <w:tc>
          <w:tcPr>
            <w:tcW w:w="675" w:type="dxa"/>
            <w:vMerge w:val="continue"/>
            <w:tcBorders>
              <w:left w:val="single" w:color="auto" w:sz="4" w:space="0"/>
              <w:right w:val="single" w:color="auto" w:sz="4" w:space="0"/>
            </w:tcBorders>
            <w:vAlign w:val="center"/>
          </w:tcPr>
          <w:p w14:paraId="6CDB429F">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3297ADC9">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9分</w:t>
            </w:r>
          </w:p>
        </w:tc>
        <w:tc>
          <w:tcPr>
            <w:tcW w:w="5954" w:type="dxa"/>
            <w:tcBorders>
              <w:top w:val="single" w:color="auto" w:sz="4" w:space="0"/>
              <w:left w:val="single" w:color="auto" w:sz="4" w:space="0"/>
              <w:bottom w:val="single" w:color="auto" w:sz="4" w:space="0"/>
              <w:right w:val="single" w:color="auto" w:sz="4" w:space="0"/>
            </w:tcBorders>
            <w:vAlign w:val="center"/>
          </w:tcPr>
          <w:p w14:paraId="7FF2B5FB">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施工技术方案与技术措施等内容基本完善，方案针对性一般，基本满足项目要求</w:t>
            </w:r>
          </w:p>
        </w:tc>
      </w:tr>
      <w:tr w14:paraId="6FA38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313CDF6F">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right w:val="single" w:color="auto" w:sz="4" w:space="0"/>
            </w:tcBorders>
            <w:vAlign w:val="center"/>
          </w:tcPr>
          <w:p w14:paraId="07546937">
            <w:pPr>
              <w:spacing w:before="60" w:beforeLines="25" w:after="60" w:afterLines="25"/>
              <w:rPr>
                <w:rFonts w:cs="宋体" w:asciiTheme="minorEastAsia" w:hAnsiTheme="minorEastAsia" w:eastAsiaTheme="minorEastAsia"/>
                <w:color w:val="auto"/>
                <w:sz w:val="24"/>
                <w:highlight w:val="none"/>
              </w:rPr>
            </w:pPr>
          </w:p>
        </w:tc>
        <w:tc>
          <w:tcPr>
            <w:tcW w:w="675" w:type="dxa"/>
            <w:vMerge w:val="continue"/>
            <w:tcBorders>
              <w:left w:val="single" w:color="auto" w:sz="4" w:space="0"/>
              <w:right w:val="single" w:color="auto" w:sz="4" w:space="0"/>
            </w:tcBorders>
            <w:vAlign w:val="center"/>
          </w:tcPr>
          <w:p w14:paraId="4C5505D2">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4CD34E2">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6分</w:t>
            </w:r>
          </w:p>
        </w:tc>
        <w:tc>
          <w:tcPr>
            <w:tcW w:w="5954" w:type="dxa"/>
            <w:tcBorders>
              <w:top w:val="single" w:color="auto" w:sz="4" w:space="0"/>
              <w:left w:val="single" w:color="auto" w:sz="4" w:space="0"/>
              <w:bottom w:val="single" w:color="auto" w:sz="4" w:space="0"/>
              <w:right w:val="single" w:color="auto" w:sz="4" w:space="0"/>
            </w:tcBorders>
            <w:vAlign w:val="center"/>
          </w:tcPr>
          <w:p w14:paraId="7F72BC02">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施工技术方案与技术措施内容不全、方案针对性不强，欠合理</w:t>
            </w:r>
          </w:p>
        </w:tc>
      </w:tr>
      <w:tr w14:paraId="09939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6F7CD33E">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right w:val="single" w:color="auto" w:sz="4" w:space="0"/>
            </w:tcBorders>
            <w:vAlign w:val="center"/>
          </w:tcPr>
          <w:p w14:paraId="22C0EFEE">
            <w:pPr>
              <w:spacing w:before="60" w:beforeLines="25" w:after="60" w:afterLines="25"/>
              <w:rPr>
                <w:rFonts w:cs="宋体" w:asciiTheme="minorEastAsia" w:hAnsiTheme="minorEastAsia" w:eastAsiaTheme="minorEastAsia"/>
                <w:color w:val="auto"/>
                <w:sz w:val="24"/>
                <w:highlight w:val="none"/>
              </w:rPr>
            </w:pPr>
          </w:p>
        </w:tc>
        <w:tc>
          <w:tcPr>
            <w:tcW w:w="675" w:type="dxa"/>
            <w:vMerge w:val="continue"/>
            <w:tcBorders>
              <w:left w:val="single" w:color="auto" w:sz="4" w:space="0"/>
              <w:right w:val="single" w:color="auto" w:sz="4" w:space="0"/>
            </w:tcBorders>
            <w:vAlign w:val="center"/>
          </w:tcPr>
          <w:p w14:paraId="5EC1416B">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36F79C69">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3分</w:t>
            </w:r>
          </w:p>
        </w:tc>
        <w:tc>
          <w:tcPr>
            <w:tcW w:w="5954" w:type="dxa"/>
            <w:tcBorders>
              <w:top w:val="single" w:color="auto" w:sz="4" w:space="0"/>
              <w:left w:val="single" w:color="auto" w:sz="4" w:space="0"/>
              <w:bottom w:val="single" w:color="auto" w:sz="4" w:space="0"/>
              <w:right w:val="single" w:color="auto" w:sz="4" w:space="0"/>
            </w:tcBorders>
            <w:vAlign w:val="center"/>
          </w:tcPr>
          <w:p w14:paraId="54382942">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施工技术方案与技术措施内容不全、方案针对性较差，欠合理</w:t>
            </w:r>
          </w:p>
        </w:tc>
      </w:tr>
      <w:tr w14:paraId="3D4E1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bottom w:val="single" w:color="auto" w:sz="4" w:space="0"/>
              <w:right w:val="single" w:color="auto" w:sz="4" w:space="0"/>
            </w:tcBorders>
            <w:vAlign w:val="center"/>
          </w:tcPr>
          <w:p w14:paraId="7EF6E7D0">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bottom w:val="single" w:color="auto" w:sz="4" w:space="0"/>
              <w:right w:val="single" w:color="auto" w:sz="4" w:space="0"/>
            </w:tcBorders>
            <w:vAlign w:val="center"/>
          </w:tcPr>
          <w:p w14:paraId="6128029B">
            <w:pPr>
              <w:spacing w:before="60" w:beforeLines="25" w:after="60" w:afterLines="25"/>
              <w:rPr>
                <w:rFonts w:cs="宋体" w:asciiTheme="minorEastAsia" w:hAnsiTheme="minorEastAsia" w:eastAsiaTheme="minorEastAsia"/>
                <w:color w:val="auto"/>
                <w:sz w:val="24"/>
                <w:highlight w:val="none"/>
              </w:rPr>
            </w:pPr>
          </w:p>
        </w:tc>
        <w:tc>
          <w:tcPr>
            <w:tcW w:w="675" w:type="dxa"/>
            <w:vMerge w:val="continue"/>
            <w:tcBorders>
              <w:left w:val="single" w:color="auto" w:sz="4" w:space="0"/>
              <w:bottom w:val="single" w:color="auto" w:sz="4" w:space="0"/>
              <w:right w:val="single" w:color="auto" w:sz="4" w:space="0"/>
            </w:tcBorders>
            <w:vAlign w:val="center"/>
          </w:tcPr>
          <w:p w14:paraId="56F8F1D0">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7619BEB">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66A75AAA">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未提供或不满足工程需要</w:t>
            </w:r>
          </w:p>
        </w:tc>
      </w:tr>
      <w:tr w14:paraId="6FB2C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left w:val="single" w:color="auto" w:sz="4" w:space="0"/>
              <w:right w:val="single" w:color="auto" w:sz="4" w:space="0"/>
            </w:tcBorders>
            <w:vAlign w:val="center"/>
          </w:tcPr>
          <w:p w14:paraId="7736595C">
            <w:pPr>
              <w:spacing w:before="60" w:beforeLines="25" w:after="60" w:afterLines="25"/>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2</w:t>
            </w:r>
          </w:p>
        </w:tc>
        <w:tc>
          <w:tcPr>
            <w:tcW w:w="1457" w:type="dxa"/>
            <w:vMerge w:val="restart"/>
            <w:tcBorders>
              <w:left w:val="single" w:color="auto" w:sz="4" w:space="0"/>
              <w:right w:val="single" w:color="auto" w:sz="4" w:space="0"/>
            </w:tcBorders>
            <w:vAlign w:val="center"/>
          </w:tcPr>
          <w:p w14:paraId="7B0F1DA6">
            <w:pPr>
              <w:spacing w:before="60" w:beforeLines="25" w:after="60" w:afterLines="25"/>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质量管理体系与保证措施</w:t>
            </w:r>
          </w:p>
        </w:tc>
        <w:tc>
          <w:tcPr>
            <w:tcW w:w="675" w:type="dxa"/>
            <w:vMerge w:val="restart"/>
            <w:tcBorders>
              <w:left w:val="single" w:color="auto" w:sz="4" w:space="0"/>
              <w:right w:val="single" w:color="auto" w:sz="4" w:space="0"/>
            </w:tcBorders>
            <w:vAlign w:val="center"/>
          </w:tcPr>
          <w:p w14:paraId="0DF153A2">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8</w:t>
            </w:r>
          </w:p>
        </w:tc>
        <w:tc>
          <w:tcPr>
            <w:tcW w:w="708" w:type="dxa"/>
            <w:tcBorders>
              <w:left w:val="single" w:color="auto" w:sz="4" w:space="0"/>
              <w:bottom w:val="single" w:color="auto" w:sz="4" w:space="0"/>
              <w:right w:val="single" w:color="auto" w:sz="4" w:space="0"/>
            </w:tcBorders>
            <w:vAlign w:val="center"/>
          </w:tcPr>
          <w:p w14:paraId="7E2217BC">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8分</w:t>
            </w:r>
          </w:p>
        </w:tc>
        <w:tc>
          <w:tcPr>
            <w:tcW w:w="5954" w:type="dxa"/>
            <w:tcBorders>
              <w:top w:val="single" w:color="auto" w:sz="4" w:space="0"/>
              <w:left w:val="single" w:color="auto" w:sz="4" w:space="0"/>
              <w:bottom w:val="single" w:color="auto" w:sz="4" w:space="0"/>
              <w:right w:val="single" w:color="auto" w:sz="4" w:space="0"/>
            </w:tcBorders>
            <w:vAlign w:val="center"/>
          </w:tcPr>
          <w:p w14:paraId="7CF575BD">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供应商应结合学校工程特点，提供质量管理体系与保证措施，包括但不限于施工质量管理方法和保证措施，对关键部位、关键工序环节把控方案等内容，符合项目实际需求，细节考虑完善且切实可行</w:t>
            </w:r>
          </w:p>
        </w:tc>
      </w:tr>
      <w:tr w14:paraId="66952E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38FB281B">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right w:val="single" w:color="auto" w:sz="4" w:space="0"/>
            </w:tcBorders>
            <w:vAlign w:val="center"/>
          </w:tcPr>
          <w:p w14:paraId="163E54C6">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left w:val="single" w:color="auto" w:sz="4" w:space="0"/>
              <w:right w:val="single" w:color="auto" w:sz="4" w:space="0"/>
            </w:tcBorders>
            <w:vAlign w:val="center"/>
          </w:tcPr>
          <w:p w14:paraId="7046F5E9">
            <w:pPr>
              <w:jc w:val="center"/>
              <w:rPr>
                <w:rFonts w:cs="宋体" w:asciiTheme="minorEastAsia" w:hAnsiTheme="minorEastAsia" w:eastAsiaTheme="minorEastAsia"/>
                <w:color w:val="auto"/>
                <w:sz w:val="24"/>
                <w:highlight w:val="none"/>
              </w:rPr>
            </w:pPr>
          </w:p>
        </w:tc>
        <w:tc>
          <w:tcPr>
            <w:tcW w:w="708" w:type="dxa"/>
            <w:tcBorders>
              <w:left w:val="single" w:color="auto" w:sz="4" w:space="0"/>
              <w:bottom w:val="single" w:color="auto" w:sz="4" w:space="0"/>
              <w:right w:val="single" w:color="auto" w:sz="4" w:space="0"/>
            </w:tcBorders>
            <w:vAlign w:val="center"/>
          </w:tcPr>
          <w:p w14:paraId="6D54DE82">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6分</w:t>
            </w:r>
          </w:p>
        </w:tc>
        <w:tc>
          <w:tcPr>
            <w:tcW w:w="5954" w:type="dxa"/>
            <w:tcBorders>
              <w:top w:val="single" w:color="auto" w:sz="4" w:space="0"/>
              <w:left w:val="single" w:color="auto" w:sz="4" w:space="0"/>
              <w:bottom w:val="single" w:color="auto" w:sz="4" w:space="0"/>
              <w:right w:val="single" w:color="auto" w:sz="4" w:space="0"/>
            </w:tcBorders>
            <w:vAlign w:val="center"/>
          </w:tcPr>
          <w:p w14:paraId="6BE90C99">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施工质量管理体系与保证措施内容较全面、方案针对性较强，细节待完善</w:t>
            </w:r>
          </w:p>
        </w:tc>
      </w:tr>
      <w:tr w14:paraId="3ADBD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042BE496">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right w:val="single" w:color="auto" w:sz="4" w:space="0"/>
            </w:tcBorders>
            <w:vAlign w:val="center"/>
          </w:tcPr>
          <w:p w14:paraId="22ED0425">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left w:val="single" w:color="auto" w:sz="4" w:space="0"/>
              <w:right w:val="single" w:color="auto" w:sz="4" w:space="0"/>
            </w:tcBorders>
            <w:vAlign w:val="center"/>
          </w:tcPr>
          <w:p w14:paraId="79C4B503">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A612F6D">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4分</w:t>
            </w:r>
          </w:p>
        </w:tc>
        <w:tc>
          <w:tcPr>
            <w:tcW w:w="5954" w:type="dxa"/>
            <w:tcBorders>
              <w:top w:val="single" w:color="auto" w:sz="4" w:space="0"/>
              <w:left w:val="single" w:color="auto" w:sz="4" w:space="0"/>
              <w:bottom w:val="single" w:color="auto" w:sz="4" w:space="0"/>
              <w:right w:val="single" w:color="auto" w:sz="4" w:space="0"/>
            </w:tcBorders>
            <w:vAlign w:val="center"/>
          </w:tcPr>
          <w:p w14:paraId="4D651B79">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施工质量管理体系与保证措施基本满足要求但针对性一般</w:t>
            </w:r>
          </w:p>
        </w:tc>
      </w:tr>
      <w:tr w14:paraId="22E7F0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1EEB4FAB">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right w:val="single" w:color="auto" w:sz="4" w:space="0"/>
            </w:tcBorders>
            <w:vAlign w:val="center"/>
          </w:tcPr>
          <w:p w14:paraId="445C1E59">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left w:val="single" w:color="auto" w:sz="4" w:space="0"/>
              <w:right w:val="single" w:color="auto" w:sz="4" w:space="0"/>
            </w:tcBorders>
            <w:vAlign w:val="center"/>
          </w:tcPr>
          <w:p w14:paraId="1D052443">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694CCF57">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2分</w:t>
            </w:r>
          </w:p>
        </w:tc>
        <w:tc>
          <w:tcPr>
            <w:tcW w:w="5954" w:type="dxa"/>
            <w:tcBorders>
              <w:top w:val="single" w:color="auto" w:sz="4" w:space="0"/>
              <w:left w:val="single" w:color="auto" w:sz="4" w:space="0"/>
              <w:bottom w:val="single" w:color="auto" w:sz="4" w:space="0"/>
              <w:right w:val="single" w:color="auto" w:sz="4" w:space="0"/>
            </w:tcBorders>
            <w:vAlign w:val="center"/>
          </w:tcPr>
          <w:p w14:paraId="42BB34DE">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施工质量管理体系与保证措施内容不全、方案针对性不强，欠合理</w:t>
            </w:r>
          </w:p>
        </w:tc>
      </w:tr>
      <w:tr w14:paraId="151271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370545FE">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right w:val="single" w:color="auto" w:sz="4" w:space="0"/>
            </w:tcBorders>
            <w:vAlign w:val="center"/>
          </w:tcPr>
          <w:p w14:paraId="605AEE26">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left w:val="single" w:color="auto" w:sz="4" w:space="0"/>
              <w:right w:val="single" w:color="auto" w:sz="4" w:space="0"/>
            </w:tcBorders>
            <w:vAlign w:val="center"/>
          </w:tcPr>
          <w:p w14:paraId="1B6F0F95">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EB59090">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66779816">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未提供或不满足工程需要</w:t>
            </w:r>
          </w:p>
        </w:tc>
      </w:tr>
      <w:tr w14:paraId="640141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top w:val="single" w:color="auto" w:sz="4" w:space="0"/>
              <w:left w:val="single" w:color="auto" w:sz="4" w:space="0"/>
              <w:right w:val="single" w:color="auto" w:sz="4" w:space="0"/>
            </w:tcBorders>
            <w:vAlign w:val="center"/>
          </w:tcPr>
          <w:p w14:paraId="7F9A8409">
            <w:pPr>
              <w:spacing w:before="60" w:beforeLines="25" w:after="60" w:afterLines="25"/>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3</w:t>
            </w:r>
          </w:p>
        </w:tc>
        <w:tc>
          <w:tcPr>
            <w:tcW w:w="1457" w:type="dxa"/>
            <w:vMerge w:val="restart"/>
            <w:tcBorders>
              <w:top w:val="single" w:color="auto" w:sz="4" w:space="0"/>
              <w:left w:val="single" w:color="auto" w:sz="4" w:space="0"/>
              <w:right w:val="single" w:color="auto" w:sz="4" w:space="0"/>
            </w:tcBorders>
            <w:vAlign w:val="center"/>
          </w:tcPr>
          <w:p w14:paraId="65C8435B">
            <w:pPr>
              <w:spacing w:before="60" w:beforeLines="25" w:after="60" w:afterLines="25"/>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安全</w:t>
            </w:r>
            <w:r>
              <w:rPr>
                <w:rFonts w:hint="eastAsia" w:cs="宋体" w:asciiTheme="minorEastAsia" w:hAnsiTheme="minorEastAsia" w:eastAsiaTheme="minorEastAsia"/>
                <w:iCs/>
                <w:color w:val="auto"/>
                <w:sz w:val="24"/>
                <w:highlight w:val="none"/>
              </w:rPr>
              <w:t>和文明施工保障</w:t>
            </w:r>
            <w:r>
              <w:rPr>
                <w:rFonts w:hint="eastAsia" w:cs="宋体" w:asciiTheme="minorEastAsia" w:hAnsiTheme="minorEastAsia" w:eastAsiaTheme="minorEastAsia"/>
                <w:color w:val="auto"/>
                <w:sz w:val="24"/>
                <w:highlight w:val="none"/>
              </w:rPr>
              <w:t>措施</w:t>
            </w:r>
          </w:p>
        </w:tc>
        <w:tc>
          <w:tcPr>
            <w:tcW w:w="675" w:type="dxa"/>
            <w:vMerge w:val="restart"/>
            <w:tcBorders>
              <w:top w:val="single" w:color="auto" w:sz="4" w:space="0"/>
              <w:left w:val="single" w:color="auto" w:sz="4" w:space="0"/>
              <w:right w:val="single" w:color="auto" w:sz="4" w:space="0"/>
            </w:tcBorders>
            <w:vAlign w:val="center"/>
          </w:tcPr>
          <w:p w14:paraId="4ECCDE16">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8</w:t>
            </w:r>
          </w:p>
        </w:tc>
        <w:tc>
          <w:tcPr>
            <w:tcW w:w="708" w:type="dxa"/>
            <w:tcBorders>
              <w:top w:val="single" w:color="auto" w:sz="4" w:space="0"/>
              <w:left w:val="single" w:color="auto" w:sz="4" w:space="0"/>
              <w:bottom w:val="single" w:color="auto" w:sz="4" w:space="0"/>
              <w:right w:val="single" w:color="auto" w:sz="4" w:space="0"/>
            </w:tcBorders>
            <w:vAlign w:val="center"/>
          </w:tcPr>
          <w:p w14:paraId="2470DEA4">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8分</w:t>
            </w:r>
          </w:p>
        </w:tc>
        <w:tc>
          <w:tcPr>
            <w:tcW w:w="5954" w:type="dxa"/>
            <w:tcBorders>
              <w:top w:val="single" w:color="auto" w:sz="4" w:space="0"/>
              <w:left w:val="single" w:color="auto" w:sz="4" w:space="0"/>
              <w:bottom w:val="single" w:color="auto" w:sz="4" w:space="0"/>
              <w:right w:val="single" w:color="auto" w:sz="4" w:space="0"/>
            </w:tcBorders>
            <w:vAlign w:val="center"/>
          </w:tcPr>
          <w:p w14:paraId="1919FB98">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供应商结合学校工程特点，提供完整的安全</w:t>
            </w:r>
            <w:r>
              <w:rPr>
                <w:rFonts w:hint="eastAsia" w:cs="宋体" w:asciiTheme="minorEastAsia" w:hAnsiTheme="minorEastAsia" w:eastAsiaTheme="minorEastAsia"/>
                <w:iCs/>
                <w:color w:val="auto"/>
                <w:sz w:val="24"/>
                <w:highlight w:val="none"/>
              </w:rPr>
              <w:t>和文明施工保障</w:t>
            </w:r>
            <w:r>
              <w:rPr>
                <w:rFonts w:hint="eastAsia" w:cs="宋体" w:asciiTheme="minorEastAsia" w:hAnsiTheme="minorEastAsia" w:eastAsiaTheme="minorEastAsia"/>
                <w:color w:val="auto"/>
                <w:sz w:val="24"/>
                <w:highlight w:val="none"/>
              </w:rPr>
              <w:t>措施。</w:t>
            </w:r>
          </w:p>
          <w:p w14:paraId="14D5AAAC">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包括但不限于各施工环节安全和文明施工保障措施、预防措施、安全技术交底、文明施工管理制度及责任制度、现场环境维护等内容，符合项目实际需求，细节考虑完善且切实可行</w:t>
            </w:r>
          </w:p>
        </w:tc>
      </w:tr>
      <w:tr w14:paraId="29A0CF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top w:val="single" w:color="auto" w:sz="4" w:space="0"/>
              <w:left w:val="single" w:color="auto" w:sz="4" w:space="0"/>
              <w:right w:val="single" w:color="auto" w:sz="4" w:space="0"/>
            </w:tcBorders>
            <w:vAlign w:val="center"/>
          </w:tcPr>
          <w:p w14:paraId="1F409436">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top w:val="single" w:color="auto" w:sz="4" w:space="0"/>
              <w:left w:val="single" w:color="auto" w:sz="4" w:space="0"/>
              <w:right w:val="single" w:color="auto" w:sz="4" w:space="0"/>
            </w:tcBorders>
            <w:vAlign w:val="center"/>
          </w:tcPr>
          <w:p w14:paraId="0B82AEB7">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top w:val="single" w:color="auto" w:sz="4" w:space="0"/>
              <w:left w:val="single" w:color="auto" w:sz="4" w:space="0"/>
              <w:right w:val="single" w:color="auto" w:sz="4" w:space="0"/>
            </w:tcBorders>
            <w:vAlign w:val="center"/>
          </w:tcPr>
          <w:p w14:paraId="2F7566D1">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45F62C94">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6分</w:t>
            </w:r>
          </w:p>
        </w:tc>
        <w:tc>
          <w:tcPr>
            <w:tcW w:w="5954" w:type="dxa"/>
            <w:tcBorders>
              <w:top w:val="single" w:color="auto" w:sz="4" w:space="0"/>
              <w:left w:val="single" w:color="auto" w:sz="4" w:space="0"/>
              <w:bottom w:val="single" w:color="auto" w:sz="4" w:space="0"/>
              <w:right w:val="single" w:color="auto" w:sz="4" w:space="0"/>
            </w:tcBorders>
            <w:vAlign w:val="center"/>
          </w:tcPr>
          <w:p w14:paraId="1018FCA4">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安全</w:t>
            </w:r>
            <w:r>
              <w:rPr>
                <w:rFonts w:hint="eastAsia" w:cs="宋体" w:asciiTheme="minorEastAsia" w:hAnsiTheme="minorEastAsia" w:eastAsiaTheme="minorEastAsia"/>
                <w:iCs/>
                <w:color w:val="auto"/>
                <w:sz w:val="24"/>
                <w:highlight w:val="none"/>
              </w:rPr>
              <w:t>和文明施工保障</w:t>
            </w:r>
            <w:r>
              <w:rPr>
                <w:rFonts w:hint="eastAsia" w:cs="宋体" w:asciiTheme="minorEastAsia" w:hAnsiTheme="minorEastAsia" w:eastAsiaTheme="minorEastAsia"/>
                <w:color w:val="auto"/>
                <w:sz w:val="24"/>
                <w:highlight w:val="none"/>
              </w:rPr>
              <w:t>措施内容较全面、方案针对性较强，细节待完善</w:t>
            </w:r>
          </w:p>
        </w:tc>
      </w:tr>
      <w:tr w14:paraId="3FE87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top w:val="single" w:color="auto" w:sz="4" w:space="0"/>
              <w:left w:val="single" w:color="auto" w:sz="4" w:space="0"/>
              <w:right w:val="single" w:color="auto" w:sz="4" w:space="0"/>
            </w:tcBorders>
            <w:vAlign w:val="center"/>
          </w:tcPr>
          <w:p w14:paraId="193258BE">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top w:val="single" w:color="auto" w:sz="4" w:space="0"/>
              <w:left w:val="single" w:color="auto" w:sz="4" w:space="0"/>
              <w:right w:val="single" w:color="auto" w:sz="4" w:space="0"/>
            </w:tcBorders>
            <w:vAlign w:val="center"/>
          </w:tcPr>
          <w:p w14:paraId="3B8342C5">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top w:val="single" w:color="auto" w:sz="4" w:space="0"/>
              <w:left w:val="single" w:color="auto" w:sz="4" w:space="0"/>
              <w:right w:val="single" w:color="auto" w:sz="4" w:space="0"/>
            </w:tcBorders>
            <w:vAlign w:val="center"/>
          </w:tcPr>
          <w:p w14:paraId="35A55FED">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45DD134">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4分</w:t>
            </w:r>
          </w:p>
        </w:tc>
        <w:tc>
          <w:tcPr>
            <w:tcW w:w="5954" w:type="dxa"/>
            <w:tcBorders>
              <w:top w:val="single" w:color="auto" w:sz="4" w:space="0"/>
              <w:left w:val="single" w:color="auto" w:sz="4" w:space="0"/>
              <w:bottom w:val="single" w:color="auto" w:sz="4" w:space="0"/>
              <w:right w:val="single" w:color="auto" w:sz="4" w:space="0"/>
            </w:tcBorders>
            <w:vAlign w:val="center"/>
          </w:tcPr>
          <w:p w14:paraId="3E2F8405">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安全</w:t>
            </w:r>
            <w:r>
              <w:rPr>
                <w:rFonts w:hint="eastAsia" w:cs="宋体" w:asciiTheme="minorEastAsia" w:hAnsiTheme="minorEastAsia" w:eastAsiaTheme="minorEastAsia"/>
                <w:iCs/>
                <w:color w:val="auto"/>
                <w:sz w:val="24"/>
                <w:highlight w:val="none"/>
              </w:rPr>
              <w:t>和文明施工保障</w:t>
            </w:r>
            <w:r>
              <w:rPr>
                <w:rFonts w:hint="eastAsia" w:cs="宋体" w:asciiTheme="minorEastAsia" w:hAnsiTheme="minorEastAsia" w:eastAsiaTheme="minorEastAsia"/>
                <w:color w:val="auto"/>
                <w:sz w:val="24"/>
                <w:highlight w:val="none"/>
              </w:rPr>
              <w:t>措施内容一般、方案针对性基本满足需求</w:t>
            </w:r>
          </w:p>
        </w:tc>
      </w:tr>
      <w:tr w14:paraId="4A1B39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top w:val="single" w:color="auto" w:sz="4" w:space="0"/>
              <w:left w:val="single" w:color="auto" w:sz="4" w:space="0"/>
              <w:right w:val="single" w:color="auto" w:sz="4" w:space="0"/>
            </w:tcBorders>
            <w:vAlign w:val="center"/>
          </w:tcPr>
          <w:p w14:paraId="54F455B5">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top w:val="single" w:color="auto" w:sz="4" w:space="0"/>
              <w:left w:val="single" w:color="auto" w:sz="4" w:space="0"/>
              <w:right w:val="single" w:color="auto" w:sz="4" w:space="0"/>
            </w:tcBorders>
            <w:vAlign w:val="center"/>
          </w:tcPr>
          <w:p w14:paraId="3C88D726">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left w:val="single" w:color="auto" w:sz="4" w:space="0"/>
              <w:right w:val="single" w:color="auto" w:sz="4" w:space="0"/>
            </w:tcBorders>
            <w:vAlign w:val="center"/>
          </w:tcPr>
          <w:p w14:paraId="68B290D6">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56B5F40">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2分</w:t>
            </w:r>
          </w:p>
        </w:tc>
        <w:tc>
          <w:tcPr>
            <w:tcW w:w="5954" w:type="dxa"/>
            <w:tcBorders>
              <w:top w:val="single" w:color="auto" w:sz="4" w:space="0"/>
              <w:left w:val="single" w:color="auto" w:sz="4" w:space="0"/>
              <w:bottom w:val="single" w:color="auto" w:sz="4" w:space="0"/>
              <w:right w:val="single" w:color="auto" w:sz="4" w:space="0"/>
            </w:tcBorders>
            <w:vAlign w:val="center"/>
          </w:tcPr>
          <w:p w14:paraId="2331D73E">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安全</w:t>
            </w:r>
            <w:r>
              <w:rPr>
                <w:rFonts w:hint="eastAsia" w:cs="宋体" w:asciiTheme="minorEastAsia" w:hAnsiTheme="minorEastAsia" w:eastAsiaTheme="minorEastAsia"/>
                <w:iCs/>
                <w:color w:val="auto"/>
                <w:sz w:val="24"/>
                <w:highlight w:val="none"/>
              </w:rPr>
              <w:t>和文明施工保障</w:t>
            </w:r>
            <w:r>
              <w:rPr>
                <w:rFonts w:hint="eastAsia" w:cs="宋体" w:asciiTheme="minorEastAsia" w:hAnsiTheme="minorEastAsia" w:eastAsiaTheme="minorEastAsia"/>
                <w:color w:val="auto"/>
                <w:sz w:val="24"/>
                <w:highlight w:val="none"/>
              </w:rPr>
              <w:t>措施内容不全、方案针对性不强，欠合理</w:t>
            </w:r>
          </w:p>
        </w:tc>
      </w:tr>
      <w:tr w14:paraId="7F493C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1185EE08">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right w:val="single" w:color="auto" w:sz="4" w:space="0"/>
            </w:tcBorders>
            <w:vAlign w:val="center"/>
          </w:tcPr>
          <w:p w14:paraId="5A0959FC">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left w:val="single" w:color="auto" w:sz="4" w:space="0"/>
              <w:right w:val="single" w:color="auto" w:sz="4" w:space="0"/>
            </w:tcBorders>
            <w:vAlign w:val="center"/>
          </w:tcPr>
          <w:p w14:paraId="33CDF16A">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EB33350">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3BC49307">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未提供或不满足工程需要</w:t>
            </w:r>
          </w:p>
        </w:tc>
      </w:tr>
      <w:tr w14:paraId="3C31C3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top w:val="single" w:color="auto" w:sz="4" w:space="0"/>
              <w:left w:val="single" w:color="auto" w:sz="4" w:space="0"/>
              <w:right w:val="single" w:color="auto" w:sz="4" w:space="0"/>
            </w:tcBorders>
            <w:vAlign w:val="center"/>
          </w:tcPr>
          <w:p w14:paraId="37B216BA">
            <w:pPr>
              <w:spacing w:before="60" w:beforeLines="25" w:after="60" w:afterLines="25"/>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4</w:t>
            </w:r>
          </w:p>
        </w:tc>
        <w:tc>
          <w:tcPr>
            <w:tcW w:w="1457" w:type="dxa"/>
            <w:vMerge w:val="restart"/>
            <w:tcBorders>
              <w:top w:val="single" w:color="auto" w:sz="4" w:space="0"/>
              <w:left w:val="single" w:color="auto" w:sz="4" w:space="0"/>
              <w:right w:val="single" w:color="auto" w:sz="4" w:space="0"/>
            </w:tcBorders>
            <w:vAlign w:val="center"/>
          </w:tcPr>
          <w:p w14:paraId="461EA906">
            <w:pPr>
              <w:spacing w:before="60" w:beforeLines="25" w:after="60" w:afterLines="25"/>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工程进度计划与保证措施</w:t>
            </w:r>
          </w:p>
        </w:tc>
        <w:tc>
          <w:tcPr>
            <w:tcW w:w="675" w:type="dxa"/>
            <w:vMerge w:val="restart"/>
            <w:tcBorders>
              <w:top w:val="single" w:color="auto" w:sz="4" w:space="0"/>
              <w:left w:val="single" w:color="auto" w:sz="4" w:space="0"/>
              <w:right w:val="single" w:color="auto" w:sz="4" w:space="0"/>
            </w:tcBorders>
            <w:vAlign w:val="center"/>
          </w:tcPr>
          <w:p w14:paraId="214721A6">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10</w:t>
            </w:r>
          </w:p>
        </w:tc>
        <w:tc>
          <w:tcPr>
            <w:tcW w:w="708" w:type="dxa"/>
            <w:tcBorders>
              <w:top w:val="single" w:color="auto" w:sz="4" w:space="0"/>
              <w:left w:val="single" w:color="auto" w:sz="4" w:space="0"/>
              <w:bottom w:val="single" w:color="auto" w:sz="4" w:space="0"/>
              <w:right w:val="single" w:color="auto" w:sz="4" w:space="0"/>
            </w:tcBorders>
            <w:vAlign w:val="center"/>
          </w:tcPr>
          <w:p w14:paraId="40E2A84F">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10分</w:t>
            </w:r>
          </w:p>
        </w:tc>
        <w:tc>
          <w:tcPr>
            <w:tcW w:w="5954" w:type="dxa"/>
            <w:tcBorders>
              <w:top w:val="single" w:color="auto" w:sz="4" w:space="0"/>
              <w:left w:val="single" w:color="auto" w:sz="4" w:space="0"/>
              <w:bottom w:val="single" w:color="auto" w:sz="4" w:space="0"/>
              <w:right w:val="single" w:color="auto" w:sz="4" w:space="0"/>
            </w:tcBorders>
            <w:vAlign w:val="center"/>
          </w:tcPr>
          <w:p w14:paraId="525FB1B8">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供应商应结合学校工程特点提供进度计划与保证措施，包含但不限于过程划分、材料机械准备、进度计划等，符合项目实际需求，细节考虑完善且切实可行</w:t>
            </w:r>
          </w:p>
        </w:tc>
      </w:tr>
      <w:tr w14:paraId="562A6E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top w:val="single" w:color="auto" w:sz="4" w:space="0"/>
              <w:left w:val="single" w:color="auto" w:sz="4" w:space="0"/>
              <w:right w:val="single" w:color="auto" w:sz="4" w:space="0"/>
            </w:tcBorders>
            <w:vAlign w:val="center"/>
          </w:tcPr>
          <w:p w14:paraId="5C28AF2C">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top w:val="single" w:color="auto" w:sz="4" w:space="0"/>
              <w:left w:val="single" w:color="auto" w:sz="4" w:space="0"/>
              <w:right w:val="single" w:color="auto" w:sz="4" w:space="0"/>
            </w:tcBorders>
            <w:vAlign w:val="center"/>
          </w:tcPr>
          <w:p w14:paraId="1FD523D9">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top w:val="single" w:color="auto" w:sz="4" w:space="0"/>
              <w:left w:val="single" w:color="auto" w:sz="4" w:space="0"/>
              <w:right w:val="single" w:color="auto" w:sz="4" w:space="0"/>
            </w:tcBorders>
            <w:vAlign w:val="center"/>
          </w:tcPr>
          <w:p w14:paraId="4ECCEEC8">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26F15C47">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7分</w:t>
            </w:r>
          </w:p>
        </w:tc>
        <w:tc>
          <w:tcPr>
            <w:tcW w:w="5954" w:type="dxa"/>
            <w:tcBorders>
              <w:top w:val="single" w:color="auto" w:sz="4" w:space="0"/>
              <w:left w:val="single" w:color="auto" w:sz="4" w:space="0"/>
              <w:bottom w:val="single" w:color="auto" w:sz="4" w:space="0"/>
              <w:right w:val="single" w:color="auto" w:sz="4" w:space="0"/>
            </w:tcBorders>
            <w:vAlign w:val="center"/>
          </w:tcPr>
          <w:p w14:paraId="146DDFAB">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工程进度计划与保证措施内容较强，细节考虑较完善</w:t>
            </w:r>
          </w:p>
        </w:tc>
      </w:tr>
      <w:tr w14:paraId="35E87E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top w:val="single" w:color="auto" w:sz="4" w:space="0"/>
              <w:left w:val="single" w:color="auto" w:sz="4" w:space="0"/>
              <w:right w:val="single" w:color="auto" w:sz="4" w:space="0"/>
            </w:tcBorders>
            <w:vAlign w:val="center"/>
          </w:tcPr>
          <w:p w14:paraId="34E6939D">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top w:val="single" w:color="auto" w:sz="4" w:space="0"/>
              <w:left w:val="single" w:color="auto" w:sz="4" w:space="0"/>
              <w:right w:val="single" w:color="auto" w:sz="4" w:space="0"/>
            </w:tcBorders>
            <w:vAlign w:val="center"/>
          </w:tcPr>
          <w:p w14:paraId="0CB9B0CD">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top w:val="single" w:color="auto" w:sz="4" w:space="0"/>
              <w:left w:val="single" w:color="auto" w:sz="4" w:space="0"/>
              <w:right w:val="single" w:color="auto" w:sz="4" w:space="0"/>
            </w:tcBorders>
            <w:vAlign w:val="center"/>
          </w:tcPr>
          <w:p w14:paraId="4AC055E1">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4FAB756D">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4分</w:t>
            </w:r>
          </w:p>
        </w:tc>
        <w:tc>
          <w:tcPr>
            <w:tcW w:w="5954" w:type="dxa"/>
            <w:tcBorders>
              <w:top w:val="single" w:color="auto" w:sz="4" w:space="0"/>
              <w:left w:val="single" w:color="auto" w:sz="4" w:space="0"/>
              <w:bottom w:val="single" w:color="auto" w:sz="4" w:space="0"/>
              <w:right w:val="single" w:color="auto" w:sz="4" w:space="0"/>
            </w:tcBorders>
            <w:vAlign w:val="center"/>
          </w:tcPr>
          <w:p w14:paraId="7FC4A485">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工程进度计划与保证措施内容一般，基本满足需求</w:t>
            </w:r>
          </w:p>
        </w:tc>
      </w:tr>
      <w:tr w14:paraId="592F12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335A0046">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right w:val="single" w:color="auto" w:sz="4" w:space="0"/>
            </w:tcBorders>
            <w:vAlign w:val="center"/>
          </w:tcPr>
          <w:p w14:paraId="1EC93D6C">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left w:val="single" w:color="auto" w:sz="4" w:space="0"/>
              <w:right w:val="single" w:color="auto" w:sz="4" w:space="0"/>
            </w:tcBorders>
            <w:vAlign w:val="center"/>
          </w:tcPr>
          <w:p w14:paraId="2946105B">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FEE4EC4">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2分</w:t>
            </w:r>
          </w:p>
        </w:tc>
        <w:tc>
          <w:tcPr>
            <w:tcW w:w="5954" w:type="dxa"/>
            <w:tcBorders>
              <w:top w:val="single" w:color="auto" w:sz="4" w:space="0"/>
              <w:left w:val="single" w:color="auto" w:sz="4" w:space="0"/>
              <w:bottom w:val="single" w:color="auto" w:sz="4" w:space="0"/>
              <w:right w:val="single" w:color="auto" w:sz="4" w:space="0"/>
            </w:tcBorders>
            <w:vAlign w:val="center"/>
          </w:tcPr>
          <w:p w14:paraId="7450C1FE">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工程进度计划与保证措施内容不全、方案针对性不强，欠合理</w:t>
            </w:r>
          </w:p>
        </w:tc>
      </w:tr>
      <w:tr w14:paraId="34ED05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bottom w:val="single" w:color="auto" w:sz="4" w:space="0"/>
              <w:right w:val="single" w:color="auto" w:sz="4" w:space="0"/>
            </w:tcBorders>
            <w:vAlign w:val="center"/>
          </w:tcPr>
          <w:p w14:paraId="7DF1211B">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bottom w:val="single" w:color="auto" w:sz="4" w:space="0"/>
              <w:right w:val="single" w:color="auto" w:sz="4" w:space="0"/>
            </w:tcBorders>
            <w:vAlign w:val="center"/>
          </w:tcPr>
          <w:p w14:paraId="268FF276">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left w:val="single" w:color="auto" w:sz="4" w:space="0"/>
              <w:bottom w:val="single" w:color="auto" w:sz="4" w:space="0"/>
              <w:right w:val="single" w:color="auto" w:sz="4" w:space="0"/>
            </w:tcBorders>
            <w:vAlign w:val="center"/>
          </w:tcPr>
          <w:p w14:paraId="7B5550D6">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130B15E2">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2B53478F">
            <w:pPr>
              <w:spacing w:before="60" w:beforeLines="25" w:after="60" w:afterLines="25"/>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未提供或不满足工程需要</w:t>
            </w:r>
          </w:p>
        </w:tc>
      </w:tr>
      <w:tr w14:paraId="2B842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top w:val="single" w:color="auto" w:sz="4" w:space="0"/>
              <w:left w:val="single" w:color="auto" w:sz="4" w:space="0"/>
              <w:right w:val="single" w:color="auto" w:sz="4" w:space="0"/>
            </w:tcBorders>
            <w:vAlign w:val="center"/>
          </w:tcPr>
          <w:p w14:paraId="03EE5877">
            <w:pPr>
              <w:spacing w:before="60" w:beforeLines="25" w:after="60" w:afterLines="25"/>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5</w:t>
            </w:r>
          </w:p>
        </w:tc>
        <w:tc>
          <w:tcPr>
            <w:tcW w:w="1457" w:type="dxa"/>
            <w:vMerge w:val="restart"/>
            <w:tcBorders>
              <w:top w:val="single" w:color="auto" w:sz="4" w:space="0"/>
              <w:left w:val="single" w:color="auto" w:sz="4" w:space="0"/>
              <w:right w:val="single" w:color="auto" w:sz="4" w:space="0"/>
            </w:tcBorders>
            <w:vAlign w:val="center"/>
          </w:tcPr>
          <w:p w14:paraId="69C49143">
            <w:pPr>
              <w:spacing w:before="60" w:beforeLines="25" w:after="60" w:afterLines="25"/>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劳动力计划及主要设备材料、构件的用量计划</w:t>
            </w:r>
          </w:p>
        </w:tc>
        <w:tc>
          <w:tcPr>
            <w:tcW w:w="675" w:type="dxa"/>
            <w:vMerge w:val="restart"/>
            <w:tcBorders>
              <w:top w:val="single" w:color="auto" w:sz="4" w:space="0"/>
              <w:left w:val="single" w:color="auto" w:sz="4" w:space="0"/>
              <w:right w:val="single" w:color="auto" w:sz="4" w:space="0"/>
            </w:tcBorders>
            <w:vAlign w:val="center"/>
          </w:tcPr>
          <w:p w14:paraId="3505B4D9">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8</w:t>
            </w:r>
          </w:p>
        </w:tc>
        <w:tc>
          <w:tcPr>
            <w:tcW w:w="708" w:type="dxa"/>
            <w:tcBorders>
              <w:top w:val="single" w:color="auto" w:sz="4" w:space="0"/>
              <w:left w:val="single" w:color="auto" w:sz="4" w:space="0"/>
              <w:bottom w:val="single" w:color="auto" w:sz="4" w:space="0"/>
              <w:right w:val="single" w:color="auto" w:sz="4" w:space="0"/>
            </w:tcBorders>
            <w:vAlign w:val="center"/>
          </w:tcPr>
          <w:p w14:paraId="36F7A5D3">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8分</w:t>
            </w:r>
          </w:p>
        </w:tc>
        <w:tc>
          <w:tcPr>
            <w:tcW w:w="5954" w:type="dxa"/>
            <w:tcBorders>
              <w:top w:val="single" w:color="auto" w:sz="4" w:space="0"/>
              <w:left w:val="single" w:color="auto" w:sz="4" w:space="0"/>
              <w:bottom w:val="single" w:color="auto" w:sz="4" w:space="0"/>
              <w:right w:val="single" w:color="auto" w:sz="4" w:space="0"/>
            </w:tcBorders>
            <w:vAlign w:val="center"/>
          </w:tcPr>
          <w:p w14:paraId="55A163F2">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应结合学校工程特点提供劳动力计划及主要设备材料、构件的用量计划与保证措施，包含但不限于劳动力计划及主要设备材料、构件的用量计划表、保证措施等，配置科学合理，符合项目实际需求，细节考虑完善且切实可行</w:t>
            </w:r>
          </w:p>
        </w:tc>
      </w:tr>
      <w:tr w14:paraId="6A33B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top w:val="single" w:color="auto" w:sz="4" w:space="0"/>
              <w:left w:val="single" w:color="auto" w:sz="4" w:space="0"/>
              <w:right w:val="single" w:color="auto" w:sz="4" w:space="0"/>
            </w:tcBorders>
            <w:vAlign w:val="center"/>
          </w:tcPr>
          <w:p w14:paraId="0719CAE6">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top w:val="single" w:color="auto" w:sz="4" w:space="0"/>
              <w:left w:val="single" w:color="auto" w:sz="4" w:space="0"/>
              <w:right w:val="single" w:color="auto" w:sz="4" w:space="0"/>
            </w:tcBorders>
            <w:vAlign w:val="center"/>
          </w:tcPr>
          <w:p w14:paraId="03898C0F">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top w:val="single" w:color="auto" w:sz="4" w:space="0"/>
              <w:left w:val="single" w:color="auto" w:sz="4" w:space="0"/>
              <w:right w:val="single" w:color="auto" w:sz="4" w:space="0"/>
            </w:tcBorders>
            <w:vAlign w:val="center"/>
          </w:tcPr>
          <w:p w14:paraId="4ECEDF42">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7157CF93">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6分</w:t>
            </w:r>
          </w:p>
        </w:tc>
        <w:tc>
          <w:tcPr>
            <w:tcW w:w="5954" w:type="dxa"/>
            <w:tcBorders>
              <w:top w:val="single" w:color="auto" w:sz="4" w:space="0"/>
              <w:left w:val="single" w:color="auto" w:sz="4" w:space="0"/>
              <w:bottom w:val="single" w:color="auto" w:sz="4" w:space="0"/>
              <w:right w:val="single" w:color="auto" w:sz="4" w:space="0"/>
            </w:tcBorders>
            <w:vAlign w:val="center"/>
          </w:tcPr>
          <w:p w14:paraId="50C32A1F">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劳动力计划及主要设备材料、构件的用量计划与保证措施内容较强，细节考虑较完善</w:t>
            </w:r>
          </w:p>
        </w:tc>
      </w:tr>
      <w:tr w14:paraId="5325F6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top w:val="single" w:color="auto" w:sz="4" w:space="0"/>
              <w:left w:val="single" w:color="auto" w:sz="4" w:space="0"/>
              <w:right w:val="single" w:color="auto" w:sz="4" w:space="0"/>
            </w:tcBorders>
            <w:vAlign w:val="center"/>
          </w:tcPr>
          <w:p w14:paraId="5D86DF7F">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top w:val="single" w:color="auto" w:sz="4" w:space="0"/>
              <w:left w:val="single" w:color="auto" w:sz="4" w:space="0"/>
              <w:right w:val="single" w:color="auto" w:sz="4" w:space="0"/>
            </w:tcBorders>
            <w:vAlign w:val="center"/>
          </w:tcPr>
          <w:p w14:paraId="1A38F5EA">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top w:val="single" w:color="auto" w:sz="4" w:space="0"/>
              <w:left w:val="single" w:color="auto" w:sz="4" w:space="0"/>
              <w:right w:val="single" w:color="auto" w:sz="4" w:space="0"/>
            </w:tcBorders>
            <w:vAlign w:val="center"/>
          </w:tcPr>
          <w:p w14:paraId="163EBF44">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03C6275">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4分</w:t>
            </w:r>
          </w:p>
        </w:tc>
        <w:tc>
          <w:tcPr>
            <w:tcW w:w="5954" w:type="dxa"/>
            <w:tcBorders>
              <w:top w:val="single" w:color="auto" w:sz="4" w:space="0"/>
              <w:left w:val="single" w:color="auto" w:sz="4" w:space="0"/>
              <w:bottom w:val="single" w:color="auto" w:sz="4" w:space="0"/>
              <w:right w:val="single" w:color="auto" w:sz="4" w:space="0"/>
            </w:tcBorders>
            <w:vAlign w:val="center"/>
          </w:tcPr>
          <w:p w14:paraId="2799D24F">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劳动力计划及主要设备材料、构件的用量计划与保证措施内容一般、方案针对性基本满足需求</w:t>
            </w:r>
          </w:p>
        </w:tc>
      </w:tr>
      <w:tr w14:paraId="35159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tcPr>
          <w:p w14:paraId="7262A7B0">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right w:val="single" w:color="auto" w:sz="4" w:space="0"/>
            </w:tcBorders>
          </w:tcPr>
          <w:p w14:paraId="4DC80EBC">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left w:val="single" w:color="auto" w:sz="4" w:space="0"/>
              <w:right w:val="single" w:color="auto" w:sz="4" w:space="0"/>
            </w:tcBorders>
            <w:vAlign w:val="center"/>
          </w:tcPr>
          <w:p w14:paraId="0EEA2F9F">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49319AC3">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2分</w:t>
            </w:r>
          </w:p>
        </w:tc>
        <w:tc>
          <w:tcPr>
            <w:tcW w:w="5954" w:type="dxa"/>
            <w:tcBorders>
              <w:top w:val="single" w:color="auto" w:sz="4" w:space="0"/>
              <w:left w:val="single" w:color="auto" w:sz="4" w:space="0"/>
              <w:bottom w:val="single" w:color="auto" w:sz="4" w:space="0"/>
              <w:right w:val="single" w:color="auto" w:sz="4" w:space="0"/>
            </w:tcBorders>
            <w:vAlign w:val="center"/>
          </w:tcPr>
          <w:p w14:paraId="0F0B06EE">
            <w:pP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color w:val="auto"/>
                <w:sz w:val="24"/>
                <w:highlight w:val="none"/>
              </w:rPr>
              <w:t>劳动力计划及主要设备材料、构件的用量计划与保证措施内容不全、方案针对性不强，欠合理</w:t>
            </w:r>
          </w:p>
        </w:tc>
      </w:tr>
      <w:tr w14:paraId="7D1F85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bottom w:val="single" w:color="auto" w:sz="4" w:space="0"/>
              <w:right w:val="single" w:color="auto" w:sz="4" w:space="0"/>
            </w:tcBorders>
          </w:tcPr>
          <w:p w14:paraId="18021837">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bottom w:val="single" w:color="auto" w:sz="4" w:space="0"/>
              <w:right w:val="single" w:color="auto" w:sz="4" w:space="0"/>
            </w:tcBorders>
          </w:tcPr>
          <w:p w14:paraId="2367A915">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left w:val="single" w:color="auto" w:sz="4" w:space="0"/>
              <w:bottom w:val="single" w:color="auto" w:sz="4" w:space="0"/>
              <w:right w:val="single" w:color="auto" w:sz="4" w:space="0"/>
            </w:tcBorders>
            <w:vAlign w:val="center"/>
          </w:tcPr>
          <w:p w14:paraId="5ACE5FD2">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3A3EE949">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1A8861E0">
            <w:pP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color w:val="auto"/>
                <w:sz w:val="24"/>
                <w:highlight w:val="none"/>
              </w:rPr>
              <w:t>未提供或不满足工程需要</w:t>
            </w:r>
          </w:p>
        </w:tc>
      </w:tr>
      <w:tr w14:paraId="4B19F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restart"/>
            <w:tcBorders>
              <w:top w:val="single" w:color="auto" w:sz="4" w:space="0"/>
              <w:left w:val="single" w:color="auto" w:sz="4" w:space="0"/>
              <w:right w:val="single" w:color="auto" w:sz="4" w:space="0"/>
            </w:tcBorders>
            <w:vAlign w:val="center"/>
          </w:tcPr>
          <w:p w14:paraId="3D4C73CA">
            <w:pPr>
              <w:spacing w:before="60" w:beforeLines="25" w:after="60" w:afterLines="25"/>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6</w:t>
            </w:r>
          </w:p>
        </w:tc>
        <w:tc>
          <w:tcPr>
            <w:tcW w:w="1457" w:type="dxa"/>
            <w:vMerge w:val="restart"/>
            <w:tcBorders>
              <w:top w:val="single" w:color="auto" w:sz="4" w:space="0"/>
              <w:left w:val="single" w:color="auto" w:sz="4" w:space="0"/>
              <w:right w:val="single" w:color="auto" w:sz="4" w:space="0"/>
            </w:tcBorders>
            <w:vAlign w:val="center"/>
          </w:tcPr>
          <w:p w14:paraId="3902E3FA">
            <w:pPr>
              <w:spacing w:before="60" w:beforeLines="25" w:after="60" w:afterLines="25"/>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Cs/>
                <w:color w:val="auto"/>
                <w:sz w:val="24"/>
                <w:highlight w:val="none"/>
              </w:rPr>
              <w:t>成品保护措施</w:t>
            </w:r>
          </w:p>
        </w:tc>
        <w:tc>
          <w:tcPr>
            <w:tcW w:w="675" w:type="dxa"/>
            <w:vMerge w:val="restart"/>
            <w:tcBorders>
              <w:top w:val="single" w:color="auto" w:sz="4" w:space="0"/>
              <w:left w:val="single" w:color="auto" w:sz="4" w:space="0"/>
              <w:right w:val="single" w:color="auto" w:sz="4" w:space="0"/>
            </w:tcBorders>
            <w:vAlign w:val="center"/>
          </w:tcPr>
          <w:p w14:paraId="3EF0AE42">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3</w:t>
            </w:r>
          </w:p>
        </w:tc>
        <w:tc>
          <w:tcPr>
            <w:tcW w:w="708" w:type="dxa"/>
            <w:tcBorders>
              <w:top w:val="single" w:color="auto" w:sz="4" w:space="0"/>
              <w:left w:val="single" w:color="auto" w:sz="4" w:space="0"/>
              <w:bottom w:val="single" w:color="auto" w:sz="4" w:space="0"/>
              <w:right w:val="single" w:color="auto" w:sz="4" w:space="0"/>
            </w:tcBorders>
            <w:vAlign w:val="center"/>
          </w:tcPr>
          <w:p w14:paraId="3259FBE9">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3分</w:t>
            </w:r>
          </w:p>
        </w:tc>
        <w:tc>
          <w:tcPr>
            <w:tcW w:w="5954" w:type="dxa"/>
            <w:tcBorders>
              <w:top w:val="single" w:color="auto" w:sz="4" w:space="0"/>
              <w:left w:val="single" w:color="auto" w:sz="4" w:space="0"/>
              <w:bottom w:val="single" w:color="auto" w:sz="4" w:space="0"/>
              <w:right w:val="single" w:color="auto" w:sz="4" w:space="0"/>
            </w:tcBorders>
            <w:vAlign w:val="center"/>
          </w:tcPr>
          <w:p w14:paraId="4121DCA1">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供应商应综合考虑学校工程的特点，提供有针对性的成品保护措施。成品保护措施详细、切实可行</w:t>
            </w:r>
          </w:p>
        </w:tc>
      </w:tr>
      <w:tr w14:paraId="582F6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right w:val="single" w:color="auto" w:sz="4" w:space="0"/>
            </w:tcBorders>
            <w:vAlign w:val="center"/>
          </w:tcPr>
          <w:p w14:paraId="3DDF1C95">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right w:val="single" w:color="auto" w:sz="4" w:space="0"/>
            </w:tcBorders>
            <w:vAlign w:val="center"/>
          </w:tcPr>
          <w:p w14:paraId="33584F2E">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left w:val="single" w:color="auto" w:sz="4" w:space="0"/>
              <w:right w:val="single" w:color="auto" w:sz="4" w:space="0"/>
            </w:tcBorders>
            <w:vAlign w:val="center"/>
          </w:tcPr>
          <w:p w14:paraId="5DE26363">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510BB856">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2分</w:t>
            </w:r>
          </w:p>
        </w:tc>
        <w:tc>
          <w:tcPr>
            <w:tcW w:w="5954" w:type="dxa"/>
            <w:tcBorders>
              <w:top w:val="single" w:color="auto" w:sz="4" w:space="0"/>
              <w:left w:val="single" w:color="auto" w:sz="4" w:space="0"/>
              <w:bottom w:val="single" w:color="auto" w:sz="4" w:space="0"/>
              <w:right w:val="single" w:color="auto" w:sz="4" w:space="0"/>
            </w:tcBorders>
            <w:vAlign w:val="center"/>
          </w:tcPr>
          <w:p w14:paraId="49ABA03F">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Cs/>
                <w:color w:val="auto"/>
                <w:sz w:val="24"/>
                <w:highlight w:val="none"/>
              </w:rPr>
              <w:t>成品保护措施简略、一般</w:t>
            </w:r>
          </w:p>
        </w:tc>
      </w:tr>
      <w:tr w14:paraId="6FA48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2" w:hRule="atLeast"/>
        </w:trPr>
        <w:tc>
          <w:tcPr>
            <w:tcW w:w="670" w:type="dxa"/>
            <w:vMerge w:val="continue"/>
            <w:tcBorders>
              <w:left w:val="single" w:color="auto" w:sz="4" w:space="0"/>
              <w:bottom w:val="single" w:color="auto" w:sz="4" w:space="0"/>
              <w:right w:val="single" w:color="auto" w:sz="4" w:space="0"/>
            </w:tcBorders>
            <w:vAlign w:val="center"/>
          </w:tcPr>
          <w:p w14:paraId="2D43BD13">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bottom w:val="single" w:color="auto" w:sz="4" w:space="0"/>
              <w:right w:val="single" w:color="auto" w:sz="4" w:space="0"/>
            </w:tcBorders>
            <w:vAlign w:val="center"/>
          </w:tcPr>
          <w:p w14:paraId="1AB93B3A">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left w:val="single" w:color="auto" w:sz="4" w:space="0"/>
              <w:bottom w:val="single" w:color="auto" w:sz="4" w:space="0"/>
              <w:right w:val="single" w:color="auto" w:sz="4" w:space="0"/>
            </w:tcBorders>
            <w:vAlign w:val="center"/>
          </w:tcPr>
          <w:p w14:paraId="4F21D1D2">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5F7B5681">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19B27E50">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未提供或不满足工程需要</w:t>
            </w:r>
          </w:p>
        </w:tc>
      </w:tr>
      <w:tr w14:paraId="1A8261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670" w:type="dxa"/>
            <w:vMerge w:val="restart"/>
            <w:tcBorders>
              <w:top w:val="single" w:color="auto" w:sz="4" w:space="0"/>
              <w:left w:val="single" w:color="auto" w:sz="4" w:space="0"/>
              <w:right w:val="single" w:color="auto" w:sz="4" w:space="0"/>
            </w:tcBorders>
            <w:vAlign w:val="center"/>
          </w:tcPr>
          <w:p w14:paraId="161BFE83">
            <w:pPr>
              <w:spacing w:before="60" w:beforeLines="25" w:after="60" w:afterLines="25"/>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7</w:t>
            </w:r>
          </w:p>
        </w:tc>
        <w:tc>
          <w:tcPr>
            <w:tcW w:w="1457" w:type="dxa"/>
            <w:vMerge w:val="restart"/>
            <w:tcBorders>
              <w:top w:val="single" w:color="auto" w:sz="4" w:space="0"/>
              <w:left w:val="single" w:color="auto" w:sz="4" w:space="0"/>
              <w:right w:val="single" w:color="auto" w:sz="4" w:space="0"/>
            </w:tcBorders>
            <w:vAlign w:val="center"/>
          </w:tcPr>
          <w:p w14:paraId="4AFF9AC4">
            <w:pPr>
              <w:spacing w:before="60" w:beforeLines="25" w:after="60" w:afterLines="25"/>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紧急情况的处理措施、预案以及抵抗风险的措施</w:t>
            </w:r>
          </w:p>
        </w:tc>
        <w:tc>
          <w:tcPr>
            <w:tcW w:w="675" w:type="dxa"/>
            <w:vMerge w:val="restart"/>
            <w:tcBorders>
              <w:top w:val="single" w:color="auto" w:sz="4" w:space="0"/>
              <w:left w:val="single" w:color="auto" w:sz="4" w:space="0"/>
              <w:right w:val="single" w:color="auto" w:sz="4" w:space="0"/>
            </w:tcBorders>
            <w:vAlign w:val="center"/>
          </w:tcPr>
          <w:p w14:paraId="4AE12D5D">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6</w:t>
            </w:r>
          </w:p>
        </w:tc>
        <w:tc>
          <w:tcPr>
            <w:tcW w:w="708" w:type="dxa"/>
            <w:tcBorders>
              <w:top w:val="single" w:color="auto" w:sz="4" w:space="0"/>
              <w:left w:val="single" w:color="auto" w:sz="4" w:space="0"/>
              <w:bottom w:val="single" w:color="auto" w:sz="4" w:space="0"/>
              <w:right w:val="single" w:color="auto" w:sz="4" w:space="0"/>
            </w:tcBorders>
            <w:vAlign w:val="center"/>
          </w:tcPr>
          <w:p w14:paraId="3B9632A9">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6分</w:t>
            </w:r>
          </w:p>
        </w:tc>
        <w:tc>
          <w:tcPr>
            <w:tcW w:w="5954" w:type="dxa"/>
            <w:tcBorders>
              <w:top w:val="single" w:color="auto" w:sz="4" w:space="0"/>
              <w:left w:val="single" w:color="auto" w:sz="4" w:space="0"/>
              <w:bottom w:val="single" w:color="auto" w:sz="4" w:space="0"/>
              <w:right w:val="single" w:color="auto" w:sz="4" w:space="0"/>
            </w:tcBorders>
            <w:vAlign w:val="center"/>
          </w:tcPr>
          <w:p w14:paraId="0C224A20">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供应商应针对学校工程特点制定安全应急预案，包括但不限于火灾应急预案、极端恶劣天气等自然灾害应急预案、应急指挥部人员岗位及职责方案等，方案内容完全满足以上要求并且详细、切实可行</w:t>
            </w:r>
          </w:p>
        </w:tc>
      </w:tr>
      <w:tr w14:paraId="5BF883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670" w:type="dxa"/>
            <w:vMerge w:val="continue"/>
            <w:tcBorders>
              <w:top w:val="single" w:color="auto" w:sz="4" w:space="0"/>
              <w:left w:val="single" w:color="auto" w:sz="4" w:space="0"/>
              <w:right w:val="single" w:color="auto" w:sz="4" w:space="0"/>
            </w:tcBorders>
            <w:vAlign w:val="center"/>
          </w:tcPr>
          <w:p w14:paraId="16D3F41F">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top w:val="single" w:color="auto" w:sz="4" w:space="0"/>
              <w:left w:val="single" w:color="auto" w:sz="4" w:space="0"/>
              <w:right w:val="single" w:color="auto" w:sz="4" w:space="0"/>
            </w:tcBorders>
            <w:vAlign w:val="center"/>
          </w:tcPr>
          <w:p w14:paraId="5C48FC49">
            <w:pPr>
              <w:spacing w:before="60" w:beforeLines="25" w:after="60" w:afterLines="25"/>
              <w:jc w:val="center"/>
              <w:rPr>
                <w:rFonts w:cs="宋体" w:asciiTheme="minorEastAsia" w:hAnsiTheme="minorEastAsia" w:eastAsiaTheme="minorEastAsia"/>
                <w:color w:val="auto"/>
                <w:sz w:val="24"/>
                <w:highlight w:val="none"/>
              </w:rPr>
            </w:pPr>
          </w:p>
        </w:tc>
        <w:tc>
          <w:tcPr>
            <w:tcW w:w="675" w:type="dxa"/>
            <w:vMerge w:val="continue"/>
            <w:tcBorders>
              <w:top w:val="single" w:color="auto" w:sz="4" w:space="0"/>
              <w:left w:val="single" w:color="auto" w:sz="4" w:space="0"/>
              <w:right w:val="single" w:color="auto" w:sz="4" w:space="0"/>
            </w:tcBorders>
            <w:vAlign w:val="center"/>
          </w:tcPr>
          <w:p w14:paraId="7703711B">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5A170AEC">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4分</w:t>
            </w:r>
          </w:p>
        </w:tc>
        <w:tc>
          <w:tcPr>
            <w:tcW w:w="5954" w:type="dxa"/>
            <w:tcBorders>
              <w:top w:val="single" w:color="auto" w:sz="4" w:space="0"/>
              <w:left w:val="single" w:color="auto" w:sz="4" w:space="0"/>
              <w:bottom w:val="single" w:color="auto" w:sz="4" w:space="0"/>
              <w:right w:val="single" w:color="auto" w:sz="4" w:space="0"/>
            </w:tcBorders>
            <w:vAlign w:val="center"/>
          </w:tcPr>
          <w:p w14:paraId="410AF226">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紧急情况的处理措施、预案以及抵抗风险的措施内容一般、细节基本满足需求</w:t>
            </w:r>
          </w:p>
        </w:tc>
      </w:tr>
      <w:tr w14:paraId="098DF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3" w:hRule="atLeast"/>
        </w:trPr>
        <w:tc>
          <w:tcPr>
            <w:tcW w:w="670" w:type="dxa"/>
            <w:vMerge w:val="continue"/>
            <w:tcBorders>
              <w:left w:val="single" w:color="auto" w:sz="4" w:space="0"/>
              <w:right w:val="single" w:color="auto" w:sz="4" w:space="0"/>
            </w:tcBorders>
          </w:tcPr>
          <w:p w14:paraId="67DF946D">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right w:val="single" w:color="auto" w:sz="4" w:space="0"/>
            </w:tcBorders>
            <w:vAlign w:val="center"/>
          </w:tcPr>
          <w:p w14:paraId="074E15FB">
            <w:pPr>
              <w:spacing w:before="60" w:beforeLines="25" w:after="60" w:afterLines="25"/>
              <w:rPr>
                <w:rFonts w:cs="宋体" w:asciiTheme="minorEastAsia" w:hAnsiTheme="minorEastAsia" w:eastAsiaTheme="minorEastAsia"/>
                <w:color w:val="auto"/>
                <w:sz w:val="24"/>
                <w:highlight w:val="none"/>
              </w:rPr>
            </w:pPr>
          </w:p>
        </w:tc>
        <w:tc>
          <w:tcPr>
            <w:tcW w:w="675" w:type="dxa"/>
            <w:vMerge w:val="continue"/>
            <w:tcBorders>
              <w:left w:val="single" w:color="auto" w:sz="4" w:space="0"/>
              <w:right w:val="single" w:color="auto" w:sz="4" w:space="0"/>
            </w:tcBorders>
            <w:vAlign w:val="center"/>
          </w:tcPr>
          <w:p w14:paraId="59AE05BD">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041F0F69">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2分</w:t>
            </w:r>
          </w:p>
        </w:tc>
        <w:tc>
          <w:tcPr>
            <w:tcW w:w="5954" w:type="dxa"/>
            <w:tcBorders>
              <w:top w:val="single" w:color="auto" w:sz="4" w:space="0"/>
              <w:left w:val="single" w:color="auto" w:sz="4" w:space="0"/>
              <w:bottom w:val="single" w:color="auto" w:sz="4" w:space="0"/>
              <w:right w:val="single" w:color="auto" w:sz="4" w:space="0"/>
            </w:tcBorders>
            <w:vAlign w:val="center"/>
          </w:tcPr>
          <w:p w14:paraId="369EEA44">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紧急情况的处理措施、预案以及抵抗风险的措施内容不全、细节待完善</w:t>
            </w:r>
          </w:p>
        </w:tc>
      </w:tr>
      <w:tr w14:paraId="0BA6BB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9" w:hRule="atLeast"/>
        </w:trPr>
        <w:tc>
          <w:tcPr>
            <w:tcW w:w="670" w:type="dxa"/>
            <w:vMerge w:val="continue"/>
            <w:tcBorders>
              <w:left w:val="single" w:color="auto" w:sz="4" w:space="0"/>
              <w:bottom w:val="single" w:color="auto" w:sz="4" w:space="0"/>
              <w:right w:val="single" w:color="auto" w:sz="4" w:space="0"/>
            </w:tcBorders>
          </w:tcPr>
          <w:p w14:paraId="25930F90">
            <w:pPr>
              <w:spacing w:before="60" w:beforeLines="25" w:after="60" w:afterLines="25"/>
              <w:jc w:val="center"/>
              <w:rPr>
                <w:rFonts w:cs="宋体" w:asciiTheme="minorEastAsia" w:hAnsiTheme="minorEastAsia" w:eastAsiaTheme="minorEastAsia"/>
                <w:color w:val="auto"/>
                <w:sz w:val="24"/>
                <w:highlight w:val="none"/>
              </w:rPr>
            </w:pPr>
          </w:p>
        </w:tc>
        <w:tc>
          <w:tcPr>
            <w:tcW w:w="1457" w:type="dxa"/>
            <w:vMerge w:val="continue"/>
            <w:tcBorders>
              <w:left w:val="single" w:color="auto" w:sz="4" w:space="0"/>
              <w:bottom w:val="single" w:color="auto" w:sz="4" w:space="0"/>
              <w:right w:val="single" w:color="auto" w:sz="4" w:space="0"/>
            </w:tcBorders>
            <w:vAlign w:val="center"/>
          </w:tcPr>
          <w:p w14:paraId="15C8D564">
            <w:pPr>
              <w:spacing w:before="60" w:beforeLines="25" w:after="60" w:afterLines="25"/>
              <w:rPr>
                <w:rFonts w:cs="宋体" w:asciiTheme="minorEastAsia" w:hAnsiTheme="minorEastAsia" w:eastAsiaTheme="minorEastAsia"/>
                <w:color w:val="auto"/>
                <w:sz w:val="24"/>
                <w:highlight w:val="none"/>
              </w:rPr>
            </w:pPr>
          </w:p>
        </w:tc>
        <w:tc>
          <w:tcPr>
            <w:tcW w:w="675" w:type="dxa"/>
            <w:vMerge w:val="continue"/>
            <w:tcBorders>
              <w:left w:val="single" w:color="auto" w:sz="4" w:space="0"/>
              <w:bottom w:val="single" w:color="auto" w:sz="4" w:space="0"/>
              <w:right w:val="single" w:color="auto" w:sz="4" w:space="0"/>
            </w:tcBorders>
            <w:vAlign w:val="center"/>
          </w:tcPr>
          <w:p w14:paraId="54AF1B25">
            <w:pPr>
              <w:jc w:val="center"/>
              <w:rPr>
                <w:rFonts w:cs="宋体" w:asciiTheme="minorEastAsia" w:hAnsiTheme="minorEastAsia" w:eastAsiaTheme="minorEastAsia"/>
                <w:color w:val="auto"/>
                <w:sz w:val="24"/>
                <w:highlight w:val="none"/>
              </w:rPr>
            </w:pPr>
          </w:p>
        </w:tc>
        <w:tc>
          <w:tcPr>
            <w:tcW w:w="708" w:type="dxa"/>
            <w:tcBorders>
              <w:top w:val="single" w:color="auto" w:sz="4" w:space="0"/>
              <w:left w:val="single" w:color="auto" w:sz="4" w:space="0"/>
              <w:bottom w:val="single" w:color="auto" w:sz="4" w:space="0"/>
              <w:right w:val="single" w:color="auto" w:sz="4" w:space="0"/>
            </w:tcBorders>
            <w:vAlign w:val="center"/>
          </w:tcPr>
          <w:p w14:paraId="5CB12EA9">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0分</w:t>
            </w:r>
          </w:p>
        </w:tc>
        <w:tc>
          <w:tcPr>
            <w:tcW w:w="5954" w:type="dxa"/>
            <w:tcBorders>
              <w:top w:val="single" w:color="auto" w:sz="4" w:space="0"/>
              <w:left w:val="single" w:color="auto" w:sz="4" w:space="0"/>
              <w:bottom w:val="single" w:color="auto" w:sz="4" w:space="0"/>
              <w:right w:val="single" w:color="auto" w:sz="4" w:space="0"/>
            </w:tcBorders>
            <w:vAlign w:val="center"/>
          </w:tcPr>
          <w:p w14:paraId="1457E988">
            <w:pP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未提供或不满足工程需要</w:t>
            </w:r>
          </w:p>
        </w:tc>
      </w:tr>
      <w:tr w14:paraId="7F6FD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86" w:hRule="atLeast"/>
        </w:trPr>
        <w:tc>
          <w:tcPr>
            <w:tcW w:w="670" w:type="dxa"/>
            <w:tcBorders>
              <w:left w:val="single" w:color="auto" w:sz="4" w:space="0"/>
              <w:bottom w:val="single" w:color="auto" w:sz="4" w:space="0"/>
              <w:right w:val="single" w:color="auto" w:sz="4" w:space="0"/>
            </w:tcBorders>
            <w:vAlign w:val="center"/>
          </w:tcPr>
          <w:p w14:paraId="167801CD">
            <w:pPr>
              <w:spacing w:before="60" w:beforeLines="25" w:after="60" w:afterLines="25"/>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8</w:t>
            </w:r>
          </w:p>
        </w:tc>
        <w:tc>
          <w:tcPr>
            <w:tcW w:w="1457" w:type="dxa"/>
            <w:tcBorders>
              <w:left w:val="single" w:color="auto" w:sz="4" w:space="0"/>
              <w:bottom w:val="single" w:color="auto" w:sz="4" w:space="0"/>
              <w:right w:val="single" w:color="auto" w:sz="4" w:space="0"/>
            </w:tcBorders>
            <w:vAlign w:val="center"/>
          </w:tcPr>
          <w:p w14:paraId="14E9DCCF">
            <w:pPr>
              <w:spacing w:before="120" w:beforeLines="50" w:line="276" w:lineRule="auto"/>
              <w:jc w:val="center"/>
              <w:rPr>
                <w:rFonts w:cs="宋体" w:asciiTheme="minorEastAsia" w:hAnsiTheme="minorEastAsia" w:eastAsiaTheme="minorEastAsia"/>
                <w:strike/>
                <w:color w:val="auto"/>
                <w:sz w:val="24"/>
                <w:highlight w:val="none"/>
              </w:rPr>
            </w:pPr>
            <w:r>
              <w:rPr>
                <w:rFonts w:hint="eastAsia" w:cs="宋体" w:asciiTheme="minorEastAsia" w:hAnsiTheme="minorEastAsia" w:eastAsiaTheme="minorEastAsia"/>
                <w:color w:val="auto"/>
                <w:sz w:val="24"/>
                <w:highlight w:val="none"/>
              </w:rPr>
              <w:t>政策法规</w:t>
            </w:r>
          </w:p>
        </w:tc>
        <w:tc>
          <w:tcPr>
            <w:tcW w:w="1383" w:type="dxa"/>
            <w:gridSpan w:val="2"/>
            <w:tcBorders>
              <w:left w:val="single" w:color="auto" w:sz="4" w:space="0"/>
              <w:bottom w:val="single" w:color="auto" w:sz="4" w:space="0"/>
              <w:right w:val="single" w:color="auto" w:sz="4" w:space="0"/>
            </w:tcBorders>
            <w:vAlign w:val="center"/>
          </w:tcPr>
          <w:p w14:paraId="6AC8A1AD">
            <w:pPr>
              <w:jc w:val="center"/>
              <w:rPr>
                <w:rFonts w:cs="宋体" w:asciiTheme="minorEastAsia" w:hAnsiTheme="minorEastAsia" w:eastAsiaTheme="minorEastAsia"/>
                <w:color w:val="auto"/>
                <w:sz w:val="24"/>
                <w:highlight w:val="none"/>
              </w:rPr>
            </w:pPr>
            <w:r>
              <w:rPr>
                <w:rFonts w:cs="宋体" w:asciiTheme="minorEastAsia" w:hAnsiTheme="minorEastAsia" w:eastAsiaTheme="minorEastAsia"/>
                <w:color w:val="auto"/>
                <w:sz w:val="24"/>
                <w:highlight w:val="none"/>
              </w:rPr>
              <w:t>2分</w:t>
            </w:r>
          </w:p>
        </w:tc>
        <w:tc>
          <w:tcPr>
            <w:tcW w:w="5954" w:type="dxa"/>
            <w:tcBorders>
              <w:top w:val="single" w:color="auto" w:sz="4" w:space="0"/>
              <w:left w:val="single" w:color="auto" w:sz="4" w:space="0"/>
              <w:bottom w:val="single" w:color="auto" w:sz="4" w:space="0"/>
              <w:right w:val="single" w:color="auto" w:sz="4" w:space="0"/>
            </w:tcBorders>
            <w:vAlign w:val="center"/>
          </w:tcPr>
          <w:p w14:paraId="2DEF57B2">
            <w:pPr>
              <w:spacing w:line="312"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综合审查供应商所投产品是否属于节能产品或环境标志产品，须附相应证明材料。属于节能产品（非强制）得</w:t>
            </w:r>
            <w:r>
              <w:rPr>
                <w:rFonts w:cs="宋体" w:asciiTheme="minorEastAsia" w:hAnsiTheme="minorEastAsia" w:eastAsiaTheme="minorEastAsia"/>
                <w:color w:val="auto"/>
                <w:sz w:val="24"/>
                <w:highlight w:val="none"/>
              </w:rPr>
              <w:t>1分，属于环境标志产品得1分，否则0分。</w:t>
            </w:r>
          </w:p>
          <w:p w14:paraId="5204063A">
            <w:pPr>
              <w:spacing w:line="312"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说明：</w:t>
            </w:r>
            <w:r>
              <w:rPr>
                <w:rFonts w:cs="宋体" w:asciiTheme="minorEastAsia" w:hAnsiTheme="minorEastAsia" w:eastAsiaTheme="minorEastAsia"/>
                <w:color w:val="auto"/>
                <w:sz w:val="24"/>
                <w:highlight w:val="none"/>
              </w:rPr>
              <w:t xml:space="preserve">1.证明材料须按照“财政部 </w:t>
            </w:r>
            <w:r>
              <w:rPr>
                <w:rFonts w:hint="eastAsia" w:cs="宋体" w:asciiTheme="minorEastAsia" w:hAnsiTheme="minorEastAsia" w:eastAsiaTheme="minorEastAsia"/>
                <w:color w:val="auto"/>
                <w:sz w:val="24"/>
                <w:highlight w:val="none"/>
              </w:rPr>
              <w:t>发展改革委</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生态环境部</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市场监管总局</w:t>
            </w:r>
            <w:r>
              <w:rPr>
                <w:rFonts w:cs="宋体" w:asciiTheme="minorEastAsia" w:hAnsiTheme="minorEastAsia" w:eastAsiaTheme="minorEastAsia"/>
                <w:color w:val="auto"/>
                <w:sz w:val="24"/>
                <w:highlight w:val="none"/>
              </w:rPr>
              <w:t xml:space="preserve"> </w:t>
            </w:r>
            <w:r>
              <w:rPr>
                <w:rFonts w:hint="eastAsia" w:cs="宋体" w:asciiTheme="minorEastAsia" w:hAnsiTheme="minorEastAsia" w:eastAsiaTheme="minorEastAsia"/>
                <w:color w:val="auto"/>
                <w:sz w:val="24"/>
                <w:highlight w:val="none"/>
              </w:rPr>
              <w:t>关于调整优化节能产品、环境标志产品政府采购执行机制的通知”的要求提供：国家确定的认证机构出具的、处于有效期之内的节能产品、环境标志产品认证证书；</w:t>
            </w:r>
            <w:r>
              <w:rPr>
                <w:rFonts w:cs="宋体" w:asciiTheme="minorEastAsia" w:hAnsiTheme="minorEastAsia" w:eastAsiaTheme="minorEastAsia"/>
                <w:color w:val="auto"/>
                <w:sz w:val="24"/>
                <w:highlight w:val="none"/>
              </w:rPr>
              <w:t>2.属于政府强制采购节能产品的不得分；3.未按照要求提供证明材料的不得分。</w:t>
            </w:r>
          </w:p>
        </w:tc>
      </w:tr>
      <w:tr w14:paraId="5B1F35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6" w:hRule="atLeast"/>
        </w:trPr>
        <w:tc>
          <w:tcPr>
            <w:tcW w:w="2127" w:type="dxa"/>
            <w:gridSpan w:val="2"/>
            <w:tcBorders>
              <w:top w:val="single" w:color="auto" w:sz="4" w:space="0"/>
              <w:left w:val="single" w:color="auto" w:sz="4" w:space="0"/>
              <w:bottom w:val="single" w:color="auto" w:sz="4" w:space="0"/>
              <w:right w:val="single" w:color="auto" w:sz="4" w:space="0"/>
            </w:tcBorders>
            <w:vAlign w:val="center"/>
          </w:tcPr>
          <w:p w14:paraId="7FEF87F4">
            <w:pPr>
              <w:spacing w:before="120" w:beforeLines="50"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合计</w:t>
            </w:r>
          </w:p>
        </w:tc>
        <w:tc>
          <w:tcPr>
            <w:tcW w:w="7337" w:type="dxa"/>
            <w:gridSpan w:val="3"/>
            <w:tcBorders>
              <w:top w:val="single" w:color="auto" w:sz="4" w:space="0"/>
              <w:left w:val="single" w:color="auto" w:sz="4" w:space="0"/>
              <w:bottom w:val="single" w:color="auto" w:sz="4" w:space="0"/>
              <w:right w:val="single" w:color="auto" w:sz="4" w:space="0"/>
            </w:tcBorders>
            <w:vAlign w:val="center"/>
          </w:tcPr>
          <w:p w14:paraId="233FA164">
            <w:pPr>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sz w:val="24"/>
                <w:highlight w:val="none"/>
              </w:rPr>
              <w:t>满分</w:t>
            </w:r>
            <w:r>
              <w:rPr>
                <w:rFonts w:cs="宋体" w:asciiTheme="minorEastAsia" w:hAnsiTheme="minorEastAsia" w:eastAsiaTheme="minorEastAsia"/>
                <w:b/>
                <w:color w:val="auto"/>
                <w:sz w:val="24"/>
                <w:highlight w:val="none"/>
              </w:rPr>
              <w:t>60</w:t>
            </w:r>
          </w:p>
        </w:tc>
      </w:tr>
    </w:tbl>
    <w:p w14:paraId="5759DD3F">
      <w:pPr>
        <w:rPr>
          <w:color w:val="auto"/>
          <w:highlight w:val="none"/>
        </w:rPr>
      </w:pPr>
    </w:p>
    <w:p w14:paraId="1B9BC570">
      <w:pPr>
        <w:spacing w:line="276" w:lineRule="auto"/>
        <w:rPr>
          <w:rFonts w:ascii="宋体" w:hAnsi="宋体" w:cs="宋体"/>
          <w:color w:val="auto"/>
          <w:sz w:val="24"/>
          <w:highlight w:val="none"/>
        </w:rPr>
        <w:sectPr>
          <w:headerReference r:id="rId10" w:type="default"/>
          <w:footerReference r:id="rId11" w:type="default"/>
          <w:pgSz w:w="11910" w:h="16840"/>
          <w:pgMar w:top="1417" w:right="1417" w:bottom="1417" w:left="1417" w:header="0" w:footer="1066" w:gutter="0"/>
          <w:cols w:space="720" w:num="1"/>
        </w:sectPr>
      </w:pPr>
    </w:p>
    <w:p w14:paraId="41F21BED">
      <w:pPr>
        <w:shd w:val="clear" w:color="auto" w:fill="FFFFFF"/>
        <w:spacing w:line="360" w:lineRule="auto"/>
        <w:jc w:val="center"/>
        <w:outlineLvl w:val="0"/>
        <w:rPr>
          <w:rFonts w:ascii="宋体" w:hAnsi="宋体" w:cs="宋体"/>
          <w:b/>
          <w:color w:val="auto"/>
          <w:sz w:val="36"/>
          <w:szCs w:val="36"/>
          <w:highlight w:val="none"/>
        </w:rPr>
      </w:pPr>
      <w:bookmarkStart w:id="666" w:name="_Toc28542"/>
      <w:r>
        <w:rPr>
          <w:rFonts w:hint="eastAsia" w:ascii="宋体" w:hAnsi="宋体" w:cs="宋体"/>
          <w:b/>
          <w:color w:val="auto"/>
          <w:sz w:val="36"/>
          <w:szCs w:val="36"/>
          <w:highlight w:val="none"/>
        </w:rPr>
        <w:t>第四章   采购需求</w:t>
      </w:r>
      <w:bookmarkEnd w:id="666"/>
    </w:p>
    <w:p w14:paraId="1588055F">
      <w:pPr>
        <w:pStyle w:val="67"/>
        <w:ind w:left="0" w:firstLine="0"/>
        <w:rPr>
          <w:rFonts w:hAnsi="宋体" w:cs="宋体"/>
          <w:bCs/>
          <w:color w:val="auto"/>
          <w:highlight w:val="none"/>
        </w:rPr>
      </w:pPr>
    </w:p>
    <w:p w14:paraId="1E42BE11">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一、工程概况</w:t>
      </w:r>
    </w:p>
    <w:p w14:paraId="018260A1">
      <w:pPr>
        <w:spacing w:line="360" w:lineRule="auto"/>
        <w:rPr>
          <w:rFonts w:ascii="宋体" w:hAnsi="宋体" w:cs="宋体"/>
          <w:color w:val="auto"/>
          <w:sz w:val="24"/>
          <w:highlight w:val="none"/>
        </w:rPr>
      </w:pPr>
      <w:r>
        <w:rPr>
          <w:rFonts w:hint="eastAsia" w:ascii="宋体" w:hAnsi="宋体" w:cs="宋体"/>
          <w:color w:val="auto"/>
          <w:sz w:val="24"/>
          <w:highlight w:val="none"/>
        </w:rPr>
        <w:t>1.1项目名称：北京财贸职业学院涿州校区雨污管线修缮工程项目</w:t>
      </w:r>
    </w:p>
    <w:p w14:paraId="01C1BAC9">
      <w:pPr>
        <w:spacing w:line="360" w:lineRule="auto"/>
        <w:rPr>
          <w:rFonts w:ascii="宋体" w:hAnsi="宋体" w:cs="宋体"/>
          <w:color w:val="auto"/>
          <w:sz w:val="24"/>
          <w:highlight w:val="none"/>
        </w:rPr>
      </w:pPr>
      <w:r>
        <w:rPr>
          <w:rFonts w:hint="eastAsia" w:ascii="宋体" w:hAnsi="宋体" w:cs="宋体"/>
          <w:color w:val="auto"/>
          <w:sz w:val="24"/>
          <w:highlight w:val="none"/>
        </w:rPr>
        <w:t>1.2采购单位：北京财贸职业学院</w:t>
      </w:r>
    </w:p>
    <w:p w14:paraId="002770A4">
      <w:pPr>
        <w:spacing w:line="360" w:lineRule="auto"/>
        <w:rPr>
          <w:rFonts w:ascii="宋体" w:hAnsi="宋体" w:cs="宋体"/>
          <w:color w:val="auto"/>
          <w:sz w:val="24"/>
          <w:highlight w:val="none"/>
        </w:rPr>
      </w:pPr>
      <w:r>
        <w:rPr>
          <w:rFonts w:hint="eastAsia" w:ascii="宋体" w:hAnsi="宋体" w:cs="宋体"/>
          <w:color w:val="auto"/>
          <w:sz w:val="24"/>
          <w:highlight w:val="none"/>
        </w:rPr>
        <w:t>1.3项目地点：北京财贸职业学院涿州校区</w:t>
      </w:r>
    </w:p>
    <w:p w14:paraId="0418E45C">
      <w:pPr>
        <w:spacing w:line="360" w:lineRule="auto"/>
        <w:rPr>
          <w:rFonts w:ascii="宋体" w:hAnsi="宋体" w:cs="宋体"/>
          <w:color w:val="auto"/>
          <w:sz w:val="24"/>
          <w:highlight w:val="none"/>
        </w:rPr>
      </w:pPr>
      <w:r>
        <w:rPr>
          <w:rFonts w:hint="eastAsia" w:ascii="宋体" w:hAnsi="宋体" w:cs="宋体"/>
          <w:color w:val="auto"/>
          <w:sz w:val="24"/>
          <w:highlight w:val="none"/>
        </w:rPr>
        <w:t>1.4本工程的招标范围 ：</w:t>
      </w:r>
    </w:p>
    <w:p w14:paraId="49FD5F08">
      <w:pPr>
        <w:spacing w:line="360" w:lineRule="auto"/>
        <w:rPr>
          <w:rFonts w:ascii="宋体" w:hAnsi="宋体" w:cs="宋体"/>
          <w:color w:val="auto"/>
          <w:sz w:val="24"/>
          <w:highlight w:val="none"/>
        </w:rPr>
      </w:pPr>
      <w:r>
        <w:rPr>
          <w:rFonts w:hint="eastAsia" w:ascii="宋体" w:hAnsi="宋体" w:cs="宋体"/>
          <w:color w:val="auto"/>
          <w:sz w:val="24"/>
          <w:highlight w:val="none"/>
        </w:rPr>
        <w:t>北京财贸职业学院涿州校区雨污管线修缮工程项目，包括涿州校区雨污管线修缮、路面恢复,详见图纸及工程量清单。</w:t>
      </w:r>
    </w:p>
    <w:p w14:paraId="18338437">
      <w:pPr>
        <w:spacing w:line="360" w:lineRule="auto"/>
        <w:rPr>
          <w:rFonts w:ascii="宋体" w:hAnsi="宋体" w:cs="宋体"/>
          <w:color w:val="auto"/>
          <w:sz w:val="24"/>
          <w:highlight w:val="none"/>
        </w:rPr>
      </w:pPr>
      <w:r>
        <w:rPr>
          <w:rFonts w:hint="eastAsia" w:ascii="宋体" w:hAnsi="宋体" w:cs="宋体"/>
          <w:color w:val="auto"/>
          <w:sz w:val="24"/>
          <w:highlight w:val="none"/>
        </w:rPr>
        <w:t>1.5本工程费用预算：不超过192.477306万元（含暂列金24万元）</w:t>
      </w:r>
    </w:p>
    <w:p w14:paraId="127AAA46">
      <w:pPr>
        <w:spacing w:line="360" w:lineRule="auto"/>
        <w:rPr>
          <w:rFonts w:ascii="宋体" w:hAnsi="宋体" w:cs="宋体"/>
          <w:color w:val="auto"/>
          <w:sz w:val="24"/>
          <w:highlight w:val="none"/>
        </w:rPr>
      </w:pPr>
      <w:r>
        <w:rPr>
          <w:rFonts w:hint="eastAsia" w:ascii="宋体" w:hAnsi="宋体" w:cs="宋体"/>
          <w:color w:val="auto"/>
          <w:sz w:val="24"/>
          <w:highlight w:val="none"/>
        </w:rPr>
        <w:t>1.6计划工期35个日历天</w:t>
      </w:r>
    </w:p>
    <w:p w14:paraId="06E2FBFA">
      <w:pPr>
        <w:spacing w:line="360" w:lineRule="auto"/>
        <w:rPr>
          <w:rFonts w:ascii="宋体" w:hAnsi="宋体" w:cs="宋体"/>
          <w:color w:val="auto"/>
          <w:sz w:val="24"/>
          <w:highlight w:val="none"/>
        </w:rPr>
      </w:pPr>
      <w:r>
        <w:rPr>
          <w:rFonts w:hint="eastAsia" w:ascii="宋体" w:hAnsi="宋体" w:cs="宋体"/>
          <w:color w:val="auto"/>
          <w:sz w:val="24"/>
          <w:highlight w:val="none"/>
        </w:rPr>
        <w:t>1.7工程量清单详见附件</w:t>
      </w:r>
    </w:p>
    <w:p w14:paraId="4CE9504E">
      <w:pPr>
        <w:spacing w:line="360" w:lineRule="auto"/>
        <w:rPr>
          <w:rFonts w:ascii="宋体" w:hAnsi="宋体" w:cs="宋体"/>
          <w:color w:val="auto"/>
          <w:sz w:val="24"/>
          <w:highlight w:val="none"/>
        </w:rPr>
      </w:pPr>
      <w:r>
        <w:rPr>
          <w:rFonts w:hint="eastAsia" w:ascii="宋体" w:hAnsi="宋体" w:cs="宋体"/>
          <w:color w:val="auto"/>
          <w:sz w:val="24"/>
          <w:highlight w:val="none"/>
        </w:rPr>
        <w:t>1.8工程图纸详见附件</w:t>
      </w:r>
    </w:p>
    <w:p w14:paraId="2DBA99CD">
      <w:pPr>
        <w:widowControl/>
        <w:jc w:val="left"/>
        <w:rPr>
          <w:rFonts w:ascii="宋体" w:hAnsi="宋体" w:cs="宋体"/>
          <w:color w:val="auto"/>
          <w:sz w:val="24"/>
          <w:highlight w:val="none"/>
        </w:rPr>
      </w:pPr>
      <w:r>
        <w:rPr>
          <w:rFonts w:ascii="宋体" w:hAnsi="宋体" w:cs="宋体"/>
          <w:color w:val="auto"/>
          <w:sz w:val="24"/>
          <w:highlight w:val="none"/>
        </w:rPr>
        <w:br w:type="page"/>
      </w:r>
      <w:bookmarkStart w:id="1900" w:name="_GoBack"/>
      <w:bookmarkEnd w:id="1900"/>
    </w:p>
    <w:p w14:paraId="6AAB22AA">
      <w:pPr>
        <w:spacing w:line="360" w:lineRule="auto"/>
        <w:rPr>
          <w:rFonts w:ascii="宋体" w:hAnsi="宋体" w:cs="宋体"/>
          <w:color w:val="auto"/>
          <w:sz w:val="24"/>
          <w:highlight w:val="none"/>
        </w:rPr>
      </w:pPr>
    </w:p>
    <w:p w14:paraId="425DC1C1">
      <w:pPr>
        <w:numPr>
          <w:ilvl w:val="0"/>
          <w:numId w:val="23"/>
        </w:numPr>
        <w:shd w:val="clear" w:color="auto" w:fill="FFFFFF"/>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bookmarkStart w:id="667" w:name="_Toc4796"/>
      <w:r>
        <w:rPr>
          <w:rFonts w:hint="eastAsia" w:ascii="宋体" w:hAnsi="宋体" w:cs="宋体"/>
          <w:b/>
          <w:color w:val="auto"/>
          <w:sz w:val="36"/>
          <w:szCs w:val="36"/>
          <w:highlight w:val="none"/>
        </w:rPr>
        <w:t>合同草案条款</w:t>
      </w:r>
      <w:bookmarkEnd w:id="667"/>
    </w:p>
    <w:p w14:paraId="7CB01396">
      <w:pPr>
        <w:spacing w:line="360" w:lineRule="auto"/>
        <w:ind w:left="420" w:leftChars="200"/>
        <w:rPr>
          <w:color w:val="auto"/>
          <w:sz w:val="24"/>
          <w:highlight w:val="none"/>
        </w:rPr>
      </w:pPr>
    </w:p>
    <w:p w14:paraId="09EC6E23">
      <w:pPr>
        <w:tabs>
          <w:tab w:val="left" w:pos="900"/>
          <w:tab w:val="left" w:pos="1080"/>
        </w:tabs>
        <w:snapToGrid w:val="0"/>
        <w:spacing w:line="360" w:lineRule="auto"/>
        <w:jc w:val="center"/>
        <w:rPr>
          <w:rFonts w:ascii="宋体" w:hAnsi="宋体"/>
          <w:b/>
          <w:color w:val="auto"/>
          <w:sz w:val="24"/>
          <w:highlight w:val="none"/>
        </w:rPr>
      </w:pPr>
      <w:r>
        <w:rPr>
          <w:rFonts w:hint="eastAsia" w:ascii="宋体" w:hAnsi="宋体"/>
          <w:b/>
          <w:bCs/>
          <w:color w:val="auto"/>
          <w:kern w:val="0"/>
          <w:sz w:val="18"/>
          <w:szCs w:val="18"/>
          <w:highlight w:val="none"/>
        </w:rPr>
        <w:t>（以采购人最终签订合同为准）</w:t>
      </w:r>
    </w:p>
    <w:p w14:paraId="4E49E5F1">
      <w:pPr>
        <w:jc w:val="center"/>
        <w:rPr>
          <w:rFonts w:ascii="Cambria" w:hAnsi="Cambria"/>
          <w:b/>
          <w:color w:val="auto"/>
          <w:sz w:val="36"/>
          <w:szCs w:val="36"/>
          <w:highlight w:val="none"/>
        </w:rPr>
      </w:pPr>
      <w:bookmarkStart w:id="668" w:name="_Hlk145519020"/>
      <w:r>
        <w:rPr>
          <w:rFonts w:hint="eastAsia" w:ascii="Cambria" w:hAnsi="Cambria"/>
          <w:b/>
          <w:color w:val="auto"/>
          <w:sz w:val="36"/>
          <w:szCs w:val="36"/>
          <w:highlight w:val="none"/>
        </w:rPr>
        <w:t>北京财贸职业学院</w:t>
      </w:r>
    </w:p>
    <w:p w14:paraId="0407355B">
      <w:pPr>
        <w:jc w:val="center"/>
        <w:rPr>
          <w:rFonts w:eastAsia="Cambria"/>
          <w:b/>
          <w:color w:val="auto"/>
          <w:sz w:val="36"/>
          <w:szCs w:val="36"/>
          <w:highlight w:val="none"/>
        </w:rPr>
      </w:pPr>
      <w:bookmarkStart w:id="669" w:name="OLE_LINK24"/>
      <w:bookmarkStart w:id="670" w:name="OLE_LINK23"/>
      <w:bookmarkStart w:id="671" w:name="OLE_LINK22"/>
      <w:bookmarkStart w:id="672" w:name="OLE_LINK21"/>
      <w:bookmarkStart w:id="673" w:name="OLE_LINK19"/>
      <w:bookmarkStart w:id="674" w:name="OLE_LINK20"/>
      <w:r>
        <w:rPr>
          <w:rFonts w:hint="eastAsia" w:ascii="宋体" w:hAnsi="宋体" w:cs="宋体"/>
          <w:b/>
          <w:color w:val="auto"/>
          <w:sz w:val="36"/>
          <w:szCs w:val="36"/>
          <w:highlight w:val="none"/>
          <w:u w:val="single"/>
        </w:rPr>
        <w:t>***工程</w:t>
      </w:r>
      <w:bookmarkEnd w:id="669"/>
      <w:bookmarkEnd w:id="670"/>
      <w:bookmarkEnd w:id="671"/>
      <w:bookmarkEnd w:id="672"/>
    </w:p>
    <w:bookmarkEnd w:id="673"/>
    <w:bookmarkEnd w:id="674"/>
    <w:p w14:paraId="23969FA1">
      <w:pPr>
        <w:jc w:val="center"/>
        <w:rPr>
          <w:b/>
          <w:color w:val="auto"/>
          <w:sz w:val="36"/>
          <w:szCs w:val="36"/>
          <w:highlight w:val="none"/>
        </w:rPr>
      </w:pPr>
    </w:p>
    <w:p w14:paraId="6476A679">
      <w:pPr>
        <w:jc w:val="center"/>
        <w:rPr>
          <w:b/>
          <w:color w:val="auto"/>
          <w:sz w:val="36"/>
          <w:szCs w:val="36"/>
          <w:highlight w:val="none"/>
        </w:rPr>
      </w:pPr>
    </w:p>
    <w:p w14:paraId="36DD58A2">
      <w:pPr>
        <w:jc w:val="center"/>
        <w:rPr>
          <w:b/>
          <w:color w:val="auto"/>
          <w:sz w:val="36"/>
          <w:szCs w:val="36"/>
          <w:highlight w:val="none"/>
        </w:rPr>
      </w:pPr>
    </w:p>
    <w:p w14:paraId="649E0F2C">
      <w:pPr>
        <w:jc w:val="center"/>
        <w:rPr>
          <w:b/>
          <w:color w:val="auto"/>
          <w:sz w:val="36"/>
          <w:szCs w:val="36"/>
          <w:highlight w:val="none"/>
        </w:rPr>
      </w:pPr>
    </w:p>
    <w:p w14:paraId="1EB90066">
      <w:pPr>
        <w:jc w:val="center"/>
        <w:rPr>
          <w:b/>
          <w:color w:val="auto"/>
          <w:sz w:val="44"/>
          <w:szCs w:val="44"/>
          <w:highlight w:val="none"/>
        </w:rPr>
      </w:pPr>
      <w:r>
        <w:rPr>
          <w:rFonts w:hint="eastAsia"/>
          <w:b/>
          <w:color w:val="auto"/>
          <w:sz w:val="44"/>
          <w:szCs w:val="44"/>
          <w:highlight w:val="none"/>
        </w:rPr>
        <w:t>施工合同文件</w:t>
      </w:r>
    </w:p>
    <w:p w14:paraId="3A5114BC">
      <w:pPr>
        <w:jc w:val="center"/>
        <w:rPr>
          <w:b/>
          <w:color w:val="auto"/>
          <w:sz w:val="36"/>
          <w:szCs w:val="36"/>
          <w:highlight w:val="none"/>
        </w:rPr>
      </w:pPr>
    </w:p>
    <w:p w14:paraId="5395354E">
      <w:pPr>
        <w:jc w:val="center"/>
        <w:rPr>
          <w:b/>
          <w:color w:val="auto"/>
          <w:sz w:val="36"/>
          <w:szCs w:val="36"/>
          <w:highlight w:val="none"/>
        </w:rPr>
      </w:pPr>
    </w:p>
    <w:p w14:paraId="1E2AD657">
      <w:pPr>
        <w:jc w:val="center"/>
        <w:rPr>
          <w:b/>
          <w:color w:val="auto"/>
          <w:sz w:val="36"/>
          <w:szCs w:val="36"/>
          <w:highlight w:val="none"/>
        </w:rPr>
      </w:pPr>
    </w:p>
    <w:p w14:paraId="6C6D9BBF">
      <w:pPr>
        <w:jc w:val="center"/>
        <w:rPr>
          <w:b/>
          <w:color w:val="auto"/>
          <w:sz w:val="36"/>
          <w:szCs w:val="36"/>
          <w:highlight w:val="none"/>
        </w:rPr>
      </w:pPr>
    </w:p>
    <w:p w14:paraId="43FCEDEA">
      <w:pPr>
        <w:jc w:val="center"/>
        <w:rPr>
          <w:b/>
          <w:color w:val="auto"/>
          <w:sz w:val="36"/>
          <w:szCs w:val="36"/>
          <w:highlight w:val="none"/>
        </w:rPr>
      </w:pPr>
    </w:p>
    <w:p w14:paraId="594009D7">
      <w:pPr>
        <w:jc w:val="center"/>
        <w:rPr>
          <w:b/>
          <w:color w:val="auto"/>
          <w:sz w:val="36"/>
          <w:szCs w:val="36"/>
          <w:highlight w:val="none"/>
        </w:rPr>
      </w:pPr>
    </w:p>
    <w:p w14:paraId="08C66329">
      <w:pPr>
        <w:jc w:val="center"/>
        <w:rPr>
          <w:b/>
          <w:color w:val="auto"/>
          <w:sz w:val="44"/>
          <w:szCs w:val="44"/>
          <w:highlight w:val="none"/>
        </w:rPr>
      </w:pPr>
    </w:p>
    <w:p w14:paraId="3DD6DE82">
      <w:pPr>
        <w:jc w:val="center"/>
        <w:rPr>
          <w:b/>
          <w:color w:val="auto"/>
          <w:sz w:val="44"/>
          <w:szCs w:val="44"/>
          <w:highlight w:val="none"/>
        </w:rPr>
      </w:pPr>
    </w:p>
    <w:p w14:paraId="7722E70F">
      <w:pPr>
        <w:jc w:val="center"/>
        <w:rPr>
          <w:b/>
          <w:color w:val="auto"/>
          <w:sz w:val="44"/>
          <w:szCs w:val="44"/>
          <w:highlight w:val="none"/>
        </w:rPr>
      </w:pPr>
    </w:p>
    <w:p w14:paraId="11070F61">
      <w:pPr>
        <w:jc w:val="center"/>
        <w:rPr>
          <w:b/>
          <w:color w:val="auto"/>
          <w:sz w:val="44"/>
          <w:szCs w:val="44"/>
          <w:highlight w:val="none"/>
        </w:rPr>
      </w:pPr>
    </w:p>
    <w:p w14:paraId="56E5C97D">
      <w:pPr>
        <w:jc w:val="center"/>
        <w:rPr>
          <w:b/>
          <w:color w:val="auto"/>
          <w:sz w:val="44"/>
          <w:szCs w:val="44"/>
          <w:highlight w:val="none"/>
        </w:rPr>
      </w:pPr>
    </w:p>
    <w:p w14:paraId="486FA4AA">
      <w:pPr>
        <w:jc w:val="center"/>
        <w:rPr>
          <w:rFonts w:ascii="Cambria" w:hAnsi="Cambria"/>
          <w:color w:val="auto"/>
          <w:sz w:val="28"/>
          <w:szCs w:val="28"/>
          <w:highlight w:val="none"/>
        </w:rPr>
      </w:pPr>
    </w:p>
    <w:p w14:paraId="7E0CE8F1">
      <w:pPr>
        <w:ind w:firstLine="1687" w:firstLineChars="600"/>
        <w:jc w:val="left"/>
        <w:rPr>
          <w:rFonts w:ascii="Cambria" w:hAnsi="Cambria"/>
          <w:b/>
          <w:color w:val="auto"/>
          <w:sz w:val="28"/>
          <w:szCs w:val="28"/>
          <w:highlight w:val="none"/>
        </w:rPr>
      </w:pPr>
      <w:r>
        <w:rPr>
          <w:rFonts w:hint="eastAsia" w:ascii="Cambria" w:hAnsi="Cambria"/>
          <w:b/>
          <w:color w:val="auto"/>
          <w:sz w:val="28"/>
          <w:szCs w:val="28"/>
          <w:highlight w:val="none"/>
        </w:rPr>
        <w:t>发包人：北京财贸职业学院</w:t>
      </w:r>
    </w:p>
    <w:p w14:paraId="505167ED">
      <w:pPr>
        <w:ind w:firstLine="1687" w:firstLineChars="600"/>
        <w:jc w:val="left"/>
        <w:rPr>
          <w:rFonts w:ascii="Cambria" w:hAnsi="Cambria"/>
          <w:b/>
          <w:color w:val="auto"/>
          <w:sz w:val="28"/>
          <w:szCs w:val="28"/>
          <w:highlight w:val="none"/>
        </w:rPr>
      </w:pPr>
    </w:p>
    <w:p w14:paraId="5E0CCB08">
      <w:pPr>
        <w:ind w:firstLine="1687" w:firstLineChars="600"/>
        <w:jc w:val="left"/>
        <w:rPr>
          <w:rFonts w:ascii="Cambria" w:hAnsi="Cambria"/>
          <w:b/>
          <w:color w:val="auto"/>
          <w:sz w:val="28"/>
          <w:szCs w:val="28"/>
          <w:highlight w:val="none"/>
        </w:rPr>
      </w:pPr>
      <w:r>
        <w:rPr>
          <w:rFonts w:hint="eastAsia" w:ascii="Cambria" w:hAnsi="Cambria"/>
          <w:b/>
          <w:color w:val="auto"/>
          <w:sz w:val="28"/>
          <w:szCs w:val="28"/>
          <w:highlight w:val="none"/>
        </w:rPr>
        <w:t>承包人：</w:t>
      </w:r>
      <w:bookmarkStart w:id="675" w:name="OLE_LINK16"/>
      <w:bookmarkStart w:id="676" w:name="OLE_LINK26"/>
      <w:bookmarkStart w:id="677" w:name="OLE_LINK17"/>
      <w:r>
        <w:rPr>
          <w:rFonts w:hint="eastAsia" w:ascii="Cambria" w:hAnsi="Cambria"/>
          <w:b/>
          <w:color w:val="auto"/>
          <w:sz w:val="28"/>
          <w:szCs w:val="28"/>
          <w:highlight w:val="none"/>
        </w:rPr>
        <w:t xml:space="preserve">********* </w:t>
      </w:r>
      <w:bookmarkEnd w:id="675"/>
      <w:bookmarkEnd w:id="676"/>
      <w:bookmarkEnd w:id="677"/>
    </w:p>
    <w:p w14:paraId="2BD5ED3D">
      <w:pPr>
        <w:jc w:val="center"/>
        <w:rPr>
          <w:rFonts w:ascii="Cambria" w:hAnsi="Cambria"/>
          <w:b/>
          <w:color w:val="auto"/>
          <w:sz w:val="28"/>
          <w:szCs w:val="28"/>
          <w:highlight w:val="none"/>
        </w:rPr>
      </w:pPr>
    </w:p>
    <w:p w14:paraId="48FB1640">
      <w:pPr>
        <w:jc w:val="center"/>
        <w:rPr>
          <w:rFonts w:ascii="Cambria" w:hAnsi="Cambria"/>
          <w:b/>
          <w:color w:val="auto"/>
          <w:sz w:val="28"/>
          <w:szCs w:val="28"/>
          <w:highlight w:val="none"/>
        </w:rPr>
      </w:pPr>
    </w:p>
    <w:p w14:paraId="63916DF7">
      <w:pPr>
        <w:jc w:val="center"/>
        <w:rPr>
          <w:rFonts w:ascii="Cambria" w:hAnsi="Cambria"/>
          <w:b/>
          <w:color w:val="auto"/>
          <w:sz w:val="28"/>
          <w:szCs w:val="28"/>
          <w:highlight w:val="none"/>
        </w:rPr>
      </w:pPr>
      <w:r>
        <w:rPr>
          <w:rFonts w:hint="eastAsia" w:ascii="Cambria" w:hAnsi="Cambria"/>
          <w:b/>
          <w:color w:val="auto"/>
          <w:sz w:val="28"/>
          <w:szCs w:val="28"/>
          <w:highlight w:val="none"/>
        </w:rPr>
        <w:t>202</w:t>
      </w:r>
      <w:r>
        <w:rPr>
          <w:rFonts w:ascii="Cambria" w:hAnsi="Cambria"/>
          <w:b/>
          <w:color w:val="auto"/>
          <w:sz w:val="28"/>
          <w:szCs w:val="28"/>
          <w:highlight w:val="none"/>
        </w:rPr>
        <w:t>5</w:t>
      </w:r>
      <w:r>
        <w:rPr>
          <w:rFonts w:hint="eastAsia" w:ascii="Cambria" w:hAnsi="Cambria"/>
          <w:b/>
          <w:color w:val="auto"/>
          <w:sz w:val="28"/>
          <w:szCs w:val="28"/>
          <w:highlight w:val="none"/>
        </w:rPr>
        <w:t xml:space="preserve">年 </w:t>
      </w:r>
      <w:r>
        <w:rPr>
          <w:rFonts w:ascii="Cambria" w:hAnsi="Cambria"/>
          <w:b/>
          <w:color w:val="auto"/>
          <w:sz w:val="28"/>
          <w:szCs w:val="28"/>
          <w:highlight w:val="none"/>
        </w:rPr>
        <w:t xml:space="preserve">  </w:t>
      </w:r>
      <w:r>
        <w:rPr>
          <w:rFonts w:hint="eastAsia" w:ascii="Cambria" w:hAnsi="Cambria"/>
          <w:b/>
          <w:color w:val="auto"/>
          <w:sz w:val="28"/>
          <w:szCs w:val="28"/>
          <w:highlight w:val="none"/>
        </w:rPr>
        <w:t>月</w:t>
      </w:r>
    </w:p>
    <w:p w14:paraId="5D3478F7">
      <w:pPr>
        <w:jc w:val="center"/>
        <w:rPr>
          <w:b/>
          <w:color w:val="auto"/>
          <w:sz w:val="44"/>
          <w:szCs w:val="44"/>
          <w:highlight w:val="none"/>
        </w:rPr>
      </w:pPr>
      <w:r>
        <w:rPr>
          <w:b/>
          <w:color w:val="auto"/>
          <w:sz w:val="44"/>
          <w:szCs w:val="44"/>
          <w:highlight w:val="none"/>
        </w:rPr>
        <w:br w:type="page"/>
      </w:r>
      <w:r>
        <w:rPr>
          <w:rFonts w:hint="eastAsia"/>
          <w:b/>
          <w:color w:val="auto"/>
          <w:sz w:val="44"/>
          <w:szCs w:val="44"/>
          <w:highlight w:val="none"/>
        </w:rPr>
        <w:t>目录</w:t>
      </w:r>
    </w:p>
    <w:p w14:paraId="41118C93">
      <w:pPr>
        <w:jc w:val="center"/>
        <w:rPr>
          <w:b/>
          <w:color w:val="auto"/>
          <w:sz w:val="44"/>
          <w:szCs w:val="44"/>
          <w:highlight w:val="none"/>
        </w:rPr>
      </w:pPr>
    </w:p>
    <w:p w14:paraId="594AAC02">
      <w:pPr>
        <w:jc w:val="center"/>
        <w:rPr>
          <w:b/>
          <w:color w:val="auto"/>
          <w:sz w:val="30"/>
          <w:szCs w:val="30"/>
          <w:highlight w:val="none"/>
        </w:rPr>
      </w:pPr>
    </w:p>
    <w:p w14:paraId="20B5A2F1">
      <w:pPr>
        <w:jc w:val="left"/>
        <w:rPr>
          <w:b/>
          <w:color w:val="auto"/>
          <w:sz w:val="30"/>
          <w:szCs w:val="30"/>
          <w:highlight w:val="none"/>
        </w:rPr>
      </w:pPr>
      <w:r>
        <w:rPr>
          <w:b/>
          <w:color w:val="auto"/>
          <w:sz w:val="30"/>
          <w:szCs w:val="30"/>
          <w:highlight w:val="none"/>
        </w:rPr>
        <w:t>第一</w:t>
      </w:r>
      <w:r>
        <w:rPr>
          <w:rFonts w:hint="eastAsia"/>
          <w:b/>
          <w:color w:val="auto"/>
          <w:sz w:val="30"/>
          <w:szCs w:val="30"/>
          <w:highlight w:val="none"/>
        </w:rPr>
        <w:t xml:space="preserve">节 </w:t>
      </w:r>
      <w:r>
        <w:rPr>
          <w:b/>
          <w:color w:val="auto"/>
          <w:sz w:val="30"/>
          <w:szCs w:val="30"/>
          <w:highlight w:val="none"/>
        </w:rPr>
        <w:t>合同协议书</w:t>
      </w:r>
    </w:p>
    <w:p w14:paraId="7338C5B3">
      <w:pPr>
        <w:jc w:val="left"/>
        <w:rPr>
          <w:b/>
          <w:color w:val="auto"/>
          <w:sz w:val="30"/>
          <w:szCs w:val="30"/>
          <w:highlight w:val="none"/>
        </w:rPr>
      </w:pPr>
    </w:p>
    <w:p w14:paraId="64054F2C">
      <w:pPr>
        <w:spacing w:after="120"/>
        <w:rPr>
          <w:rFonts w:ascii="Cambria" w:hAnsi="Cambria"/>
          <w:b/>
          <w:color w:val="auto"/>
          <w:sz w:val="32"/>
          <w:szCs w:val="20"/>
          <w:highlight w:val="none"/>
        </w:rPr>
      </w:pPr>
    </w:p>
    <w:p w14:paraId="3ABB4199">
      <w:pPr>
        <w:jc w:val="left"/>
        <w:rPr>
          <w:b/>
          <w:color w:val="auto"/>
          <w:sz w:val="30"/>
          <w:szCs w:val="30"/>
          <w:highlight w:val="none"/>
        </w:rPr>
      </w:pPr>
      <w:r>
        <w:rPr>
          <w:rFonts w:hint="eastAsia"/>
          <w:b/>
          <w:color w:val="auto"/>
          <w:sz w:val="30"/>
          <w:szCs w:val="30"/>
          <w:highlight w:val="none"/>
        </w:rPr>
        <w:t>第二节 合同条款通用部分</w:t>
      </w:r>
    </w:p>
    <w:p w14:paraId="3CD052AA">
      <w:pPr>
        <w:jc w:val="left"/>
        <w:rPr>
          <w:b/>
          <w:color w:val="auto"/>
          <w:sz w:val="30"/>
          <w:szCs w:val="30"/>
          <w:highlight w:val="none"/>
        </w:rPr>
      </w:pPr>
    </w:p>
    <w:p w14:paraId="1F00138F">
      <w:pPr>
        <w:jc w:val="left"/>
        <w:rPr>
          <w:b/>
          <w:color w:val="auto"/>
          <w:sz w:val="30"/>
          <w:szCs w:val="30"/>
          <w:highlight w:val="none"/>
        </w:rPr>
      </w:pPr>
    </w:p>
    <w:p w14:paraId="60FB1995">
      <w:pPr>
        <w:jc w:val="left"/>
        <w:rPr>
          <w:b/>
          <w:color w:val="auto"/>
          <w:sz w:val="30"/>
          <w:szCs w:val="30"/>
          <w:highlight w:val="none"/>
        </w:rPr>
      </w:pPr>
      <w:r>
        <w:rPr>
          <w:rFonts w:hint="eastAsia"/>
          <w:b/>
          <w:color w:val="auto"/>
          <w:sz w:val="30"/>
          <w:szCs w:val="30"/>
          <w:highlight w:val="none"/>
        </w:rPr>
        <w:t>第三节 合同条款专用部分</w:t>
      </w:r>
    </w:p>
    <w:p w14:paraId="1C1151A8">
      <w:pPr>
        <w:jc w:val="left"/>
        <w:rPr>
          <w:b/>
          <w:color w:val="auto"/>
          <w:sz w:val="30"/>
          <w:szCs w:val="30"/>
          <w:highlight w:val="none"/>
        </w:rPr>
      </w:pPr>
    </w:p>
    <w:p w14:paraId="5F765C6B">
      <w:pPr>
        <w:jc w:val="left"/>
        <w:rPr>
          <w:b/>
          <w:color w:val="auto"/>
          <w:sz w:val="30"/>
          <w:szCs w:val="30"/>
          <w:highlight w:val="none"/>
        </w:rPr>
      </w:pPr>
    </w:p>
    <w:p w14:paraId="5AC44C29">
      <w:pPr>
        <w:jc w:val="left"/>
        <w:rPr>
          <w:b/>
          <w:color w:val="auto"/>
          <w:sz w:val="30"/>
          <w:szCs w:val="30"/>
          <w:highlight w:val="none"/>
        </w:rPr>
      </w:pPr>
      <w:r>
        <w:rPr>
          <w:rFonts w:hint="eastAsia"/>
          <w:b/>
          <w:color w:val="auto"/>
          <w:sz w:val="30"/>
          <w:szCs w:val="30"/>
          <w:highlight w:val="none"/>
        </w:rPr>
        <w:t>第四节 工程质量保证书</w:t>
      </w:r>
    </w:p>
    <w:p w14:paraId="37AAB230">
      <w:pPr>
        <w:jc w:val="left"/>
        <w:rPr>
          <w:b/>
          <w:color w:val="auto"/>
          <w:sz w:val="30"/>
          <w:szCs w:val="30"/>
          <w:highlight w:val="none"/>
        </w:rPr>
      </w:pPr>
    </w:p>
    <w:p w14:paraId="2A82A77E">
      <w:pPr>
        <w:jc w:val="left"/>
        <w:rPr>
          <w:b/>
          <w:color w:val="auto"/>
          <w:sz w:val="30"/>
          <w:szCs w:val="30"/>
          <w:highlight w:val="none"/>
        </w:rPr>
      </w:pPr>
    </w:p>
    <w:p w14:paraId="71604E42">
      <w:pPr>
        <w:jc w:val="left"/>
        <w:rPr>
          <w:b/>
          <w:color w:val="auto"/>
          <w:sz w:val="30"/>
          <w:szCs w:val="30"/>
          <w:highlight w:val="none"/>
        </w:rPr>
      </w:pPr>
      <w:r>
        <w:rPr>
          <w:rFonts w:hint="eastAsia"/>
          <w:b/>
          <w:color w:val="auto"/>
          <w:sz w:val="30"/>
          <w:szCs w:val="30"/>
          <w:highlight w:val="none"/>
        </w:rPr>
        <w:t>第五节 工程廉政责任书</w:t>
      </w:r>
    </w:p>
    <w:p w14:paraId="16A730BE">
      <w:pPr>
        <w:jc w:val="left"/>
        <w:rPr>
          <w:b/>
          <w:color w:val="auto"/>
          <w:sz w:val="30"/>
          <w:szCs w:val="30"/>
          <w:highlight w:val="none"/>
        </w:rPr>
      </w:pPr>
    </w:p>
    <w:p w14:paraId="270598C1">
      <w:pPr>
        <w:jc w:val="left"/>
        <w:rPr>
          <w:b/>
          <w:color w:val="auto"/>
          <w:sz w:val="30"/>
          <w:szCs w:val="30"/>
          <w:highlight w:val="none"/>
        </w:rPr>
      </w:pPr>
    </w:p>
    <w:p w14:paraId="1CC1F2A4">
      <w:pPr>
        <w:jc w:val="left"/>
        <w:rPr>
          <w:b/>
          <w:color w:val="auto"/>
          <w:sz w:val="30"/>
          <w:szCs w:val="30"/>
          <w:highlight w:val="none"/>
        </w:rPr>
      </w:pPr>
      <w:r>
        <w:rPr>
          <w:rFonts w:hint="eastAsia"/>
          <w:b/>
          <w:color w:val="auto"/>
          <w:sz w:val="30"/>
          <w:szCs w:val="30"/>
          <w:highlight w:val="none"/>
        </w:rPr>
        <w:t>第六节 中标通知书</w:t>
      </w:r>
    </w:p>
    <w:p w14:paraId="57863ED7">
      <w:pPr>
        <w:jc w:val="left"/>
        <w:rPr>
          <w:b/>
          <w:color w:val="auto"/>
          <w:sz w:val="30"/>
          <w:szCs w:val="30"/>
          <w:highlight w:val="none"/>
        </w:rPr>
      </w:pPr>
    </w:p>
    <w:p w14:paraId="54259FF6">
      <w:pPr>
        <w:jc w:val="left"/>
        <w:rPr>
          <w:b/>
          <w:color w:val="auto"/>
          <w:sz w:val="30"/>
          <w:szCs w:val="30"/>
          <w:highlight w:val="none"/>
        </w:rPr>
      </w:pPr>
    </w:p>
    <w:p w14:paraId="427682C0">
      <w:pPr>
        <w:jc w:val="left"/>
        <w:rPr>
          <w:b/>
          <w:color w:val="auto"/>
          <w:sz w:val="30"/>
          <w:szCs w:val="30"/>
          <w:highlight w:val="none"/>
        </w:rPr>
      </w:pPr>
      <w:r>
        <w:rPr>
          <w:rFonts w:hint="eastAsia"/>
          <w:b/>
          <w:color w:val="auto"/>
          <w:sz w:val="30"/>
          <w:szCs w:val="30"/>
          <w:highlight w:val="none"/>
        </w:rPr>
        <w:t>第七节 施工安全协议书</w:t>
      </w:r>
    </w:p>
    <w:p w14:paraId="5782C62E">
      <w:pPr>
        <w:jc w:val="left"/>
        <w:rPr>
          <w:b/>
          <w:color w:val="auto"/>
          <w:sz w:val="30"/>
          <w:szCs w:val="30"/>
          <w:highlight w:val="none"/>
        </w:rPr>
      </w:pPr>
    </w:p>
    <w:p w14:paraId="4EF9C906">
      <w:pPr>
        <w:jc w:val="left"/>
        <w:rPr>
          <w:b/>
          <w:color w:val="auto"/>
          <w:sz w:val="30"/>
          <w:szCs w:val="30"/>
          <w:highlight w:val="none"/>
        </w:rPr>
      </w:pPr>
    </w:p>
    <w:p w14:paraId="5FA1BDC0">
      <w:pPr>
        <w:jc w:val="left"/>
        <w:rPr>
          <w:b/>
          <w:color w:val="auto"/>
          <w:sz w:val="30"/>
          <w:szCs w:val="30"/>
          <w:highlight w:val="none"/>
        </w:rPr>
      </w:pPr>
      <w:r>
        <w:rPr>
          <w:rFonts w:hint="eastAsia"/>
          <w:b/>
          <w:color w:val="auto"/>
          <w:sz w:val="30"/>
          <w:szCs w:val="30"/>
          <w:highlight w:val="none"/>
        </w:rPr>
        <w:t>第八节 合同附件</w:t>
      </w:r>
    </w:p>
    <w:p w14:paraId="5AF94F08">
      <w:pPr>
        <w:jc w:val="center"/>
        <w:rPr>
          <w:b/>
          <w:color w:val="auto"/>
          <w:sz w:val="44"/>
          <w:szCs w:val="44"/>
          <w:highlight w:val="none"/>
        </w:rPr>
      </w:pPr>
      <w:r>
        <w:rPr>
          <w:b/>
          <w:color w:val="auto"/>
          <w:sz w:val="30"/>
          <w:szCs w:val="30"/>
          <w:highlight w:val="none"/>
        </w:rPr>
        <w:br w:type="page"/>
      </w:r>
    </w:p>
    <w:p w14:paraId="2959CF68">
      <w:pPr>
        <w:jc w:val="center"/>
        <w:rPr>
          <w:b/>
          <w:color w:val="auto"/>
          <w:sz w:val="44"/>
          <w:szCs w:val="44"/>
          <w:highlight w:val="none"/>
        </w:rPr>
      </w:pPr>
    </w:p>
    <w:p w14:paraId="75769907">
      <w:pPr>
        <w:jc w:val="center"/>
        <w:rPr>
          <w:b/>
          <w:color w:val="auto"/>
          <w:sz w:val="44"/>
          <w:szCs w:val="44"/>
          <w:highlight w:val="none"/>
        </w:rPr>
      </w:pPr>
    </w:p>
    <w:p w14:paraId="61D98FFC">
      <w:pPr>
        <w:jc w:val="center"/>
        <w:rPr>
          <w:b/>
          <w:color w:val="auto"/>
          <w:sz w:val="44"/>
          <w:szCs w:val="44"/>
          <w:highlight w:val="none"/>
        </w:rPr>
      </w:pPr>
    </w:p>
    <w:p w14:paraId="7275ACDB">
      <w:pPr>
        <w:jc w:val="center"/>
        <w:rPr>
          <w:b/>
          <w:color w:val="auto"/>
          <w:sz w:val="44"/>
          <w:szCs w:val="44"/>
          <w:highlight w:val="none"/>
        </w:rPr>
      </w:pPr>
      <w:r>
        <w:rPr>
          <w:b/>
          <w:color w:val="auto"/>
          <w:sz w:val="44"/>
          <w:szCs w:val="44"/>
          <w:highlight w:val="none"/>
        </w:rPr>
        <w:t>第一</w:t>
      </w:r>
      <w:r>
        <w:rPr>
          <w:rFonts w:hint="eastAsia"/>
          <w:b/>
          <w:color w:val="auto"/>
          <w:sz w:val="44"/>
          <w:szCs w:val="44"/>
          <w:highlight w:val="none"/>
        </w:rPr>
        <w:t xml:space="preserve">节 </w:t>
      </w:r>
      <w:r>
        <w:rPr>
          <w:b/>
          <w:color w:val="auto"/>
          <w:sz w:val="44"/>
          <w:szCs w:val="44"/>
          <w:highlight w:val="none"/>
        </w:rPr>
        <w:t>合同协议书</w:t>
      </w:r>
    </w:p>
    <w:p w14:paraId="2775467F">
      <w:pPr>
        <w:jc w:val="center"/>
        <w:rPr>
          <w:b/>
          <w:color w:val="auto"/>
          <w:sz w:val="44"/>
          <w:szCs w:val="44"/>
          <w:highlight w:val="none"/>
        </w:rPr>
      </w:pPr>
    </w:p>
    <w:p w14:paraId="591E3034">
      <w:pPr>
        <w:spacing w:line="440" w:lineRule="exact"/>
        <w:jc w:val="center"/>
        <w:rPr>
          <w:rFonts w:eastAsia="Cambria"/>
          <w:color w:val="auto"/>
          <w:sz w:val="28"/>
          <w:szCs w:val="28"/>
          <w:highlight w:val="none"/>
        </w:rPr>
      </w:pPr>
      <w:r>
        <w:rPr>
          <w:color w:val="auto"/>
          <w:sz w:val="28"/>
          <w:highlight w:val="none"/>
        </w:rPr>
        <w:br w:type="page"/>
      </w:r>
      <w:r>
        <w:rPr>
          <w:rFonts w:hint="eastAsia" w:ascii="宋体" w:hAnsi="宋体" w:cs="宋体"/>
          <w:color w:val="auto"/>
          <w:sz w:val="28"/>
          <w:szCs w:val="28"/>
          <w:highlight w:val="none"/>
        </w:rPr>
        <w:t>合同协议书</w:t>
      </w:r>
    </w:p>
    <w:p w14:paraId="762C3253">
      <w:pPr>
        <w:spacing w:line="440" w:lineRule="exact"/>
        <w:rPr>
          <w:color w:val="auto"/>
          <w:highlight w:val="none"/>
        </w:rPr>
      </w:pPr>
      <w:r>
        <w:rPr>
          <w:color w:val="auto"/>
          <w:szCs w:val="21"/>
          <w:highlight w:val="none"/>
        </w:rPr>
        <w:t xml:space="preserve">                                                    </w:t>
      </w:r>
    </w:p>
    <w:p w14:paraId="18938886">
      <w:pPr>
        <w:spacing w:line="360" w:lineRule="auto"/>
        <w:jc w:val="left"/>
        <w:rPr>
          <w:b/>
          <w:bCs/>
          <w:color w:val="auto"/>
          <w:szCs w:val="18"/>
          <w:highlight w:val="none"/>
          <w:u w:val="single"/>
        </w:rPr>
      </w:pPr>
      <w:r>
        <w:rPr>
          <w:b/>
          <w:bCs/>
          <w:color w:val="auto"/>
          <w:szCs w:val="18"/>
          <w:highlight w:val="none"/>
        </w:rPr>
        <w:t>发包人（全称）：</w:t>
      </w:r>
      <w:r>
        <w:rPr>
          <w:b/>
          <w:bCs/>
          <w:color w:val="auto"/>
          <w:szCs w:val="18"/>
          <w:highlight w:val="none"/>
          <w:u w:val="single"/>
        </w:rPr>
        <w:t>北京财贸职业学院</w:t>
      </w:r>
    </w:p>
    <w:p w14:paraId="6EE94595">
      <w:pPr>
        <w:spacing w:line="400" w:lineRule="exact"/>
        <w:rPr>
          <w:b/>
          <w:bCs/>
          <w:color w:val="auto"/>
          <w:szCs w:val="18"/>
          <w:highlight w:val="none"/>
          <w:u w:val="single"/>
        </w:rPr>
      </w:pPr>
      <w:r>
        <w:rPr>
          <w:b/>
          <w:bCs/>
          <w:color w:val="auto"/>
          <w:szCs w:val="18"/>
          <w:highlight w:val="none"/>
        </w:rPr>
        <w:t>承包人（全称）：</w:t>
      </w:r>
      <w:r>
        <w:rPr>
          <w:rFonts w:hint="eastAsia"/>
          <w:b/>
          <w:bCs/>
          <w:color w:val="auto"/>
          <w:szCs w:val="18"/>
          <w:highlight w:val="none"/>
          <w:u w:val="single"/>
        </w:rPr>
        <w:t xml:space="preserve">***** </w:t>
      </w:r>
    </w:p>
    <w:p w14:paraId="061F5B38">
      <w:pPr>
        <w:spacing w:line="400" w:lineRule="exact"/>
        <w:ind w:firstLine="490"/>
        <w:rPr>
          <w:color w:val="auto"/>
          <w:highlight w:val="none"/>
        </w:rPr>
      </w:pPr>
    </w:p>
    <w:p w14:paraId="7BFB3102">
      <w:pPr>
        <w:spacing w:line="360" w:lineRule="auto"/>
        <w:rPr>
          <w:color w:val="auto"/>
          <w:highlight w:val="none"/>
        </w:rPr>
      </w:pPr>
      <w:r>
        <w:rPr>
          <w:color w:val="auto"/>
          <w:szCs w:val="21"/>
          <w:highlight w:val="none"/>
        </w:rPr>
        <w:t>发包人为建设</w:t>
      </w:r>
      <w:r>
        <w:rPr>
          <w:rFonts w:hint="eastAsia"/>
          <w:b/>
          <w:bCs/>
          <w:color w:val="auto"/>
          <w:szCs w:val="18"/>
          <w:highlight w:val="none"/>
          <w:u w:val="single"/>
        </w:rPr>
        <w:t>*****工程</w:t>
      </w:r>
      <w:r>
        <w:rPr>
          <w:color w:val="auto"/>
          <w:szCs w:val="21"/>
          <w:highlight w:val="none"/>
        </w:rPr>
        <w:t>（以下简称“本工程”）。</w:t>
      </w:r>
      <w:r>
        <w:rPr>
          <w:color w:val="auto"/>
          <w:highlight w:val="none"/>
        </w:rPr>
        <w:t>依照《中华人民共和国招标投标法》、《中华人民共和国合同法》、《中华人民共和国建筑法》、及其他有关法律、行政法规，遵循平等、自愿、公平和诚实信用的原则，双方共同达成并订立如下协议。</w:t>
      </w:r>
    </w:p>
    <w:p w14:paraId="6E94065F">
      <w:pPr>
        <w:spacing w:line="360" w:lineRule="auto"/>
        <w:rPr>
          <w:rFonts w:eastAsia="Cambria"/>
          <w:color w:val="auto"/>
          <w:highlight w:val="none"/>
        </w:rPr>
      </w:pPr>
      <w:r>
        <w:rPr>
          <w:rFonts w:hint="eastAsia" w:ascii="宋体" w:hAnsi="宋体" w:cs="宋体"/>
          <w:color w:val="auto"/>
          <w:highlight w:val="none"/>
        </w:rPr>
        <w:t>一、工程概况</w:t>
      </w:r>
    </w:p>
    <w:p w14:paraId="3FC55309">
      <w:pPr>
        <w:spacing w:line="360" w:lineRule="auto"/>
        <w:rPr>
          <w:color w:val="auto"/>
          <w:highlight w:val="none"/>
          <w:u w:val="single"/>
        </w:rPr>
      </w:pPr>
      <w:r>
        <w:rPr>
          <w:color w:val="auto"/>
          <w:highlight w:val="none"/>
        </w:rPr>
        <w:t>工程名称：</w:t>
      </w:r>
      <w:r>
        <w:rPr>
          <w:rFonts w:hint="eastAsia"/>
          <w:color w:val="auto"/>
          <w:szCs w:val="18"/>
          <w:highlight w:val="none"/>
          <w:u w:val="single"/>
        </w:rPr>
        <w:t>北京财贸职业学院*******</w:t>
      </w:r>
      <w:r>
        <w:rPr>
          <w:color w:val="auto"/>
          <w:highlight w:val="none"/>
        </w:rPr>
        <w:t>（项目名称）</w:t>
      </w:r>
    </w:p>
    <w:p w14:paraId="100F6919">
      <w:pPr>
        <w:spacing w:line="360" w:lineRule="auto"/>
        <w:rPr>
          <w:color w:val="auto"/>
          <w:highlight w:val="none"/>
          <w:u w:val="single"/>
        </w:rPr>
      </w:pPr>
      <w:r>
        <w:rPr>
          <w:color w:val="auto"/>
          <w:highlight w:val="none"/>
        </w:rPr>
        <w:t>工程地点：</w:t>
      </w:r>
      <w:r>
        <w:rPr>
          <w:color w:val="auto"/>
          <w:highlight w:val="none"/>
          <w:u w:val="single"/>
        </w:rPr>
        <w:t xml:space="preserve">       </w:t>
      </w:r>
      <w:r>
        <w:rPr>
          <w:rFonts w:hint="eastAsia"/>
          <w:color w:val="auto"/>
          <w:highlight w:val="none"/>
          <w:u w:val="single"/>
        </w:rPr>
        <w:t>北京财贸职业学院涿州校区</w:t>
      </w:r>
      <w:r>
        <w:rPr>
          <w:color w:val="auto"/>
          <w:highlight w:val="none"/>
          <w:u w:val="single"/>
        </w:rPr>
        <w:t xml:space="preserve">      </w:t>
      </w:r>
    </w:p>
    <w:p w14:paraId="3A3F9BFB">
      <w:pPr>
        <w:spacing w:line="360" w:lineRule="auto"/>
        <w:rPr>
          <w:color w:val="auto"/>
          <w:szCs w:val="21"/>
          <w:highlight w:val="none"/>
          <w:u w:val="single"/>
        </w:rPr>
      </w:pPr>
      <w:r>
        <w:rPr>
          <w:color w:val="auto"/>
          <w:highlight w:val="none"/>
        </w:rPr>
        <w:t>工程内容：</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14:paraId="354FB2FE">
      <w:pPr>
        <w:rPr>
          <w:color w:val="auto"/>
          <w:highlight w:val="none"/>
          <w:u w:val="single"/>
        </w:rPr>
      </w:pPr>
      <w:r>
        <w:rPr>
          <w:color w:val="auto"/>
          <w:highlight w:val="none"/>
        </w:rPr>
        <w:t>工程立项批准文号：</w:t>
      </w:r>
      <w:r>
        <w:rPr>
          <w:color w:val="auto"/>
          <w:highlight w:val="none"/>
          <w:u w:val="single"/>
        </w:rPr>
        <w:t xml:space="preserve">             </w:t>
      </w:r>
      <w:r>
        <w:rPr>
          <w:b/>
          <w:color w:val="auto"/>
          <w:sz w:val="18"/>
          <w:szCs w:val="18"/>
          <w:highlight w:val="none"/>
          <w:u w:val="single"/>
        </w:rPr>
        <w:t>/</w:t>
      </w:r>
      <w:r>
        <w:rPr>
          <w:color w:val="auto"/>
          <w:highlight w:val="none"/>
          <w:u w:val="single"/>
        </w:rPr>
        <w:t xml:space="preserve">             </w:t>
      </w:r>
    </w:p>
    <w:p w14:paraId="4D9286B3">
      <w:pPr>
        <w:spacing w:line="360" w:lineRule="auto"/>
        <w:rPr>
          <w:color w:val="auto"/>
          <w:highlight w:val="none"/>
          <w:u w:val="single"/>
        </w:rPr>
      </w:pPr>
      <w:r>
        <w:rPr>
          <w:color w:val="auto"/>
          <w:highlight w:val="none"/>
        </w:rPr>
        <w:t>资金来源：</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财政资金         </w:t>
      </w:r>
      <w:r>
        <w:rPr>
          <w:color w:val="auto"/>
          <w:highlight w:val="none"/>
          <w:u w:val="single"/>
        </w:rPr>
        <w:t xml:space="preserve">          </w:t>
      </w:r>
      <w:r>
        <w:rPr>
          <w:color w:val="auto"/>
          <w:highlight w:val="none"/>
        </w:rPr>
        <w:t xml:space="preserve"> </w:t>
      </w:r>
    </w:p>
    <w:p w14:paraId="0946655C">
      <w:pPr>
        <w:spacing w:line="360" w:lineRule="auto"/>
        <w:rPr>
          <w:rFonts w:eastAsia="Cambria"/>
          <w:color w:val="auto"/>
          <w:highlight w:val="none"/>
        </w:rPr>
      </w:pPr>
      <w:r>
        <w:rPr>
          <w:rFonts w:hint="eastAsia" w:ascii="宋体" w:hAnsi="宋体" w:cs="宋体"/>
          <w:color w:val="auto"/>
          <w:highlight w:val="none"/>
        </w:rPr>
        <w:t>二、工程承包范围</w:t>
      </w:r>
    </w:p>
    <w:p w14:paraId="6CAB3636">
      <w:pPr>
        <w:spacing w:line="360" w:lineRule="auto"/>
        <w:rPr>
          <w:color w:val="auto"/>
          <w:highlight w:val="none"/>
        </w:rPr>
      </w:pPr>
      <w:r>
        <w:rPr>
          <w:color w:val="auto"/>
          <w:highlight w:val="none"/>
        </w:rPr>
        <w:t>承包范围：</w:t>
      </w:r>
      <w:r>
        <w:rPr>
          <w:color w:val="auto"/>
          <w:szCs w:val="18"/>
          <w:highlight w:val="none"/>
          <w:u w:val="single"/>
        </w:rPr>
        <w:t>完成工程量清单所列内容。</w:t>
      </w:r>
      <w:r>
        <w:rPr>
          <w:rFonts w:hint="eastAsia"/>
          <w:color w:val="auto"/>
          <w:highlight w:val="none"/>
          <w:u w:val="single"/>
        </w:rPr>
        <w:t xml:space="preserve"> </w:t>
      </w:r>
    </w:p>
    <w:p w14:paraId="7F4BB3DE">
      <w:pPr>
        <w:spacing w:line="360" w:lineRule="auto"/>
        <w:rPr>
          <w:b/>
          <w:color w:val="auto"/>
          <w:highlight w:val="none"/>
          <w:u w:val="single"/>
        </w:rPr>
      </w:pPr>
      <w:r>
        <w:rPr>
          <w:color w:val="auto"/>
          <w:highlight w:val="none"/>
        </w:rPr>
        <w:t>详细承包范围见“技术标准和要求”。</w:t>
      </w:r>
    </w:p>
    <w:p w14:paraId="16404E67">
      <w:pPr>
        <w:spacing w:line="360" w:lineRule="auto"/>
        <w:rPr>
          <w:rFonts w:eastAsia="Cambria"/>
          <w:color w:val="auto"/>
          <w:highlight w:val="none"/>
        </w:rPr>
      </w:pPr>
      <w:r>
        <w:rPr>
          <w:rFonts w:hint="eastAsia" w:ascii="宋体" w:hAnsi="宋体" w:cs="宋体"/>
          <w:color w:val="auto"/>
          <w:highlight w:val="none"/>
        </w:rPr>
        <w:t>三、合同工期</w:t>
      </w:r>
    </w:p>
    <w:p w14:paraId="3C0C778C">
      <w:pPr>
        <w:spacing w:line="360" w:lineRule="auto"/>
        <w:rPr>
          <w:color w:val="auto"/>
          <w:highlight w:val="none"/>
          <w:u w:val="single"/>
        </w:rPr>
      </w:pPr>
      <w:r>
        <w:rPr>
          <w:color w:val="auto"/>
          <w:highlight w:val="none"/>
        </w:rPr>
        <w:t>计划开工日期：</w:t>
      </w:r>
      <w:r>
        <w:rPr>
          <w:rFonts w:hint="eastAsia"/>
          <w:color w:val="auto"/>
          <w:highlight w:val="none"/>
          <w:u w:val="single"/>
        </w:rPr>
        <w:t>202</w:t>
      </w:r>
      <w:r>
        <w:rPr>
          <w:color w:val="auto"/>
          <w:highlight w:val="none"/>
          <w:u w:val="single"/>
        </w:rPr>
        <w:t>5</w:t>
      </w:r>
      <w:r>
        <w:rPr>
          <w:rFonts w:hint="eastAsia"/>
          <w:color w:val="auto"/>
          <w:highlight w:val="none"/>
          <w:u w:val="single"/>
        </w:rPr>
        <w:t xml:space="preserve"> </w:t>
      </w:r>
      <w:r>
        <w:rPr>
          <w:color w:val="auto"/>
          <w:highlight w:val="none"/>
        </w:rPr>
        <w:t>年</w:t>
      </w:r>
      <w:r>
        <w:rPr>
          <w:rFonts w:hint="eastAsia"/>
          <w:color w:val="auto"/>
          <w:highlight w:val="none"/>
          <w:u w:val="single"/>
        </w:rPr>
        <w:t xml:space="preserve">   </w:t>
      </w:r>
      <w:r>
        <w:rPr>
          <w:color w:val="auto"/>
          <w:highlight w:val="none"/>
        </w:rPr>
        <w:t>月</w:t>
      </w:r>
      <w:r>
        <w:rPr>
          <w:rFonts w:hint="eastAsia"/>
          <w:color w:val="auto"/>
          <w:highlight w:val="none"/>
          <w:u w:val="single"/>
        </w:rPr>
        <w:t xml:space="preserve">   </w:t>
      </w:r>
      <w:r>
        <w:rPr>
          <w:color w:val="auto"/>
          <w:highlight w:val="none"/>
        </w:rPr>
        <w:t>日</w:t>
      </w:r>
    </w:p>
    <w:p w14:paraId="4552FD31">
      <w:pPr>
        <w:spacing w:line="360" w:lineRule="auto"/>
        <w:rPr>
          <w:color w:val="auto"/>
          <w:highlight w:val="none"/>
          <w:u w:val="single"/>
        </w:rPr>
      </w:pPr>
      <w:r>
        <w:rPr>
          <w:color w:val="auto"/>
          <w:highlight w:val="none"/>
        </w:rPr>
        <w:t>计划竣工日期：</w:t>
      </w:r>
      <w:r>
        <w:rPr>
          <w:rFonts w:hint="eastAsia"/>
          <w:color w:val="auto"/>
          <w:highlight w:val="none"/>
          <w:u w:val="single"/>
        </w:rPr>
        <w:t>202</w:t>
      </w:r>
      <w:r>
        <w:rPr>
          <w:color w:val="auto"/>
          <w:highlight w:val="none"/>
          <w:u w:val="single"/>
        </w:rPr>
        <w:t>5</w:t>
      </w:r>
      <w:r>
        <w:rPr>
          <w:color w:val="auto"/>
          <w:highlight w:val="none"/>
        </w:rPr>
        <w:t>年</w:t>
      </w:r>
      <w:r>
        <w:rPr>
          <w:rFonts w:hint="eastAsia"/>
          <w:color w:val="auto"/>
          <w:highlight w:val="none"/>
          <w:u w:val="single"/>
        </w:rPr>
        <w:t xml:space="preserve">    </w:t>
      </w:r>
      <w:r>
        <w:rPr>
          <w:color w:val="auto"/>
          <w:highlight w:val="none"/>
        </w:rPr>
        <w:t>月</w:t>
      </w:r>
      <w:r>
        <w:rPr>
          <w:rFonts w:hint="eastAsia"/>
          <w:color w:val="auto"/>
          <w:highlight w:val="none"/>
          <w:u w:val="single"/>
        </w:rPr>
        <w:t xml:space="preserve">    </w:t>
      </w:r>
      <w:r>
        <w:rPr>
          <w:color w:val="auto"/>
          <w:highlight w:val="none"/>
        </w:rPr>
        <w:t>日</w:t>
      </w:r>
    </w:p>
    <w:p w14:paraId="1BC817A5">
      <w:pPr>
        <w:spacing w:line="360" w:lineRule="auto"/>
        <w:rPr>
          <w:color w:val="auto"/>
          <w:highlight w:val="none"/>
        </w:rPr>
      </w:pPr>
      <w:r>
        <w:rPr>
          <w:color w:val="auto"/>
          <w:highlight w:val="none"/>
        </w:rPr>
        <w:t>工期总日历天数</w:t>
      </w:r>
      <w:r>
        <w:rPr>
          <w:rFonts w:hint="eastAsia"/>
          <w:color w:val="auto"/>
          <w:highlight w:val="none"/>
          <w:u w:val="single"/>
        </w:rPr>
        <w:t xml:space="preserve">  </w:t>
      </w:r>
      <w:r>
        <w:rPr>
          <w:color w:val="auto"/>
          <w:highlight w:val="none"/>
          <w:u w:val="single"/>
        </w:rPr>
        <w:t>35</w:t>
      </w:r>
      <w:r>
        <w:rPr>
          <w:rFonts w:hint="eastAsia"/>
          <w:color w:val="auto"/>
          <w:highlight w:val="none"/>
          <w:u w:val="single"/>
        </w:rPr>
        <w:t xml:space="preserve"> </w:t>
      </w:r>
      <w:r>
        <w:rPr>
          <w:color w:val="auto"/>
          <w:highlight w:val="none"/>
        </w:rPr>
        <w:t>天，自监理人发出的开工通知中载明的开工日期起算。</w:t>
      </w:r>
    </w:p>
    <w:p w14:paraId="663FDC6C">
      <w:pPr>
        <w:spacing w:line="360" w:lineRule="auto"/>
        <w:rPr>
          <w:rFonts w:eastAsia="Cambria"/>
          <w:color w:val="auto"/>
          <w:highlight w:val="none"/>
        </w:rPr>
      </w:pPr>
      <w:r>
        <w:rPr>
          <w:rFonts w:hint="eastAsia" w:ascii="宋体" w:hAnsi="宋体" w:cs="宋体"/>
          <w:color w:val="auto"/>
          <w:highlight w:val="none"/>
        </w:rPr>
        <w:t>四、质量标准</w:t>
      </w:r>
    </w:p>
    <w:p w14:paraId="3AF80003">
      <w:pPr>
        <w:spacing w:line="360" w:lineRule="auto"/>
        <w:rPr>
          <w:color w:val="auto"/>
          <w:highlight w:val="none"/>
          <w:u w:val="single"/>
        </w:rPr>
      </w:pPr>
      <w:r>
        <w:rPr>
          <w:color w:val="auto"/>
          <w:highlight w:val="none"/>
        </w:rPr>
        <w:t>工程质量标准：</w:t>
      </w:r>
      <w:r>
        <w:rPr>
          <w:color w:val="auto"/>
          <w:highlight w:val="none"/>
          <w:u w:val="single"/>
        </w:rPr>
        <w:t xml:space="preserve">    合格                                           </w:t>
      </w:r>
      <w:r>
        <w:rPr>
          <w:color w:val="auto"/>
          <w:highlight w:val="none"/>
        </w:rPr>
        <w:t xml:space="preserve"> </w:t>
      </w:r>
    </w:p>
    <w:p w14:paraId="572558B1">
      <w:pPr>
        <w:spacing w:line="360" w:lineRule="auto"/>
        <w:rPr>
          <w:rFonts w:eastAsia="Cambria"/>
          <w:color w:val="auto"/>
          <w:highlight w:val="none"/>
        </w:rPr>
      </w:pPr>
      <w:r>
        <w:rPr>
          <w:rFonts w:hint="eastAsia" w:ascii="宋体" w:hAnsi="宋体" w:cs="宋体"/>
          <w:color w:val="auto"/>
          <w:highlight w:val="none"/>
        </w:rPr>
        <w:t>五、合同形式</w:t>
      </w:r>
    </w:p>
    <w:p w14:paraId="4EC863D4">
      <w:pPr>
        <w:spacing w:line="360" w:lineRule="auto"/>
        <w:rPr>
          <w:b/>
          <w:color w:val="auto"/>
          <w:highlight w:val="none"/>
          <w:u w:val="single"/>
        </w:rPr>
      </w:pPr>
      <w:r>
        <w:rPr>
          <w:color w:val="auto"/>
          <w:highlight w:val="none"/>
        </w:rPr>
        <w:t xml:space="preserve">本合同采用 </w:t>
      </w:r>
      <w:r>
        <w:rPr>
          <w:color w:val="auto"/>
          <w:highlight w:val="none"/>
          <w:u w:val="single"/>
        </w:rPr>
        <w:t xml:space="preserve">     </w:t>
      </w:r>
      <w:r>
        <w:rPr>
          <w:rFonts w:hint="eastAsia"/>
          <w:color w:val="auto"/>
          <w:highlight w:val="none"/>
          <w:u w:val="single"/>
        </w:rPr>
        <w:t>单价合同</w:t>
      </w:r>
      <w:r>
        <w:rPr>
          <w:color w:val="auto"/>
          <w:highlight w:val="none"/>
          <w:u w:val="single"/>
        </w:rPr>
        <w:t xml:space="preserve">     </w:t>
      </w:r>
      <w:r>
        <w:rPr>
          <w:color w:val="auto"/>
          <w:highlight w:val="none"/>
        </w:rPr>
        <w:t>合同形式。</w:t>
      </w:r>
    </w:p>
    <w:p w14:paraId="3D1FF403">
      <w:pPr>
        <w:spacing w:line="360" w:lineRule="auto"/>
        <w:rPr>
          <w:rFonts w:eastAsia="Cambria"/>
          <w:bCs/>
          <w:color w:val="auto"/>
          <w:highlight w:val="none"/>
        </w:rPr>
      </w:pPr>
      <w:r>
        <w:rPr>
          <w:rFonts w:hint="eastAsia" w:ascii="宋体" w:hAnsi="宋体" w:cs="宋体"/>
          <w:bCs/>
          <w:color w:val="auto"/>
          <w:highlight w:val="none"/>
        </w:rPr>
        <w:t>六、签约合同价</w:t>
      </w:r>
    </w:p>
    <w:p w14:paraId="0DE0DD87">
      <w:pPr>
        <w:spacing w:line="360" w:lineRule="auto"/>
        <w:rPr>
          <w:color w:val="auto"/>
          <w:highlight w:val="none"/>
        </w:rPr>
      </w:pPr>
      <w:r>
        <w:rPr>
          <w:color w:val="auto"/>
          <w:highlight w:val="none"/>
        </w:rPr>
        <w:t>1.签约合同价为：</w:t>
      </w:r>
    </w:p>
    <w:p w14:paraId="069F2DA2">
      <w:pPr>
        <w:spacing w:line="360" w:lineRule="auto"/>
        <w:rPr>
          <w:color w:val="auto"/>
          <w:highlight w:val="none"/>
        </w:rPr>
      </w:pPr>
      <w:r>
        <w:rPr>
          <w:rFonts w:hint="eastAsia"/>
          <w:color w:val="auto"/>
          <w:highlight w:val="none"/>
        </w:rPr>
        <w:t>人民币（大写）</w:t>
      </w:r>
      <w:r>
        <w:rPr>
          <w:rFonts w:hint="eastAsia"/>
          <w:color w:val="auto"/>
          <w:highlight w:val="none"/>
          <w:u w:val="single"/>
        </w:rPr>
        <w:t xml:space="preserve">                </w:t>
      </w:r>
      <w:r>
        <w:rPr>
          <w:rFonts w:hint="eastAsia"/>
          <w:color w:val="auto"/>
          <w:highlight w:val="none"/>
        </w:rPr>
        <w:t xml:space="preserve"> (</w:t>
      </w:r>
      <w:r>
        <w:rPr>
          <w:rFonts w:ascii="Calibri" w:hAnsi="Calibri" w:cs="Calibri"/>
          <w:color w:val="auto"/>
          <w:highlight w:val="none"/>
        </w:rPr>
        <w:t>¥</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元)；</w:t>
      </w:r>
    </w:p>
    <w:p w14:paraId="23A64C10">
      <w:pPr>
        <w:spacing w:line="360" w:lineRule="auto"/>
        <w:rPr>
          <w:color w:val="auto"/>
          <w:highlight w:val="none"/>
        </w:rPr>
      </w:pPr>
      <w:r>
        <w:rPr>
          <w:rFonts w:hint="eastAsia"/>
          <w:color w:val="auto"/>
          <w:highlight w:val="none"/>
        </w:rPr>
        <w:t>其中：</w:t>
      </w:r>
    </w:p>
    <w:p w14:paraId="3DC0BBBC">
      <w:pPr>
        <w:spacing w:line="360" w:lineRule="auto"/>
        <w:rPr>
          <w:color w:val="auto"/>
          <w:highlight w:val="none"/>
        </w:rPr>
      </w:pPr>
      <w:r>
        <w:rPr>
          <w:rFonts w:hint="eastAsia"/>
          <w:color w:val="auto"/>
          <w:highlight w:val="none"/>
        </w:rPr>
        <w:t>（</w:t>
      </w:r>
      <w:r>
        <w:rPr>
          <w:color w:val="auto"/>
          <w:highlight w:val="none"/>
        </w:rPr>
        <w:t>1）安全文明施工费：</w:t>
      </w:r>
    </w:p>
    <w:p w14:paraId="25EEDE6F">
      <w:pPr>
        <w:spacing w:line="360" w:lineRule="auto"/>
        <w:rPr>
          <w:color w:val="auto"/>
          <w:highlight w:val="none"/>
        </w:rPr>
      </w:pPr>
      <w:r>
        <w:rPr>
          <w:rFonts w:hint="eastAsia"/>
          <w:color w:val="auto"/>
          <w:highlight w:val="none"/>
        </w:rPr>
        <w:t>人民币（大写）</w:t>
      </w:r>
      <w:r>
        <w:rPr>
          <w:rFonts w:hint="eastAsia"/>
          <w:color w:val="auto"/>
          <w:highlight w:val="none"/>
          <w:u w:val="single"/>
        </w:rPr>
        <w:t xml:space="preserve">              </w:t>
      </w:r>
      <w:r>
        <w:rPr>
          <w:rFonts w:hint="eastAsia"/>
          <w:color w:val="auto"/>
          <w:highlight w:val="none"/>
        </w:rPr>
        <w:t xml:space="preserve"> (</w:t>
      </w:r>
      <w:r>
        <w:rPr>
          <w:rFonts w:ascii="Calibri" w:hAnsi="Calibri" w:cs="Calibri"/>
          <w:color w:val="auto"/>
          <w:highlight w:val="none"/>
        </w:rPr>
        <w:t>¥</w:t>
      </w:r>
      <w:r>
        <w:rPr>
          <w:rFonts w:hint="eastAsia"/>
          <w:color w:val="auto"/>
          <w:highlight w:val="none"/>
          <w:u w:val="single"/>
        </w:rPr>
        <w:t xml:space="preserve">          </w:t>
      </w:r>
      <w:r>
        <w:rPr>
          <w:rFonts w:hint="eastAsia"/>
          <w:color w:val="auto"/>
          <w:highlight w:val="none"/>
        </w:rPr>
        <w:t>元)；</w:t>
      </w:r>
    </w:p>
    <w:p w14:paraId="57D81892">
      <w:pPr>
        <w:spacing w:line="360" w:lineRule="auto"/>
        <w:rPr>
          <w:color w:val="auto"/>
          <w:highlight w:val="none"/>
        </w:rPr>
      </w:pPr>
      <w:r>
        <w:rPr>
          <w:rFonts w:hint="eastAsia"/>
          <w:color w:val="auto"/>
          <w:highlight w:val="none"/>
        </w:rPr>
        <w:t>（</w:t>
      </w:r>
      <w:r>
        <w:rPr>
          <w:color w:val="auto"/>
          <w:highlight w:val="none"/>
        </w:rPr>
        <w:t>2）材料和工程设备暂估价金额：</w:t>
      </w:r>
    </w:p>
    <w:p w14:paraId="1833877C">
      <w:pPr>
        <w:spacing w:line="360" w:lineRule="auto"/>
        <w:rPr>
          <w:color w:val="auto"/>
          <w:highlight w:val="none"/>
        </w:rPr>
      </w:pPr>
      <w:r>
        <w:rPr>
          <w:rFonts w:hint="eastAsia"/>
          <w:color w:val="auto"/>
          <w:highlight w:val="none"/>
        </w:rPr>
        <w:t>人民币（大写）</w:t>
      </w:r>
      <w:r>
        <w:rPr>
          <w:rFonts w:hint="eastAsia"/>
          <w:color w:val="auto"/>
          <w:highlight w:val="none"/>
          <w:u w:val="single"/>
        </w:rPr>
        <w:t xml:space="preserve">              </w:t>
      </w:r>
      <w:r>
        <w:rPr>
          <w:rFonts w:hint="eastAsia"/>
          <w:color w:val="auto"/>
          <w:highlight w:val="none"/>
        </w:rPr>
        <w:t xml:space="preserve"> (</w:t>
      </w:r>
      <w:r>
        <w:rPr>
          <w:rFonts w:ascii="Calibri" w:hAnsi="Calibri" w:cs="Calibri"/>
          <w:color w:val="auto"/>
          <w:highlight w:val="none"/>
        </w:rPr>
        <w:t>¥</w:t>
      </w:r>
      <w:r>
        <w:rPr>
          <w:rFonts w:hint="eastAsia"/>
          <w:color w:val="auto"/>
          <w:highlight w:val="none"/>
          <w:u w:val="single"/>
        </w:rPr>
        <w:t xml:space="preserve">          </w:t>
      </w:r>
      <w:r>
        <w:rPr>
          <w:rFonts w:hint="eastAsia"/>
          <w:color w:val="auto"/>
          <w:highlight w:val="none"/>
        </w:rPr>
        <w:t>元)；</w:t>
      </w:r>
    </w:p>
    <w:p w14:paraId="0BE16FD9">
      <w:pPr>
        <w:spacing w:line="360" w:lineRule="auto"/>
        <w:rPr>
          <w:color w:val="auto"/>
          <w:highlight w:val="none"/>
        </w:rPr>
      </w:pPr>
      <w:r>
        <w:rPr>
          <w:rFonts w:hint="eastAsia"/>
          <w:color w:val="auto"/>
          <w:highlight w:val="none"/>
        </w:rPr>
        <w:t>（</w:t>
      </w:r>
      <w:r>
        <w:rPr>
          <w:color w:val="auto"/>
          <w:highlight w:val="none"/>
        </w:rPr>
        <w:t>3）专业工程暂估价金额：</w:t>
      </w:r>
    </w:p>
    <w:p w14:paraId="628C9C77">
      <w:pPr>
        <w:spacing w:line="360" w:lineRule="auto"/>
        <w:rPr>
          <w:color w:val="auto"/>
          <w:highlight w:val="none"/>
        </w:rPr>
      </w:pPr>
      <w:r>
        <w:rPr>
          <w:rFonts w:hint="eastAsia"/>
          <w:color w:val="auto"/>
          <w:highlight w:val="none"/>
        </w:rPr>
        <w:t>人民币（大写）</w:t>
      </w:r>
      <w:r>
        <w:rPr>
          <w:rFonts w:hint="eastAsia"/>
          <w:color w:val="auto"/>
          <w:highlight w:val="none"/>
          <w:u w:val="single"/>
        </w:rPr>
        <w:t xml:space="preserve">              </w:t>
      </w:r>
      <w:r>
        <w:rPr>
          <w:rFonts w:hint="eastAsia"/>
          <w:color w:val="auto"/>
          <w:highlight w:val="none"/>
        </w:rPr>
        <w:t xml:space="preserve"> (</w:t>
      </w:r>
      <w:r>
        <w:rPr>
          <w:rFonts w:ascii="Calibri" w:hAnsi="Calibri" w:cs="Calibri"/>
          <w:color w:val="auto"/>
          <w:highlight w:val="none"/>
        </w:rPr>
        <w:t>¥</w:t>
      </w:r>
      <w:r>
        <w:rPr>
          <w:rFonts w:hint="eastAsia"/>
          <w:color w:val="auto"/>
          <w:highlight w:val="none"/>
        </w:rPr>
        <w:t xml:space="preserve"> </w:t>
      </w:r>
      <w:r>
        <w:rPr>
          <w:rFonts w:hint="eastAsia"/>
          <w:color w:val="auto"/>
          <w:highlight w:val="none"/>
          <w:u w:val="single"/>
        </w:rPr>
        <w:t xml:space="preserve">         </w:t>
      </w:r>
      <w:r>
        <w:rPr>
          <w:rFonts w:hint="eastAsia"/>
          <w:color w:val="auto"/>
          <w:highlight w:val="none"/>
        </w:rPr>
        <w:t>元)；</w:t>
      </w:r>
    </w:p>
    <w:p w14:paraId="475B69C1">
      <w:pPr>
        <w:spacing w:line="360" w:lineRule="auto"/>
        <w:rPr>
          <w:color w:val="auto"/>
          <w:highlight w:val="none"/>
          <w:u w:val="single"/>
        </w:rPr>
      </w:pPr>
      <w:r>
        <w:rPr>
          <w:rFonts w:hint="eastAsia"/>
          <w:color w:val="auto"/>
          <w:highlight w:val="none"/>
        </w:rPr>
        <w:t>（</w:t>
      </w:r>
      <w:r>
        <w:rPr>
          <w:color w:val="auto"/>
          <w:highlight w:val="none"/>
        </w:rPr>
        <w:t>4）暂列金额：</w:t>
      </w:r>
    </w:p>
    <w:p w14:paraId="18F4F9DE">
      <w:pPr>
        <w:spacing w:line="360" w:lineRule="auto"/>
        <w:rPr>
          <w:color w:val="auto"/>
          <w:highlight w:val="none"/>
        </w:rPr>
      </w:pPr>
      <w:r>
        <w:rPr>
          <w:rFonts w:hint="eastAsia"/>
          <w:color w:val="auto"/>
          <w:highlight w:val="none"/>
        </w:rPr>
        <w:t>人民币（大写）</w:t>
      </w:r>
      <w:r>
        <w:rPr>
          <w:rFonts w:hint="eastAsia"/>
          <w:color w:val="auto"/>
          <w:highlight w:val="none"/>
          <w:u w:val="single"/>
        </w:rPr>
        <w:t xml:space="preserve">             </w:t>
      </w:r>
      <w:r>
        <w:rPr>
          <w:rFonts w:hint="eastAsia"/>
          <w:color w:val="auto"/>
          <w:highlight w:val="none"/>
        </w:rPr>
        <w:t xml:space="preserve">  (</w:t>
      </w:r>
      <w:r>
        <w:rPr>
          <w:rFonts w:ascii="Calibri" w:hAnsi="Calibri" w:cs="Calibri"/>
          <w:color w:val="auto"/>
          <w:highlight w:val="none"/>
        </w:rPr>
        <w:t>¥</w:t>
      </w:r>
      <w:r>
        <w:rPr>
          <w:rFonts w:hint="eastAsia"/>
          <w:color w:val="auto"/>
          <w:highlight w:val="none"/>
          <w:u w:val="single"/>
        </w:rPr>
        <w:t xml:space="preserve">          </w:t>
      </w:r>
      <w:r>
        <w:rPr>
          <w:rFonts w:hint="eastAsia"/>
          <w:color w:val="auto"/>
          <w:highlight w:val="none"/>
        </w:rPr>
        <w:t>元)。</w:t>
      </w:r>
    </w:p>
    <w:p w14:paraId="09226A95">
      <w:pPr>
        <w:spacing w:line="360" w:lineRule="auto"/>
        <w:rPr>
          <w:rFonts w:eastAsia="Cambria"/>
          <w:bCs/>
          <w:color w:val="auto"/>
          <w:highlight w:val="none"/>
        </w:rPr>
      </w:pPr>
      <w:r>
        <w:rPr>
          <w:rFonts w:hint="eastAsia" w:ascii="宋体" w:hAnsi="宋体" w:cs="宋体"/>
          <w:bCs/>
          <w:color w:val="auto"/>
          <w:highlight w:val="none"/>
        </w:rPr>
        <w:t>七、承包人项目经理：</w:t>
      </w:r>
    </w:p>
    <w:p w14:paraId="085F7AB3">
      <w:pPr>
        <w:spacing w:line="360" w:lineRule="auto"/>
        <w:rPr>
          <w:color w:val="auto"/>
          <w:szCs w:val="21"/>
          <w:highlight w:val="none"/>
        </w:rPr>
      </w:pPr>
      <w:r>
        <w:rPr>
          <w:color w:val="auto"/>
          <w:szCs w:val="21"/>
          <w:highlight w:val="none"/>
        </w:rPr>
        <w:t>姓名：</w:t>
      </w:r>
      <w:r>
        <w:rPr>
          <w:rFonts w:hint="eastAsia"/>
          <w:color w:val="auto"/>
          <w:szCs w:val="21"/>
          <w:highlight w:val="none"/>
          <w:u w:val="single"/>
        </w:rPr>
        <w:t xml:space="preserve">         </w:t>
      </w:r>
      <w:r>
        <w:rPr>
          <w:color w:val="auto"/>
          <w:szCs w:val="21"/>
          <w:highlight w:val="none"/>
        </w:rPr>
        <w:t xml:space="preserve">；        </w:t>
      </w:r>
      <w:r>
        <w:rPr>
          <w:rFonts w:hint="eastAsia"/>
          <w:color w:val="auto"/>
          <w:szCs w:val="21"/>
          <w:highlight w:val="none"/>
        </w:rPr>
        <w:t xml:space="preserve">  </w:t>
      </w:r>
      <w:r>
        <w:rPr>
          <w:color w:val="auto"/>
          <w:szCs w:val="21"/>
          <w:highlight w:val="none"/>
        </w:rPr>
        <w:t>职称：</w:t>
      </w:r>
      <w:r>
        <w:rPr>
          <w:rFonts w:hint="eastAsia"/>
          <w:color w:val="auto"/>
          <w:szCs w:val="21"/>
          <w:highlight w:val="none"/>
          <w:u w:val="single"/>
        </w:rPr>
        <w:t xml:space="preserve">       </w:t>
      </w:r>
      <w:r>
        <w:rPr>
          <w:color w:val="auto"/>
          <w:szCs w:val="21"/>
          <w:highlight w:val="none"/>
        </w:rPr>
        <w:t>；</w:t>
      </w:r>
    </w:p>
    <w:p w14:paraId="51F2CAB7">
      <w:pPr>
        <w:spacing w:line="360" w:lineRule="auto"/>
        <w:rPr>
          <w:color w:val="auto"/>
          <w:szCs w:val="21"/>
          <w:highlight w:val="none"/>
        </w:rPr>
      </w:pPr>
      <w:r>
        <w:rPr>
          <w:color w:val="auto"/>
          <w:szCs w:val="21"/>
          <w:highlight w:val="none"/>
        </w:rPr>
        <w:t>身份证号：</w:t>
      </w:r>
      <w:r>
        <w:rPr>
          <w:rFonts w:hint="eastAsia"/>
          <w:color w:val="auto"/>
          <w:szCs w:val="21"/>
          <w:highlight w:val="none"/>
          <w:u w:val="single"/>
        </w:rPr>
        <w:t xml:space="preserve">                     </w:t>
      </w:r>
      <w:r>
        <w:rPr>
          <w:color w:val="auto"/>
          <w:szCs w:val="21"/>
          <w:highlight w:val="none"/>
        </w:rPr>
        <w:t>；        建造师执业资格证书号：</w:t>
      </w:r>
      <w:r>
        <w:rPr>
          <w:rFonts w:hint="eastAsia"/>
          <w:color w:val="auto"/>
          <w:szCs w:val="21"/>
          <w:highlight w:val="none"/>
          <w:u w:val="single"/>
        </w:rPr>
        <w:t xml:space="preserve">           </w:t>
      </w:r>
      <w:r>
        <w:rPr>
          <w:color w:val="auto"/>
          <w:szCs w:val="21"/>
          <w:highlight w:val="none"/>
        </w:rPr>
        <w:t>；</w:t>
      </w:r>
    </w:p>
    <w:p w14:paraId="6A57B654">
      <w:pPr>
        <w:spacing w:line="360" w:lineRule="auto"/>
        <w:rPr>
          <w:color w:val="auto"/>
          <w:szCs w:val="21"/>
          <w:highlight w:val="none"/>
        </w:rPr>
      </w:pPr>
      <w:r>
        <w:rPr>
          <w:color w:val="auto"/>
          <w:szCs w:val="21"/>
          <w:highlight w:val="none"/>
        </w:rPr>
        <w:t>建造师注册证书号:</w:t>
      </w:r>
      <w:r>
        <w:rPr>
          <w:rFonts w:hint="eastAsia"/>
          <w:color w:val="auto"/>
          <w:szCs w:val="21"/>
          <w:highlight w:val="none"/>
          <w:u w:val="single"/>
        </w:rPr>
        <w:t xml:space="preserve">                 </w:t>
      </w:r>
      <w:r>
        <w:rPr>
          <w:color w:val="auto"/>
          <w:szCs w:val="21"/>
          <w:highlight w:val="none"/>
        </w:rPr>
        <w:t>。</w:t>
      </w:r>
    </w:p>
    <w:p w14:paraId="41FAAB47">
      <w:pPr>
        <w:spacing w:line="360" w:lineRule="auto"/>
        <w:rPr>
          <w:color w:val="auto"/>
          <w:szCs w:val="21"/>
          <w:highlight w:val="none"/>
        </w:rPr>
      </w:pPr>
      <w:r>
        <w:rPr>
          <w:color w:val="auto"/>
          <w:szCs w:val="21"/>
          <w:highlight w:val="none"/>
        </w:rPr>
        <w:t>安全生产考核合格证书号：</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w:t>
      </w:r>
    </w:p>
    <w:p w14:paraId="488998CF">
      <w:pPr>
        <w:spacing w:line="360" w:lineRule="auto"/>
        <w:rPr>
          <w:rFonts w:eastAsia="Cambria"/>
          <w:color w:val="auto"/>
          <w:highlight w:val="none"/>
        </w:rPr>
      </w:pPr>
      <w:r>
        <w:rPr>
          <w:rFonts w:hint="eastAsia"/>
          <w:color w:val="auto"/>
          <w:szCs w:val="21"/>
          <w:highlight w:val="none"/>
        </w:rPr>
        <w:t>关于项目经理每月在施工现场的时间要求：</w:t>
      </w:r>
      <w:r>
        <w:rPr>
          <w:color w:val="auto"/>
          <w:szCs w:val="21"/>
          <w:highlight w:val="none"/>
        </w:rPr>
        <w:t xml:space="preserve">                                                            </w:t>
      </w:r>
      <w:r>
        <w:rPr>
          <w:rFonts w:hint="eastAsia" w:ascii="宋体" w:hAnsi="宋体" w:cs="宋体"/>
          <w:color w:val="auto"/>
          <w:highlight w:val="none"/>
        </w:rPr>
        <w:t>八、合同文件的组成</w:t>
      </w:r>
    </w:p>
    <w:p w14:paraId="61B82B1E">
      <w:pPr>
        <w:spacing w:line="360" w:lineRule="auto"/>
        <w:rPr>
          <w:color w:val="auto"/>
          <w:szCs w:val="21"/>
          <w:highlight w:val="none"/>
        </w:rPr>
      </w:pPr>
      <w:r>
        <w:rPr>
          <w:color w:val="auto"/>
          <w:szCs w:val="21"/>
          <w:highlight w:val="none"/>
        </w:rPr>
        <w:t>下列文件共同构成合同文件：</w:t>
      </w:r>
    </w:p>
    <w:p w14:paraId="715B09A5">
      <w:pPr>
        <w:spacing w:line="360" w:lineRule="auto"/>
        <w:rPr>
          <w:color w:val="auto"/>
          <w:highlight w:val="none"/>
        </w:rPr>
      </w:pPr>
      <w:r>
        <w:rPr>
          <w:color w:val="auto"/>
          <w:highlight w:val="none"/>
        </w:rPr>
        <w:t>1、中标通知书；</w:t>
      </w:r>
    </w:p>
    <w:p w14:paraId="4C8DE06C">
      <w:pPr>
        <w:spacing w:line="360" w:lineRule="auto"/>
        <w:rPr>
          <w:color w:val="auto"/>
          <w:highlight w:val="none"/>
        </w:rPr>
      </w:pPr>
      <w:r>
        <w:rPr>
          <w:color w:val="auto"/>
          <w:highlight w:val="none"/>
        </w:rPr>
        <w:t>2、</w:t>
      </w:r>
      <w:r>
        <w:rPr>
          <w:color w:val="auto"/>
          <w:szCs w:val="21"/>
          <w:highlight w:val="none"/>
        </w:rPr>
        <w:t>投标函及投标函附录</w:t>
      </w:r>
      <w:r>
        <w:rPr>
          <w:color w:val="auto"/>
          <w:highlight w:val="none"/>
        </w:rPr>
        <w:t>；</w:t>
      </w:r>
    </w:p>
    <w:p w14:paraId="79E77535">
      <w:pPr>
        <w:spacing w:line="360" w:lineRule="auto"/>
        <w:rPr>
          <w:color w:val="auto"/>
          <w:highlight w:val="none"/>
        </w:rPr>
      </w:pPr>
      <w:r>
        <w:rPr>
          <w:color w:val="auto"/>
          <w:highlight w:val="none"/>
        </w:rPr>
        <w:t>3、专用合同条款；</w:t>
      </w:r>
    </w:p>
    <w:p w14:paraId="3F887AA0">
      <w:pPr>
        <w:spacing w:line="360" w:lineRule="auto"/>
        <w:rPr>
          <w:color w:val="auto"/>
          <w:highlight w:val="none"/>
        </w:rPr>
      </w:pPr>
      <w:r>
        <w:rPr>
          <w:color w:val="auto"/>
          <w:highlight w:val="none"/>
        </w:rPr>
        <w:t>4、通用合同条款；</w:t>
      </w:r>
    </w:p>
    <w:p w14:paraId="71D51614">
      <w:pPr>
        <w:spacing w:line="360" w:lineRule="auto"/>
        <w:rPr>
          <w:color w:val="auto"/>
          <w:highlight w:val="none"/>
        </w:rPr>
      </w:pPr>
      <w:r>
        <w:rPr>
          <w:color w:val="auto"/>
          <w:highlight w:val="none"/>
        </w:rPr>
        <w:t>5、</w:t>
      </w:r>
      <w:r>
        <w:rPr>
          <w:color w:val="auto"/>
          <w:szCs w:val="21"/>
          <w:highlight w:val="none"/>
        </w:rPr>
        <w:t>技术标准和要求；</w:t>
      </w:r>
    </w:p>
    <w:p w14:paraId="16BCE1D2">
      <w:pPr>
        <w:spacing w:line="360" w:lineRule="auto"/>
        <w:rPr>
          <w:color w:val="auto"/>
          <w:highlight w:val="none"/>
        </w:rPr>
      </w:pPr>
      <w:r>
        <w:rPr>
          <w:color w:val="auto"/>
          <w:highlight w:val="none"/>
        </w:rPr>
        <w:t>6、图纸</w:t>
      </w:r>
      <w:r>
        <w:rPr>
          <w:rFonts w:hint="eastAsia"/>
          <w:color w:val="auto"/>
          <w:highlight w:val="none"/>
        </w:rPr>
        <w:t>（如涉及）</w:t>
      </w:r>
      <w:r>
        <w:rPr>
          <w:color w:val="auto"/>
          <w:highlight w:val="none"/>
        </w:rPr>
        <w:t>；</w:t>
      </w:r>
    </w:p>
    <w:p w14:paraId="67300622">
      <w:pPr>
        <w:spacing w:line="360" w:lineRule="auto"/>
        <w:rPr>
          <w:color w:val="auto"/>
          <w:highlight w:val="none"/>
        </w:rPr>
      </w:pPr>
      <w:r>
        <w:rPr>
          <w:color w:val="auto"/>
          <w:highlight w:val="none"/>
        </w:rPr>
        <w:t>7、已标价工程量清单；</w:t>
      </w:r>
    </w:p>
    <w:p w14:paraId="3868462E">
      <w:pPr>
        <w:spacing w:line="360" w:lineRule="auto"/>
        <w:rPr>
          <w:color w:val="auto"/>
          <w:highlight w:val="none"/>
        </w:rPr>
      </w:pPr>
      <w:r>
        <w:rPr>
          <w:color w:val="auto"/>
          <w:highlight w:val="none"/>
        </w:rPr>
        <w:t>8、其他合同文件。</w:t>
      </w:r>
    </w:p>
    <w:p w14:paraId="135927E8">
      <w:pPr>
        <w:spacing w:line="360" w:lineRule="auto"/>
        <w:rPr>
          <w:color w:val="auto"/>
          <w:szCs w:val="21"/>
          <w:highlight w:val="none"/>
        </w:rPr>
      </w:pPr>
      <w:r>
        <w:rPr>
          <w:color w:val="auto"/>
          <w:szCs w:val="21"/>
          <w:highlight w:val="none"/>
        </w:rPr>
        <w:t>上述文件互相补充和解释，如有不明确或不一致之处，以合同约定次序在先者为准。</w:t>
      </w:r>
    </w:p>
    <w:p w14:paraId="5E5CB6E9">
      <w:pPr>
        <w:spacing w:line="360" w:lineRule="auto"/>
        <w:rPr>
          <w:color w:val="auto"/>
          <w:highlight w:val="none"/>
        </w:rPr>
      </w:pPr>
      <w:r>
        <w:rPr>
          <w:color w:val="auto"/>
          <w:highlight w:val="none"/>
        </w:rPr>
        <w:t>九、本协议书中有关词语定义与合同条款中的定义相同。</w:t>
      </w:r>
    </w:p>
    <w:p w14:paraId="25E1FB5D">
      <w:pPr>
        <w:spacing w:line="360" w:lineRule="auto"/>
        <w:rPr>
          <w:color w:val="auto"/>
          <w:highlight w:val="none"/>
        </w:rPr>
      </w:pPr>
      <w:r>
        <w:rPr>
          <w:color w:val="auto"/>
          <w:highlight w:val="none"/>
        </w:rPr>
        <w:t>十、承包人承诺按照合同约定进行施工、竣工、交付并承担质量缺陷保修责任。</w:t>
      </w:r>
    </w:p>
    <w:p w14:paraId="6974D5C8">
      <w:pPr>
        <w:spacing w:line="360" w:lineRule="auto"/>
        <w:rPr>
          <w:color w:val="auto"/>
          <w:highlight w:val="none"/>
        </w:rPr>
      </w:pPr>
      <w:r>
        <w:rPr>
          <w:color w:val="auto"/>
          <w:highlight w:val="none"/>
        </w:rPr>
        <w:t>十一、发包人承诺按照合同约定的条件、期限和方式向承包人支付合同价款。</w:t>
      </w:r>
    </w:p>
    <w:p w14:paraId="423A3FEF">
      <w:pPr>
        <w:spacing w:line="360" w:lineRule="auto"/>
        <w:rPr>
          <w:color w:val="auto"/>
          <w:highlight w:val="none"/>
          <w:u w:val="single"/>
        </w:rPr>
      </w:pPr>
      <w:r>
        <w:rPr>
          <w:color w:val="auto"/>
          <w:highlight w:val="none"/>
        </w:rPr>
        <w:t>十二、本协议书连同其他合同文件正本一式两份，合同双方各执一份；副本一式</w:t>
      </w:r>
      <w:r>
        <w:rPr>
          <w:color w:val="auto"/>
          <w:highlight w:val="none"/>
          <w:u w:val="single"/>
        </w:rPr>
        <w:t xml:space="preserve"> </w:t>
      </w:r>
      <w:r>
        <w:rPr>
          <w:rFonts w:hint="eastAsia"/>
          <w:color w:val="auto"/>
          <w:highlight w:val="none"/>
          <w:u w:val="single"/>
        </w:rPr>
        <w:t>四份</w:t>
      </w:r>
      <w:r>
        <w:rPr>
          <w:color w:val="auto"/>
          <w:highlight w:val="none"/>
          <w:u w:val="single"/>
        </w:rPr>
        <w:t xml:space="preserve"> </w:t>
      </w:r>
    </w:p>
    <w:p w14:paraId="4FB38B57">
      <w:pPr>
        <w:spacing w:line="360" w:lineRule="auto"/>
        <w:rPr>
          <w:color w:val="auto"/>
          <w:highlight w:val="none"/>
        </w:rPr>
      </w:pPr>
      <w:r>
        <w:rPr>
          <w:color w:val="auto"/>
          <w:highlight w:val="none"/>
        </w:rPr>
        <w:t>份，其中一份在合同报送建设行政主管部门备案时留存。</w:t>
      </w:r>
    </w:p>
    <w:p w14:paraId="35F56871">
      <w:pPr>
        <w:spacing w:line="360" w:lineRule="auto"/>
        <w:rPr>
          <w:color w:val="auto"/>
          <w:highlight w:val="none"/>
        </w:rPr>
      </w:pPr>
      <w:r>
        <w:rPr>
          <w:color w:val="auto"/>
          <w:highlight w:val="none"/>
        </w:rPr>
        <w:t>十三、合同未尽事宜，双方另行签订补充协议，但不得背离本协议第八条所约定的合同文件的实质性内容。补充协议是合同文件的组成部分。</w:t>
      </w:r>
    </w:p>
    <w:p w14:paraId="22B476BE">
      <w:pPr>
        <w:tabs>
          <w:tab w:val="left" w:pos="1695"/>
        </w:tabs>
        <w:adjustRightInd w:val="0"/>
        <w:snapToGrid w:val="0"/>
        <w:spacing w:line="360" w:lineRule="auto"/>
        <w:ind w:firstLine="480"/>
        <w:rPr>
          <w:rFonts w:ascii="Cambria" w:hAnsi="Cambria"/>
          <w:color w:val="auto"/>
          <w:szCs w:val="21"/>
          <w:highlight w:val="none"/>
        </w:rPr>
      </w:pPr>
    </w:p>
    <w:p w14:paraId="003C19A4">
      <w:pPr>
        <w:tabs>
          <w:tab w:val="left" w:pos="5085"/>
        </w:tabs>
        <w:adjustRightInd w:val="0"/>
        <w:snapToGrid w:val="0"/>
        <w:spacing w:line="480" w:lineRule="auto"/>
        <w:ind w:left="5985" w:hanging="5985" w:hangingChars="2850"/>
        <w:rPr>
          <w:color w:val="auto"/>
          <w:highlight w:val="none"/>
        </w:rPr>
      </w:pPr>
      <w:r>
        <w:rPr>
          <w:color w:val="auto"/>
          <w:highlight w:val="none"/>
        </w:rPr>
        <w:t>发包人：（公章）</w:t>
      </w:r>
      <w:r>
        <w:rPr>
          <w:color w:val="auto"/>
          <w:highlight w:val="none"/>
          <w:u w:val="single"/>
        </w:rPr>
        <w:t>北京财贸职业学院</w:t>
      </w:r>
      <w:r>
        <w:rPr>
          <w:rFonts w:hint="eastAsia"/>
          <w:color w:val="auto"/>
          <w:highlight w:val="none"/>
          <w:u w:val="single"/>
        </w:rPr>
        <w:t xml:space="preserve">      </w:t>
      </w:r>
      <w:r>
        <w:rPr>
          <w:rFonts w:hint="eastAsia"/>
          <w:color w:val="auto"/>
          <w:highlight w:val="none"/>
        </w:rPr>
        <w:t xml:space="preserve">      </w:t>
      </w:r>
      <w:r>
        <w:rPr>
          <w:color w:val="auto"/>
          <w:highlight w:val="none"/>
        </w:rPr>
        <w:t xml:space="preserve"> 承包人：（公章）</w:t>
      </w:r>
      <w:r>
        <w:rPr>
          <w:rFonts w:hint="eastAsia"/>
          <w:color w:val="auto"/>
          <w:highlight w:val="none"/>
          <w:u w:val="single"/>
        </w:rPr>
        <w:t xml:space="preserve">********** </w:t>
      </w:r>
      <w:r>
        <w:rPr>
          <w:rFonts w:hint="eastAsia" w:ascii="Cambria" w:hAnsi="Cambria"/>
          <w:color w:val="auto"/>
          <w:szCs w:val="21"/>
          <w:highlight w:val="none"/>
          <w:u w:val="single"/>
        </w:rPr>
        <w:t xml:space="preserve"> </w:t>
      </w:r>
    </w:p>
    <w:p w14:paraId="1CB0480D">
      <w:pPr>
        <w:spacing w:line="360" w:lineRule="auto"/>
        <w:ind w:left="5040" w:hanging="5040" w:hangingChars="2400"/>
        <w:rPr>
          <w:color w:val="auto"/>
          <w:highlight w:val="none"/>
        </w:rPr>
      </w:pPr>
      <w:r>
        <w:rPr>
          <w:color w:val="auto"/>
          <w:highlight w:val="none"/>
        </w:rPr>
        <w:t>住所：</w:t>
      </w:r>
      <w:r>
        <w:rPr>
          <w:rFonts w:hint="eastAsia"/>
          <w:color w:val="auto"/>
          <w:highlight w:val="none"/>
          <w:u w:val="single"/>
        </w:rPr>
        <w:t xml:space="preserve">北京市通州区北关大街88号     </w:t>
      </w:r>
      <w:r>
        <w:rPr>
          <w:rFonts w:hint="eastAsia"/>
          <w:color w:val="auto"/>
          <w:highlight w:val="none"/>
        </w:rPr>
        <w:t xml:space="preserve">       </w:t>
      </w:r>
      <w:r>
        <w:rPr>
          <w:color w:val="auto"/>
          <w:highlight w:val="none"/>
        </w:rPr>
        <w:t xml:space="preserve">  住所：</w:t>
      </w:r>
      <w:r>
        <w:rPr>
          <w:rFonts w:hint="eastAsia" w:ascii="Cambria" w:hAnsi="Cambria"/>
          <w:color w:val="auto"/>
          <w:szCs w:val="21"/>
          <w:highlight w:val="none"/>
          <w:u w:val="single"/>
        </w:rPr>
        <w:t xml:space="preserve">                </w:t>
      </w:r>
      <w:r>
        <w:rPr>
          <w:rFonts w:ascii="Cambria" w:hAnsi="Cambria"/>
          <w:color w:val="auto"/>
          <w:szCs w:val="21"/>
          <w:highlight w:val="none"/>
          <w:u w:val="single"/>
        </w:rPr>
        <w:t xml:space="preserve"> </w:t>
      </w:r>
      <w:r>
        <w:rPr>
          <w:rFonts w:hint="eastAsia" w:ascii="Cambria" w:hAnsi="Cambria"/>
          <w:color w:val="auto"/>
          <w:szCs w:val="21"/>
          <w:highlight w:val="none"/>
          <w:u w:val="single"/>
        </w:rPr>
        <w:t xml:space="preserve">     </w:t>
      </w:r>
    </w:p>
    <w:p w14:paraId="31C8D94A">
      <w:pPr>
        <w:spacing w:line="360" w:lineRule="auto"/>
        <w:rPr>
          <w:color w:val="auto"/>
          <w:highlight w:val="none"/>
          <w:u w:val="single"/>
        </w:rPr>
      </w:pPr>
      <w:r>
        <w:rPr>
          <w:color w:val="auto"/>
          <w:highlight w:val="none"/>
        </w:rPr>
        <w:t>法定代表人：</w:t>
      </w:r>
      <w:r>
        <w:rPr>
          <w:rFonts w:hint="eastAsia"/>
          <w:color w:val="auto"/>
          <w:highlight w:val="none"/>
        </w:rPr>
        <w:t xml:space="preserve">                             </w:t>
      </w:r>
      <w:r>
        <w:rPr>
          <w:color w:val="auto"/>
          <w:highlight w:val="none"/>
        </w:rPr>
        <w:t xml:space="preserve">    法定代表人：</w:t>
      </w:r>
      <w:r>
        <w:rPr>
          <w:rFonts w:hint="eastAsia"/>
          <w:color w:val="auto"/>
          <w:highlight w:val="none"/>
          <w:u w:val="single"/>
        </w:rPr>
        <w:t xml:space="preserve">                </w:t>
      </w:r>
    </w:p>
    <w:p w14:paraId="0144C773">
      <w:pPr>
        <w:spacing w:line="360" w:lineRule="auto"/>
        <w:rPr>
          <w:color w:val="auto"/>
          <w:highlight w:val="none"/>
        </w:rPr>
      </w:pPr>
      <w:r>
        <w:rPr>
          <w:color w:val="auto"/>
          <w:highlight w:val="none"/>
        </w:rPr>
        <w:t>或委托代表人：</w:t>
      </w:r>
      <w:r>
        <w:rPr>
          <w:rFonts w:hint="eastAsia"/>
          <w:color w:val="auto"/>
          <w:highlight w:val="none"/>
        </w:rPr>
        <w:t xml:space="preserve">                           </w:t>
      </w:r>
      <w:r>
        <w:rPr>
          <w:color w:val="auto"/>
          <w:highlight w:val="none"/>
        </w:rPr>
        <w:t xml:space="preserve">    或委托代表人：</w:t>
      </w:r>
      <w:r>
        <w:rPr>
          <w:rFonts w:hint="eastAsia"/>
          <w:color w:val="auto"/>
          <w:highlight w:val="none"/>
        </w:rPr>
        <w:t xml:space="preserve"> </w:t>
      </w:r>
      <w:r>
        <w:rPr>
          <w:rFonts w:hint="eastAsia"/>
          <w:color w:val="auto"/>
          <w:highlight w:val="none"/>
          <w:u w:val="single"/>
        </w:rPr>
        <w:t xml:space="preserve">            </w:t>
      </w:r>
    </w:p>
    <w:p w14:paraId="46A438E7">
      <w:pPr>
        <w:spacing w:line="360" w:lineRule="auto"/>
        <w:rPr>
          <w:color w:val="auto"/>
          <w:highlight w:val="none"/>
        </w:rPr>
      </w:pPr>
      <w:r>
        <w:rPr>
          <w:color w:val="auto"/>
          <w:highlight w:val="none"/>
        </w:rPr>
        <w:t>电话：</w:t>
      </w:r>
      <w:r>
        <w:rPr>
          <w:color w:val="auto"/>
          <w:highlight w:val="none"/>
          <w:u w:val="single"/>
        </w:rPr>
        <w:t xml:space="preserve">        </w:t>
      </w:r>
      <w:r>
        <w:rPr>
          <w:rFonts w:hint="eastAsia"/>
          <w:color w:val="auto"/>
          <w:highlight w:val="none"/>
          <w:u w:val="singl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电话：</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szCs w:val="21"/>
          <w:highlight w:val="none"/>
          <w:u w:val="single"/>
        </w:rPr>
        <w:t xml:space="preserve"> </w:t>
      </w:r>
    </w:p>
    <w:p w14:paraId="2527E39E">
      <w:pPr>
        <w:spacing w:line="360" w:lineRule="auto"/>
        <w:rPr>
          <w:color w:val="auto"/>
          <w:highlight w:val="none"/>
        </w:rPr>
      </w:pPr>
      <w:r>
        <w:rPr>
          <w:color w:val="auto"/>
          <w:highlight w:val="none"/>
        </w:rPr>
        <w:t>传真：</w:t>
      </w:r>
      <w:r>
        <w:rPr>
          <w:color w:val="auto"/>
          <w:highlight w:val="none"/>
          <w:u w:val="single"/>
        </w:rPr>
        <w:t xml:space="preserve">           </w:t>
      </w:r>
      <w:r>
        <w:rPr>
          <w:color w:val="auto"/>
          <w:highlight w:val="none"/>
        </w:rPr>
        <w:t xml:space="preserve">              </w:t>
      </w:r>
      <w:r>
        <w:rPr>
          <w:rFonts w:hint="eastAsia"/>
          <w:color w:val="auto"/>
          <w:highlight w:val="none"/>
        </w:rPr>
        <w:t xml:space="preserve">          </w:t>
      </w:r>
      <w:r>
        <w:rPr>
          <w:color w:val="auto"/>
          <w:highlight w:val="none"/>
        </w:rPr>
        <w:t xml:space="preserve">    传真：</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p>
    <w:p w14:paraId="0653E058">
      <w:pPr>
        <w:spacing w:line="360" w:lineRule="auto"/>
        <w:rPr>
          <w:color w:val="auto"/>
          <w:highlight w:val="none"/>
          <w:u w:val="single"/>
        </w:rPr>
      </w:pPr>
      <w:r>
        <w:rPr>
          <w:color w:val="auto"/>
          <w:highlight w:val="none"/>
        </w:rPr>
        <w:t>开户银行：</w:t>
      </w:r>
      <w:r>
        <w:rPr>
          <w:rFonts w:hint="eastAsia"/>
          <w:color w:val="auto"/>
          <w:highlight w:val="none"/>
          <w:u w:val="single"/>
        </w:rPr>
        <w:t xml:space="preserve"> </w:t>
      </w:r>
      <w:r>
        <w:rPr>
          <w:color w:val="auto"/>
          <w:highlight w:val="none"/>
          <w:u w:val="single"/>
        </w:rPr>
        <w:t xml:space="preserve">                         </w:t>
      </w:r>
      <w:r>
        <w:rPr>
          <w:rFonts w:hint="eastAsia"/>
          <w:color w:val="auto"/>
          <w:highlight w:val="none"/>
        </w:rPr>
        <w:t xml:space="preserve">     </w:t>
      </w:r>
      <w:r>
        <w:rPr>
          <w:color w:val="auto"/>
          <w:highlight w:val="none"/>
        </w:rPr>
        <w:t>开户银行：</w:t>
      </w:r>
      <w:r>
        <w:rPr>
          <w:rFonts w:hint="eastAsia"/>
          <w:color w:val="auto"/>
          <w:highlight w:val="none"/>
          <w:u w:val="single"/>
        </w:rPr>
        <w:t xml:space="preserve">                 </w:t>
      </w:r>
    </w:p>
    <w:p w14:paraId="5AD24F6F">
      <w:pPr>
        <w:spacing w:line="360" w:lineRule="auto"/>
        <w:rPr>
          <w:color w:val="auto"/>
          <w:highlight w:val="none"/>
        </w:rPr>
      </w:pPr>
      <w:r>
        <w:rPr>
          <w:color w:val="auto"/>
          <w:highlight w:val="none"/>
        </w:rPr>
        <w:t>账号：</w:t>
      </w:r>
      <w:r>
        <w:rPr>
          <w:color w:val="auto"/>
          <w:highlight w:val="none"/>
          <w:u w:val="single"/>
        </w:rPr>
        <w:t xml:space="preserve">                   </w:t>
      </w:r>
      <w:r>
        <w:rPr>
          <w:color w:val="auto"/>
          <w:highlight w:val="none"/>
        </w:rPr>
        <w:t xml:space="preserve">        </w:t>
      </w:r>
      <w:r>
        <w:rPr>
          <w:rFonts w:hint="eastAsia"/>
          <w:color w:val="auto"/>
          <w:highlight w:val="none"/>
        </w:rPr>
        <w:t xml:space="preserve">        </w:t>
      </w:r>
      <w:r>
        <w:rPr>
          <w:color w:val="auto"/>
          <w:highlight w:val="none"/>
        </w:rPr>
        <w:t>账号：</w:t>
      </w:r>
      <w:r>
        <w:rPr>
          <w:rFonts w:hint="eastAsia"/>
          <w:color w:val="auto"/>
          <w:highlight w:val="none"/>
          <w:u w:val="single"/>
        </w:rPr>
        <w:t xml:space="preserve">                   </w:t>
      </w:r>
    </w:p>
    <w:p w14:paraId="513E2965">
      <w:pPr>
        <w:rPr>
          <w:color w:val="auto"/>
          <w:szCs w:val="21"/>
          <w:highlight w:val="none"/>
          <w:u w:val="single"/>
        </w:rPr>
      </w:pPr>
      <w:r>
        <w:rPr>
          <w:color w:val="auto"/>
          <w:highlight w:val="none"/>
        </w:rPr>
        <w:t>邮政编码：</w:t>
      </w:r>
      <w:r>
        <w:rPr>
          <w:color w:val="auto"/>
          <w:highlight w:val="none"/>
          <w:u w:val="single"/>
        </w:rPr>
        <w:t xml:space="preserve">     </w:t>
      </w:r>
      <w:r>
        <w:rPr>
          <w:rFonts w:hint="eastAsia"/>
          <w:color w:val="auto"/>
          <w:highlight w:val="none"/>
          <w:u w:val="single"/>
        </w:rPr>
        <w:t xml:space="preserve"> </w:t>
      </w:r>
      <w:r>
        <w:rPr>
          <w:rFonts w:hint="eastAsia"/>
          <w:color w:val="auto"/>
          <w:highlight w:val="none"/>
        </w:rPr>
        <w:t xml:space="preserve">                       </w:t>
      </w:r>
      <w:r>
        <w:rPr>
          <w:color w:val="auto"/>
          <w:highlight w:val="none"/>
        </w:rPr>
        <w:t xml:space="preserve"> </w:t>
      </w:r>
      <w:r>
        <w:rPr>
          <w:rFonts w:hint="eastAsia"/>
          <w:color w:val="auto"/>
          <w:highlight w:val="none"/>
        </w:rPr>
        <w:t xml:space="preserve"> </w:t>
      </w:r>
      <w:r>
        <w:rPr>
          <w:color w:val="auto"/>
          <w:highlight w:val="none"/>
        </w:rPr>
        <w:t>邮政编码：</w:t>
      </w:r>
      <w:r>
        <w:rPr>
          <w:rFonts w:hint="eastAsia"/>
          <w:color w:val="auto"/>
          <w:highlight w:val="none"/>
          <w:u w:val="single"/>
        </w:rPr>
        <w:t xml:space="preserve">                 </w:t>
      </w:r>
    </w:p>
    <w:p w14:paraId="58C6D9E3">
      <w:pPr>
        <w:spacing w:before="240" w:beforeLines="100" w:after="240" w:afterLines="100" w:line="400" w:lineRule="exact"/>
        <w:rPr>
          <w:b/>
          <w:bCs/>
          <w:color w:val="auto"/>
          <w:szCs w:val="21"/>
          <w:highlight w:val="none"/>
        </w:rPr>
      </w:pPr>
      <w:r>
        <w:rPr>
          <w:rFonts w:hint="eastAsia"/>
          <w:b/>
          <w:bCs/>
          <w:color w:val="auto"/>
          <w:szCs w:val="21"/>
          <w:highlight w:val="none"/>
        </w:rPr>
        <w:t>合同签订日期：</w:t>
      </w:r>
      <w:r>
        <w:rPr>
          <w:rFonts w:hint="eastAsia"/>
          <w:b/>
          <w:bCs/>
          <w:color w:val="auto"/>
          <w:szCs w:val="21"/>
          <w:highlight w:val="none"/>
          <w:u w:val="single"/>
        </w:rPr>
        <w:t xml:space="preserve">       </w:t>
      </w:r>
      <w:r>
        <w:rPr>
          <w:rFonts w:hint="eastAsia"/>
          <w:b/>
          <w:bCs/>
          <w:color w:val="auto"/>
          <w:szCs w:val="21"/>
          <w:highlight w:val="none"/>
        </w:rPr>
        <w:t>年</w:t>
      </w:r>
      <w:r>
        <w:rPr>
          <w:rFonts w:hint="eastAsia"/>
          <w:b/>
          <w:bCs/>
          <w:color w:val="auto"/>
          <w:szCs w:val="21"/>
          <w:highlight w:val="none"/>
          <w:u w:val="single"/>
        </w:rPr>
        <w:t xml:space="preserve">      </w:t>
      </w:r>
      <w:r>
        <w:rPr>
          <w:rFonts w:hint="eastAsia"/>
          <w:b/>
          <w:bCs/>
          <w:color w:val="auto"/>
          <w:szCs w:val="21"/>
          <w:highlight w:val="none"/>
        </w:rPr>
        <w:t>月</w:t>
      </w:r>
      <w:r>
        <w:rPr>
          <w:rFonts w:hint="eastAsia"/>
          <w:b/>
          <w:bCs/>
          <w:color w:val="auto"/>
          <w:szCs w:val="21"/>
          <w:highlight w:val="none"/>
          <w:u w:val="single"/>
        </w:rPr>
        <w:t xml:space="preserve">      </w:t>
      </w:r>
      <w:r>
        <w:rPr>
          <w:rFonts w:hint="eastAsia"/>
          <w:b/>
          <w:bCs/>
          <w:color w:val="auto"/>
          <w:szCs w:val="21"/>
          <w:highlight w:val="none"/>
        </w:rPr>
        <w:t>日</w:t>
      </w:r>
    </w:p>
    <w:p w14:paraId="5FA1BD45">
      <w:pPr>
        <w:tabs>
          <w:tab w:val="left" w:pos="1695"/>
        </w:tabs>
        <w:adjustRightInd w:val="0"/>
        <w:snapToGrid w:val="0"/>
        <w:spacing w:line="360" w:lineRule="auto"/>
        <w:rPr>
          <w:color w:val="auto"/>
          <w:szCs w:val="21"/>
          <w:highlight w:val="none"/>
          <w:u w:val="single"/>
        </w:rPr>
      </w:pPr>
      <w:r>
        <w:rPr>
          <w:rFonts w:eastAsia="Cambria"/>
          <w:color w:val="auto"/>
          <w:sz w:val="24"/>
          <w:szCs w:val="20"/>
          <w:highlight w:val="none"/>
        </w:rPr>
        <w:br w:type="page"/>
      </w:r>
    </w:p>
    <w:p w14:paraId="5AE6D7CE">
      <w:pPr>
        <w:jc w:val="center"/>
        <w:rPr>
          <w:b/>
          <w:color w:val="auto"/>
          <w:sz w:val="44"/>
          <w:szCs w:val="44"/>
          <w:highlight w:val="none"/>
        </w:rPr>
      </w:pPr>
    </w:p>
    <w:p w14:paraId="64F1EE93">
      <w:pPr>
        <w:jc w:val="center"/>
        <w:rPr>
          <w:b/>
          <w:color w:val="auto"/>
          <w:sz w:val="44"/>
          <w:szCs w:val="44"/>
          <w:highlight w:val="none"/>
        </w:rPr>
      </w:pPr>
    </w:p>
    <w:p w14:paraId="305A5718">
      <w:pPr>
        <w:jc w:val="center"/>
        <w:rPr>
          <w:b/>
          <w:color w:val="auto"/>
          <w:sz w:val="44"/>
          <w:szCs w:val="44"/>
          <w:highlight w:val="none"/>
        </w:rPr>
      </w:pPr>
    </w:p>
    <w:p w14:paraId="14CBF775">
      <w:pPr>
        <w:jc w:val="center"/>
        <w:rPr>
          <w:b/>
          <w:color w:val="auto"/>
          <w:sz w:val="44"/>
          <w:szCs w:val="44"/>
          <w:highlight w:val="none"/>
        </w:rPr>
      </w:pPr>
    </w:p>
    <w:p w14:paraId="6FE0FEC5">
      <w:pPr>
        <w:jc w:val="center"/>
        <w:rPr>
          <w:b/>
          <w:color w:val="auto"/>
          <w:sz w:val="44"/>
          <w:szCs w:val="44"/>
          <w:highlight w:val="none"/>
        </w:rPr>
      </w:pPr>
      <w:r>
        <w:rPr>
          <w:b/>
          <w:color w:val="auto"/>
          <w:sz w:val="44"/>
          <w:szCs w:val="44"/>
          <w:highlight w:val="none"/>
        </w:rPr>
        <w:t>第</w:t>
      </w:r>
      <w:r>
        <w:rPr>
          <w:rFonts w:hint="eastAsia"/>
          <w:b/>
          <w:color w:val="auto"/>
          <w:sz w:val="44"/>
          <w:szCs w:val="44"/>
          <w:highlight w:val="none"/>
        </w:rPr>
        <w:t>二节 合同条款通用部分</w:t>
      </w:r>
    </w:p>
    <w:p w14:paraId="259ABF68">
      <w:pPr>
        <w:jc w:val="center"/>
        <w:rPr>
          <w:b/>
          <w:color w:val="auto"/>
          <w:sz w:val="44"/>
          <w:szCs w:val="44"/>
          <w:highlight w:val="none"/>
        </w:rPr>
      </w:pPr>
    </w:p>
    <w:p w14:paraId="3CADCBBA">
      <w:pPr>
        <w:widowControl/>
        <w:jc w:val="center"/>
        <w:rPr>
          <w:rFonts w:eastAsia="Cambria"/>
          <w:color w:val="auto"/>
          <w:sz w:val="28"/>
          <w:szCs w:val="28"/>
          <w:highlight w:val="none"/>
        </w:rPr>
      </w:pPr>
      <w:r>
        <w:rPr>
          <w:color w:val="auto"/>
          <w:sz w:val="28"/>
          <w:highlight w:val="none"/>
        </w:rPr>
        <w:br w:type="page"/>
      </w:r>
      <w:r>
        <w:rPr>
          <w:rFonts w:hint="eastAsia" w:ascii="宋体" w:hAnsi="宋体" w:cs="宋体"/>
          <w:color w:val="auto"/>
          <w:sz w:val="28"/>
          <w:szCs w:val="28"/>
          <w:highlight w:val="none"/>
        </w:rPr>
        <w:t>通用合同条款</w:t>
      </w:r>
    </w:p>
    <w:p w14:paraId="726D7B54">
      <w:pPr>
        <w:spacing w:line="400" w:lineRule="exact"/>
        <w:rPr>
          <w:color w:val="auto"/>
          <w:highlight w:val="none"/>
        </w:rPr>
      </w:pPr>
    </w:p>
    <w:p w14:paraId="6D2140C5">
      <w:pPr>
        <w:keepNext/>
        <w:keepLines/>
        <w:spacing w:line="400" w:lineRule="exact"/>
        <w:outlineLvl w:val="1"/>
        <w:rPr>
          <w:rFonts w:eastAsia="黑体" w:cs="仿宋_GB2312"/>
          <w:color w:val="auto"/>
          <w:sz w:val="28"/>
          <w:szCs w:val="20"/>
          <w:highlight w:val="none"/>
        </w:rPr>
      </w:pPr>
      <w:bookmarkStart w:id="678" w:name="_Toc469660017"/>
      <w:bookmarkStart w:id="679" w:name="_Toc448758522"/>
      <w:bookmarkStart w:id="680" w:name="_Toc342296262"/>
      <w:bookmarkStart w:id="681" w:name="_Toc442365614"/>
      <w:bookmarkStart w:id="682" w:name="_Toc448758422"/>
      <w:bookmarkStart w:id="683" w:name="_Toc159950612"/>
      <w:bookmarkStart w:id="684" w:name="_Toc338944704"/>
      <w:r>
        <w:rPr>
          <w:rFonts w:eastAsia="黑体" w:cs="仿宋_GB2312"/>
          <w:color w:val="auto"/>
          <w:sz w:val="28"/>
          <w:szCs w:val="20"/>
          <w:highlight w:val="none"/>
        </w:rPr>
        <w:t>1. 一般约定</w:t>
      </w:r>
      <w:bookmarkEnd w:id="678"/>
      <w:bookmarkEnd w:id="679"/>
      <w:bookmarkEnd w:id="680"/>
      <w:bookmarkEnd w:id="681"/>
      <w:bookmarkEnd w:id="682"/>
      <w:bookmarkEnd w:id="683"/>
      <w:bookmarkEnd w:id="684"/>
    </w:p>
    <w:p w14:paraId="2FBEBE21">
      <w:pPr>
        <w:keepNext/>
        <w:keepLines/>
        <w:spacing w:line="400" w:lineRule="exact"/>
        <w:outlineLvl w:val="2"/>
        <w:rPr>
          <w:rFonts w:eastAsia="黑体"/>
          <w:color w:val="auto"/>
          <w:sz w:val="24"/>
          <w:szCs w:val="20"/>
          <w:highlight w:val="none"/>
        </w:rPr>
      </w:pPr>
      <w:bookmarkStart w:id="685" w:name="_Toc342296263"/>
      <w:bookmarkStart w:id="686" w:name="_Toc159950613"/>
      <w:bookmarkStart w:id="687" w:name="_Toc338944705"/>
      <w:r>
        <w:rPr>
          <w:rFonts w:eastAsia="黑体"/>
          <w:color w:val="auto"/>
          <w:sz w:val="24"/>
          <w:szCs w:val="20"/>
          <w:highlight w:val="none"/>
        </w:rPr>
        <w:t>1.1 词语定义</w:t>
      </w:r>
      <w:bookmarkEnd w:id="685"/>
      <w:bookmarkEnd w:id="686"/>
      <w:bookmarkEnd w:id="687"/>
    </w:p>
    <w:p w14:paraId="4390B581">
      <w:pPr>
        <w:spacing w:line="400" w:lineRule="exact"/>
        <w:ind w:firstLine="420" w:firstLineChars="200"/>
        <w:rPr>
          <w:color w:val="auto"/>
          <w:highlight w:val="none"/>
        </w:rPr>
      </w:pPr>
      <w:r>
        <w:rPr>
          <w:color w:val="auto"/>
          <w:highlight w:val="none"/>
        </w:rPr>
        <w:t>通用合同条款、专用合同条款中的下列词语应具有本款所赋予的含义。</w:t>
      </w:r>
    </w:p>
    <w:p w14:paraId="218FF493">
      <w:pPr>
        <w:spacing w:line="400" w:lineRule="exact"/>
        <w:ind w:firstLine="420" w:firstLineChars="200"/>
        <w:rPr>
          <w:color w:val="auto"/>
          <w:highlight w:val="none"/>
        </w:rPr>
      </w:pPr>
      <w:r>
        <w:rPr>
          <w:color w:val="auto"/>
          <w:highlight w:val="none"/>
        </w:rPr>
        <w:t xml:space="preserve">1.1.1 </w:t>
      </w:r>
      <w:r>
        <w:rPr>
          <w:rFonts w:hint="eastAsia" w:ascii="宋体" w:hAnsi="宋体" w:cs="宋体"/>
          <w:color w:val="auto"/>
          <w:highlight w:val="none"/>
        </w:rPr>
        <w:t>合同</w:t>
      </w:r>
    </w:p>
    <w:p w14:paraId="2AA675A8">
      <w:pPr>
        <w:spacing w:line="400" w:lineRule="exact"/>
        <w:ind w:firstLine="718" w:firstLineChars="342"/>
        <w:rPr>
          <w:color w:val="auto"/>
          <w:highlight w:val="none"/>
        </w:rPr>
      </w:pPr>
      <w:r>
        <w:rPr>
          <w:color w:val="auto"/>
          <w:highlight w:val="none"/>
        </w:rPr>
        <w:t>1.1.1.1 合同文件（或称合同）：指合同协议书、中标通知书、投标函及投标函附录、专用合同条款、通用合同条款、技术标准和要求、图纸、已标价工程量清单，以及其他合同文件。</w:t>
      </w:r>
    </w:p>
    <w:p w14:paraId="4EFC8818">
      <w:pPr>
        <w:spacing w:line="400" w:lineRule="exact"/>
        <w:ind w:firstLine="718" w:firstLineChars="342"/>
        <w:rPr>
          <w:color w:val="auto"/>
          <w:highlight w:val="none"/>
        </w:rPr>
      </w:pPr>
      <w:r>
        <w:rPr>
          <w:color w:val="auto"/>
          <w:highlight w:val="none"/>
        </w:rPr>
        <w:t>1.1.1.2 合同协议书：指第1.5款所指的合同协议书。</w:t>
      </w:r>
    </w:p>
    <w:p w14:paraId="48FDE74C">
      <w:pPr>
        <w:spacing w:line="400" w:lineRule="exact"/>
        <w:ind w:firstLine="718" w:firstLineChars="342"/>
        <w:rPr>
          <w:color w:val="auto"/>
          <w:highlight w:val="none"/>
        </w:rPr>
      </w:pPr>
      <w:r>
        <w:rPr>
          <w:color w:val="auto"/>
          <w:highlight w:val="none"/>
        </w:rPr>
        <w:t>1.1.1.3 中标通知书：指发包人通知承包人中标的函件。</w:t>
      </w:r>
    </w:p>
    <w:p w14:paraId="4F9F1BA3">
      <w:pPr>
        <w:spacing w:line="400" w:lineRule="exact"/>
        <w:ind w:firstLine="718" w:firstLineChars="342"/>
        <w:rPr>
          <w:dstrike/>
          <w:color w:val="auto"/>
          <w:szCs w:val="21"/>
          <w:highlight w:val="none"/>
        </w:rPr>
      </w:pPr>
      <w:r>
        <w:rPr>
          <w:color w:val="auto"/>
          <w:highlight w:val="none"/>
        </w:rPr>
        <w:t>1.1.1.4 投标函：指构成合同文件组成部分的由承包人填写并签署的投标函。</w:t>
      </w:r>
    </w:p>
    <w:p w14:paraId="25F40B91">
      <w:pPr>
        <w:spacing w:line="400" w:lineRule="exact"/>
        <w:ind w:firstLine="718" w:firstLineChars="342"/>
        <w:rPr>
          <w:color w:val="auto"/>
          <w:highlight w:val="none"/>
        </w:rPr>
      </w:pPr>
      <w:r>
        <w:rPr>
          <w:color w:val="auto"/>
          <w:highlight w:val="none"/>
        </w:rPr>
        <w:t>1.1.1.5 投标函附录：指附在投标函后构成合同文件的投标函附录。</w:t>
      </w:r>
    </w:p>
    <w:p w14:paraId="1E6C7ADE">
      <w:pPr>
        <w:spacing w:line="400" w:lineRule="exact"/>
        <w:ind w:firstLine="718" w:firstLineChars="342"/>
        <w:rPr>
          <w:color w:val="auto"/>
          <w:highlight w:val="none"/>
        </w:rPr>
      </w:pPr>
      <w:r>
        <w:rPr>
          <w:color w:val="auto"/>
          <w:highlight w:val="none"/>
        </w:rPr>
        <w:t>1.1.1.6 技术标准和要求：指构成合同文件组成部分的名为技术标准和要求的文件，包括合同双方当事人约定对其所作的修改或补充。</w:t>
      </w:r>
    </w:p>
    <w:p w14:paraId="42B24B2C">
      <w:pPr>
        <w:spacing w:line="400" w:lineRule="exact"/>
        <w:ind w:firstLine="718" w:firstLineChars="342"/>
        <w:rPr>
          <w:color w:val="auto"/>
          <w:highlight w:val="none"/>
        </w:rPr>
      </w:pPr>
      <w:r>
        <w:rPr>
          <w:color w:val="auto"/>
          <w:highlight w:val="none"/>
        </w:rPr>
        <w:t>1.1.1.7图纸：指包含在合同中的工程图纸，以及由发包人按合同约定提供的任何补充和修改的图纸，包括配套的说明。</w:t>
      </w:r>
    </w:p>
    <w:p w14:paraId="4CFABD7C">
      <w:pPr>
        <w:spacing w:line="400" w:lineRule="exact"/>
        <w:ind w:firstLine="718" w:firstLineChars="342"/>
        <w:rPr>
          <w:color w:val="auto"/>
          <w:highlight w:val="none"/>
        </w:rPr>
      </w:pPr>
      <w:r>
        <w:rPr>
          <w:color w:val="auto"/>
          <w:highlight w:val="none"/>
        </w:rPr>
        <w:t>1.1.1.8 已标价工程量清单：指构成合同文件组成部分的由承包人按照规定的格式和要求填写并标明价格的工程量清单。</w:t>
      </w:r>
    </w:p>
    <w:p w14:paraId="4A442A78">
      <w:pPr>
        <w:spacing w:line="400" w:lineRule="exact"/>
        <w:ind w:firstLine="718" w:firstLineChars="342"/>
        <w:rPr>
          <w:color w:val="auto"/>
          <w:highlight w:val="none"/>
        </w:rPr>
      </w:pPr>
      <w:r>
        <w:rPr>
          <w:color w:val="auto"/>
          <w:highlight w:val="none"/>
        </w:rPr>
        <w:t>1.1.1.9 其他合同文件：指经合同双方当事人确认构成合同文件的其他文件。</w:t>
      </w:r>
    </w:p>
    <w:p w14:paraId="341E1111">
      <w:pPr>
        <w:spacing w:line="400" w:lineRule="exact"/>
        <w:ind w:firstLine="420" w:firstLineChars="200"/>
        <w:rPr>
          <w:color w:val="auto"/>
          <w:highlight w:val="none"/>
        </w:rPr>
      </w:pPr>
      <w:r>
        <w:rPr>
          <w:color w:val="auto"/>
          <w:highlight w:val="none"/>
        </w:rPr>
        <w:t xml:space="preserve">1.1.2 </w:t>
      </w:r>
      <w:r>
        <w:rPr>
          <w:rFonts w:hint="eastAsia" w:ascii="宋体" w:hAnsi="宋体" w:cs="宋体"/>
          <w:color w:val="auto"/>
          <w:highlight w:val="none"/>
        </w:rPr>
        <w:t>合同当事人和人员</w:t>
      </w:r>
    </w:p>
    <w:p w14:paraId="008179FE">
      <w:pPr>
        <w:spacing w:line="400" w:lineRule="exact"/>
        <w:ind w:firstLine="718" w:firstLineChars="342"/>
        <w:rPr>
          <w:color w:val="auto"/>
          <w:highlight w:val="none"/>
        </w:rPr>
      </w:pPr>
      <w:r>
        <w:rPr>
          <w:color w:val="auto"/>
          <w:highlight w:val="none"/>
        </w:rPr>
        <w:t>1.1.2.1 合同当事人:指发包人和（或）承包人。</w:t>
      </w:r>
    </w:p>
    <w:p w14:paraId="0231BD53">
      <w:pPr>
        <w:spacing w:line="400" w:lineRule="exact"/>
        <w:ind w:firstLine="718" w:firstLineChars="342"/>
        <w:rPr>
          <w:color w:val="auto"/>
          <w:highlight w:val="none"/>
        </w:rPr>
      </w:pPr>
      <w:r>
        <w:rPr>
          <w:color w:val="auto"/>
          <w:highlight w:val="none"/>
        </w:rPr>
        <w:t>1.1.2.2 发包人：指专用合同条款中指明并与承包人在合同协议书中签字的当事人。</w:t>
      </w:r>
    </w:p>
    <w:p w14:paraId="4938C789">
      <w:pPr>
        <w:spacing w:line="400" w:lineRule="exact"/>
        <w:ind w:firstLine="718" w:firstLineChars="342"/>
        <w:rPr>
          <w:color w:val="auto"/>
          <w:highlight w:val="none"/>
        </w:rPr>
      </w:pPr>
      <w:r>
        <w:rPr>
          <w:color w:val="auto"/>
          <w:highlight w:val="none"/>
        </w:rPr>
        <w:t>1.1.2.3 承包人：指与发包人签订合同协议书的当事人。</w:t>
      </w:r>
    </w:p>
    <w:p w14:paraId="224BA275">
      <w:pPr>
        <w:spacing w:line="400" w:lineRule="exact"/>
        <w:ind w:firstLine="718" w:firstLineChars="342"/>
        <w:rPr>
          <w:color w:val="auto"/>
          <w:highlight w:val="none"/>
        </w:rPr>
      </w:pPr>
      <w:r>
        <w:rPr>
          <w:color w:val="auto"/>
          <w:highlight w:val="none"/>
        </w:rPr>
        <w:t>1.1.2.4 承包人项目经理：指承包人派驻施工场地的全权负责人。</w:t>
      </w:r>
    </w:p>
    <w:p w14:paraId="4AA418E7">
      <w:pPr>
        <w:spacing w:line="400" w:lineRule="exact"/>
        <w:ind w:firstLine="718" w:firstLineChars="342"/>
        <w:rPr>
          <w:color w:val="auto"/>
          <w:highlight w:val="none"/>
        </w:rPr>
      </w:pPr>
      <w:r>
        <w:rPr>
          <w:color w:val="auto"/>
          <w:highlight w:val="none"/>
        </w:rPr>
        <w:t>1.1.2.5 分包人：指从承包人处分包合同中某一部分工程，并与其签订分包合同的分包人。</w:t>
      </w:r>
    </w:p>
    <w:p w14:paraId="145C2AD1">
      <w:pPr>
        <w:spacing w:line="400" w:lineRule="exact"/>
        <w:ind w:firstLine="718" w:firstLineChars="342"/>
        <w:rPr>
          <w:color w:val="auto"/>
          <w:highlight w:val="none"/>
        </w:rPr>
      </w:pPr>
      <w:r>
        <w:rPr>
          <w:color w:val="auto"/>
          <w:highlight w:val="none"/>
        </w:rPr>
        <w:t>1.1.2.6 监理人：指在专用合同条款中指明的，受发包人委托对合同履行实施管理的法人或其他组织。</w:t>
      </w:r>
    </w:p>
    <w:p w14:paraId="2EE33FAF">
      <w:pPr>
        <w:spacing w:line="400" w:lineRule="exact"/>
        <w:ind w:firstLine="718" w:firstLineChars="342"/>
        <w:rPr>
          <w:color w:val="auto"/>
          <w:highlight w:val="none"/>
        </w:rPr>
      </w:pPr>
      <w:r>
        <w:rPr>
          <w:color w:val="auto"/>
          <w:highlight w:val="none"/>
        </w:rPr>
        <w:t>1.1.2.7 总监理工程师（总监）：指由监理人委派常驻施工场地对合同履行实施管理的全权负责人。</w:t>
      </w:r>
    </w:p>
    <w:p w14:paraId="5F0EF969">
      <w:pPr>
        <w:spacing w:line="400" w:lineRule="exact"/>
        <w:ind w:firstLine="420" w:firstLineChars="200"/>
        <w:rPr>
          <w:color w:val="auto"/>
          <w:highlight w:val="none"/>
        </w:rPr>
      </w:pPr>
      <w:r>
        <w:rPr>
          <w:color w:val="auto"/>
          <w:highlight w:val="none"/>
        </w:rPr>
        <w:t xml:space="preserve">1.1.3 </w:t>
      </w:r>
      <w:r>
        <w:rPr>
          <w:rFonts w:hint="eastAsia" w:ascii="宋体" w:hAnsi="宋体" w:cs="宋体"/>
          <w:color w:val="auto"/>
          <w:highlight w:val="none"/>
        </w:rPr>
        <w:t>工程和设备</w:t>
      </w:r>
    </w:p>
    <w:p w14:paraId="5C830D01">
      <w:pPr>
        <w:spacing w:line="400" w:lineRule="exact"/>
        <w:ind w:firstLine="718" w:firstLineChars="342"/>
        <w:rPr>
          <w:color w:val="auto"/>
          <w:highlight w:val="none"/>
        </w:rPr>
      </w:pPr>
      <w:r>
        <w:rPr>
          <w:color w:val="auto"/>
          <w:highlight w:val="none"/>
        </w:rPr>
        <w:t>1.1.3.1 工程：指永久工程和（或）临时工程。</w:t>
      </w:r>
    </w:p>
    <w:p w14:paraId="2A96D3BB">
      <w:pPr>
        <w:spacing w:line="400" w:lineRule="exact"/>
        <w:ind w:firstLine="718" w:firstLineChars="342"/>
        <w:rPr>
          <w:color w:val="auto"/>
          <w:highlight w:val="none"/>
        </w:rPr>
      </w:pPr>
      <w:r>
        <w:rPr>
          <w:color w:val="auto"/>
          <w:highlight w:val="none"/>
        </w:rPr>
        <w:t>1.1.3.2 永久工程：指按合同约定建造并移交给发包人的工程，包括工程设备。</w:t>
      </w:r>
    </w:p>
    <w:p w14:paraId="774563C7">
      <w:pPr>
        <w:spacing w:line="400" w:lineRule="exact"/>
        <w:ind w:firstLine="718" w:firstLineChars="342"/>
        <w:rPr>
          <w:color w:val="auto"/>
          <w:highlight w:val="none"/>
        </w:rPr>
      </w:pPr>
      <w:r>
        <w:rPr>
          <w:color w:val="auto"/>
          <w:highlight w:val="none"/>
        </w:rPr>
        <w:t>1.1.3.3 临时工程：指为完成合同约定的永久工程所修建的各类临时性工程，不包括施工设备。</w:t>
      </w:r>
    </w:p>
    <w:p w14:paraId="3C11C7FF">
      <w:pPr>
        <w:spacing w:line="400" w:lineRule="exact"/>
        <w:ind w:firstLine="718" w:firstLineChars="342"/>
        <w:rPr>
          <w:color w:val="auto"/>
          <w:highlight w:val="none"/>
        </w:rPr>
      </w:pPr>
      <w:r>
        <w:rPr>
          <w:color w:val="auto"/>
          <w:highlight w:val="none"/>
        </w:rPr>
        <w:t>1.1.3.4 单位工程：指专用合同条款中指明特定范围的永久工程。</w:t>
      </w:r>
    </w:p>
    <w:p w14:paraId="11326179">
      <w:pPr>
        <w:spacing w:line="400" w:lineRule="exact"/>
        <w:ind w:firstLine="718" w:firstLineChars="342"/>
        <w:rPr>
          <w:color w:val="auto"/>
          <w:highlight w:val="none"/>
        </w:rPr>
      </w:pPr>
      <w:r>
        <w:rPr>
          <w:color w:val="auto"/>
          <w:highlight w:val="none"/>
        </w:rPr>
        <w:t>1.1.3.5 工程设备：指构成或计划构成永久工程一部分的机电设备、金属结构设备、仪器装置及其他类似的设备和装置。</w:t>
      </w:r>
    </w:p>
    <w:p w14:paraId="54D21EA5">
      <w:pPr>
        <w:spacing w:line="400" w:lineRule="exact"/>
        <w:ind w:firstLine="718" w:firstLineChars="342"/>
        <w:rPr>
          <w:color w:val="auto"/>
          <w:highlight w:val="none"/>
        </w:rPr>
      </w:pPr>
      <w:r>
        <w:rPr>
          <w:color w:val="auto"/>
          <w:highlight w:val="none"/>
        </w:rPr>
        <w:t>1.1.3.6 施工设备：指为完成合同约定的各项工作所需的设备、器具和其他物品，不包括临时工程和材料。</w:t>
      </w:r>
    </w:p>
    <w:p w14:paraId="1BEE88EB">
      <w:pPr>
        <w:spacing w:line="400" w:lineRule="exact"/>
        <w:ind w:firstLine="718" w:firstLineChars="342"/>
        <w:rPr>
          <w:color w:val="auto"/>
          <w:highlight w:val="none"/>
        </w:rPr>
      </w:pPr>
      <w:r>
        <w:rPr>
          <w:color w:val="auto"/>
          <w:highlight w:val="none"/>
        </w:rPr>
        <w:t>1.1.3.7 临时设施：指为完成合同约定的各项工作所服务的临时性生产和生活设施。</w:t>
      </w:r>
    </w:p>
    <w:p w14:paraId="29076535">
      <w:pPr>
        <w:spacing w:line="400" w:lineRule="exact"/>
        <w:ind w:firstLine="718" w:firstLineChars="342"/>
        <w:rPr>
          <w:color w:val="auto"/>
          <w:highlight w:val="none"/>
        </w:rPr>
      </w:pPr>
      <w:r>
        <w:rPr>
          <w:color w:val="auto"/>
          <w:highlight w:val="none"/>
        </w:rPr>
        <w:t>1.1.3.8 承包人设备：指承包人自带的施工设备。</w:t>
      </w:r>
    </w:p>
    <w:p w14:paraId="1BC260D2">
      <w:pPr>
        <w:spacing w:line="400" w:lineRule="exact"/>
        <w:ind w:firstLine="718" w:firstLineChars="342"/>
        <w:rPr>
          <w:color w:val="auto"/>
          <w:highlight w:val="none"/>
        </w:rPr>
      </w:pPr>
      <w:r>
        <w:rPr>
          <w:color w:val="auto"/>
          <w:highlight w:val="none"/>
        </w:rPr>
        <w:t>1.1.3.9 施工场地（或称工地、现场）：指用于合同工程施工的场所，以及在合同中指定作为施工场地组成部分的其他场所，包括永久占地和临时占地。</w:t>
      </w:r>
    </w:p>
    <w:p w14:paraId="0B092578">
      <w:pPr>
        <w:spacing w:line="400" w:lineRule="exact"/>
        <w:ind w:firstLine="718" w:firstLineChars="342"/>
        <w:rPr>
          <w:color w:val="auto"/>
          <w:highlight w:val="none"/>
        </w:rPr>
      </w:pPr>
      <w:r>
        <w:rPr>
          <w:color w:val="auto"/>
          <w:highlight w:val="none"/>
        </w:rPr>
        <w:t>1.1.3.10 永久占地：指专用合同条款中指明为实施合同工程需永久占用的土地。</w:t>
      </w:r>
    </w:p>
    <w:p w14:paraId="78EF2383">
      <w:pPr>
        <w:spacing w:line="400" w:lineRule="exact"/>
        <w:ind w:firstLine="718" w:firstLineChars="342"/>
        <w:rPr>
          <w:color w:val="auto"/>
          <w:highlight w:val="none"/>
        </w:rPr>
      </w:pPr>
      <w:r>
        <w:rPr>
          <w:color w:val="auto"/>
          <w:highlight w:val="none"/>
        </w:rPr>
        <w:t>1.1.3.11 临时占地：指专用合同条款中指明为实施合同工程需临时占用的土地。</w:t>
      </w:r>
    </w:p>
    <w:p w14:paraId="09325E44">
      <w:pPr>
        <w:spacing w:line="400" w:lineRule="exact"/>
        <w:ind w:firstLine="420" w:firstLineChars="200"/>
        <w:rPr>
          <w:color w:val="auto"/>
          <w:highlight w:val="none"/>
        </w:rPr>
      </w:pPr>
      <w:r>
        <w:rPr>
          <w:color w:val="auto"/>
          <w:highlight w:val="none"/>
        </w:rPr>
        <w:t xml:space="preserve">1.1.4 </w:t>
      </w:r>
      <w:r>
        <w:rPr>
          <w:rFonts w:hint="eastAsia" w:ascii="宋体" w:hAnsi="宋体" w:cs="宋体"/>
          <w:color w:val="auto"/>
          <w:highlight w:val="none"/>
        </w:rPr>
        <w:t>日期</w:t>
      </w:r>
    </w:p>
    <w:p w14:paraId="6C570BFA">
      <w:pPr>
        <w:spacing w:line="400" w:lineRule="exact"/>
        <w:ind w:firstLine="718" w:firstLineChars="342"/>
        <w:rPr>
          <w:color w:val="auto"/>
          <w:highlight w:val="none"/>
        </w:rPr>
      </w:pPr>
      <w:r>
        <w:rPr>
          <w:color w:val="auto"/>
          <w:highlight w:val="none"/>
        </w:rPr>
        <w:t>1.1.4.1 开工通知：指监理人按第11.1款通知承包人开工的函件。</w:t>
      </w:r>
    </w:p>
    <w:p w14:paraId="62735547">
      <w:pPr>
        <w:spacing w:line="400" w:lineRule="exact"/>
        <w:ind w:firstLine="718" w:firstLineChars="342"/>
        <w:rPr>
          <w:color w:val="auto"/>
          <w:highlight w:val="none"/>
        </w:rPr>
      </w:pPr>
      <w:r>
        <w:rPr>
          <w:color w:val="auto"/>
          <w:highlight w:val="none"/>
        </w:rPr>
        <w:t>1.1.4.2 开工日期：指监理人按第11.1款发出的开工通知中写明的开工日期。</w:t>
      </w:r>
    </w:p>
    <w:p w14:paraId="7D9B6E83">
      <w:pPr>
        <w:spacing w:line="400" w:lineRule="exact"/>
        <w:ind w:firstLine="718" w:firstLineChars="342"/>
        <w:rPr>
          <w:color w:val="auto"/>
          <w:highlight w:val="none"/>
        </w:rPr>
      </w:pPr>
      <w:r>
        <w:rPr>
          <w:color w:val="auto"/>
          <w:highlight w:val="none"/>
        </w:rPr>
        <w:t>1.1.4.3工期：指承包人在投标函中承诺的完成合同工程所需的期限，包括按第11.3款、第11.4款和第11.6款约定所作的变更。</w:t>
      </w:r>
    </w:p>
    <w:p w14:paraId="4EEBA31B">
      <w:pPr>
        <w:spacing w:line="400" w:lineRule="exact"/>
        <w:ind w:firstLine="718" w:firstLineChars="342"/>
        <w:rPr>
          <w:color w:val="auto"/>
          <w:highlight w:val="none"/>
        </w:rPr>
      </w:pPr>
      <w:r>
        <w:rPr>
          <w:color w:val="auto"/>
          <w:highlight w:val="none"/>
        </w:rPr>
        <w:t>1.1.4.4 竣工日期：指第1.1.4.3目约定工期届满时的日期。实际竣工日期以工程接收证书中写明的日期为准。</w:t>
      </w:r>
    </w:p>
    <w:p w14:paraId="40DD250A">
      <w:pPr>
        <w:spacing w:line="400" w:lineRule="exact"/>
        <w:ind w:firstLine="718" w:firstLineChars="342"/>
        <w:rPr>
          <w:color w:val="auto"/>
          <w:highlight w:val="none"/>
        </w:rPr>
      </w:pPr>
      <w:r>
        <w:rPr>
          <w:color w:val="auto"/>
          <w:highlight w:val="none"/>
        </w:rPr>
        <w:t>1.1.4.5 缺陷责任期：指履行第19.2款约定的缺陷责任的期限，具体期限由专用合同条款约定，包括根据第19.3款约定所作的延长。</w:t>
      </w:r>
    </w:p>
    <w:p w14:paraId="7EE2CF7D">
      <w:pPr>
        <w:spacing w:line="400" w:lineRule="exact"/>
        <w:ind w:firstLine="718" w:firstLineChars="342"/>
        <w:rPr>
          <w:color w:val="auto"/>
          <w:highlight w:val="none"/>
        </w:rPr>
      </w:pPr>
      <w:r>
        <w:rPr>
          <w:color w:val="auto"/>
          <w:highlight w:val="none"/>
        </w:rPr>
        <w:t>1.1.4.6 基准日期：指投标截止时间前28天的日期。</w:t>
      </w:r>
    </w:p>
    <w:p w14:paraId="5E3EECF6">
      <w:pPr>
        <w:spacing w:line="400" w:lineRule="exact"/>
        <w:ind w:firstLine="718" w:firstLineChars="342"/>
        <w:rPr>
          <w:color w:val="auto"/>
          <w:highlight w:val="none"/>
        </w:rPr>
      </w:pPr>
      <w:r>
        <w:rPr>
          <w:color w:val="auto"/>
          <w:highlight w:val="none"/>
        </w:rPr>
        <w:t>1.1.4.7 天：除特别指明外，指日历天。合同中按天计算时间的，开始当天不计入，从次日开始计算。期限最后一天的截止时间为当天24:00。</w:t>
      </w:r>
    </w:p>
    <w:p w14:paraId="2F1591A1">
      <w:pPr>
        <w:spacing w:line="400" w:lineRule="exact"/>
        <w:ind w:firstLine="420" w:firstLineChars="200"/>
        <w:rPr>
          <w:color w:val="auto"/>
          <w:highlight w:val="none"/>
        </w:rPr>
      </w:pPr>
      <w:r>
        <w:rPr>
          <w:color w:val="auto"/>
          <w:highlight w:val="none"/>
        </w:rPr>
        <w:t xml:space="preserve">1.1.5 </w:t>
      </w:r>
      <w:r>
        <w:rPr>
          <w:rFonts w:hint="eastAsia" w:ascii="宋体" w:hAnsi="宋体" w:cs="宋体"/>
          <w:color w:val="auto"/>
          <w:highlight w:val="none"/>
        </w:rPr>
        <w:t>合同价格和费用</w:t>
      </w:r>
    </w:p>
    <w:p w14:paraId="6980956B">
      <w:pPr>
        <w:spacing w:line="400" w:lineRule="exact"/>
        <w:ind w:firstLine="718" w:firstLineChars="342"/>
        <w:rPr>
          <w:color w:val="auto"/>
          <w:highlight w:val="none"/>
        </w:rPr>
      </w:pPr>
      <w:r>
        <w:rPr>
          <w:color w:val="auto"/>
          <w:highlight w:val="none"/>
        </w:rPr>
        <w:t>1.1.5.1 签约合同价：指签定合同时合同协议书中写明的，包括了暂列金额、暂估价的合同总金额。</w:t>
      </w:r>
    </w:p>
    <w:p w14:paraId="04F1121A">
      <w:pPr>
        <w:spacing w:line="400" w:lineRule="exact"/>
        <w:ind w:firstLine="718" w:firstLineChars="342"/>
        <w:rPr>
          <w:color w:val="auto"/>
          <w:highlight w:val="none"/>
        </w:rPr>
      </w:pPr>
      <w:r>
        <w:rPr>
          <w:color w:val="auto"/>
          <w:highlight w:val="none"/>
        </w:rPr>
        <w:t>1.1.5.2 合同价格：指承包人按合同约定完成了包括缺陷责任期内的全部承包工作后，发包人应付给承包人的金额，包括在履行合同过程中按合同约定进行的变更和调整。</w:t>
      </w:r>
    </w:p>
    <w:p w14:paraId="2F5015F6">
      <w:pPr>
        <w:spacing w:line="400" w:lineRule="exact"/>
        <w:ind w:firstLine="718" w:firstLineChars="342"/>
        <w:rPr>
          <w:color w:val="auto"/>
          <w:highlight w:val="none"/>
        </w:rPr>
      </w:pPr>
      <w:r>
        <w:rPr>
          <w:color w:val="auto"/>
          <w:highlight w:val="none"/>
        </w:rPr>
        <w:t>1.1.5.3 费用：指为履行合同所发生的或将要发生的所有合理开支，包括管理费和应分摊的其他费用，但不包括利润。</w:t>
      </w:r>
    </w:p>
    <w:p w14:paraId="2E673FC8">
      <w:pPr>
        <w:spacing w:line="400" w:lineRule="exact"/>
        <w:ind w:firstLine="718" w:firstLineChars="342"/>
        <w:rPr>
          <w:color w:val="auto"/>
          <w:highlight w:val="none"/>
        </w:rPr>
      </w:pPr>
      <w:r>
        <w:rPr>
          <w:color w:val="auto"/>
          <w:highlight w:val="none"/>
        </w:rPr>
        <w:t>1.1.5.4 暂列金额：指已标价工程量清单中所列的暂列金额，用于在签订协议书时尚未确定或不可预见变更的施工及其所需材料、工程设备、服务等的金额，包括以计日工方式支付的金额。</w:t>
      </w:r>
    </w:p>
    <w:p w14:paraId="4A06A516">
      <w:pPr>
        <w:spacing w:line="400" w:lineRule="exact"/>
        <w:ind w:firstLine="718" w:firstLineChars="342"/>
        <w:rPr>
          <w:color w:val="auto"/>
          <w:highlight w:val="none"/>
        </w:rPr>
      </w:pPr>
      <w:r>
        <w:rPr>
          <w:color w:val="auto"/>
          <w:highlight w:val="none"/>
        </w:rPr>
        <w:t>1.1.5.5暂估价：指发包人在工程量清单中给定的用于支付必然发生但暂时不能确定价格的材料、设备以及专业工程的金额。</w:t>
      </w:r>
    </w:p>
    <w:p w14:paraId="7BF81721">
      <w:pPr>
        <w:spacing w:line="400" w:lineRule="exact"/>
        <w:ind w:firstLine="718" w:firstLineChars="342"/>
        <w:rPr>
          <w:color w:val="auto"/>
          <w:highlight w:val="none"/>
        </w:rPr>
      </w:pPr>
      <w:r>
        <w:rPr>
          <w:color w:val="auto"/>
          <w:highlight w:val="none"/>
        </w:rPr>
        <w:t>1.1.5.6 计日工：指对零星工作采取的一种计价方式，按合同中的计日工子目及其单价计价付款。</w:t>
      </w:r>
    </w:p>
    <w:p w14:paraId="779C3A88">
      <w:pPr>
        <w:spacing w:line="400" w:lineRule="exact"/>
        <w:ind w:firstLine="718" w:firstLineChars="342"/>
        <w:rPr>
          <w:color w:val="auto"/>
          <w:highlight w:val="none"/>
        </w:rPr>
      </w:pPr>
      <w:r>
        <w:rPr>
          <w:color w:val="auto"/>
          <w:highlight w:val="none"/>
        </w:rPr>
        <w:t>1.1.5.7 质量保证金（或称保留金）：指按第17.4.1项约定用于保证在缺陷责任期内履行缺陷修复义务的金额。</w:t>
      </w:r>
    </w:p>
    <w:p w14:paraId="3F7E62D3">
      <w:pPr>
        <w:spacing w:line="400" w:lineRule="exact"/>
        <w:ind w:firstLine="420" w:firstLineChars="200"/>
        <w:rPr>
          <w:color w:val="auto"/>
          <w:highlight w:val="none"/>
        </w:rPr>
      </w:pPr>
      <w:r>
        <w:rPr>
          <w:color w:val="auto"/>
          <w:highlight w:val="none"/>
        </w:rPr>
        <w:t xml:space="preserve">1.1.6 </w:t>
      </w:r>
      <w:r>
        <w:rPr>
          <w:rFonts w:hint="eastAsia" w:ascii="宋体" w:hAnsi="宋体" w:cs="宋体"/>
          <w:color w:val="auto"/>
          <w:highlight w:val="none"/>
        </w:rPr>
        <w:t>其他</w:t>
      </w:r>
    </w:p>
    <w:p w14:paraId="6EA21663">
      <w:pPr>
        <w:spacing w:line="400" w:lineRule="exact"/>
        <w:ind w:firstLine="718" w:firstLineChars="342"/>
        <w:rPr>
          <w:color w:val="auto"/>
          <w:highlight w:val="none"/>
        </w:rPr>
      </w:pPr>
      <w:r>
        <w:rPr>
          <w:color w:val="auto"/>
          <w:highlight w:val="none"/>
        </w:rPr>
        <w:t>1.1.6.1 书面形式：指合同文件、信函、电报、传真等可以有形地表现所载内容的形式。</w:t>
      </w:r>
    </w:p>
    <w:p w14:paraId="5B41B6B8">
      <w:pPr>
        <w:keepNext/>
        <w:keepLines/>
        <w:spacing w:line="400" w:lineRule="exact"/>
        <w:outlineLvl w:val="2"/>
        <w:rPr>
          <w:rFonts w:eastAsia="黑体"/>
          <w:color w:val="auto"/>
          <w:sz w:val="24"/>
          <w:szCs w:val="20"/>
          <w:highlight w:val="none"/>
        </w:rPr>
      </w:pPr>
      <w:bookmarkStart w:id="688" w:name="_Toc179632631"/>
      <w:bookmarkStart w:id="689" w:name="_Toc152042391"/>
      <w:bookmarkStart w:id="690" w:name="_Toc159950614"/>
      <w:bookmarkStart w:id="691" w:name="_Toc338944706"/>
      <w:bookmarkStart w:id="692" w:name="_Toc144974581"/>
      <w:bookmarkStart w:id="693" w:name="_Toc342296264"/>
      <w:bookmarkStart w:id="694" w:name="_Toc152045613"/>
      <w:r>
        <w:rPr>
          <w:rFonts w:eastAsia="黑体"/>
          <w:color w:val="auto"/>
          <w:sz w:val="24"/>
          <w:szCs w:val="20"/>
          <w:highlight w:val="none"/>
        </w:rPr>
        <w:t>1.2 语言文字</w:t>
      </w:r>
      <w:bookmarkEnd w:id="688"/>
      <w:bookmarkEnd w:id="689"/>
      <w:bookmarkEnd w:id="690"/>
      <w:bookmarkEnd w:id="691"/>
      <w:bookmarkEnd w:id="692"/>
      <w:bookmarkEnd w:id="693"/>
      <w:bookmarkEnd w:id="694"/>
    </w:p>
    <w:p w14:paraId="030B9A46">
      <w:pPr>
        <w:spacing w:line="400" w:lineRule="exact"/>
        <w:ind w:firstLine="420" w:firstLineChars="200"/>
        <w:rPr>
          <w:color w:val="auto"/>
          <w:highlight w:val="none"/>
        </w:rPr>
      </w:pPr>
      <w:r>
        <w:rPr>
          <w:color w:val="auto"/>
          <w:highlight w:val="none"/>
        </w:rPr>
        <w:t>除专用术语外，合同使用的语言文字为中文。必要时专用术语应附有中文注释。</w:t>
      </w:r>
    </w:p>
    <w:p w14:paraId="6F2A1258">
      <w:pPr>
        <w:keepNext/>
        <w:keepLines/>
        <w:spacing w:line="400" w:lineRule="exact"/>
        <w:outlineLvl w:val="2"/>
        <w:rPr>
          <w:rFonts w:eastAsia="黑体"/>
          <w:color w:val="auto"/>
          <w:sz w:val="24"/>
          <w:szCs w:val="20"/>
          <w:highlight w:val="none"/>
        </w:rPr>
      </w:pPr>
      <w:bookmarkStart w:id="695" w:name="_Toc342296265"/>
      <w:bookmarkStart w:id="696" w:name="_Toc144974582"/>
      <w:bookmarkStart w:id="697" w:name="_Toc152042392"/>
      <w:bookmarkStart w:id="698" w:name="_Toc338944707"/>
      <w:bookmarkStart w:id="699" w:name="_Toc159950615"/>
      <w:bookmarkStart w:id="700" w:name="_Toc152045614"/>
      <w:bookmarkStart w:id="701" w:name="_Toc179632632"/>
      <w:r>
        <w:rPr>
          <w:rFonts w:eastAsia="黑体"/>
          <w:color w:val="auto"/>
          <w:sz w:val="24"/>
          <w:szCs w:val="20"/>
          <w:highlight w:val="none"/>
        </w:rPr>
        <w:t>1.3 法律</w:t>
      </w:r>
      <w:bookmarkEnd w:id="695"/>
      <w:bookmarkEnd w:id="696"/>
      <w:bookmarkEnd w:id="697"/>
      <w:bookmarkEnd w:id="698"/>
      <w:bookmarkEnd w:id="699"/>
      <w:bookmarkEnd w:id="700"/>
      <w:bookmarkEnd w:id="701"/>
    </w:p>
    <w:p w14:paraId="3C0EAC89">
      <w:pPr>
        <w:spacing w:line="400" w:lineRule="exact"/>
        <w:ind w:firstLine="420" w:firstLineChars="200"/>
        <w:rPr>
          <w:color w:val="auto"/>
          <w:highlight w:val="none"/>
        </w:rPr>
      </w:pPr>
      <w:r>
        <w:rPr>
          <w:color w:val="auto"/>
          <w:highlight w:val="none"/>
        </w:rPr>
        <w:t>适用于合同的法律包括中华人民共和国法律、行政法规、部门规章，以及工程所在地的地方法规、自治条例、单行条例和地方政府规章。</w:t>
      </w:r>
    </w:p>
    <w:p w14:paraId="19FDEA33">
      <w:pPr>
        <w:keepNext/>
        <w:keepLines/>
        <w:spacing w:line="400" w:lineRule="exact"/>
        <w:outlineLvl w:val="2"/>
        <w:rPr>
          <w:rFonts w:eastAsia="黑体"/>
          <w:color w:val="auto"/>
          <w:sz w:val="24"/>
          <w:szCs w:val="20"/>
          <w:highlight w:val="none"/>
        </w:rPr>
      </w:pPr>
      <w:bookmarkStart w:id="702" w:name="_Toc342296266"/>
      <w:bookmarkStart w:id="703" w:name="_Toc159950616"/>
      <w:bookmarkStart w:id="704" w:name="_Toc338944708"/>
      <w:r>
        <w:rPr>
          <w:rFonts w:eastAsia="黑体"/>
          <w:color w:val="auto"/>
          <w:sz w:val="24"/>
          <w:szCs w:val="20"/>
          <w:highlight w:val="none"/>
        </w:rPr>
        <w:t>1.4 合同文件的优先顺序</w:t>
      </w:r>
      <w:bookmarkEnd w:id="702"/>
      <w:bookmarkEnd w:id="703"/>
      <w:bookmarkEnd w:id="704"/>
    </w:p>
    <w:p w14:paraId="3D0E659E">
      <w:pPr>
        <w:spacing w:line="400" w:lineRule="exact"/>
        <w:ind w:firstLine="420" w:firstLineChars="200"/>
        <w:rPr>
          <w:color w:val="auto"/>
          <w:highlight w:val="none"/>
        </w:rPr>
      </w:pPr>
      <w:r>
        <w:rPr>
          <w:color w:val="auto"/>
          <w:highlight w:val="none"/>
        </w:rPr>
        <w:t>组成合同的各项文件应互相解释，互为说明。除专用合同条款另有约定外，解释合同文件的优先顺序如下：</w:t>
      </w:r>
    </w:p>
    <w:p w14:paraId="6C5D35FD">
      <w:pPr>
        <w:spacing w:line="400" w:lineRule="exact"/>
        <w:ind w:firstLine="359" w:firstLineChars="171"/>
        <w:rPr>
          <w:color w:val="auto"/>
          <w:highlight w:val="none"/>
        </w:rPr>
      </w:pPr>
      <w:r>
        <w:rPr>
          <w:color w:val="auto"/>
          <w:highlight w:val="none"/>
        </w:rPr>
        <w:t>（1）合同协议书；</w:t>
      </w:r>
    </w:p>
    <w:p w14:paraId="4EED11B6">
      <w:pPr>
        <w:spacing w:line="400" w:lineRule="exact"/>
        <w:ind w:firstLine="359" w:firstLineChars="171"/>
        <w:rPr>
          <w:color w:val="auto"/>
          <w:highlight w:val="none"/>
        </w:rPr>
      </w:pPr>
      <w:r>
        <w:rPr>
          <w:color w:val="auto"/>
          <w:highlight w:val="none"/>
        </w:rPr>
        <w:t>（2）中标通知书；</w:t>
      </w:r>
    </w:p>
    <w:p w14:paraId="77CD550C">
      <w:pPr>
        <w:spacing w:line="400" w:lineRule="exact"/>
        <w:ind w:firstLine="359" w:firstLineChars="171"/>
        <w:rPr>
          <w:color w:val="auto"/>
          <w:highlight w:val="none"/>
        </w:rPr>
      </w:pPr>
      <w:r>
        <w:rPr>
          <w:color w:val="auto"/>
          <w:highlight w:val="none"/>
        </w:rPr>
        <w:t>（3）投标函及投标函附录；</w:t>
      </w:r>
    </w:p>
    <w:p w14:paraId="1B4496B6">
      <w:pPr>
        <w:spacing w:line="400" w:lineRule="exact"/>
        <w:ind w:firstLine="359" w:firstLineChars="171"/>
        <w:rPr>
          <w:color w:val="auto"/>
          <w:highlight w:val="none"/>
        </w:rPr>
      </w:pPr>
      <w:r>
        <w:rPr>
          <w:color w:val="auto"/>
          <w:highlight w:val="none"/>
        </w:rPr>
        <w:t>（4）专用合同条款；</w:t>
      </w:r>
    </w:p>
    <w:p w14:paraId="31568694">
      <w:pPr>
        <w:spacing w:line="400" w:lineRule="exact"/>
        <w:ind w:firstLine="359" w:firstLineChars="171"/>
        <w:rPr>
          <w:color w:val="auto"/>
          <w:highlight w:val="none"/>
        </w:rPr>
      </w:pPr>
      <w:r>
        <w:rPr>
          <w:color w:val="auto"/>
          <w:highlight w:val="none"/>
        </w:rPr>
        <w:t>（5）通用合同条款；</w:t>
      </w:r>
    </w:p>
    <w:p w14:paraId="5F75BA06">
      <w:pPr>
        <w:spacing w:line="400" w:lineRule="exact"/>
        <w:ind w:firstLine="359" w:firstLineChars="171"/>
        <w:rPr>
          <w:color w:val="auto"/>
          <w:highlight w:val="none"/>
        </w:rPr>
      </w:pPr>
      <w:r>
        <w:rPr>
          <w:color w:val="auto"/>
          <w:highlight w:val="none"/>
        </w:rPr>
        <w:t>（6）技术标准和要求；</w:t>
      </w:r>
    </w:p>
    <w:p w14:paraId="426E655A">
      <w:pPr>
        <w:spacing w:line="400" w:lineRule="exact"/>
        <w:ind w:firstLine="359" w:firstLineChars="171"/>
        <w:rPr>
          <w:color w:val="auto"/>
          <w:highlight w:val="none"/>
        </w:rPr>
      </w:pPr>
      <w:r>
        <w:rPr>
          <w:color w:val="auto"/>
          <w:highlight w:val="none"/>
        </w:rPr>
        <w:t>（7）图纸；</w:t>
      </w:r>
    </w:p>
    <w:p w14:paraId="2032FA20">
      <w:pPr>
        <w:spacing w:line="400" w:lineRule="exact"/>
        <w:ind w:firstLine="359" w:firstLineChars="171"/>
        <w:rPr>
          <w:color w:val="auto"/>
          <w:highlight w:val="none"/>
        </w:rPr>
      </w:pPr>
      <w:r>
        <w:rPr>
          <w:color w:val="auto"/>
          <w:highlight w:val="none"/>
        </w:rPr>
        <w:t>（8）已标价工程量清单；</w:t>
      </w:r>
    </w:p>
    <w:p w14:paraId="5EB25B97">
      <w:pPr>
        <w:spacing w:line="400" w:lineRule="exact"/>
        <w:ind w:firstLine="359" w:firstLineChars="171"/>
        <w:rPr>
          <w:color w:val="auto"/>
          <w:highlight w:val="none"/>
        </w:rPr>
      </w:pPr>
      <w:r>
        <w:rPr>
          <w:color w:val="auto"/>
          <w:highlight w:val="none"/>
        </w:rPr>
        <w:t>（9）其他合同文件。</w:t>
      </w:r>
    </w:p>
    <w:p w14:paraId="7B709202">
      <w:pPr>
        <w:keepNext/>
        <w:keepLines/>
        <w:spacing w:line="400" w:lineRule="exact"/>
        <w:outlineLvl w:val="2"/>
        <w:rPr>
          <w:rFonts w:eastAsia="黑体"/>
          <w:color w:val="auto"/>
          <w:sz w:val="24"/>
          <w:szCs w:val="20"/>
          <w:highlight w:val="none"/>
        </w:rPr>
      </w:pPr>
      <w:bookmarkStart w:id="705" w:name="_Toc159950617"/>
      <w:bookmarkStart w:id="706" w:name="_Toc342296267"/>
      <w:bookmarkStart w:id="707" w:name="_Toc338944709"/>
      <w:r>
        <w:rPr>
          <w:rFonts w:eastAsia="黑体"/>
          <w:color w:val="auto"/>
          <w:sz w:val="24"/>
          <w:szCs w:val="20"/>
          <w:highlight w:val="none"/>
        </w:rPr>
        <w:t>1.5 合同协议书</w:t>
      </w:r>
      <w:bookmarkEnd w:id="705"/>
      <w:bookmarkEnd w:id="706"/>
      <w:bookmarkEnd w:id="707"/>
    </w:p>
    <w:p w14:paraId="289E54FC">
      <w:pPr>
        <w:spacing w:line="400" w:lineRule="exact"/>
        <w:ind w:firstLine="420" w:firstLineChars="200"/>
        <w:rPr>
          <w:color w:val="auto"/>
          <w:highlight w:val="none"/>
        </w:rPr>
      </w:pPr>
      <w:r>
        <w:rPr>
          <w:color w:val="auto"/>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5D2EFD92">
      <w:pPr>
        <w:keepNext/>
        <w:keepLines/>
        <w:spacing w:line="400" w:lineRule="exact"/>
        <w:outlineLvl w:val="2"/>
        <w:rPr>
          <w:rFonts w:eastAsia="黑体"/>
          <w:color w:val="auto"/>
          <w:sz w:val="24"/>
          <w:szCs w:val="20"/>
          <w:highlight w:val="none"/>
        </w:rPr>
      </w:pPr>
      <w:bookmarkStart w:id="708" w:name="_Toc342296268"/>
      <w:bookmarkStart w:id="709" w:name="_Toc338944710"/>
      <w:bookmarkStart w:id="710" w:name="_Toc159950618"/>
      <w:r>
        <w:rPr>
          <w:rFonts w:eastAsia="黑体"/>
          <w:color w:val="auto"/>
          <w:sz w:val="24"/>
          <w:szCs w:val="20"/>
          <w:highlight w:val="none"/>
        </w:rPr>
        <w:t>1.6 图纸和承包人文件</w:t>
      </w:r>
      <w:bookmarkEnd w:id="708"/>
      <w:bookmarkEnd w:id="709"/>
      <w:bookmarkEnd w:id="710"/>
    </w:p>
    <w:p w14:paraId="6EC2A274">
      <w:pPr>
        <w:spacing w:line="400" w:lineRule="exact"/>
        <w:ind w:firstLine="420" w:firstLineChars="200"/>
        <w:rPr>
          <w:color w:val="auto"/>
          <w:highlight w:val="none"/>
        </w:rPr>
      </w:pPr>
      <w:r>
        <w:rPr>
          <w:color w:val="auto"/>
          <w:highlight w:val="none"/>
        </w:rPr>
        <w:t>1.6.1</w:t>
      </w:r>
      <w:r>
        <w:rPr>
          <w:rFonts w:hint="eastAsia" w:ascii="宋体" w:hAnsi="宋体" w:cs="宋体"/>
          <w:color w:val="auto"/>
          <w:highlight w:val="none"/>
        </w:rPr>
        <w:t>图纸的提供</w:t>
      </w:r>
      <w:r>
        <w:rPr>
          <w:rFonts w:hint="eastAsia" w:ascii="等线" w:hAnsi="等线" w:eastAsia="等线"/>
          <w:color w:val="auto"/>
          <w:highlight w:val="none"/>
        </w:rPr>
        <w:t>和交底</w:t>
      </w:r>
    </w:p>
    <w:p w14:paraId="3BDF22DE">
      <w:pPr>
        <w:spacing w:line="400" w:lineRule="exact"/>
        <w:ind w:firstLine="420" w:firstLineChars="200"/>
        <w:rPr>
          <w:color w:val="auto"/>
          <w:highlight w:val="none"/>
        </w:rPr>
      </w:pPr>
      <w:r>
        <w:rPr>
          <w:rFonts w:hint="eastAsia"/>
          <w:color w:val="auto"/>
          <w:highlight w:val="none"/>
        </w:rPr>
        <w:t>发包人应按照专用合同条款约定的期限、数量和内容向承包人免费提供图纸，并组织承包人、监理人和设计人进行图纸会审和设计交底。</w:t>
      </w:r>
      <w:r>
        <w:rPr>
          <w:color w:val="auto"/>
          <w:highlight w:val="none"/>
        </w:rPr>
        <w:t xml:space="preserve">。由于发包人未按时提供图纸造成工期延误的，按第11.3款的约定办理。1.6.2 </w:t>
      </w:r>
      <w:r>
        <w:rPr>
          <w:rFonts w:hint="eastAsia" w:ascii="宋体" w:hAnsi="宋体" w:cs="宋体"/>
          <w:color w:val="auto"/>
          <w:highlight w:val="none"/>
        </w:rPr>
        <w:t>承包人提供的文件</w:t>
      </w:r>
    </w:p>
    <w:p w14:paraId="7A4979AF">
      <w:pPr>
        <w:spacing w:line="400" w:lineRule="exact"/>
        <w:rPr>
          <w:color w:val="auto"/>
          <w:highlight w:val="none"/>
        </w:rPr>
      </w:pPr>
      <w:r>
        <w:rPr>
          <w:color w:val="auto"/>
          <w:highlight w:val="none"/>
        </w:rPr>
        <w:t>　　</w:t>
      </w:r>
      <w:r>
        <w:rPr>
          <w:rFonts w:hint="eastAsia"/>
          <w:color w:val="auto"/>
          <w:highlight w:val="none"/>
        </w:rPr>
        <w:t>承包人应按照专用合同条款的约定提供应当由其编制的与工程施工有关的文件，其中应</w:t>
      </w:r>
      <w:r>
        <w:rPr>
          <w:color w:val="auto"/>
          <w:highlight w:val="none"/>
        </w:rPr>
        <w:t>包括部分工程的大样图、加工图等</w:t>
      </w:r>
      <w:r>
        <w:rPr>
          <w:rFonts w:hint="eastAsia"/>
          <w:color w:val="auto"/>
          <w:highlight w:val="none"/>
        </w:rPr>
        <w:t>。同时按照专用合同条款约定的期限、数量和形式提交监理人，由监理人报送发包人。除专用合同条款另有约定外，监理人应在收到承包人文件后</w:t>
      </w:r>
      <w:r>
        <w:rPr>
          <w:color w:val="auto"/>
          <w:highlight w:val="none"/>
        </w:rPr>
        <w:t>7天内审查完毕，监理人对承包人文件有异议的，承包人应予以修改，并重新报送监理人</w:t>
      </w:r>
      <w:r>
        <w:rPr>
          <w:rFonts w:hint="eastAsia"/>
          <w:color w:val="auto"/>
          <w:highlight w:val="none"/>
        </w:rPr>
        <w:t>。</w:t>
      </w:r>
    </w:p>
    <w:p w14:paraId="6FCE2303">
      <w:pPr>
        <w:spacing w:line="400" w:lineRule="exact"/>
        <w:ind w:firstLine="420" w:firstLineChars="200"/>
        <w:rPr>
          <w:color w:val="auto"/>
          <w:highlight w:val="none"/>
        </w:rPr>
      </w:pPr>
      <w:r>
        <w:rPr>
          <w:color w:val="auto"/>
          <w:highlight w:val="none"/>
        </w:rPr>
        <w:t xml:space="preserve">1.6.3 </w:t>
      </w:r>
      <w:r>
        <w:rPr>
          <w:rFonts w:hint="eastAsia" w:ascii="宋体" w:hAnsi="宋体" w:cs="宋体"/>
          <w:color w:val="auto"/>
          <w:highlight w:val="none"/>
        </w:rPr>
        <w:t>图纸的修改</w:t>
      </w:r>
    </w:p>
    <w:p w14:paraId="52220E6B">
      <w:pPr>
        <w:spacing w:line="400" w:lineRule="exact"/>
        <w:ind w:firstLine="420" w:firstLineChars="200"/>
        <w:rPr>
          <w:color w:val="auto"/>
          <w:highlight w:val="none"/>
        </w:rPr>
      </w:pPr>
      <w:r>
        <w:rPr>
          <w:color w:val="auto"/>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7F900119">
      <w:pPr>
        <w:spacing w:line="400" w:lineRule="exact"/>
        <w:ind w:firstLine="420" w:firstLineChars="200"/>
        <w:rPr>
          <w:color w:val="auto"/>
          <w:highlight w:val="none"/>
        </w:rPr>
      </w:pPr>
      <w:r>
        <w:rPr>
          <w:color w:val="auto"/>
          <w:highlight w:val="none"/>
        </w:rPr>
        <w:t xml:space="preserve">1.6.4 </w:t>
      </w:r>
      <w:r>
        <w:rPr>
          <w:rFonts w:hint="eastAsia" w:ascii="宋体" w:hAnsi="宋体" w:cs="宋体"/>
          <w:color w:val="auto"/>
          <w:highlight w:val="none"/>
        </w:rPr>
        <w:t>图纸的错误</w:t>
      </w:r>
    </w:p>
    <w:p w14:paraId="5287214E">
      <w:pPr>
        <w:spacing w:line="400" w:lineRule="exact"/>
        <w:ind w:firstLine="420" w:firstLineChars="200"/>
        <w:rPr>
          <w:color w:val="auto"/>
          <w:highlight w:val="none"/>
        </w:rPr>
      </w:pPr>
      <w:r>
        <w:rPr>
          <w:rFonts w:hint="eastAsia"/>
          <w:color w:val="auto"/>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r>
        <w:rPr>
          <w:color w:val="auto"/>
          <w:highlight w:val="none"/>
        </w:rPr>
        <w:t xml:space="preserve">1.6.5 </w:t>
      </w:r>
      <w:r>
        <w:rPr>
          <w:rFonts w:hint="eastAsia" w:ascii="宋体" w:hAnsi="宋体" w:cs="宋体"/>
          <w:color w:val="auto"/>
          <w:highlight w:val="none"/>
        </w:rPr>
        <w:t>图纸和承包人文件的保管</w:t>
      </w:r>
    </w:p>
    <w:p w14:paraId="251585AE">
      <w:pPr>
        <w:spacing w:line="400" w:lineRule="exact"/>
        <w:ind w:firstLine="420" w:firstLineChars="200"/>
        <w:rPr>
          <w:color w:val="auto"/>
          <w:highlight w:val="none"/>
        </w:rPr>
      </w:pPr>
      <w:r>
        <w:rPr>
          <w:color w:val="auto"/>
          <w:highlight w:val="none"/>
        </w:rPr>
        <w:t>监理人和承包人均应在施工场地各保存一套完整的包含第1.6.1项、第1.6.2项、第1.6.3项约定内容的图纸和承包人文件</w:t>
      </w:r>
      <w:r>
        <w:rPr>
          <w:rFonts w:hint="eastAsia"/>
          <w:color w:val="auto"/>
          <w:highlight w:val="none"/>
        </w:rPr>
        <w:t>，，供发包人、监理人及有关人员进行工程检查时使用。</w:t>
      </w:r>
    </w:p>
    <w:p w14:paraId="45B61D9B">
      <w:pPr>
        <w:keepNext/>
        <w:keepLines/>
        <w:spacing w:line="400" w:lineRule="exact"/>
        <w:outlineLvl w:val="2"/>
        <w:rPr>
          <w:rFonts w:eastAsia="黑体"/>
          <w:color w:val="auto"/>
          <w:sz w:val="24"/>
          <w:szCs w:val="20"/>
          <w:highlight w:val="none"/>
        </w:rPr>
      </w:pPr>
      <w:bookmarkStart w:id="711" w:name="_Toc342296269"/>
      <w:bookmarkStart w:id="712" w:name="_Toc159950619"/>
      <w:bookmarkStart w:id="713" w:name="_Toc338944711"/>
      <w:r>
        <w:rPr>
          <w:rFonts w:eastAsia="黑体"/>
          <w:color w:val="auto"/>
          <w:sz w:val="24"/>
          <w:szCs w:val="20"/>
          <w:highlight w:val="none"/>
        </w:rPr>
        <w:t>1.7 联络</w:t>
      </w:r>
      <w:bookmarkEnd w:id="711"/>
      <w:bookmarkEnd w:id="712"/>
      <w:bookmarkEnd w:id="713"/>
    </w:p>
    <w:p w14:paraId="769AA264">
      <w:pPr>
        <w:spacing w:line="400" w:lineRule="exact"/>
        <w:ind w:firstLine="420" w:firstLineChars="200"/>
        <w:rPr>
          <w:color w:val="auto"/>
          <w:highlight w:val="none"/>
        </w:rPr>
      </w:pPr>
      <w:r>
        <w:rPr>
          <w:color w:val="auto"/>
          <w:highlight w:val="none"/>
        </w:rPr>
        <w:t>1.7.1 与合同有关的通知、批准、证明、证书、指示、要求、请求、同意、意见、确定和决定等，均应采用书面形式。</w:t>
      </w:r>
    </w:p>
    <w:p w14:paraId="2554C36D">
      <w:pPr>
        <w:spacing w:line="400" w:lineRule="exact"/>
        <w:ind w:firstLine="420" w:firstLineChars="200"/>
        <w:rPr>
          <w:color w:val="auto"/>
          <w:highlight w:val="none"/>
        </w:rPr>
      </w:pPr>
      <w:r>
        <w:rPr>
          <w:color w:val="auto"/>
          <w:highlight w:val="none"/>
        </w:rPr>
        <w:t>1.7.2 第1.7.1项中的通知、批准、证明、证书、指示、要求、请求、同意、意见、确定和决定等来往函件，均应在合同约定的期限内送达指定地点和接收人，并办理签收手续。</w:t>
      </w:r>
    </w:p>
    <w:p w14:paraId="3FD9F20E">
      <w:pPr>
        <w:keepNext/>
        <w:keepLines/>
        <w:spacing w:line="400" w:lineRule="exact"/>
        <w:outlineLvl w:val="2"/>
        <w:rPr>
          <w:rFonts w:eastAsia="黑体"/>
          <w:color w:val="auto"/>
          <w:sz w:val="24"/>
          <w:szCs w:val="20"/>
          <w:highlight w:val="none"/>
        </w:rPr>
      </w:pPr>
      <w:bookmarkStart w:id="714" w:name="_Toc152042397"/>
      <w:bookmarkStart w:id="715" w:name="_Toc159950620"/>
      <w:bookmarkStart w:id="716" w:name="_Toc152045619"/>
      <w:bookmarkStart w:id="717" w:name="_Toc338944712"/>
      <w:bookmarkStart w:id="718" w:name="_Toc179632637"/>
      <w:bookmarkStart w:id="719" w:name="_Toc144974587"/>
      <w:bookmarkStart w:id="720" w:name="_Toc342296270"/>
      <w:r>
        <w:rPr>
          <w:rFonts w:eastAsia="黑体"/>
          <w:color w:val="auto"/>
          <w:sz w:val="24"/>
          <w:szCs w:val="20"/>
          <w:highlight w:val="none"/>
        </w:rPr>
        <w:t>1.8 转让</w:t>
      </w:r>
      <w:bookmarkEnd w:id="714"/>
      <w:bookmarkEnd w:id="715"/>
      <w:bookmarkEnd w:id="716"/>
      <w:bookmarkEnd w:id="717"/>
      <w:bookmarkEnd w:id="718"/>
      <w:bookmarkEnd w:id="719"/>
      <w:bookmarkEnd w:id="720"/>
    </w:p>
    <w:p w14:paraId="2727EB8A">
      <w:pPr>
        <w:spacing w:line="400" w:lineRule="exact"/>
        <w:ind w:firstLine="420" w:firstLineChars="200"/>
        <w:rPr>
          <w:color w:val="auto"/>
          <w:highlight w:val="none"/>
        </w:rPr>
      </w:pPr>
      <w:r>
        <w:rPr>
          <w:color w:val="auto"/>
          <w:highlight w:val="none"/>
        </w:rPr>
        <w:t>除合同另有约定外，未经对方当事人同意，一方当事人不得将合同权利全部或部分转让给第三人，也不得全部或部分转移合同义务。</w:t>
      </w:r>
    </w:p>
    <w:p w14:paraId="4183C88D">
      <w:pPr>
        <w:keepNext/>
        <w:keepLines/>
        <w:spacing w:line="400" w:lineRule="exact"/>
        <w:outlineLvl w:val="2"/>
        <w:rPr>
          <w:rFonts w:eastAsia="黑体"/>
          <w:color w:val="auto"/>
          <w:sz w:val="24"/>
          <w:szCs w:val="20"/>
          <w:highlight w:val="none"/>
        </w:rPr>
      </w:pPr>
      <w:bookmarkStart w:id="721" w:name="_Toc342296271"/>
      <w:bookmarkStart w:id="722" w:name="_Toc338944713"/>
      <w:bookmarkStart w:id="723" w:name="_Toc159950621"/>
      <w:bookmarkStart w:id="724" w:name="_Toc152045620"/>
      <w:bookmarkStart w:id="725" w:name="_Toc144974588"/>
      <w:bookmarkStart w:id="726" w:name="_Toc179632638"/>
      <w:bookmarkStart w:id="727" w:name="_Toc152042398"/>
      <w:r>
        <w:rPr>
          <w:rFonts w:eastAsia="黑体"/>
          <w:color w:val="auto"/>
          <w:sz w:val="24"/>
          <w:szCs w:val="20"/>
          <w:highlight w:val="none"/>
        </w:rPr>
        <w:t>1.9 严禁贿赂</w:t>
      </w:r>
      <w:bookmarkEnd w:id="721"/>
      <w:bookmarkEnd w:id="722"/>
      <w:bookmarkEnd w:id="723"/>
      <w:bookmarkEnd w:id="724"/>
      <w:bookmarkEnd w:id="725"/>
      <w:bookmarkEnd w:id="726"/>
      <w:bookmarkEnd w:id="727"/>
    </w:p>
    <w:p w14:paraId="77B1A4A2">
      <w:pPr>
        <w:spacing w:line="400" w:lineRule="exact"/>
        <w:ind w:firstLine="420" w:firstLineChars="200"/>
        <w:rPr>
          <w:color w:val="auto"/>
          <w:highlight w:val="none"/>
        </w:rPr>
      </w:pPr>
      <w:r>
        <w:rPr>
          <w:color w:val="auto"/>
          <w:highlight w:val="none"/>
        </w:rPr>
        <w:t>合同双方当事人不得以贿赂或变相贿赂的方式，谋取不当利益或损害对方权益。因贿赂造成对方损失的，行为人应赔偿损失，并承担相应的法律责任。</w:t>
      </w:r>
    </w:p>
    <w:p w14:paraId="7505CBC4">
      <w:pPr>
        <w:spacing w:line="400" w:lineRule="exact"/>
        <w:ind w:firstLine="420" w:firstLineChars="200"/>
        <w:rPr>
          <w:color w:val="auto"/>
          <w:highlight w:val="none"/>
        </w:rPr>
      </w:pPr>
      <w:r>
        <w:rPr>
          <w:rFonts w:hint="eastAsia"/>
          <w:color w:val="auto"/>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7A671436">
      <w:pPr>
        <w:keepNext/>
        <w:keepLines/>
        <w:spacing w:line="400" w:lineRule="exact"/>
        <w:outlineLvl w:val="2"/>
        <w:rPr>
          <w:rFonts w:eastAsia="黑体"/>
          <w:color w:val="auto"/>
          <w:sz w:val="24"/>
          <w:szCs w:val="20"/>
          <w:highlight w:val="none"/>
        </w:rPr>
      </w:pPr>
      <w:bookmarkStart w:id="728" w:name="_Toc338944714"/>
      <w:bookmarkStart w:id="729" w:name="_Toc152042399"/>
      <w:bookmarkStart w:id="730" w:name="_Toc342296272"/>
      <w:bookmarkStart w:id="731" w:name="_Toc152045621"/>
      <w:bookmarkStart w:id="732" w:name="_Toc179632639"/>
      <w:bookmarkStart w:id="733" w:name="_Toc144974589"/>
      <w:bookmarkStart w:id="734" w:name="_Toc159950622"/>
      <w:r>
        <w:rPr>
          <w:rFonts w:eastAsia="黑体"/>
          <w:color w:val="auto"/>
          <w:sz w:val="24"/>
          <w:szCs w:val="20"/>
          <w:highlight w:val="none"/>
        </w:rPr>
        <w:t>1.10 化石、文物</w:t>
      </w:r>
      <w:bookmarkEnd w:id="728"/>
      <w:bookmarkEnd w:id="729"/>
      <w:bookmarkEnd w:id="730"/>
      <w:bookmarkEnd w:id="731"/>
      <w:bookmarkEnd w:id="732"/>
      <w:bookmarkEnd w:id="733"/>
      <w:bookmarkEnd w:id="734"/>
    </w:p>
    <w:p w14:paraId="5F7F5F1D">
      <w:pPr>
        <w:spacing w:line="400" w:lineRule="exact"/>
        <w:ind w:firstLine="420" w:firstLineChars="200"/>
        <w:rPr>
          <w:color w:val="auto"/>
          <w:highlight w:val="none"/>
        </w:rPr>
      </w:pPr>
      <w:r>
        <w:rPr>
          <w:color w:val="auto"/>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3470D359">
      <w:pPr>
        <w:spacing w:line="400" w:lineRule="exact"/>
        <w:ind w:firstLine="420" w:firstLineChars="200"/>
        <w:rPr>
          <w:color w:val="auto"/>
          <w:highlight w:val="none"/>
        </w:rPr>
      </w:pPr>
      <w:r>
        <w:rPr>
          <w:color w:val="auto"/>
          <w:highlight w:val="none"/>
        </w:rPr>
        <w:t>1.10.2 承包人发现文物后不及时报告或隐瞒不报，致使文物丢失或损坏的，应赔偿损失，并承担相应的法律责任。</w:t>
      </w:r>
    </w:p>
    <w:p w14:paraId="6768C1D0">
      <w:pPr>
        <w:keepNext/>
        <w:keepLines/>
        <w:spacing w:line="400" w:lineRule="exact"/>
        <w:outlineLvl w:val="2"/>
        <w:rPr>
          <w:rFonts w:eastAsia="黑体"/>
          <w:color w:val="auto"/>
          <w:sz w:val="24"/>
          <w:szCs w:val="20"/>
          <w:highlight w:val="none"/>
        </w:rPr>
      </w:pPr>
      <w:bookmarkStart w:id="735" w:name="_Toc342296273"/>
      <w:bookmarkStart w:id="736" w:name="_Toc144974590"/>
      <w:bookmarkStart w:id="737" w:name="_Toc338944715"/>
      <w:bookmarkStart w:id="738" w:name="_Toc179632640"/>
      <w:bookmarkStart w:id="739" w:name="_Toc152042400"/>
      <w:bookmarkStart w:id="740" w:name="_Toc159950623"/>
      <w:bookmarkStart w:id="741" w:name="_Toc152045622"/>
      <w:r>
        <w:rPr>
          <w:rFonts w:eastAsia="黑体"/>
          <w:color w:val="auto"/>
          <w:sz w:val="24"/>
          <w:szCs w:val="20"/>
          <w:highlight w:val="none"/>
        </w:rPr>
        <w:t>1.11 专利技术</w:t>
      </w:r>
      <w:bookmarkEnd w:id="735"/>
      <w:bookmarkEnd w:id="736"/>
      <w:bookmarkEnd w:id="737"/>
      <w:bookmarkEnd w:id="738"/>
      <w:bookmarkEnd w:id="739"/>
      <w:bookmarkEnd w:id="740"/>
      <w:bookmarkEnd w:id="741"/>
    </w:p>
    <w:p w14:paraId="38E04984">
      <w:pPr>
        <w:spacing w:line="400" w:lineRule="exact"/>
        <w:ind w:firstLine="420" w:firstLineChars="200"/>
        <w:rPr>
          <w:color w:val="auto"/>
          <w:highlight w:val="none"/>
        </w:rPr>
      </w:pPr>
      <w:r>
        <w:rPr>
          <w:color w:val="auto"/>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0F711796">
      <w:pPr>
        <w:spacing w:line="400" w:lineRule="exact"/>
        <w:ind w:firstLine="420" w:firstLineChars="200"/>
        <w:rPr>
          <w:color w:val="auto"/>
          <w:highlight w:val="none"/>
        </w:rPr>
      </w:pPr>
      <w:r>
        <w:rPr>
          <w:color w:val="auto"/>
          <w:highlight w:val="none"/>
        </w:rPr>
        <w:t>1.11.2 承包人在投标文件中采用专利技术的，专利技术的使用费包含在投标报价内。</w:t>
      </w:r>
    </w:p>
    <w:p w14:paraId="00A285AD">
      <w:pPr>
        <w:spacing w:line="400" w:lineRule="exact"/>
        <w:ind w:firstLine="420" w:firstLineChars="200"/>
        <w:rPr>
          <w:color w:val="auto"/>
          <w:highlight w:val="none"/>
        </w:rPr>
      </w:pPr>
      <w:r>
        <w:rPr>
          <w:color w:val="auto"/>
          <w:highlight w:val="none"/>
        </w:rPr>
        <w:t>1.11.3 承包人的技术秘密和声明需要保密的资料和信息，发包人和监理人不得为合同以外的目的泄露给他人。</w:t>
      </w:r>
    </w:p>
    <w:p w14:paraId="75EEE974">
      <w:pPr>
        <w:keepNext/>
        <w:keepLines/>
        <w:spacing w:line="400" w:lineRule="exact"/>
        <w:outlineLvl w:val="2"/>
        <w:rPr>
          <w:rFonts w:eastAsia="黑体"/>
          <w:color w:val="auto"/>
          <w:sz w:val="24"/>
          <w:szCs w:val="20"/>
          <w:highlight w:val="none"/>
        </w:rPr>
      </w:pPr>
      <w:bookmarkStart w:id="742" w:name="_Toc152045623"/>
      <w:bookmarkStart w:id="743" w:name="_Toc159950624"/>
      <w:bookmarkStart w:id="744" w:name="_Toc179632641"/>
      <w:bookmarkStart w:id="745" w:name="_Toc342296274"/>
      <w:bookmarkStart w:id="746" w:name="_Toc338944716"/>
      <w:bookmarkStart w:id="747" w:name="_Toc144974591"/>
      <w:bookmarkStart w:id="748" w:name="_Toc152042401"/>
      <w:r>
        <w:rPr>
          <w:rFonts w:eastAsia="黑体"/>
          <w:color w:val="auto"/>
          <w:sz w:val="24"/>
          <w:szCs w:val="20"/>
          <w:highlight w:val="none"/>
        </w:rPr>
        <w:t>1.12 图纸和文件的保密</w:t>
      </w:r>
      <w:bookmarkEnd w:id="742"/>
      <w:bookmarkEnd w:id="743"/>
      <w:bookmarkEnd w:id="744"/>
      <w:bookmarkEnd w:id="745"/>
      <w:bookmarkEnd w:id="746"/>
      <w:bookmarkEnd w:id="747"/>
      <w:bookmarkEnd w:id="748"/>
    </w:p>
    <w:p w14:paraId="697EFC67">
      <w:pPr>
        <w:spacing w:line="400" w:lineRule="exact"/>
        <w:ind w:firstLine="420" w:firstLineChars="200"/>
        <w:rPr>
          <w:color w:val="auto"/>
          <w:highlight w:val="none"/>
        </w:rPr>
      </w:pPr>
      <w:r>
        <w:rPr>
          <w:color w:val="auto"/>
          <w:highlight w:val="none"/>
        </w:rPr>
        <w:t>1.12.1 发包人提供的图纸和文件，未经发包人同意，承包人不得为合同以外的目的泄露给他人或公开发表与引用。</w:t>
      </w:r>
    </w:p>
    <w:p w14:paraId="47A5EB23">
      <w:pPr>
        <w:spacing w:line="400" w:lineRule="exact"/>
        <w:ind w:firstLine="420" w:firstLineChars="200"/>
        <w:rPr>
          <w:color w:val="auto"/>
          <w:highlight w:val="none"/>
        </w:rPr>
      </w:pPr>
      <w:r>
        <w:rPr>
          <w:color w:val="auto"/>
          <w:highlight w:val="none"/>
        </w:rPr>
        <w:t>1.12.2 承包人提供的文件，未经承包人同意，发包人和监理人不得为合同以外的目的泄露给他人或公开发表与引用。</w:t>
      </w:r>
    </w:p>
    <w:p w14:paraId="433A70E3">
      <w:pPr>
        <w:keepNext/>
        <w:keepLines/>
        <w:spacing w:line="400" w:lineRule="exact"/>
        <w:outlineLvl w:val="2"/>
        <w:rPr>
          <w:rFonts w:eastAsia="黑体"/>
          <w:color w:val="auto"/>
          <w:sz w:val="24"/>
          <w:szCs w:val="20"/>
          <w:highlight w:val="none"/>
        </w:rPr>
      </w:pPr>
      <w:bookmarkStart w:id="749" w:name="_Toc159950625"/>
      <w:r>
        <w:rPr>
          <w:rFonts w:eastAsia="黑体"/>
          <w:color w:val="auto"/>
          <w:sz w:val="24"/>
          <w:szCs w:val="20"/>
          <w:highlight w:val="none"/>
        </w:rPr>
        <w:t>1.13</w:t>
      </w:r>
      <w:r>
        <w:rPr>
          <w:rFonts w:hint="eastAsia" w:ascii="等线" w:hAnsi="等线" w:eastAsia="等线"/>
          <w:color w:val="auto"/>
          <w:sz w:val="24"/>
          <w:szCs w:val="20"/>
          <w:highlight w:val="none"/>
        </w:rPr>
        <w:t>交通运输</w:t>
      </w:r>
      <w:bookmarkEnd w:id="749"/>
    </w:p>
    <w:p w14:paraId="34097FC5">
      <w:pPr>
        <w:spacing w:line="400" w:lineRule="exact"/>
        <w:ind w:firstLine="420" w:firstLineChars="200"/>
        <w:rPr>
          <w:color w:val="auto"/>
          <w:highlight w:val="none"/>
        </w:rPr>
      </w:pPr>
      <w:r>
        <w:rPr>
          <w:color w:val="auto"/>
          <w:highlight w:val="none"/>
        </w:rPr>
        <w:t xml:space="preserve">1.13.1 </w:t>
      </w:r>
      <w:r>
        <w:rPr>
          <w:rFonts w:hint="eastAsia"/>
          <w:color w:val="auto"/>
          <w:highlight w:val="none"/>
        </w:rPr>
        <w:t>除专用合同条款另有约定外，发包人应根据施工需要，负责取得出入施工现场所需的校内手续，承包人应协助发包人办理修建场内外道路等其他基础设施的手续。</w:t>
      </w:r>
    </w:p>
    <w:p w14:paraId="6B777118">
      <w:pPr>
        <w:keepNext/>
        <w:keepLines/>
        <w:spacing w:line="400" w:lineRule="exact"/>
        <w:outlineLvl w:val="1"/>
        <w:rPr>
          <w:rFonts w:cs="仿宋_GB2312"/>
          <w:color w:val="auto"/>
          <w:highlight w:val="none"/>
        </w:rPr>
      </w:pPr>
      <w:bookmarkStart w:id="750" w:name="_Toc159950626"/>
      <w:r>
        <w:rPr>
          <w:rFonts w:cs="仿宋_GB2312"/>
          <w:color w:val="auto"/>
          <w:highlight w:val="none"/>
        </w:rPr>
        <w:t>1.13.2</w:t>
      </w:r>
      <w:r>
        <w:rPr>
          <w:rFonts w:hint="eastAsia" w:cs="仿宋_GB2312"/>
          <w:color w:val="auto"/>
          <w:highlight w:val="none"/>
        </w:rPr>
        <w:t>承包人应在投标、订立合同前查勘施工现场，并根据工程规模及技术参数合理预见工程施工所需的进出施工现场的方式、手段、路径等，并在投标文件中体现。因承包人未合理预见所增加的费用和（或）延误的工期由承包人自行承担。</w:t>
      </w:r>
      <w:bookmarkStart w:id="751" w:name="_Toc342296275"/>
      <w:bookmarkStart w:id="752" w:name="_Toc338944717"/>
      <w:bookmarkStart w:id="753" w:name="_Toc442365615"/>
      <w:bookmarkStart w:id="754" w:name="_Toc448758523"/>
      <w:bookmarkStart w:id="755" w:name="_Toc448758423"/>
      <w:bookmarkStart w:id="756" w:name="_Toc469660018"/>
      <w:r>
        <w:rPr>
          <w:rFonts w:cs="仿宋_GB2312"/>
          <w:color w:val="auto"/>
          <w:highlight w:val="none"/>
        </w:rPr>
        <w:t>2. 发包人义务</w:t>
      </w:r>
      <w:bookmarkEnd w:id="750"/>
      <w:bookmarkEnd w:id="751"/>
      <w:bookmarkEnd w:id="752"/>
      <w:bookmarkEnd w:id="753"/>
      <w:bookmarkEnd w:id="754"/>
      <w:bookmarkEnd w:id="755"/>
      <w:bookmarkEnd w:id="756"/>
    </w:p>
    <w:p w14:paraId="603A9F53">
      <w:pPr>
        <w:keepNext/>
        <w:keepLines/>
        <w:spacing w:line="400" w:lineRule="exact"/>
        <w:outlineLvl w:val="2"/>
        <w:rPr>
          <w:rFonts w:cs="仿宋_GB2312"/>
          <w:color w:val="auto"/>
          <w:highlight w:val="none"/>
        </w:rPr>
      </w:pPr>
      <w:bookmarkStart w:id="757" w:name="_Toc159950627"/>
      <w:bookmarkStart w:id="758" w:name="_Toc144974593"/>
      <w:bookmarkStart w:id="759" w:name="_Toc342296276"/>
      <w:bookmarkStart w:id="760" w:name="_Toc152042403"/>
      <w:bookmarkStart w:id="761" w:name="_Toc179632643"/>
      <w:bookmarkStart w:id="762" w:name="_Toc338944718"/>
      <w:bookmarkStart w:id="763" w:name="_Toc152045625"/>
      <w:r>
        <w:rPr>
          <w:rFonts w:cs="仿宋_GB2312"/>
          <w:color w:val="auto"/>
          <w:highlight w:val="none"/>
        </w:rPr>
        <w:t>2.1 遵守法律</w:t>
      </w:r>
      <w:bookmarkEnd w:id="757"/>
      <w:bookmarkEnd w:id="758"/>
      <w:bookmarkEnd w:id="759"/>
      <w:bookmarkEnd w:id="760"/>
      <w:bookmarkEnd w:id="761"/>
      <w:bookmarkEnd w:id="762"/>
      <w:bookmarkEnd w:id="763"/>
    </w:p>
    <w:p w14:paraId="43FF2BDD">
      <w:pPr>
        <w:spacing w:line="400" w:lineRule="exact"/>
        <w:ind w:firstLine="420" w:firstLineChars="200"/>
        <w:rPr>
          <w:color w:val="auto"/>
          <w:highlight w:val="none"/>
        </w:rPr>
      </w:pPr>
      <w:r>
        <w:rPr>
          <w:rFonts w:hint="eastAsia"/>
          <w:color w:val="auto"/>
          <w:highlight w:val="none"/>
        </w:rPr>
        <w:t>发包人应要求在施工现场的发包人人员遵守法律及有关安全、质量、环境保护、文明施工等规定，并保障承包人免于承受因发包人人员未遵守上述要求给承包人造成的损失和责任。</w:t>
      </w:r>
    </w:p>
    <w:p w14:paraId="2F4288AA">
      <w:pPr>
        <w:spacing w:line="400" w:lineRule="exact"/>
        <w:ind w:firstLine="420" w:firstLineChars="200"/>
        <w:rPr>
          <w:color w:val="auto"/>
          <w:highlight w:val="none"/>
        </w:rPr>
      </w:pPr>
      <w:r>
        <w:rPr>
          <w:rFonts w:hint="eastAsia"/>
          <w:color w:val="auto"/>
          <w:highlight w:val="none"/>
        </w:rPr>
        <w:t>发包人人员包括发包人代表及其他由发包人派驻施工现场的人员。</w:t>
      </w:r>
    </w:p>
    <w:p w14:paraId="2681B142">
      <w:pPr>
        <w:keepNext/>
        <w:keepLines/>
        <w:spacing w:line="400" w:lineRule="exact"/>
        <w:outlineLvl w:val="2"/>
        <w:rPr>
          <w:rFonts w:eastAsia="黑体"/>
          <w:color w:val="auto"/>
          <w:sz w:val="24"/>
          <w:szCs w:val="20"/>
          <w:highlight w:val="none"/>
        </w:rPr>
      </w:pPr>
      <w:bookmarkStart w:id="764" w:name="_Toc159950628"/>
      <w:bookmarkStart w:id="765" w:name="_Toc179632644"/>
      <w:bookmarkStart w:id="766" w:name="_Toc152045626"/>
      <w:bookmarkStart w:id="767" w:name="_Toc144974594"/>
      <w:bookmarkStart w:id="768" w:name="_Toc342296277"/>
      <w:bookmarkStart w:id="769" w:name="_Toc338944719"/>
      <w:bookmarkStart w:id="770" w:name="_Toc152042404"/>
      <w:r>
        <w:rPr>
          <w:rFonts w:eastAsia="黑体"/>
          <w:color w:val="auto"/>
          <w:sz w:val="24"/>
          <w:szCs w:val="20"/>
          <w:highlight w:val="none"/>
        </w:rPr>
        <w:t>2.2 发出开工通知</w:t>
      </w:r>
      <w:bookmarkEnd w:id="764"/>
      <w:bookmarkEnd w:id="765"/>
      <w:bookmarkEnd w:id="766"/>
      <w:bookmarkEnd w:id="767"/>
      <w:bookmarkEnd w:id="768"/>
      <w:bookmarkEnd w:id="769"/>
      <w:bookmarkEnd w:id="770"/>
    </w:p>
    <w:p w14:paraId="587A001A">
      <w:pPr>
        <w:spacing w:line="400" w:lineRule="exact"/>
        <w:ind w:firstLine="420" w:firstLineChars="200"/>
        <w:rPr>
          <w:color w:val="auto"/>
          <w:highlight w:val="none"/>
        </w:rPr>
      </w:pPr>
      <w:r>
        <w:rPr>
          <w:color w:val="auto"/>
          <w:highlight w:val="none"/>
        </w:rPr>
        <w:t>发包人应委托监理人按第11.1款的约定向承包人发出开工通知。</w:t>
      </w:r>
    </w:p>
    <w:p w14:paraId="5B62B817">
      <w:pPr>
        <w:keepNext/>
        <w:keepLines/>
        <w:spacing w:line="400" w:lineRule="exact"/>
        <w:outlineLvl w:val="2"/>
        <w:rPr>
          <w:rFonts w:eastAsia="黑体"/>
          <w:color w:val="auto"/>
          <w:sz w:val="24"/>
          <w:szCs w:val="20"/>
          <w:highlight w:val="none"/>
        </w:rPr>
      </w:pPr>
      <w:bookmarkStart w:id="771" w:name="_Toc338944720"/>
      <w:bookmarkStart w:id="772" w:name="_Toc342296278"/>
      <w:bookmarkStart w:id="773" w:name="_Toc159950629"/>
      <w:r>
        <w:rPr>
          <w:rFonts w:eastAsia="黑体"/>
          <w:color w:val="auto"/>
          <w:sz w:val="24"/>
          <w:szCs w:val="20"/>
          <w:highlight w:val="none"/>
        </w:rPr>
        <w:t>2.3 提供施工场地</w:t>
      </w:r>
      <w:bookmarkEnd w:id="771"/>
      <w:bookmarkEnd w:id="772"/>
      <w:bookmarkEnd w:id="773"/>
    </w:p>
    <w:p w14:paraId="753D319B">
      <w:pPr>
        <w:spacing w:line="400" w:lineRule="exact"/>
        <w:ind w:firstLine="420" w:firstLineChars="200"/>
        <w:rPr>
          <w:color w:val="auto"/>
          <w:highlight w:val="none"/>
        </w:rPr>
      </w:pPr>
      <w:r>
        <w:rPr>
          <w:color w:val="auto"/>
          <w:highlight w:val="none"/>
        </w:rPr>
        <w:t>发包人应按专用合同条款约定向承包人提供施工场地，以及施工场地内地下管线和地下设施等有关资料，并保证资料的真实、准确、完整。</w:t>
      </w:r>
    </w:p>
    <w:p w14:paraId="47A4ECB0">
      <w:pPr>
        <w:keepNext/>
        <w:keepLines/>
        <w:spacing w:line="400" w:lineRule="exact"/>
        <w:outlineLvl w:val="2"/>
        <w:rPr>
          <w:rFonts w:eastAsia="黑体"/>
          <w:color w:val="auto"/>
          <w:sz w:val="24"/>
          <w:szCs w:val="20"/>
          <w:highlight w:val="none"/>
        </w:rPr>
      </w:pPr>
      <w:bookmarkStart w:id="774" w:name="_Toc152042406"/>
      <w:bookmarkStart w:id="775" w:name="_Toc338944721"/>
      <w:bookmarkStart w:id="776" w:name="_Toc152045628"/>
      <w:bookmarkStart w:id="777" w:name="_Toc144974596"/>
      <w:bookmarkStart w:id="778" w:name="_Toc159950630"/>
      <w:bookmarkStart w:id="779" w:name="_Toc179632646"/>
      <w:bookmarkStart w:id="780" w:name="_Toc342296279"/>
      <w:r>
        <w:rPr>
          <w:rFonts w:eastAsia="黑体"/>
          <w:color w:val="auto"/>
          <w:sz w:val="24"/>
          <w:szCs w:val="20"/>
          <w:highlight w:val="none"/>
        </w:rPr>
        <w:t>2.4 协助承包人办理证件和批件</w:t>
      </w:r>
      <w:bookmarkEnd w:id="774"/>
      <w:bookmarkEnd w:id="775"/>
      <w:bookmarkEnd w:id="776"/>
      <w:bookmarkEnd w:id="777"/>
      <w:bookmarkEnd w:id="778"/>
      <w:bookmarkEnd w:id="779"/>
      <w:bookmarkEnd w:id="780"/>
    </w:p>
    <w:p w14:paraId="1D18ECA3">
      <w:pPr>
        <w:spacing w:line="400" w:lineRule="exact"/>
        <w:ind w:firstLine="420" w:firstLineChars="200"/>
        <w:rPr>
          <w:color w:val="auto"/>
          <w:highlight w:val="none"/>
        </w:rPr>
      </w:pPr>
      <w:r>
        <w:rPr>
          <w:color w:val="auto"/>
          <w:highlight w:val="none"/>
        </w:rPr>
        <w:t>发包人应协助承包人办理法律规定的有关施工证件和批件。</w:t>
      </w:r>
    </w:p>
    <w:p w14:paraId="603AF4BE">
      <w:pPr>
        <w:keepNext/>
        <w:keepLines/>
        <w:spacing w:line="400" w:lineRule="exact"/>
        <w:outlineLvl w:val="2"/>
        <w:rPr>
          <w:rFonts w:eastAsia="黑体"/>
          <w:color w:val="auto"/>
          <w:sz w:val="24"/>
          <w:szCs w:val="20"/>
          <w:highlight w:val="none"/>
        </w:rPr>
      </w:pPr>
      <w:bookmarkStart w:id="781" w:name="_Toc159950631"/>
      <w:bookmarkStart w:id="782" w:name="_Toc342296280"/>
      <w:bookmarkStart w:id="783" w:name="_Toc338944722"/>
      <w:r>
        <w:rPr>
          <w:rFonts w:eastAsia="黑体"/>
          <w:color w:val="auto"/>
          <w:sz w:val="24"/>
          <w:szCs w:val="20"/>
          <w:highlight w:val="none"/>
        </w:rPr>
        <w:t>2.5 组织设计交底</w:t>
      </w:r>
      <w:bookmarkEnd w:id="781"/>
      <w:bookmarkEnd w:id="782"/>
      <w:bookmarkEnd w:id="783"/>
    </w:p>
    <w:p w14:paraId="50CBFA75">
      <w:pPr>
        <w:spacing w:line="400" w:lineRule="exact"/>
        <w:ind w:firstLine="420" w:firstLineChars="200"/>
        <w:rPr>
          <w:color w:val="auto"/>
          <w:highlight w:val="none"/>
        </w:rPr>
      </w:pPr>
      <w:r>
        <w:rPr>
          <w:color w:val="auto"/>
          <w:highlight w:val="none"/>
        </w:rPr>
        <w:t>发包人应根据合同进度计划，组织设计单位向承包人进行设计交底。</w:t>
      </w:r>
    </w:p>
    <w:p w14:paraId="3C5447C0">
      <w:pPr>
        <w:keepNext/>
        <w:keepLines/>
        <w:spacing w:line="400" w:lineRule="exact"/>
        <w:outlineLvl w:val="2"/>
        <w:rPr>
          <w:rFonts w:eastAsia="黑体"/>
          <w:color w:val="auto"/>
          <w:sz w:val="24"/>
          <w:szCs w:val="20"/>
          <w:highlight w:val="none"/>
        </w:rPr>
      </w:pPr>
      <w:bookmarkStart w:id="784" w:name="_Toc159950632"/>
      <w:bookmarkStart w:id="785" w:name="_Toc342296281"/>
      <w:bookmarkStart w:id="786" w:name="_Toc338944723"/>
      <w:r>
        <w:rPr>
          <w:rFonts w:eastAsia="黑体"/>
          <w:color w:val="auto"/>
          <w:sz w:val="24"/>
          <w:szCs w:val="20"/>
          <w:highlight w:val="none"/>
        </w:rPr>
        <w:t>2.6 支付合同价款</w:t>
      </w:r>
      <w:bookmarkEnd w:id="784"/>
      <w:bookmarkEnd w:id="785"/>
      <w:bookmarkEnd w:id="786"/>
    </w:p>
    <w:p w14:paraId="08516426">
      <w:pPr>
        <w:spacing w:line="400" w:lineRule="exact"/>
        <w:ind w:firstLine="420" w:firstLineChars="200"/>
        <w:rPr>
          <w:color w:val="auto"/>
          <w:highlight w:val="none"/>
        </w:rPr>
      </w:pPr>
      <w:r>
        <w:rPr>
          <w:color w:val="auto"/>
          <w:highlight w:val="none"/>
        </w:rPr>
        <w:t>发包人应按合同约定向承包人及时支付合同价款。</w:t>
      </w:r>
    </w:p>
    <w:p w14:paraId="357BBFA6">
      <w:pPr>
        <w:keepNext/>
        <w:keepLines/>
        <w:spacing w:line="400" w:lineRule="exact"/>
        <w:outlineLvl w:val="2"/>
        <w:rPr>
          <w:rFonts w:eastAsia="黑体"/>
          <w:color w:val="auto"/>
          <w:sz w:val="24"/>
          <w:szCs w:val="20"/>
          <w:highlight w:val="none"/>
        </w:rPr>
      </w:pPr>
      <w:bookmarkStart w:id="787" w:name="_Toc338944724"/>
      <w:bookmarkStart w:id="788" w:name="_Toc179632649"/>
      <w:bookmarkStart w:id="789" w:name="_Toc152042409"/>
      <w:bookmarkStart w:id="790" w:name="_Toc144974599"/>
      <w:bookmarkStart w:id="791" w:name="_Toc342296282"/>
      <w:bookmarkStart w:id="792" w:name="_Toc152045631"/>
      <w:bookmarkStart w:id="793" w:name="_Toc159950633"/>
      <w:r>
        <w:rPr>
          <w:rFonts w:eastAsia="黑体"/>
          <w:color w:val="auto"/>
          <w:sz w:val="24"/>
          <w:szCs w:val="20"/>
          <w:highlight w:val="none"/>
        </w:rPr>
        <w:t>2.7 组织竣工验收</w:t>
      </w:r>
      <w:bookmarkEnd w:id="787"/>
      <w:bookmarkEnd w:id="788"/>
      <w:bookmarkEnd w:id="789"/>
      <w:bookmarkEnd w:id="790"/>
      <w:bookmarkEnd w:id="791"/>
      <w:bookmarkEnd w:id="792"/>
      <w:bookmarkEnd w:id="793"/>
    </w:p>
    <w:p w14:paraId="677425D5">
      <w:pPr>
        <w:spacing w:line="400" w:lineRule="exact"/>
        <w:ind w:firstLine="420" w:firstLineChars="200"/>
        <w:rPr>
          <w:color w:val="auto"/>
          <w:highlight w:val="none"/>
        </w:rPr>
      </w:pPr>
      <w:r>
        <w:rPr>
          <w:color w:val="auto"/>
          <w:highlight w:val="none"/>
        </w:rPr>
        <w:t>发包人应按合同约定及时组织竣工验收。</w:t>
      </w:r>
    </w:p>
    <w:p w14:paraId="6DDC571C">
      <w:pPr>
        <w:keepNext/>
        <w:keepLines/>
        <w:spacing w:line="400" w:lineRule="exact"/>
        <w:outlineLvl w:val="2"/>
        <w:rPr>
          <w:rFonts w:eastAsia="黑体"/>
          <w:color w:val="auto"/>
          <w:sz w:val="24"/>
          <w:szCs w:val="20"/>
          <w:highlight w:val="none"/>
        </w:rPr>
      </w:pPr>
      <w:bookmarkStart w:id="794" w:name="_Toc342296283"/>
      <w:bookmarkStart w:id="795" w:name="_Toc338944725"/>
      <w:bookmarkStart w:id="796" w:name="_Toc159950634"/>
      <w:r>
        <w:rPr>
          <w:rFonts w:eastAsia="黑体"/>
          <w:color w:val="auto"/>
          <w:sz w:val="24"/>
          <w:szCs w:val="20"/>
          <w:highlight w:val="none"/>
        </w:rPr>
        <w:t>2.8 其他义务</w:t>
      </w:r>
      <w:bookmarkEnd w:id="794"/>
      <w:bookmarkEnd w:id="795"/>
      <w:bookmarkEnd w:id="796"/>
    </w:p>
    <w:p w14:paraId="3906BB3E">
      <w:pPr>
        <w:spacing w:line="400" w:lineRule="exact"/>
        <w:ind w:firstLine="420" w:firstLineChars="200"/>
        <w:rPr>
          <w:color w:val="auto"/>
          <w:highlight w:val="none"/>
        </w:rPr>
      </w:pPr>
      <w:r>
        <w:rPr>
          <w:color w:val="auto"/>
          <w:highlight w:val="none"/>
        </w:rPr>
        <w:t>发包人应履行合同约定的其他义务。</w:t>
      </w:r>
    </w:p>
    <w:p w14:paraId="524A0CEB">
      <w:pPr>
        <w:keepNext/>
        <w:keepLines/>
        <w:spacing w:line="400" w:lineRule="exact"/>
        <w:outlineLvl w:val="1"/>
        <w:rPr>
          <w:rFonts w:eastAsia="黑体" w:cs="仿宋_GB2312"/>
          <w:color w:val="auto"/>
          <w:sz w:val="28"/>
          <w:szCs w:val="20"/>
          <w:highlight w:val="none"/>
        </w:rPr>
      </w:pPr>
      <w:bookmarkStart w:id="797" w:name="_Toc159950635"/>
      <w:bookmarkStart w:id="798" w:name="_Toc469660019"/>
      <w:bookmarkStart w:id="799" w:name="_Toc338944726"/>
      <w:bookmarkStart w:id="800" w:name="_Toc342296284"/>
      <w:bookmarkStart w:id="801" w:name="_Toc448758524"/>
      <w:bookmarkStart w:id="802" w:name="_Toc442365616"/>
      <w:bookmarkStart w:id="803" w:name="_Toc448758424"/>
      <w:r>
        <w:rPr>
          <w:rFonts w:eastAsia="黑体" w:cs="仿宋_GB2312"/>
          <w:color w:val="auto"/>
          <w:sz w:val="28"/>
          <w:szCs w:val="20"/>
          <w:highlight w:val="none"/>
        </w:rPr>
        <w:t>3. 监理人</w:t>
      </w:r>
      <w:bookmarkEnd w:id="797"/>
      <w:bookmarkEnd w:id="798"/>
      <w:bookmarkEnd w:id="799"/>
      <w:bookmarkEnd w:id="800"/>
      <w:bookmarkEnd w:id="801"/>
      <w:bookmarkEnd w:id="802"/>
      <w:bookmarkEnd w:id="803"/>
    </w:p>
    <w:p w14:paraId="7DDE7393">
      <w:pPr>
        <w:keepNext/>
        <w:keepLines/>
        <w:spacing w:line="400" w:lineRule="exact"/>
        <w:outlineLvl w:val="2"/>
        <w:rPr>
          <w:rFonts w:eastAsia="黑体"/>
          <w:color w:val="auto"/>
          <w:sz w:val="24"/>
          <w:szCs w:val="20"/>
          <w:highlight w:val="none"/>
        </w:rPr>
      </w:pPr>
      <w:bookmarkStart w:id="804" w:name="_Toc342296285"/>
      <w:bookmarkStart w:id="805" w:name="_Toc338944727"/>
      <w:bookmarkStart w:id="806" w:name="_Toc159950636"/>
      <w:r>
        <w:rPr>
          <w:rFonts w:eastAsia="黑体"/>
          <w:color w:val="auto"/>
          <w:sz w:val="24"/>
          <w:szCs w:val="20"/>
          <w:highlight w:val="none"/>
        </w:rPr>
        <w:t>3.1 监理人的职责和权力</w:t>
      </w:r>
      <w:bookmarkEnd w:id="804"/>
      <w:bookmarkEnd w:id="805"/>
      <w:bookmarkEnd w:id="806"/>
    </w:p>
    <w:p w14:paraId="5A04D74C">
      <w:pPr>
        <w:spacing w:line="400" w:lineRule="exact"/>
        <w:ind w:firstLine="420" w:firstLineChars="200"/>
        <w:rPr>
          <w:color w:val="auto"/>
          <w:highlight w:val="none"/>
        </w:rPr>
      </w:pPr>
      <w:r>
        <w:rPr>
          <w:color w:val="auto"/>
          <w:highlight w:val="none"/>
        </w:rPr>
        <w:t>3.1.1 监理人受发包人委托，享有合同约定的权力。监理人在行使某项权力前需要经发包人事先批准而通用合同条款没有指明的，应在专用合同条款中指明。</w:t>
      </w:r>
    </w:p>
    <w:p w14:paraId="06C4530F">
      <w:pPr>
        <w:spacing w:line="400" w:lineRule="exact"/>
        <w:ind w:firstLine="420" w:firstLineChars="200"/>
        <w:rPr>
          <w:color w:val="auto"/>
          <w:highlight w:val="none"/>
        </w:rPr>
      </w:pPr>
      <w:r>
        <w:rPr>
          <w:color w:val="auto"/>
          <w:highlight w:val="none"/>
        </w:rPr>
        <w:t>3.1.2 监理人发出的任何指示应视为已得到发包人的批准，但监理人无权免除或变更合同约定的发包人和承包人的权利、义务和责任。</w:t>
      </w:r>
    </w:p>
    <w:p w14:paraId="34B30EC3">
      <w:pPr>
        <w:spacing w:line="400" w:lineRule="exact"/>
        <w:ind w:firstLine="420" w:firstLineChars="200"/>
        <w:rPr>
          <w:color w:val="auto"/>
          <w:highlight w:val="none"/>
        </w:rPr>
      </w:pPr>
      <w:r>
        <w:rPr>
          <w:color w:val="auto"/>
          <w:highlight w:val="none"/>
        </w:rPr>
        <w:t>3.1.3 合同约定应由承包人承担的义务和责任，不因监理人对承包人提交文件的审查或批准，对工程、材料和设备的检查和检验，以及为实施监理作出的指示等职务行为而减轻或解除。</w:t>
      </w:r>
    </w:p>
    <w:p w14:paraId="544A1E0A">
      <w:pPr>
        <w:keepNext/>
        <w:keepLines/>
        <w:spacing w:line="400" w:lineRule="exact"/>
        <w:outlineLvl w:val="2"/>
        <w:rPr>
          <w:rFonts w:eastAsia="黑体"/>
          <w:color w:val="auto"/>
          <w:sz w:val="24"/>
          <w:szCs w:val="20"/>
          <w:highlight w:val="none"/>
        </w:rPr>
      </w:pPr>
      <w:bookmarkStart w:id="807" w:name="_Toc342296286"/>
      <w:bookmarkStart w:id="808" w:name="_Toc338944728"/>
      <w:bookmarkStart w:id="809" w:name="_Toc144974603"/>
      <w:bookmarkStart w:id="810" w:name="_Toc179632653"/>
      <w:bookmarkStart w:id="811" w:name="_Toc159950637"/>
      <w:bookmarkStart w:id="812" w:name="_Toc152045635"/>
      <w:bookmarkStart w:id="813" w:name="_Toc152042413"/>
      <w:r>
        <w:rPr>
          <w:rFonts w:eastAsia="黑体"/>
          <w:color w:val="auto"/>
          <w:sz w:val="24"/>
          <w:szCs w:val="20"/>
          <w:highlight w:val="none"/>
        </w:rPr>
        <w:t>3.2 总监理工程师</w:t>
      </w:r>
      <w:bookmarkEnd w:id="807"/>
      <w:bookmarkEnd w:id="808"/>
      <w:bookmarkEnd w:id="809"/>
      <w:bookmarkEnd w:id="810"/>
      <w:bookmarkEnd w:id="811"/>
      <w:bookmarkEnd w:id="812"/>
      <w:bookmarkEnd w:id="813"/>
    </w:p>
    <w:p w14:paraId="3A6F3F3F">
      <w:pPr>
        <w:spacing w:line="400" w:lineRule="exact"/>
        <w:ind w:firstLine="420" w:firstLineChars="200"/>
        <w:rPr>
          <w:color w:val="auto"/>
          <w:highlight w:val="none"/>
        </w:rPr>
      </w:pPr>
      <w:r>
        <w:rPr>
          <w:color w:val="auto"/>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58DA3704">
      <w:pPr>
        <w:keepNext/>
        <w:keepLines/>
        <w:spacing w:line="400" w:lineRule="exact"/>
        <w:outlineLvl w:val="2"/>
        <w:rPr>
          <w:rFonts w:eastAsia="黑体"/>
          <w:color w:val="auto"/>
          <w:sz w:val="24"/>
          <w:szCs w:val="20"/>
          <w:highlight w:val="none"/>
        </w:rPr>
      </w:pPr>
      <w:bookmarkStart w:id="814" w:name="_Toc338944729"/>
      <w:bookmarkStart w:id="815" w:name="_Toc342296287"/>
      <w:bookmarkStart w:id="816" w:name="_Toc159950638"/>
      <w:r>
        <w:rPr>
          <w:rFonts w:eastAsia="黑体"/>
          <w:color w:val="auto"/>
          <w:sz w:val="24"/>
          <w:szCs w:val="20"/>
          <w:highlight w:val="none"/>
        </w:rPr>
        <w:t>3.3 监理人员</w:t>
      </w:r>
      <w:bookmarkEnd w:id="814"/>
      <w:bookmarkEnd w:id="815"/>
      <w:bookmarkEnd w:id="816"/>
    </w:p>
    <w:p w14:paraId="467D7A35">
      <w:pPr>
        <w:spacing w:line="400" w:lineRule="exact"/>
        <w:ind w:firstLine="420" w:firstLineChars="200"/>
        <w:rPr>
          <w:color w:val="auto"/>
          <w:highlight w:val="none"/>
        </w:rPr>
      </w:pPr>
      <w:r>
        <w:rPr>
          <w:color w:val="auto"/>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6C6105B">
      <w:pPr>
        <w:spacing w:line="400" w:lineRule="exact"/>
        <w:ind w:firstLine="420" w:firstLineChars="200"/>
        <w:rPr>
          <w:color w:val="auto"/>
          <w:highlight w:val="none"/>
        </w:rPr>
      </w:pPr>
      <w:r>
        <w:rPr>
          <w:color w:val="auto"/>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076E4961">
      <w:pPr>
        <w:spacing w:line="400" w:lineRule="exact"/>
        <w:ind w:firstLine="420" w:firstLineChars="200"/>
        <w:rPr>
          <w:color w:val="auto"/>
          <w:highlight w:val="none"/>
        </w:rPr>
      </w:pPr>
      <w:r>
        <w:rPr>
          <w:color w:val="auto"/>
          <w:highlight w:val="none"/>
        </w:rPr>
        <w:t>3.3.3 承包人对总监理工程师授权的监理人员发出的指示有疑问的，可向总监理工程师提出书面异议，总监理工程师应在48小时内对该指示予以确认、更改或撤销。</w:t>
      </w:r>
    </w:p>
    <w:p w14:paraId="2D01CB4E">
      <w:pPr>
        <w:spacing w:line="400" w:lineRule="exact"/>
        <w:ind w:firstLine="420" w:firstLineChars="200"/>
        <w:rPr>
          <w:color w:val="auto"/>
          <w:highlight w:val="none"/>
        </w:rPr>
      </w:pPr>
      <w:r>
        <w:rPr>
          <w:color w:val="auto"/>
          <w:highlight w:val="none"/>
        </w:rPr>
        <w:t>3.3.4 除专用合同条款另有约定外，总监理工程师不应将第3.5款约定应由总监理工程师作出确定的权力授权或委托给其他监理人员。</w:t>
      </w:r>
    </w:p>
    <w:p w14:paraId="38E14A99">
      <w:pPr>
        <w:keepNext/>
        <w:keepLines/>
        <w:spacing w:line="400" w:lineRule="exact"/>
        <w:outlineLvl w:val="2"/>
        <w:rPr>
          <w:rFonts w:eastAsia="黑体"/>
          <w:color w:val="auto"/>
          <w:sz w:val="24"/>
          <w:szCs w:val="20"/>
          <w:highlight w:val="none"/>
        </w:rPr>
      </w:pPr>
      <w:bookmarkStart w:id="817" w:name="_Toc159950639"/>
      <w:bookmarkStart w:id="818" w:name="_Toc338944730"/>
      <w:bookmarkStart w:id="819" w:name="_Toc342296288"/>
      <w:r>
        <w:rPr>
          <w:rFonts w:eastAsia="黑体"/>
          <w:color w:val="auto"/>
          <w:sz w:val="24"/>
          <w:szCs w:val="20"/>
          <w:highlight w:val="none"/>
        </w:rPr>
        <w:t>3.4 监理人的指示</w:t>
      </w:r>
      <w:bookmarkEnd w:id="817"/>
      <w:bookmarkEnd w:id="818"/>
      <w:bookmarkEnd w:id="819"/>
    </w:p>
    <w:p w14:paraId="35F7B290">
      <w:pPr>
        <w:spacing w:line="400" w:lineRule="exact"/>
        <w:ind w:firstLine="420" w:firstLineChars="200"/>
        <w:rPr>
          <w:color w:val="auto"/>
          <w:highlight w:val="none"/>
        </w:rPr>
      </w:pPr>
      <w:r>
        <w:rPr>
          <w:color w:val="auto"/>
          <w:highlight w:val="none"/>
        </w:rPr>
        <w:t>3.4.1 监理人应按第3.1款的约定向承包人发出指示，监理人的指示应盖有监理人授权的施工场地机构章，并由总监理工程师或总监理工程师按第3.3.1项约定授权的监理人员签字。</w:t>
      </w:r>
    </w:p>
    <w:p w14:paraId="7A8A1620">
      <w:pPr>
        <w:spacing w:line="400" w:lineRule="exact"/>
        <w:ind w:firstLine="420" w:firstLineChars="200"/>
        <w:rPr>
          <w:color w:val="auto"/>
          <w:highlight w:val="none"/>
        </w:rPr>
      </w:pPr>
      <w:r>
        <w:rPr>
          <w:color w:val="auto"/>
          <w:highlight w:val="none"/>
        </w:rPr>
        <w:t>3.4.2 承包人收到监理人按第3.4.1项作出的指示后应遵照执行。指示构成变更的，应按第15条处理。</w:t>
      </w:r>
    </w:p>
    <w:p w14:paraId="1E7FC556">
      <w:pPr>
        <w:spacing w:line="400" w:lineRule="exact"/>
        <w:ind w:firstLine="420" w:firstLineChars="200"/>
        <w:rPr>
          <w:color w:val="auto"/>
          <w:highlight w:val="none"/>
        </w:rPr>
      </w:pPr>
      <w:r>
        <w:rPr>
          <w:color w:val="auto"/>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26C22386">
      <w:pPr>
        <w:spacing w:line="400" w:lineRule="exact"/>
        <w:ind w:firstLine="420" w:firstLineChars="200"/>
        <w:rPr>
          <w:color w:val="auto"/>
          <w:highlight w:val="none"/>
        </w:rPr>
      </w:pPr>
      <w:r>
        <w:rPr>
          <w:color w:val="auto"/>
          <w:highlight w:val="none"/>
        </w:rPr>
        <w:t>3.4.4 除合同另有约定外，承包人只从总监理工程师或按第3.3.1项被授权的监理人员处取得指示。</w:t>
      </w:r>
    </w:p>
    <w:p w14:paraId="00D996C3">
      <w:pPr>
        <w:spacing w:line="400" w:lineRule="exact"/>
        <w:ind w:firstLine="420" w:firstLineChars="200"/>
        <w:rPr>
          <w:color w:val="auto"/>
          <w:highlight w:val="none"/>
        </w:rPr>
      </w:pPr>
      <w:r>
        <w:rPr>
          <w:color w:val="auto"/>
          <w:highlight w:val="none"/>
        </w:rPr>
        <w:t xml:space="preserve">3.4.5 由于监理人未能按合同约定发出指示、指示延误或指示错误而导致承包人费用增加和（或）工期延误的，由发包人承担赔偿责任。 </w:t>
      </w:r>
    </w:p>
    <w:p w14:paraId="36796A77">
      <w:pPr>
        <w:keepNext/>
        <w:keepLines/>
        <w:spacing w:line="400" w:lineRule="exact"/>
        <w:outlineLvl w:val="2"/>
        <w:rPr>
          <w:rFonts w:eastAsia="黑体"/>
          <w:color w:val="auto"/>
          <w:sz w:val="24"/>
          <w:szCs w:val="20"/>
          <w:highlight w:val="none"/>
        </w:rPr>
      </w:pPr>
      <w:bookmarkStart w:id="820" w:name="_Toc342296289"/>
      <w:bookmarkStart w:id="821" w:name="_Toc152042416"/>
      <w:bookmarkStart w:id="822" w:name="_Toc179632656"/>
      <w:bookmarkStart w:id="823" w:name="_Toc159950640"/>
      <w:bookmarkStart w:id="824" w:name="_Toc338944731"/>
      <w:bookmarkStart w:id="825" w:name="_Toc152045638"/>
      <w:bookmarkStart w:id="826" w:name="_Toc144974606"/>
      <w:r>
        <w:rPr>
          <w:rFonts w:eastAsia="黑体"/>
          <w:color w:val="auto"/>
          <w:sz w:val="24"/>
          <w:szCs w:val="20"/>
          <w:highlight w:val="none"/>
        </w:rPr>
        <w:t>3.5 商定或确定</w:t>
      </w:r>
      <w:bookmarkEnd w:id="820"/>
      <w:bookmarkEnd w:id="821"/>
      <w:bookmarkEnd w:id="822"/>
      <w:bookmarkEnd w:id="823"/>
      <w:bookmarkEnd w:id="824"/>
      <w:bookmarkEnd w:id="825"/>
      <w:bookmarkEnd w:id="826"/>
    </w:p>
    <w:p w14:paraId="6AF636D6">
      <w:pPr>
        <w:spacing w:line="400" w:lineRule="exact"/>
        <w:ind w:firstLine="420" w:firstLineChars="200"/>
        <w:rPr>
          <w:color w:val="auto"/>
          <w:highlight w:val="none"/>
        </w:rPr>
      </w:pPr>
      <w:r>
        <w:rPr>
          <w:color w:val="auto"/>
          <w:highlight w:val="none"/>
        </w:rPr>
        <w:t>3.5.1合同约定总监理工程师应按照本款对任何事项进行商定或确定时，总监理工程师应与合同当事人协商，尽量达成一致。不能达成一致的，总监理工程师应认真研究后审慎确定。</w:t>
      </w:r>
    </w:p>
    <w:p w14:paraId="02A2B2B9">
      <w:pPr>
        <w:spacing w:line="400" w:lineRule="exact"/>
        <w:ind w:firstLine="420" w:firstLineChars="200"/>
        <w:rPr>
          <w:color w:val="auto"/>
          <w:highlight w:val="none"/>
        </w:rPr>
      </w:pPr>
      <w:r>
        <w:rPr>
          <w:color w:val="auto"/>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36AF03CD">
      <w:pPr>
        <w:keepNext/>
        <w:keepLines/>
        <w:spacing w:line="400" w:lineRule="exact"/>
        <w:outlineLvl w:val="1"/>
        <w:rPr>
          <w:rFonts w:eastAsia="黑体" w:cs="仿宋_GB2312"/>
          <w:color w:val="auto"/>
          <w:sz w:val="28"/>
          <w:szCs w:val="20"/>
          <w:highlight w:val="none"/>
        </w:rPr>
      </w:pPr>
      <w:bookmarkStart w:id="827" w:name="_Toc159950641"/>
      <w:bookmarkStart w:id="828" w:name="_Toc448758425"/>
      <w:bookmarkStart w:id="829" w:name="_Toc442365617"/>
      <w:bookmarkStart w:id="830" w:name="_Toc338944732"/>
      <w:bookmarkStart w:id="831" w:name="_Toc469660020"/>
      <w:bookmarkStart w:id="832" w:name="_Toc342296290"/>
      <w:bookmarkStart w:id="833" w:name="_Toc448758525"/>
      <w:r>
        <w:rPr>
          <w:rFonts w:eastAsia="黑体" w:cs="仿宋_GB2312"/>
          <w:color w:val="auto"/>
          <w:sz w:val="28"/>
          <w:szCs w:val="20"/>
          <w:highlight w:val="none"/>
        </w:rPr>
        <w:t>4. 承包人</w:t>
      </w:r>
      <w:bookmarkEnd w:id="827"/>
      <w:bookmarkEnd w:id="828"/>
      <w:bookmarkEnd w:id="829"/>
      <w:bookmarkEnd w:id="830"/>
      <w:bookmarkEnd w:id="831"/>
      <w:bookmarkEnd w:id="832"/>
      <w:bookmarkEnd w:id="833"/>
    </w:p>
    <w:p w14:paraId="7331A9D6">
      <w:pPr>
        <w:keepNext/>
        <w:keepLines/>
        <w:spacing w:line="400" w:lineRule="exact"/>
        <w:outlineLvl w:val="2"/>
        <w:rPr>
          <w:rFonts w:eastAsia="黑体"/>
          <w:color w:val="auto"/>
          <w:sz w:val="24"/>
          <w:szCs w:val="20"/>
          <w:highlight w:val="none"/>
        </w:rPr>
      </w:pPr>
      <w:bookmarkStart w:id="834" w:name="_Toc342296291"/>
      <w:bookmarkStart w:id="835" w:name="_Toc159950642"/>
      <w:bookmarkStart w:id="836" w:name="_Toc338944733"/>
      <w:r>
        <w:rPr>
          <w:rFonts w:eastAsia="黑体"/>
          <w:color w:val="auto"/>
          <w:sz w:val="24"/>
          <w:szCs w:val="20"/>
          <w:highlight w:val="none"/>
        </w:rPr>
        <w:t>4.1 承包人的一般义务</w:t>
      </w:r>
      <w:bookmarkEnd w:id="834"/>
      <w:bookmarkEnd w:id="835"/>
      <w:bookmarkEnd w:id="836"/>
    </w:p>
    <w:p w14:paraId="534D69D5">
      <w:pPr>
        <w:spacing w:line="400" w:lineRule="exact"/>
        <w:ind w:firstLine="420" w:firstLineChars="200"/>
        <w:rPr>
          <w:color w:val="auto"/>
          <w:highlight w:val="none"/>
        </w:rPr>
      </w:pPr>
      <w:r>
        <w:rPr>
          <w:color w:val="auto"/>
          <w:highlight w:val="none"/>
        </w:rPr>
        <w:t xml:space="preserve">4.1.1 </w:t>
      </w:r>
      <w:r>
        <w:rPr>
          <w:rFonts w:hint="eastAsia" w:ascii="宋体" w:hAnsi="宋体" w:cs="宋体"/>
          <w:color w:val="auto"/>
          <w:highlight w:val="none"/>
        </w:rPr>
        <w:t>遵守法律</w:t>
      </w:r>
    </w:p>
    <w:p w14:paraId="5BE1EA37">
      <w:pPr>
        <w:spacing w:line="400" w:lineRule="exact"/>
        <w:ind w:firstLine="420" w:firstLineChars="200"/>
        <w:rPr>
          <w:color w:val="auto"/>
          <w:highlight w:val="none"/>
        </w:rPr>
      </w:pPr>
      <w:r>
        <w:rPr>
          <w:color w:val="auto"/>
          <w:highlight w:val="none"/>
        </w:rPr>
        <w:t>承包人在履行合同过程中应遵守法律，并保证发包人免于承担因承包人违反法律而引起的任何责任。</w:t>
      </w:r>
    </w:p>
    <w:p w14:paraId="04E33805">
      <w:pPr>
        <w:spacing w:line="400" w:lineRule="exact"/>
        <w:ind w:firstLine="420" w:firstLineChars="200"/>
        <w:rPr>
          <w:color w:val="auto"/>
          <w:highlight w:val="none"/>
        </w:rPr>
      </w:pPr>
      <w:r>
        <w:rPr>
          <w:color w:val="auto"/>
          <w:highlight w:val="none"/>
        </w:rPr>
        <w:t xml:space="preserve">4.1.2 </w:t>
      </w:r>
      <w:r>
        <w:rPr>
          <w:rFonts w:hint="eastAsia" w:ascii="宋体" w:hAnsi="宋体" w:cs="宋体"/>
          <w:color w:val="auto"/>
          <w:highlight w:val="none"/>
        </w:rPr>
        <w:t>依法纳税</w:t>
      </w:r>
    </w:p>
    <w:p w14:paraId="1BE8CAD8">
      <w:pPr>
        <w:spacing w:line="400" w:lineRule="exact"/>
        <w:ind w:firstLine="420" w:firstLineChars="200"/>
        <w:rPr>
          <w:color w:val="auto"/>
          <w:highlight w:val="none"/>
        </w:rPr>
      </w:pPr>
      <w:r>
        <w:rPr>
          <w:color w:val="auto"/>
          <w:highlight w:val="none"/>
        </w:rPr>
        <w:t>承包人应按有关法律规定纳税，应缴纳的税金包括在合同价格内。</w:t>
      </w:r>
    </w:p>
    <w:p w14:paraId="4CBA8EB2">
      <w:pPr>
        <w:spacing w:line="400" w:lineRule="exact"/>
        <w:ind w:firstLine="420" w:firstLineChars="200"/>
        <w:rPr>
          <w:rFonts w:eastAsia="等线"/>
          <w:color w:val="auto"/>
          <w:highlight w:val="none"/>
        </w:rPr>
      </w:pPr>
      <w:r>
        <w:rPr>
          <w:color w:val="auto"/>
          <w:highlight w:val="none"/>
        </w:rPr>
        <w:t xml:space="preserve">4.1.3 </w:t>
      </w:r>
      <w:r>
        <w:rPr>
          <w:rFonts w:hint="eastAsia" w:ascii="宋体" w:hAnsi="宋体" w:cs="宋体"/>
          <w:color w:val="auto"/>
          <w:highlight w:val="none"/>
        </w:rPr>
        <w:t>完成各项承包工作</w:t>
      </w:r>
    </w:p>
    <w:p w14:paraId="2C010E6B">
      <w:pPr>
        <w:spacing w:line="400" w:lineRule="exact"/>
        <w:rPr>
          <w:color w:val="auto"/>
          <w:highlight w:val="none"/>
        </w:rPr>
      </w:pPr>
      <w:r>
        <w:rPr>
          <w:rFonts w:hint="eastAsia" w:eastAsia="等线"/>
          <w:color w:val="auto"/>
          <w:highlight w:val="none"/>
        </w:rPr>
        <w:t>承包人应</w:t>
      </w:r>
      <w:r>
        <w:rPr>
          <w:rFonts w:eastAsia="等线"/>
          <w:color w:val="auto"/>
          <w:highlight w:val="none"/>
        </w:rPr>
        <w:t>办理法律规定应由承包人办理的许可和批准，并将办理结果书面报送发包人留存；按法律规定和合同约定完成工程，并在保修期内承担保修义务</w:t>
      </w:r>
      <w:r>
        <w:rPr>
          <w:rFonts w:hint="eastAsia" w:eastAsia="等线"/>
          <w:color w:val="auto"/>
          <w:highlight w:val="none"/>
        </w:rPr>
        <w:t>。除专用合同条款另有约定外，承包人应提供为完成合同工作所需的劳务、材料、施工设备、工程设备和其他物品，并按合同约定负责临时设施的设计、建造、运行、维护、管理和拆除。</w:t>
      </w:r>
    </w:p>
    <w:p w14:paraId="3F92EAD9">
      <w:pPr>
        <w:spacing w:line="400" w:lineRule="exact"/>
        <w:ind w:firstLine="420" w:firstLineChars="200"/>
        <w:rPr>
          <w:color w:val="auto"/>
          <w:highlight w:val="none"/>
        </w:rPr>
      </w:pPr>
      <w:r>
        <w:rPr>
          <w:color w:val="auto"/>
          <w:highlight w:val="none"/>
        </w:rPr>
        <w:t xml:space="preserve">4.1.4 </w:t>
      </w:r>
      <w:r>
        <w:rPr>
          <w:rFonts w:hint="eastAsia" w:ascii="宋体" w:hAnsi="宋体" w:cs="宋体"/>
          <w:color w:val="auto"/>
          <w:highlight w:val="none"/>
        </w:rPr>
        <w:t>对施工作业和施工方法的完备性负责</w:t>
      </w:r>
    </w:p>
    <w:p w14:paraId="024867B8">
      <w:pPr>
        <w:spacing w:line="400" w:lineRule="exact"/>
        <w:ind w:firstLine="420" w:firstLineChars="200"/>
        <w:rPr>
          <w:color w:val="auto"/>
          <w:highlight w:val="none"/>
        </w:rPr>
      </w:pPr>
      <w:r>
        <w:rPr>
          <w:color w:val="auto"/>
          <w:highlight w:val="none"/>
        </w:rPr>
        <w:t>承包人应按合同约定的工作内容和施工进度要求，编制施工组织设计和施工措施计划，并对所有施工作业和施工方法的完备性和安全可靠性负责。</w:t>
      </w:r>
    </w:p>
    <w:p w14:paraId="2EBFAC00">
      <w:pPr>
        <w:spacing w:line="400" w:lineRule="exact"/>
        <w:ind w:firstLine="420" w:firstLineChars="200"/>
        <w:rPr>
          <w:color w:val="auto"/>
          <w:highlight w:val="none"/>
        </w:rPr>
      </w:pPr>
      <w:r>
        <w:rPr>
          <w:color w:val="auto"/>
          <w:highlight w:val="none"/>
        </w:rPr>
        <w:t xml:space="preserve">4.1.5 </w:t>
      </w:r>
      <w:r>
        <w:rPr>
          <w:rFonts w:hint="eastAsia" w:ascii="宋体" w:hAnsi="宋体" w:cs="宋体"/>
          <w:color w:val="auto"/>
          <w:highlight w:val="none"/>
        </w:rPr>
        <w:t>保证工程施工和人员的安全</w:t>
      </w:r>
    </w:p>
    <w:p w14:paraId="0A3651A6">
      <w:pPr>
        <w:spacing w:line="400" w:lineRule="exact"/>
        <w:ind w:firstLine="420" w:firstLineChars="200"/>
        <w:rPr>
          <w:color w:val="auto"/>
          <w:highlight w:val="none"/>
        </w:rPr>
      </w:pPr>
      <w:r>
        <w:rPr>
          <w:color w:val="auto"/>
          <w:highlight w:val="none"/>
        </w:rPr>
        <w:t>承包人应</w:t>
      </w:r>
      <w:r>
        <w:rPr>
          <w:rFonts w:eastAsia="等线"/>
          <w:color w:val="auto"/>
          <w:highlight w:val="none"/>
        </w:rPr>
        <w:t>按法律规定和合同约定采取施工安全和环境保护措施，办理工伤保险，确保工程及人员、材料、设备和设施的安全；</w:t>
      </w:r>
      <w:r>
        <w:rPr>
          <w:color w:val="auto"/>
          <w:highlight w:val="none"/>
        </w:rPr>
        <w:t>防止因工程施工造成的人身伤害和财产损失。</w:t>
      </w:r>
    </w:p>
    <w:p w14:paraId="60E70905">
      <w:pPr>
        <w:spacing w:line="400" w:lineRule="exact"/>
        <w:ind w:firstLine="420" w:firstLineChars="200"/>
        <w:rPr>
          <w:color w:val="auto"/>
          <w:highlight w:val="none"/>
        </w:rPr>
      </w:pPr>
      <w:r>
        <w:rPr>
          <w:color w:val="auto"/>
          <w:highlight w:val="none"/>
        </w:rPr>
        <w:t xml:space="preserve">4.1.6 </w:t>
      </w:r>
      <w:r>
        <w:rPr>
          <w:rFonts w:hint="eastAsia" w:ascii="宋体" w:hAnsi="宋体" w:cs="宋体"/>
          <w:color w:val="auto"/>
          <w:highlight w:val="none"/>
        </w:rPr>
        <w:t>负责施工场地及其周边环境与生态的保护工作</w:t>
      </w:r>
    </w:p>
    <w:p w14:paraId="1A51FC1B">
      <w:pPr>
        <w:spacing w:line="400" w:lineRule="exact"/>
        <w:ind w:firstLine="420" w:firstLineChars="200"/>
        <w:rPr>
          <w:color w:val="auto"/>
          <w:highlight w:val="none"/>
        </w:rPr>
      </w:pPr>
      <w:r>
        <w:rPr>
          <w:color w:val="auto"/>
          <w:highlight w:val="none"/>
        </w:rPr>
        <w:t>承包人应按照第9.4款约定负责施工场地及其周边环境与生态的保护工作。</w:t>
      </w:r>
    </w:p>
    <w:p w14:paraId="564151E1">
      <w:pPr>
        <w:spacing w:line="400" w:lineRule="exact"/>
        <w:ind w:firstLine="420" w:firstLineChars="200"/>
        <w:rPr>
          <w:color w:val="auto"/>
          <w:highlight w:val="none"/>
        </w:rPr>
      </w:pPr>
      <w:r>
        <w:rPr>
          <w:color w:val="auto"/>
          <w:highlight w:val="none"/>
        </w:rPr>
        <w:t xml:space="preserve">4.1.7 </w:t>
      </w:r>
      <w:r>
        <w:rPr>
          <w:rFonts w:hint="eastAsia" w:ascii="宋体" w:hAnsi="宋体" w:cs="宋体"/>
          <w:color w:val="auto"/>
          <w:highlight w:val="none"/>
        </w:rPr>
        <w:t>避免施工对公众与他人的利益造成损害</w:t>
      </w:r>
    </w:p>
    <w:p w14:paraId="22EEF5D0">
      <w:pPr>
        <w:spacing w:line="400" w:lineRule="exact"/>
        <w:ind w:firstLine="420" w:firstLineChars="200"/>
        <w:rPr>
          <w:color w:val="auto"/>
          <w:highlight w:val="none"/>
        </w:rPr>
      </w:pPr>
      <w:r>
        <w:rPr>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4458F492">
      <w:pPr>
        <w:spacing w:line="400" w:lineRule="exact"/>
        <w:ind w:firstLine="420" w:firstLineChars="200"/>
        <w:rPr>
          <w:color w:val="auto"/>
          <w:highlight w:val="none"/>
        </w:rPr>
      </w:pPr>
      <w:r>
        <w:rPr>
          <w:color w:val="auto"/>
          <w:highlight w:val="none"/>
        </w:rPr>
        <w:t xml:space="preserve">4.1.8 </w:t>
      </w:r>
      <w:r>
        <w:rPr>
          <w:rFonts w:hint="eastAsia" w:ascii="宋体" w:hAnsi="宋体" w:cs="宋体"/>
          <w:color w:val="auto"/>
          <w:highlight w:val="none"/>
        </w:rPr>
        <w:t>为他人提供方便</w:t>
      </w:r>
    </w:p>
    <w:p w14:paraId="23AB4DDF">
      <w:pPr>
        <w:spacing w:line="400" w:lineRule="exact"/>
        <w:ind w:firstLine="420" w:firstLineChars="200"/>
        <w:rPr>
          <w:color w:val="auto"/>
          <w:highlight w:val="none"/>
        </w:rPr>
      </w:pPr>
      <w:r>
        <w:rPr>
          <w:color w:val="auto"/>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7DD72CC3">
      <w:pPr>
        <w:spacing w:line="400" w:lineRule="exact"/>
        <w:ind w:firstLine="420" w:firstLineChars="200"/>
        <w:rPr>
          <w:color w:val="auto"/>
          <w:highlight w:val="none"/>
        </w:rPr>
      </w:pPr>
      <w:r>
        <w:rPr>
          <w:color w:val="auto"/>
          <w:highlight w:val="none"/>
        </w:rPr>
        <w:t xml:space="preserve">4.1.9 </w:t>
      </w:r>
      <w:r>
        <w:rPr>
          <w:rFonts w:hint="eastAsia" w:ascii="宋体" w:hAnsi="宋体" w:cs="宋体"/>
          <w:color w:val="auto"/>
          <w:highlight w:val="none"/>
        </w:rPr>
        <w:t>工程的维护和照管</w:t>
      </w:r>
    </w:p>
    <w:p w14:paraId="42DD435B">
      <w:pPr>
        <w:spacing w:line="400" w:lineRule="exact"/>
        <w:ind w:firstLine="420" w:firstLineChars="200"/>
        <w:rPr>
          <w:color w:val="auto"/>
          <w:highlight w:val="none"/>
        </w:rPr>
      </w:pPr>
      <w:r>
        <w:rPr>
          <w:rFonts w:hint="eastAsia"/>
          <w:color w:val="auto"/>
          <w:highlight w:val="none"/>
        </w:rPr>
        <w:t>（</w:t>
      </w:r>
      <w:r>
        <w:rPr>
          <w:color w:val="auto"/>
          <w:highlight w:val="none"/>
        </w:rPr>
        <w:t>1）除专用合同条款另有约定外，自发包人向承包人移交施工现场之日起，承</w:t>
      </w:r>
      <w:r>
        <w:rPr>
          <w:rFonts w:hint="eastAsia"/>
          <w:color w:val="auto"/>
          <w:highlight w:val="none"/>
        </w:rPr>
        <w:t>包人应负责照管工程及工程相关的材料、工程设备，直到颁发工程接收证书之日止。</w:t>
      </w:r>
    </w:p>
    <w:p w14:paraId="3D6DC01E">
      <w:pPr>
        <w:spacing w:line="400" w:lineRule="exact"/>
        <w:ind w:firstLine="420" w:firstLineChars="200"/>
        <w:rPr>
          <w:color w:val="auto"/>
          <w:highlight w:val="none"/>
        </w:rPr>
      </w:pPr>
      <w:r>
        <w:rPr>
          <w:rFonts w:hint="eastAsia"/>
          <w:color w:val="auto"/>
          <w:highlight w:val="none"/>
        </w:rPr>
        <w:t>（</w:t>
      </w:r>
      <w:r>
        <w:rPr>
          <w:color w:val="auto"/>
          <w:highlight w:val="none"/>
        </w:rPr>
        <w:t>2）在承包人负责照管期间，因承包人原因造成工程、材料、工程设备损坏的，由承包人负责修复或更换，并承担由此增加的费用和（或）延误的工期。</w:t>
      </w:r>
    </w:p>
    <w:p w14:paraId="3670125F">
      <w:pPr>
        <w:spacing w:line="400" w:lineRule="exact"/>
        <w:ind w:firstLine="420" w:firstLineChars="200"/>
        <w:rPr>
          <w:color w:val="auto"/>
          <w:highlight w:val="none"/>
        </w:rPr>
      </w:pPr>
      <w:r>
        <w:rPr>
          <w:rFonts w:hint="eastAsia"/>
          <w:color w:val="auto"/>
          <w:highlight w:val="none"/>
        </w:rPr>
        <w:t>（</w:t>
      </w:r>
      <w:r>
        <w:rPr>
          <w:color w:val="auto"/>
          <w:highlight w:val="none"/>
        </w:rPr>
        <w:t>3）对合同内分期完成的成品和半成品，在工程接收证书颁发前，由承包人承担保护责任。因承包人原因造成成品或半成品损坏的，由承包人负责修复或更换，并承担由此增加的费用和（或）延误的工期。</w:t>
      </w:r>
    </w:p>
    <w:p w14:paraId="047D8754">
      <w:pPr>
        <w:snapToGrid w:val="0"/>
        <w:ind w:firstLine="480" w:firstLineChars="200"/>
        <w:rPr>
          <w:rFonts w:ascii="宋体" w:hAnsi="宋体"/>
          <w:color w:val="auto"/>
          <w:sz w:val="24"/>
          <w:highlight w:val="none"/>
        </w:rPr>
      </w:pPr>
    </w:p>
    <w:p w14:paraId="5EBD598F">
      <w:pPr>
        <w:spacing w:line="400" w:lineRule="exact"/>
        <w:ind w:firstLine="420" w:firstLineChars="200"/>
        <w:rPr>
          <w:color w:val="auto"/>
          <w:highlight w:val="none"/>
        </w:rPr>
      </w:pPr>
      <w:r>
        <w:rPr>
          <w:color w:val="auto"/>
          <w:highlight w:val="none"/>
        </w:rPr>
        <w:t>4.1.10 工程</w:t>
      </w:r>
      <w:r>
        <w:rPr>
          <w:rFonts w:hint="eastAsia"/>
          <w:color w:val="auto"/>
          <w:highlight w:val="none"/>
        </w:rPr>
        <w:t>款的使用</w:t>
      </w:r>
    </w:p>
    <w:p w14:paraId="2121BE0F">
      <w:pPr>
        <w:spacing w:line="400" w:lineRule="exact"/>
        <w:ind w:firstLine="420" w:firstLineChars="200"/>
        <w:rPr>
          <w:color w:val="auto"/>
          <w:highlight w:val="none"/>
        </w:rPr>
      </w:pPr>
      <w:r>
        <w:rPr>
          <w:rFonts w:hint="eastAsia"/>
          <w:color w:val="auto"/>
          <w:highlight w:val="none"/>
        </w:rPr>
        <w:t>将发包人按合同约定支付的各项价款专用于合同工程，且应及时支付其雇用人员工资，并及时向分包人支付合同价款；</w:t>
      </w:r>
    </w:p>
    <w:p w14:paraId="268509A3">
      <w:pPr>
        <w:spacing w:line="400" w:lineRule="exact"/>
        <w:ind w:firstLine="420" w:firstLineChars="200"/>
        <w:rPr>
          <w:color w:val="auto"/>
          <w:highlight w:val="none"/>
        </w:rPr>
      </w:pPr>
      <w:r>
        <w:rPr>
          <w:color w:val="auto"/>
          <w:highlight w:val="none"/>
        </w:rPr>
        <w:t>4.1.11 工程</w:t>
      </w:r>
      <w:r>
        <w:rPr>
          <w:rFonts w:hint="eastAsia"/>
          <w:color w:val="auto"/>
          <w:highlight w:val="none"/>
        </w:rPr>
        <w:t>资料管理</w:t>
      </w:r>
    </w:p>
    <w:p w14:paraId="58CF70EE">
      <w:pPr>
        <w:spacing w:line="400" w:lineRule="exact"/>
        <w:ind w:firstLine="420" w:firstLineChars="200"/>
        <w:rPr>
          <w:color w:val="auto"/>
          <w:highlight w:val="none"/>
        </w:rPr>
      </w:pPr>
      <w:r>
        <w:rPr>
          <w:rFonts w:hint="eastAsia"/>
          <w:color w:val="auto"/>
          <w:highlight w:val="none"/>
        </w:rPr>
        <w:t>承包人应按照法律规定和合同约定编制竣工资料，及时按照双方合同约定时间，配合发包人完成竣工所需资料立卷及归档，并按专用合同条款约定的竣工资料的套数、内容、时间等要求移交发包人，并保证其真实可靠性。</w:t>
      </w:r>
    </w:p>
    <w:p w14:paraId="292C3593">
      <w:pPr>
        <w:spacing w:line="400" w:lineRule="exact"/>
        <w:ind w:firstLine="420" w:firstLineChars="200"/>
        <w:rPr>
          <w:color w:val="auto"/>
          <w:highlight w:val="none"/>
        </w:rPr>
      </w:pPr>
      <w:r>
        <w:rPr>
          <w:color w:val="auto"/>
          <w:highlight w:val="none"/>
        </w:rPr>
        <w:t xml:space="preserve">4.1.12 </w:t>
      </w:r>
      <w:r>
        <w:rPr>
          <w:rFonts w:hint="eastAsia" w:ascii="宋体" w:hAnsi="宋体" w:cs="宋体"/>
          <w:color w:val="auto"/>
          <w:highlight w:val="none"/>
        </w:rPr>
        <w:t>其他义务</w:t>
      </w:r>
    </w:p>
    <w:p w14:paraId="20101D73">
      <w:pPr>
        <w:spacing w:line="400" w:lineRule="exact"/>
        <w:ind w:firstLine="420" w:firstLineChars="200"/>
        <w:rPr>
          <w:color w:val="auto"/>
          <w:highlight w:val="none"/>
        </w:rPr>
      </w:pPr>
      <w:r>
        <w:rPr>
          <w:color w:val="auto"/>
          <w:highlight w:val="none"/>
        </w:rPr>
        <w:t>承包人应履行合同约定的其他义务。</w:t>
      </w:r>
    </w:p>
    <w:p w14:paraId="25467E79">
      <w:pPr>
        <w:keepNext/>
        <w:keepLines/>
        <w:spacing w:line="400" w:lineRule="exact"/>
        <w:outlineLvl w:val="2"/>
        <w:rPr>
          <w:rFonts w:eastAsia="黑体"/>
          <w:color w:val="auto"/>
          <w:sz w:val="24"/>
          <w:szCs w:val="20"/>
          <w:highlight w:val="none"/>
        </w:rPr>
      </w:pPr>
      <w:bookmarkStart w:id="837" w:name="_Toc152045641"/>
      <w:bookmarkStart w:id="838" w:name="_Toc159950643"/>
      <w:bookmarkStart w:id="839" w:name="_Toc342296292"/>
      <w:bookmarkStart w:id="840" w:name="_Toc179632659"/>
      <w:bookmarkStart w:id="841" w:name="_Toc152042419"/>
      <w:bookmarkStart w:id="842" w:name="_Toc338944734"/>
      <w:bookmarkStart w:id="843" w:name="_Toc144974609"/>
      <w:r>
        <w:rPr>
          <w:rFonts w:eastAsia="黑体"/>
          <w:color w:val="auto"/>
          <w:sz w:val="24"/>
          <w:szCs w:val="20"/>
          <w:highlight w:val="none"/>
        </w:rPr>
        <w:t>4.2 履约担保</w:t>
      </w:r>
      <w:bookmarkEnd w:id="837"/>
      <w:bookmarkEnd w:id="838"/>
      <w:bookmarkEnd w:id="839"/>
      <w:bookmarkEnd w:id="840"/>
      <w:bookmarkEnd w:id="841"/>
      <w:bookmarkEnd w:id="842"/>
      <w:bookmarkEnd w:id="843"/>
    </w:p>
    <w:p w14:paraId="1C6EBC8E">
      <w:pPr>
        <w:spacing w:line="400" w:lineRule="exact"/>
        <w:ind w:firstLine="420" w:firstLineChars="200"/>
        <w:rPr>
          <w:color w:val="auto"/>
          <w:highlight w:val="none"/>
        </w:rPr>
      </w:pPr>
      <w:r>
        <w:rPr>
          <w:color w:val="auto"/>
          <w:highlight w:val="none"/>
        </w:rPr>
        <w:t>承包人应保证其履约担保在发包人颁发工程接收证书前一直有效。发包人应在工程接收证书颁发后28天内把履约担保退还给承包人。</w:t>
      </w:r>
    </w:p>
    <w:p w14:paraId="5F4449D5">
      <w:pPr>
        <w:keepNext/>
        <w:keepLines/>
        <w:spacing w:line="400" w:lineRule="exact"/>
        <w:outlineLvl w:val="2"/>
        <w:rPr>
          <w:rFonts w:eastAsia="黑体"/>
          <w:color w:val="auto"/>
          <w:sz w:val="24"/>
          <w:szCs w:val="20"/>
          <w:highlight w:val="none"/>
        </w:rPr>
      </w:pPr>
      <w:bookmarkStart w:id="844" w:name="_Toc342296293"/>
      <w:bookmarkStart w:id="845" w:name="_Toc338944735"/>
      <w:bookmarkStart w:id="846" w:name="_Toc159950644"/>
      <w:r>
        <w:rPr>
          <w:rFonts w:eastAsia="黑体"/>
          <w:color w:val="auto"/>
          <w:sz w:val="24"/>
          <w:szCs w:val="20"/>
          <w:highlight w:val="none"/>
        </w:rPr>
        <w:t>4.3 分包</w:t>
      </w:r>
      <w:bookmarkEnd w:id="844"/>
      <w:bookmarkEnd w:id="845"/>
      <w:bookmarkEnd w:id="846"/>
    </w:p>
    <w:p w14:paraId="59D15DB3">
      <w:pPr>
        <w:spacing w:line="400" w:lineRule="exact"/>
        <w:ind w:firstLine="420" w:firstLineChars="200"/>
        <w:rPr>
          <w:color w:val="auto"/>
          <w:highlight w:val="none"/>
        </w:rPr>
      </w:pPr>
      <w:r>
        <w:rPr>
          <w:color w:val="auto"/>
          <w:highlight w:val="none"/>
        </w:rPr>
        <w:t>4.3.1 承包人不得将其承包的全部工程转包给第三人，或将其承包的全部工程肢解后以分包的名义转包给第三人。</w:t>
      </w:r>
    </w:p>
    <w:p w14:paraId="50047664">
      <w:pPr>
        <w:spacing w:line="400" w:lineRule="exact"/>
        <w:ind w:firstLine="420" w:firstLineChars="200"/>
        <w:rPr>
          <w:color w:val="auto"/>
          <w:highlight w:val="none"/>
        </w:rPr>
      </w:pPr>
      <w:r>
        <w:rPr>
          <w:color w:val="auto"/>
          <w:highlight w:val="none"/>
        </w:rPr>
        <w:t>4.3.2 承包人不得将工程主体、关键性工作分包给第三人。除专用合同条款另有约定外，未经发包人同意，承包人不得将工程的其他部分或工作分包给第三人。</w:t>
      </w:r>
    </w:p>
    <w:p w14:paraId="563EB66A">
      <w:pPr>
        <w:spacing w:line="400" w:lineRule="exact"/>
        <w:ind w:firstLine="420" w:firstLineChars="200"/>
        <w:rPr>
          <w:color w:val="auto"/>
          <w:highlight w:val="none"/>
        </w:rPr>
      </w:pPr>
      <w:r>
        <w:rPr>
          <w:color w:val="auto"/>
          <w:highlight w:val="none"/>
        </w:rPr>
        <w:t>4.3.3 分包人的资格能力应与其分包工程的标准和规模相适应。</w:t>
      </w:r>
    </w:p>
    <w:p w14:paraId="3EE8E36A">
      <w:pPr>
        <w:spacing w:line="400" w:lineRule="exact"/>
        <w:ind w:firstLine="420" w:firstLineChars="200"/>
        <w:rPr>
          <w:color w:val="auto"/>
          <w:highlight w:val="none"/>
        </w:rPr>
      </w:pPr>
      <w:r>
        <w:rPr>
          <w:color w:val="auto"/>
          <w:highlight w:val="none"/>
        </w:rPr>
        <w:t>4.3.4 按投标函附录约定分包工程的，承包人应向发包人和监理人提交分包合同副本。</w:t>
      </w:r>
    </w:p>
    <w:p w14:paraId="07692A5C">
      <w:pPr>
        <w:spacing w:line="400" w:lineRule="exact"/>
        <w:ind w:firstLine="420" w:firstLineChars="200"/>
        <w:rPr>
          <w:color w:val="auto"/>
          <w:highlight w:val="none"/>
        </w:rPr>
      </w:pPr>
      <w:r>
        <w:rPr>
          <w:color w:val="auto"/>
          <w:highlight w:val="none"/>
        </w:rPr>
        <w:t>4.3.5 承包人应与分包人就分包工程向发包人承担连带责任。</w:t>
      </w:r>
    </w:p>
    <w:p w14:paraId="688ABE85">
      <w:pPr>
        <w:keepNext/>
        <w:keepLines/>
        <w:spacing w:line="400" w:lineRule="exact"/>
        <w:outlineLvl w:val="2"/>
        <w:rPr>
          <w:rFonts w:eastAsia="黑体"/>
          <w:color w:val="auto"/>
          <w:sz w:val="24"/>
          <w:szCs w:val="20"/>
          <w:highlight w:val="none"/>
        </w:rPr>
      </w:pPr>
      <w:bookmarkStart w:id="847" w:name="_Toc159950645"/>
      <w:r>
        <w:rPr>
          <w:rFonts w:eastAsia="黑体"/>
          <w:color w:val="auto"/>
          <w:sz w:val="24"/>
          <w:szCs w:val="20"/>
          <w:highlight w:val="none"/>
        </w:rPr>
        <w:t>4.3.6</w:t>
      </w:r>
      <w:r>
        <w:rPr>
          <w:rFonts w:hint="eastAsia" w:eastAsia="黑体"/>
          <w:color w:val="auto"/>
          <w:sz w:val="24"/>
          <w:szCs w:val="20"/>
          <w:highlight w:val="none"/>
        </w:rPr>
        <w:t>承包人应向监理人提交分包人的主要施工管理人员表，并对分包人的施工人员进行实名制管理。</w:t>
      </w:r>
      <w:bookmarkEnd w:id="847"/>
      <w:bookmarkStart w:id="848" w:name="_Toc152042421"/>
      <w:bookmarkStart w:id="849" w:name="_Toc338944736"/>
      <w:bookmarkStart w:id="850" w:name="_Toc342296294"/>
      <w:bookmarkStart w:id="851" w:name="_Toc179632661"/>
      <w:bookmarkStart w:id="852" w:name="_Toc152045643"/>
      <w:bookmarkStart w:id="853" w:name="_Toc144974611"/>
    </w:p>
    <w:p w14:paraId="2DBBEFE0">
      <w:pPr>
        <w:keepNext/>
        <w:keepLines/>
        <w:spacing w:line="400" w:lineRule="exact"/>
        <w:outlineLvl w:val="2"/>
        <w:rPr>
          <w:rFonts w:eastAsia="黑体"/>
          <w:color w:val="auto"/>
          <w:sz w:val="24"/>
          <w:szCs w:val="20"/>
          <w:highlight w:val="none"/>
        </w:rPr>
      </w:pPr>
      <w:bookmarkStart w:id="854" w:name="_Toc159950646"/>
      <w:r>
        <w:rPr>
          <w:rFonts w:eastAsia="黑体"/>
          <w:color w:val="auto"/>
          <w:sz w:val="24"/>
          <w:szCs w:val="20"/>
          <w:highlight w:val="none"/>
        </w:rPr>
        <w:t>4.4 联合体</w:t>
      </w:r>
      <w:bookmarkEnd w:id="848"/>
      <w:bookmarkEnd w:id="849"/>
      <w:bookmarkEnd w:id="850"/>
      <w:bookmarkEnd w:id="851"/>
      <w:bookmarkEnd w:id="852"/>
      <w:bookmarkEnd w:id="853"/>
      <w:bookmarkEnd w:id="854"/>
    </w:p>
    <w:p w14:paraId="1DEE2C02">
      <w:pPr>
        <w:spacing w:line="400" w:lineRule="exact"/>
        <w:ind w:firstLine="420" w:firstLineChars="200"/>
        <w:rPr>
          <w:color w:val="auto"/>
          <w:highlight w:val="none"/>
        </w:rPr>
      </w:pPr>
      <w:r>
        <w:rPr>
          <w:color w:val="auto"/>
          <w:highlight w:val="none"/>
        </w:rPr>
        <w:t>4.4.1 联合体各方应共同与发包人签订合同协议书。联合体各方应为履行合同承担连带责任。</w:t>
      </w:r>
    </w:p>
    <w:p w14:paraId="551B1514">
      <w:pPr>
        <w:spacing w:line="400" w:lineRule="exact"/>
        <w:ind w:firstLine="420" w:firstLineChars="200"/>
        <w:rPr>
          <w:color w:val="auto"/>
          <w:highlight w:val="none"/>
        </w:rPr>
      </w:pPr>
      <w:r>
        <w:rPr>
          <w:color w:val="auto"/>
          <w:highlight w:val="none"/>
        </w:rPr>
        <w:t>4.4.2 联合体协议经发包人确认后作为合同附件。在履行合同过程中，未经发包人同意，不得修改联合体协议。</w:t>
      </w:r>
    </w:p>
    <w:p w14:paraId="0B047DA1">
      <w:pPr>
        <w:spacing w:line="400" w:lineRule="exact"/>
        <w:ind w:firstLine="420" w:firstLineChars="200"/>
        <w:rPr>
          <w:color w:val="auto"/>
          <w:highlight w:val="none"/>
        </w:rPr>
      </w:pPr>
      <w:r>
        <w:rPr>
          <w:color w:val="auto"/>
          <w:highlight w:val="none"/>
        </w:rPr>
        <w:t>4.4.3 联合体牵头人负责与发包人和监理人联系，并接受指示，负责组织联合体各成员全面履行合同。</w:t>
      </w:r>
    </w:p>
    <w:p w14:paraId="46544967">
      <w:pPr>
        <w:keepNext/>
        <w:keepLines/>
        <w:spacing w:line="400" w:lineRule="exact"/>
        <w:outlineLvl w:val="2"/>
        <w:rPr>
          <w:rFonts w:eastAsia="黑体"/>
          <w:color w:val="auto"/>
          <w:sz w:val="24"/>
          <w:szCs w:val="20"/>
          <w:highlight w:val="none"/>
        </w:rPr>
      </w:pPr>
      <w:bookmarkStart w:id="855" w:name="_Toc338944737"/>
      <w:bookmarkStart w:id="856" w:name="_Toc342296295"/>
      <w:bookmarkStart w:id="857" w:name="_Toc159950647"/>
      <w:r>
        <w:rPr>
          <w:rFonts w:eastAsia="黑体"/>
          <w:color w:val="auto"/>
          <w:sz w:val="24"/>
          <w:szCs w:val="20"/>
          <w:highlight w:val="none"/>
        </w:rPr>
        <w:t>4.5 承包人项目经理</w:t>
      </w:r>
      <w:bookmarkEnd w:id="855"/>
      <w:bookmarkEnd w:id="856"/>
      <w:bookmarkEnd w:id="857"/>
    </w:p>
    <w:p w14:paraId="2A90CBF0">
      <w:pPr>
        <w:spacing w:line="400" w:lineRule="exact"/>
        <w:ind w:firstLine="420" w:firstLineChars="200"/>
        <w:rPr>
          <w:color w:val="auto"/>
          <w:highlight w:val="none"/>
        </w:rPr>
      </w:pPr>
      <w:r>
        <w:rPr>
          <w:color w:val="auto"/>
          <w:highlight w:val="none"/>
        </w:rPr>
        <w:t>4.5.1</w:t>
      </w:r>
      <w:r>
        <w:rPr>
          <w:rFonts w:hint="eastAsia"/>
          <w:color w:val="auto"/>
          <w:highlight w:val="none"/>
        </w:rPr>
        <w:t>项目经理应为合同当事人所确认的人选，</w:t>
      </w:r>
      <w:r>
        <w:rPr>
          <w:color w:val="auto"/>
          <w:highlight w:val="none"/>
        </w:rPr>
        <w:t>并在约定的期限内到职</w:t>
      </w:r>
      <w:r>
        <w:rPr>
          <w:rFonts w:hint="eastAsia"/>
          <w:color w:val="auto"/>
          <w:highlight w:val="none"/>
        </w:rPr>
        <w:t>。项目经理的姓名、职称、注册执业证书编号、联系方式及授权范围等应在专用合同条款中明确。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0FEC6FA9">
      <w:pPr>
        <w:spacing w:line="400" w:lineRule="exact"/>
        <w:ind w:firstLine="420" w:firstLineChars="200"/>
        <w:rPr>
          <w:color w:val="auto"/>
          <w:highlight w:val="none"/>
        </w:rPr>
      </w:pPr>
      <w:r>
        <w:rPr>
          <w:rFonts w:hint="eastAsia"/>
          <w:color w:val="auto"/>
          <w:highlight w:val="none"/>
        </w:rPr>
        <w:t>项目经理应常驻施工现场，且每月在施工现场时间不得少于专用合同条款约定的天数。项目经理不得同时担任其他项目的项目经理。项目经理确需离开施工现场时，应事先14天通知监理人，并取得发包人的书面同意。项目经理的通知中应当载明临时代行其职责的人员的注册执业资格、管理经验等资料，该人员应具备履行相应职责的能力。</w:t>
      </w:r>
    </w:p>
    <w:p w14:paraId="7C846615">
      <w:pPr>
        <w:spacing w:line="400" w:lineRule="exact"/>
        <w:ind w:firstLine="420" w:firstLineChars="200"/>
        <w:rPr>
          <w:color w:val="auto"/>
          <w:highlight w:val="none"/>
        </w:rPr>
      </w:pPr>
      <w:r>
        <w:rPr>
          <w:color w:val="auto"/>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7E4D1C9A">
      <w:pPr>
        <w:spacing w:line="400" w:lineRule="exact"/>
        <w:ind w:firstLine="420" w:firstLineChars="200"/>
        <w:rPr>
          <w:color w:val="auto"/>
          <w:highlight w:val="none"/>
        </w:rPr>
      </w:pPr>
      <w:r>
        <w:rPr>
          <w:color w:val="auto"/>
          <w:highlight w:val="none"/>
        </w:rPr>
        <w:t>4.5.3承包人为履行合同发出的一切函件均应盖有承包人授权的施工场地管理机构章，并由承包人项目经理或其授权代表签字。</w:t>
      </w:r>
    </w:p>
    <w:p w14:paraId="6F4F2C37">
      <w:pPr>
        <w:spacing w:line="400" w:lineRule="exact"/>
        <w:ind w:firstLine="420" w:firstLineChars="200"/>
        <w:rPr>
          <w:color w:val="auto"/>
          <w:highlight w:val="none"/>
        </w:rPr>
      </w:pPr>
      <w:r>
        <w:rPr>
          <w:color w:val="auto"/>
          <w:highlight w:val="none"/>
        </w:rPr>
        <w:t>4.5.4 承包人项目经理可以授权其下属人员履行其某项职责，但事先应将这些人员的姓名和授权范围通知监理人。</w:t>
      </w:r>
    </w:p>
    <w:p w14:paraId="4B6025F4">
      <w:pPr>
        <w:keepNext/>
        <w:keepLines/>
        <w:spacing w:line="400" w:lineRule="exact"/>
        <w:outlineLvl w:val="2"/>
        <w:rPr>
          <w:rFonts w:eastAsia="黑体"/>
          <w:color w:val="auto"/>
          <w:sz w:val="24"/>
          <w:szCs w:val="20"/>
          <w:highlight w:val="none"/>
        </w:rPr>
      </w:pPr>
      <w:bookmarkStart w:id="858" w:name="_Toc144974613"/>
      <w:bookmarkStart w:id="859" w:name="_Toc152045645"/>
      <w:bookmarkStart w:id="860" w:name="_Toc152042423"/>
      <w:bookmarkStart w:id="861" w:name="_Toc179632663"/>
      <w:bookmarkStart w:id="862" w:name="_Toc342296296"/>
      <w:bookmarkStart w:id="863" w:name="_Toc159950648"/>
      <w:bookmarkStart w:id="864" w:name="_Toc338944738"/>
      <w:r>
        <w:rPr>
          <w:rFonts w:eastAsia="黑体"/>
          <w:color w:val="auto"/>
          <w:sz w:val="24"/>
          <w:szCs w:val="20"/>
          <w:highlight w:val="none"/>
        </w:rPr>
        <w:t>4.6 承包人人员的管理</w:t>
      </w:r>
      <w:bookmarkEnd w:id="858"/>
      <w:bookmarkEnd w:id="859"/>
      <w:bookmarkEnd w:id="860"/>
      <w:bookmarkEnd w:id="861"/>
      <w:bookmarkEnd w:id="862"/>
      <w:bookmarkEnd w:id="863"/>
      <w:bookmarkEnd w:id="864"/>
    </w:p>
    <w:p w14:paraId="429CD1BD">
      <w:pPr>
        <w:spacing w:line="400" w:lineRule="exact"/>
        <w:ind w:firstLine="420" w:firstLineChars="200"/>
        <w:rPr>
          <w:color w:val="auto"/>
          <w:highlight w:val="none"/>
        </w:rPr>
      </w:pPr>
      <w:r>
        <w:rPr>
          <w:color w:val="auto"/>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w:t>
      </w:r>
      <w:r>
        <w:rPr>
          <w:rFonts w:hint="eastAsia"/>
          <w:color w:val="auto"/>
          <w:highlight w:val="none"/>
        </w:rPr>
        <w:t>并同时提交主要施工管理人员与承包人之间的劳动关系证明和缴纳社会保险的有效证明。</w:t>
      </w:r>
      <w:r>
        <w:rPr>
          <w:color w:val="auto"/>
          <w:highlight w:val="none"/>
        </w:rPr>
        <w:t>承包人应向监理人提交施工场地人员变动情况的报告。</w:t>
      </w:r>
    </w:p>
    <w:p w14:paraId="1527202C">
      <w:pPr>
        <w:spacing w:line="400" w:lineRule="exact"/>
        <w:ind w:firstLine="420" w:firstLineChars="200"/>
        <w:rPr>
          <w:color w:val="auto"/>
          <w:highlight w:val="none"/>
        </w:rPr>
      </w:pPr>
      <w:r>
        <w:rPr>
          <w:color w:val="auto"/>
          <w:highlight w:val="none"/>
        </w:rPr>
        <w:t>4.6.2 为完成合同约定的各项工作，承包人应向施工场地派遣或雇佣足够数量的下列人员：</w:t>
      </w:r>
    </w:p>
    <w:p w14:paraId="1909E9AA">
      <w:pPr>
        <w:spacing w:line="400" w:lineRule="exact"/>
        <w:rPr>
          <w:color w:val="auto"/>
          <w:highlight w:val="none"/>
        </w:rPr>
      </w:pPr>
      <w:r>
        <w:rPr>
          <w:color w:val="auto"/>
          <w:highlight w:val="none"/>
        </w:rPr>
        <w:t>（1）具有相应资格的专业技工和合格的普工；</w:t>
      </w:r>
    </w:p>
    <w:p w14:paraId="2C55E2A5">
      <w:pPr>
        <w:spacing w:line="400" w:lineRule="exact"/>
        <w:rPr>
          <w:color w:val="auto"/>
          <w:highlight w:val="none"/>
        </w:rPr>
      </w:pPr>
      <w:r>
        <w:rPr>
          <w:color w:val="auto"/>
          <w:highlight w:val="none"/>
        </w:rPr>
        <w:t>（2）具有相应施工经验的技术人员；</w:t>
      </w:r>
    </w:p>
    <w:p w14:paraId="75E49D25">
      <w:pPr>
        <w:spacing w:line="400" w:lineRule="exact"/>
        <w:rPr>
          <w:color w:val="auto"/>
          <w:highlight w:val="none"/>
        </w:rPr>
      </w:pPr>
      <w:r>
        <w:rPr>
          <w:color w:val="auto"/>
          <w:highlight w:val="none"/>
        </w:rPr>
        <w:t>（3）具有相应岗位资格的各级管理人员。</w:t>
      </w:r>
    </w:p>
    <w:p w14:paraId="5E6D8009">
      <w:pPr>
        <w:spacing w:line="400" w:lineRule="exact"/>
        <w:rPr>
          <w:color w:val="auto"/>
          <w:highlight w:val="none"/>
        </w:rPr>
      </w:pPr>
      <w:r>
        <w:rPr>
          <w:color w:val="auto"/>
          <w:highlight w:val="none"/>
        </w:rPr>
        <w:t>4.6.3 承包人安排在施工场地的主要管理人员和技术骨干应相对稳定。承包人更换主要管理人员和技术骨干时，应取得监理人的同意。</w:t>
      </w:r>
    </w:p>
    <w:p w14:paraId="29D5D32E">
      <w:pPr>
        <w:spacing w:line="400" w:lineRule="exact"/>
        <w:ind w:firstLine="420" w:firstLineChars="200"/>
        <w:rPr>
          <w:color w:val="auto"/>
          <w:highlight w:val="none"/>
        </w:rPr>
      </w:pPr>
      <w:r>
        <w:rPr>
          <w:color w:val="auto"/>
          <w:highlight w:val="none"/>
        </w:rPr>
        <w:t>4.6.4 特殊岗位的工作人员均应持有相应的资格证明，监理人有权随时检查。监理人认为有必要时，可进行现场考核。</w:t>
      </w:r>
    </w:p>
    <w:p w14:paraId="0B13537F">
      <w:pPr>
        <w:keepNext/>
        <w:keepLines/>
        <w:spacing w:line="400" w:lineRule="exact"/>
        <w:outlineLvl w:val="2"/>
        <w:rPr>
          <w:rFonts w:eastAsia="黑体"/>
          <w:color w:val="auto"/>
          <w:sz w:val="24"/>
          <w:szCs w:val="20"/>
          <w:highlight w:val="none"/>
        </w:rPr>
      </w:pPr>
      <w:bookmarkStart w:id="865" w:name="_Toc342296297"/>
      <w:bookmarkStart w:id="866" w:name="_Toc338944739"/>
      <w:bookmarkStart w:id="867" w:name="_Toc179632664"/>
      <w:bookmarkStart w:id="868" w:name="_Toc152045646"/>
      <w:bookmarkStart w:id="869" w:name="_Toc159950649"/>
      <w:bookmarkStart w:id="870" w:name="_Toc152042424"/>
      <w:bookmarkStart w:id="871" w:name="_Toc144974614"/>
      <w:r>
        <w:rPr>
          <w:rFonts w:eastAsia="黑体"/>
          <w:color w:val="auto"/>
          <w:sz w:val="24"/>
          <w:szCs w:val="20"/>
          <w:highlight w:val="none"/>
        </w:rPr>
        <w:t>4.7 撤换承包人项目经理和其他人员</w:t>
      </w:r>
      <w:bookmarkEnd w:id="865"/>
      <w:bookmarkEnd w:id="866"/>
      <w:bookmarkEnd w:id="867"/>
      <w:bookmarkEnd w:id="868"/>
      <w:bookmarkEnd w:id="869"/>
      <w:bookmarkEnd w:id="870"/>
      <w:bookmarkEnd w:id="871"/>
    </w:p>
    <w:p w14:paraId="7F76E30F">
      <w:pPr>
        <w:spacing w:line="400" w:lineRule="exact"/>
        <w:rPr>
          <w:color w:val="auto"/>
          <w:highlight w:val="none"/>
        </w:rPr>
      </w:pPr>
      <w:r>
        <w:rPr>
          <w:color w:val="auto"/>
          <w:highlight w:val="none"/>
        </w:rPr>
        <w:t>承包人应对其项目经理和其他人员进行有效管理。</w:t>
      </w:r>
      <w:r>
        <w:rPr>
          <w:rFonts w:hint="eastAsia"/>
          <w:color w:val="auto"/>
          <w:highlight w:val="none"/>
        </w:rPr>
        <w:t>发包人对于承包人主要施工管理人员的资格或能力有异议的，要求撤换不能按照合同约定履行职责及义务的主要施工管理人员的，承包人应当撤换。承包人无正当理由拒绝撤换的，应按照专用合同条款的约定承担违约责任。</w:t>
      </w:r>
    </w:p>
    <w:p w14:paraId="0EF1B1EF">
      <w:pPr>
        <w:spacing w:line="400" w:lineRule="exact"/>
        <w:ind w:firstLine="420" w:firstLineChars="200"/>
        <w:rPr>
          <w:color w:val="auto"/>
          <w:highlight w:val="none"/>
        </w:rPr>
      </w:pPr>
      <w:r>
        <w:rPr>
          <w:color w:val="auto"/>
          <w:highlight w:val="none"/>
        </w:rPr>
        <w:t>监理人要求撤换不能胜任本职工作、行为不端或玩忽职守的承包人项目经理和其他人员的，承包人应予以撤换。</w:t>
      </w:r>
    </w:p>
    <w:p w14:paraId="6943DE7C">
      <w:pPr>
        <w:keepNext/>
        <w:keepLines/>
        <w:spacing w:line="400" w:lineRule="exact"/>
        <w:outlineLvl w:val="2"/>
        <w:rPr>
          <w:rFonts w:eastAsia="黑体"/>
          <w:color w:val="auto"/>
          <w:sz w:val="24"/>
          <w:szCs w:val="20"/>
          <w:highlight w:val="none"/>
        </w:rPr>
      </w:pPr>
      <w:bookmarkStart w:id="872" w:name="_Toc152042425"/>
      <w:bookmarkStart w:id="873" w:name="_Toc179632665"/>
      <w:bookmarkStart w:id="874" w:name="_Toc159950650"/>
      <w:bookmarkStart w:id="875" w:name="_Toc342296298"/>
      <w:bookmarkStart w:id="876" w:name="_Toc152045647"/>
      <w:bookmarkStart w:id="877" w:name="_Toc144974615"/>
      <w:bookmarkStart w:id="878" w:name="_Toc338944740"/>
      <w:r>
        <w:rPr>
          <w:rFonts w:eastAsia="黑体"/>
          <w:color w:val="auto"/>
          <w:sz w:val="24"/>
          <w:szCs w:val="20"/>
          <w:highlight w:val="none"/>
        </w:rPr>
        <w:t>4.8 保障承包人人员的合法权益</w:t>
      </w:r>
      <w:bookmarkEnd w:id="872"/>
      <w:bookmarkEnd w:id="873"/>
      <w:bookmarkEnd w:id="874"/>
      <w:bookmarkEnd w:id="875"/>
      <w:bookmarkEnd w:id="876"/>
      <w:bookmarkEnd w:id="877"/>
      <w:bookmarkEnd w:id="878"/>
    </w:p>
    <w:p w14:paraId="6BBB31E1">
      <w:pPr>
        <w:spacing w:line="400" w:lineRule="exact"/>
        <w:ind w:firstLine="420" w:firstLineChars="200"/>
        <w:rPr>
          <w:color w:val="auto"/>
          <w:highlight w:val="none"/>
        </w:rPr>
      </w:pPr>
      <w:r>
        <w:rPr>
          <w:color w:val="auto"/>
          <w:highlight w:val="none"/>
        </w:rPr>
        <w:t>4.8.1 承包人应与其雇佣的人员签订劳动合同，并按时发放工资。</w:t>
      </w:r>
    </w:p>
    <w:p w14:paraId="07758817">
      <w:pPr>
        <w:spacing w:line="400" w:lineRule="exact"/>
        <w:ind w:firstLine="420" w:firstLineChars="200"/>
        <w:rPr>
          <w:color w:val="auto"/>
          <w:highlight w:val="none"/>
        </w:rPr>
      </w:pPr>
      <w:r>
        <w:rPr>
          <w:color w:val="auto"/>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42F29DDE">
      <w:pPr>
        <w:spacing w:line="400" w:lineRule="exact"/>
        <w:ind w:firstLine="420" w:firstLineChars="200"/>
        <w:rPr>
          <w:color w:val="auto"/>
          <w:highlight w:val="none"/>
        </w:rPr>
      </w:pPr>
      <w:r>
        <w:rPr>
          <w:color w:val="auto"/>
          <w:highlight w:val="none"/>
        </w:rPr>
        <w:t>4.8.3 承包人应为其雇佣人员提供必要的食宿条件，以及符合环境保护和卫生要求的生活环境，在远离城镇的施工场地，还应配备必要的伤病防治和急救的医务人员与医疗设施。</w:t>
      </w:r>
    </w:p>
    <w:p w14:paraId="709F1A5F">
      <w:pPr>
        <w:spacing w:line="400" w:lineRule="exact"/>
        <w:ind w:firstLine="420" w:firstLineChars="200"/>
        <w:rPr>
          <w:color w:val="auto"/>
          <w:highlight w:val="none"/>
        </w:rPr>
      </w:pPr>
      <w:r>
        <w:rPr>
          <w:color w:val="auto"/>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22C3AEB7">
      <w:pPr>
        <w:spacing w:line="400" w:lineRule="exact"/>
        <w:ind w:firstLine="420" w:firstLineChars="200"/>
        <w:rPr>
          <w:color w:val="auto"/>
          <w:highlight w:val="none"/>
        </w:rPr>
      </w:pPr>
      <w:r>
        <w:rPr>
          <w:color w:val="auto"/>
          <w:highlight w:val="none"/>
        </w:rPr>
        <w:t>4.8.5 承包人应按有关法律规定和合同约定，为其雇佣人员办理保险。</w:t>
      </w:r>
    </w:p>
    <w:p w14:paraId="4812743A">
      <w:pPr>
        <w:spacing w:line="400" w:lineRule="exact"/>
        <w:ind w:firstLine="420" w:firstLineChars="200"/>
        <w:rPr>
          <w:color w:val="auto"/>
          <w:highlight w:val="none"/>
        </w:rPr>
      </w:pPr>
      <w:r>
        <w:rPr>
          <w:color w:val="auto"/>
          <w:highlight w:val="none"/>
        </w:rPr>
        <w:t>4.8.6 承包人应负责处理其雇佣人员因工伤亡事故的善后事宜。</w:t>
      </w:r>
    </w:p>
    <w:p w14:paraId="0701B56F">
      <w:pPr>
        <w:keepNext/>
        <w:keepLines/>
        <w:spacing w:line="400" w:lineRule="exact"/>
        <w:outlineLvl w:val="2"/>
        <w:rPr>
          <w:rFonts w:eastAsia="黑体"/>
          <w:color w:val="auto"/>
          <w:sz w:val="24"/>
          <w:szCs w:val="20"/>
          <w:highlight w:val="none"/>
        </w:rPr>
      </w:pPr>
      <w:bookmarkStart w:id="879" w:name="_Toc342296299"/>
      <w:bookmarkStart w:id="880" w:name="_Toc152045648"/>
      <w:bookmarkStart w:id="881" w:name="_Toc338944741"/>
      <w:bookmarkStart w:id="882" w:name="_Toc179632666"/>
      <w:bookmarkStart w:id="883" w:name="_Toc144974616"/>
      <w:bookmarkStart w:id="884" w:name="_Toc159950651"/>
      <w:bookmarkStart w:id="885" w:name="_Toc152042426"/>
      <w:r>
        <w:rPr>
          <w:rFonts w:eastAsia="黑体"/>
          <w:color w:val="auto"/>
          <w:sz w:val="24"/>
          <w:szCs w:val="20"/>
          <w:highlight w:val="none"/>
        </w:rPr>
        <w:t>4.9 工程价款应专款专用</w:t>
      </w:r>
      <w:bookmarkEnd w:id="879"/>
      <w:bookmarkEnd w:id="880"/>
      <w:bookmarkEnd w:id="881"/>
      <w:bookmarkEnd w:id="882"/>
      <w:bookmarkEnd w:id="883"/>
      <w:bookmarkEnd w:id="884"/>
      <w:bookmarkEnd w:id="885"/>
    </w:p>
    <w:p w14:paraId="679A0710">
      <w:pPr>
        <w:spacing w:line="400" w:lineRule="exact"/>
        <w:ind w:firstLine="420" w:firstLineChars="200"/>
        <w:rPr>
          <w:color w:val="auto"/>
          <w:highlight w:val="none"/>
        </w:rPr>
      </w:pPr>
      <w:r>
        <w:rPr>
          <w:color w:val="auto"/>
          <w:highlight w:val="none"/>
        </w:rPr>
        <w:t>发包人按合同约定支付给承包人的各项价款应专用于合同工程。</w:t>
      </w:r>
    </w:p>
    <w:p w14:paraId="1B0DE34E">
      <w:pPr>
        <w:keepNext/>
        <w:keepLines/>
        <w:spacing w:line="400" w:lineRule="exact"/>
        <w:outlineLvl w:val="2"/>
        <w:rPr>
          <w:rFonts w:eastAsia="黑体"/>
          <w:color w:val="auto"/>
          <w:sz w:val="24"/>
          <w:szCs w:val="20"/>
          <w:highlight w:val="none"/>
        </w:rPr>
      </w:pPr>
      <w:bookmarkStart w:id="886" w:name="_Toc338944742"/>
      <w:bookmarkStart w:id="887" w:name="_Toc159950652"/>
      <w:bookmarkStart w:id="888" w:name="_Toc342296300"/>
      <w:bookmarkStart w:id="889" w:name="_Toc179632667"/>
      <w:bookmarkStart w:id="890" w:name="_Toc152045649"/>
      <w:bookmarkStart w:id="891" w:name="_Toc144974617"/>
      <w:bookmarkStart w:id="892" w:name="_Toc152042427"/>
      <w:r>
        <w:rPr>
          <w:rFonts w:eastAsia="黑体"/>
          <w:color w:val="auto"/>
          <w:sz w:val="24"/>
          <w:szCs w:val="20"/>
          <w:highlight w:val="none"/>
        </w:rPr>
        <w:t>4.10 承包人现场查勘</w:t>
      </w:r>
      <w:bookmarkEnd w:id="886"/>
      <w:bookmarkEnd w:id="887"/>
      <w:bookmarkEnd w:id="888"/>
      <w:bookmarkEnd w:id="889"/>
      <w:bookmarkEnd w:id="890"/>
      <w:bookmarkEnd w:id="891"/>
      <w:bookmarkEnd w:id="892"/>
      <w:r>
        <w:rPr>
          <w:rFonts w:eastAsia="黑体"/>
          <w:color w:val="auto"/>
          <w:sz w:val="24"/>
          <w:szCs w:val="20"/>
          <w:highlight w:val="none"/>
        </w:rPr>
        <w:t xml:space="preserve">                                                                                                           </w:t>
      </w:r>
    </w:p>
    <w:p w14:paraId="7ED5EFCA">
      <w:pPr>
        <w:spacing w:line="400" w:lineRule="exact"/>
        <w:ind w:firstLine="420" w:firstLineChars="200"/>
        <w:rPr>
          <w:color w:val="auto"/>
          <w:highlight w:val="none"/>
        </w:rPr>
      </w:pPr>
      <w:r>
        <w:rPr>
          <w:color w:val="auto"/>
          <w:highlight w:val="none"/>
        </w:rPr>
        <w:t>4.10.1 发包人应将其持有的现场地质勘探资料、水文气象资料提供给承包人，并对其准确性负责。但承包人应对其阅读上述有关资料后所作出的解释和推断负责。</w:t>
      </w:r>
    </w:p>
    <w:p w14:paraId="705D0B05">
      <w:pPr>
        <w:spacing w:line="400" w:lineRule="exact"/>
        <w:ind w:firstLine="420" w:firstLineChars="200"/>
        <w:rPr>
          <w:color w:val="auto"/>
          <w:highlight w:val="none"/>
        </w:rPr>
      </w:pPr>
      <w:r>
        <w:rPr>
          <w:color w:val="auto"/>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r>
        <w:rPr>
          <w:rFonts w:hint="eastAsia"/>
          <w:color w:val="auto"/>
          <w:highlight w:val="none"/>
        </w:rPr>
        <w:t>因承包人未能充分查勘、了解前述情况或未能充分估计前述情况所可能产生后果的，承包人承担由此增加的费用和（或）延误的工期。</w:t>
      </w:r>
    </w:p>
    <w:p w14:paraId="3C7CBBB9">
      <w:pPr>
        <w:spacing w:line="400" w:lineRule="exact"/>
        <w:ind w:firstLine="420" w:firstLineChars="200"/>
        <w:rPr>
          <w:color w:val="auto"/>
          <w:highlight w:val="none"/>
        </w:rPr>
      </w:pPr>
      <w:r>
        <w:rPr>
          <w:color w:val="auto"/>
          <w:highlight w:val="none"/>
        </w:rPr>
        <w:t>4.10.3</w:t>
      </w:r>
      <w:r>
        <w:rPr>
          <w:rFonts w:hint="eastAsia"/>
          <w:color w:val="auto"/>
          <w:highlight w:val="none"/>
        </w:rPr>
        <w:t>承包人应对施工场地区域内的天气进行实时监控，发包人有义务对恶劣天气对承包人进行提醒管理。若遭遇风雨雷电等天气，发包人应提前做好防护准备与措施，保证恶劣天气对施工现场的损害达到最小。若因承包人无视天气因素或没有做好充足准备导致施工现场破坏严重、工期拖延情况严重，应有承包人承担相应责任。</w:t>
      </w:r>
    </w:p>
    <w:p w14:paraId="183A7A42">
      <w:pPr>
        <w:spacing w:line="400" w:lineRule="exact"/>
        <w:ind w:firstLine="420" w:firstLineChars="200"/>
        <w:rPr>
          <w:color w:val="auto"/>
          <w:highlight w:val="none"/>
        </w:rPr>
      </w:pPr>
      <w:bookmarkStart w:id="893" w:name="_Toc342296301"/>
      <w:bookmarkStart w:id="894" w:name="_Toc338944743"/>
      <w:r>
        <w:rPr>
          <w:color w:val="auto"/>
          <w:highlight w:val="none"/>
        </w:rPr>
        <w:t>4.11 不利物质条件</w:t>
      </w:r>
      <w:bookmarkEnd w:id="893"/>
      <w:bookmarkEnd w:id="894"/>
    </w:p>
    <w:p w14:paraId="1670E57C">
      <w:pPr>
        <w:spacing w:line="400" w:lineRule="exact"/>
        <w:ind w:firstLine="420" w:firstLineChars="200"/>
        <w:rPr>
          <w:color w:val="auto"/>
          <w:highlight w:val="none"/>
        </w:rPr>
      </w:pPr>
      <w:r>
        <w:rPr>
          <w:color w:val="auto"/>
          <w:highlight w:val="none"/>
        </w:rPr>
        <w:t>4.11.1 不利物质条件，除专用合同条款另有约定外，是指承包人在施工场地遇到的不可预见的自然物质条件、非自然的物质障碍和污染物，包括地下和水文条件，但不包括气候条件。</w:t>
      </w:r>
    </w:p>
    <w:p w14:paraId="04207FAC">
      <w:pPr>
        <w:spacing w:line="400" w:lineRule="exact"/>
        <w:ind w:firstLine="420" w:firstLineChars="200"/>
        <w:rPr>
          <w:color w:val="auto"/>
          <w:highlight w:val="none"/>
        </w:rPr>
      </w:pPr>
      <w:r>
        <w:rPr>
          <w:color w:val="auto"/>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6DCE90BF">
      <w:pPr>
        <w:keepNext/>
        <w:keepLines/>
        <w:spacing w:line="400" w:lineRule="exact"/>
        <w:outlineLvl w:val="1"/>
        <w:rPr>
          <w:rFonts w:eastAsia="黑体" w:cs="仿宋_GB2312"/>
          <w:color w:val="auto"/>
          <w:sz w:val="28"/>
          <w:szCs w:val="20"/>
          <w:highlight w:val="none"/>
        </w:rPr>
      </w:pPr>
      <w:bookmarkStart w:id="895" w:name="_Toc338944744"/>
      <w:bookmarkStart w:id="896" w:name="_Toc342296302"/>
      <w:bookmarkStart w:id="897" w:name="_Toc159950653"/>
      <w:bookmarkStart w:id="898" w:name="_Toc448758526"/>
      <w:bookmarkStart w:id="899" w:name="_Toc448758426"/>
      <w:bookmarkStart w:id="900" w:name="_Toc442365618"/>
      <w:bookmarkStart w:id="901" w:name="_Toc469660021"/>
      <w:r>
        <w:rPr>
          <w:rFonts w:eastAsia="黑体" w:cs="仿宋_GB2312"/>
          <w:color w:val="auto"/>
          <w:sz w:val="28"/>
          <w:szCs w:val="20"/>
          <w:highlight w:val="none"/>
        </w:rPr>
        <w:t>5. 材料和工程设备</w:t>
      </w:r>
      <w:bookmarkEnd w:id="895"/>
      <w:bookmarkEnd w:id="896"/>
      <w:bookmarkEnd w:id="897"/>
      <w:bookmarkEnd w:id="898"/>
      <w:bookmarkEnd w:id="899"/>
      <w:bookmarkEnd w:id="900"/>
      <w:bookmarkEnd w:id="901"/>
    </w:p>
    <w:p w14:paraId="2893D01F">
      <w:pPr>
        <w:keepNext/>
        <w:keepLines/>
        <w:spacing w:line="400" w:lineRule="exact"/>
        <w:outlineLvl w:val="2"/>
        <w:rPr>
          <w:rFonts w:eastAsia="黑体"/>
          <w:color w:val="auto"/>
          <w:sz w:val="24"/>
          <w:szCs w:val="20"/>
          <w:highlight w:val="none"/>
        </w:rPr>
      </w:pPr>
      <w:bookmarkStart w:id="902" w:name="_Toc338944745"/>
      <w:bookmarkStart w:id="903" w:name="_Toc159950654"/>
      <w:bookmarkStart w:id="904" w:name="_Toc342296303"/>
      <w:r>
        <w:rPr>
          <w:rFonts w:eastAsia="黑体"/>
          <w:color w:val="auto"/>
          <w:sz w:val="24"/>
          <w:szCs w:val="20"/>
          <w:highlight w:val="none"/>
        </w:rPr>
        <w:t>5.1 承包人提供的材料和工程设备</w:t>
      </w:r>
      <w:bookmarkEnd w:id="902"/>
      <w:bookmarkEnd w:id="903"/>
      <w:bookmarkEnd w:id="904"/>
    </w:p>
    <w:p w14:paraId="49A3FBEB">
      <w:pPr>
        <w:spacing w:line="400" w:lineRule="exact"/>
        <w:ind w:firstLine="420" w:firstLineChars="200"/>
        <w:rPr>
          <w:color w:val="auto"/>
          <w:highlight w:val="none"/>
        </w:rPr>
      </w:pPr>
      <w:r>
        <w:rPr>
          <w:color w:val="auto"/>
          <w:highlight w:val="none"/>
        </w:rPr>
        <w:t>5.1.1 除专用合同条款另有约定外，承包人提供的材料和工程设备均由承包人负责采购、运输和保管。承包人应对其采购的材料和工程设备负责。</w:t>
      </w:r>
    </w:p>
    <w:p w14:paraId="33044B3A">
      <w:pPr>
        <w:spacing w:line="400" w:lineRule="exact"/>
        <w:ind w:firstLine="420" w:firstLineChars="200"/>
        <w:rPr>
          <w:color w:val="auto"/>
          <w:highlight w:val="none"/>
        </w:rPr>
      </w:pPr>
      <w:r>
        <w:rPr>
          <w:color w:val="auto"/>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46C6B647">
      <w:pPr>
        <w:spacing w:line="400" w:lineRule="exact"/>
        <w:ind w:firstLine="420" w:firstLineChars="200"/>
        <w:rPr>
          <w:color w:val="auto"/>
          <w:highlight w:val="none"/>
        </w:rPr>
      </w:pPr>
      <w:r>
        <w:rPr>
          <w:color w:val="auto"/>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504BA333">
      <w:pPr>
        <w:keepNext/>
        <w:keepLines/>
        <w:spacing w:line="400" w:lineRule="exact"/>
        <w:outlineLvl w:val="2"/>
        <w:rPr>
          <w:rFonts w:eastAsia="黑体"/>
          <w:color w:val="auto"/>
          <w:sz w:val="24"/>
          <w:szCs w:val="20"/>
          <w:highlight w:val="none"/>
        </w:rPr>
      </w:pPr>
      <w:bookmarkStart w:id="905" w:name="_Toc342296304"/>
      <w:bookmarkStart w:id="906" w:name="_Toc159950655"/>
      <w:bookmarkStart w:id="907" w:name="_Toc338944746"/>
      <w:r>
        <w:rPr>
          <w:rFonts w:eastAsia="黑体"/>
          <w:color w:val="auto"/>
          <w:sz w:val="24"/>
          <w:szCs w:val="20"/>
          <w:highlight w:val="none"/>
        </w:rPr>
        <w:t>5.2 发包人提供的材料和工程设备</w:t>
      </w:r>
      <w:bookmarkEnd w:id="905"/>
      <w:bookmarkEnd w:id="906"/>
      <w:bookmarkEnd w:id="907"/>
    </w:p>
    <w:p w14:paraId="00C0BA77">
      <w:pPr>
        <w:spacing w:line="400" w:lineRule="exact"/>
        <w:ind w:firstLine="420" w:firstLineChars="200"/>
        <w:rPr>
          <w:color w:val="auto"/>
          <w:highlight w:val="none"/>
        </w:rPr>
      </w:pPr>
      <w:r>
        <w:rPr>
          <w:color w:val="auto"/>
          <w:highlight w:val="none"/>
        </w:rPr>
        <w:t>5.2.1 发包人提供的材料和工程设备，应在专用合同条款中写明材料和工程设备的名称、规格、数量、价格、交货方式、交货地点和计划交货日期等。</w:t>
      </w:r>
    </w:p>
    <w:p w14:paraId="7CBE2006">
      <w:pPr>
        <w:spacing w:line="400" w:lineRule="exact"/>
        <w:ind w:firstLine="420" w:firstLineChars="200"/>
        <w:rPr>
          <w:color w:val="auto"/>
          <w:highlight w:val="none"/>
        </w:rPr>
      </w:pPr>
      <w:r>
        <w:rPr>
          <w:color w:val="auto"/>
          <w:highlight w:val="none"/>
        </w:rPr>
        <w:t>5.2.2 承包人应根据合同进度计划的安排，向监理人报送要求发包人交货的日期计划。发包人应按照监理人与合同双方当事人商定的交货日期，向承包人提交材料和工程设备。</w:t>
      </w:r>
    </w:p>
    <w:p w14:paraId="24DF7A3F">
      <w:pPr>
        <w:spacing w:line="400" w:lineRule="exact"/>
        <w:ind w:firstLine="420" w:firstLineChars="200"/>
        <w:rPr>
          <w:color w:val="auto"/>
          <w:highlight w:val="none"/>
        </w:rPr>
      </w:pPr>
      <w:r>
        <w:rPr>
          <w:color w:val="auto"/>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2C618FD7">
      <w:pPr>
        <w:spacing w:line="400" w:lineRule="exact"/>
        <w:ind w:firstLine="420" w:firstLineChars="200"/>
        <w:rPr>
          <w:color w:val="auto"/>
          <w:highlight w:val="none"/>
        </w:rPr>
      </w:pPr>
      <w:r>
        <w:rPr>
          <w:color w:val="auto"/>
          <w:highlight w:val="none"/>
        </w:rPr>
        <w:t xml:space="preserve">5.2.4 发包人要求向承包人提前交货的，承包人不得拒绝，但发包人应承担承包人由此增加的费用。 </w:t>
      </w:r>
    </w:p>
    <w:p w14:paraId="35D7F37D">
      <w:pPr>
        <w:spacing w:line="400" w:lineRule="exact"/>
        <w:ind w:firstLine="420" w:firstLineChars="200"/>
        <w:rPr>
          <w:color w:val="auto"/>
          <w:highlight w:val="none"/>
        </w:rPr>
      </w:pPr>
      <w:r>
        <w:rPr>
          <w:color w:val="auto"/>
          <w:highlight w:val="none"/>
        </w:rPr>
        <w:t xml:space="preserve">5.2.5 承包人要求更改交货日期或地点的，应事先报请监理人批准。由于承包人要求更改交货时间或地点所增加的费用和（或）工期延误由承包人承担。 </w:t>
      </w:r>
    </w:p>
    <w:p w14:paraId="38A4C7B8">
      <w:pPr>
        <w:spacing w:line="400" w:lineRule="exact"/>
        <w:ind w:firstLine="420" w:firstLineChars="200"/>
        <w:rPr>
          <w:color w:val="auto"/>
          <w:highlight w:val="none"/>
        </w:rPr>
      </w:pPr>
      <w:r>
        <w:rPr>
          <w:color w:val="auto"/>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248EB85C">
      <w:pPr>
        <w:keepNext/>
        <w:keepLines/>
        <w:spacing w:line="400" w:lineRule="exact"/>
        <w:outlineLvl w:val="2"/>
        <w:rPr>
          <w:rFonts w:eastAsia="黑体"/>
          <w:color w:val="auto"/>
          <w:sz w:val="24"/>
          <w:szCs w:val="20"/>
          <w:highlight w:val="none"/>
        </w:rPr>
      </w:pPr>
      <w:bookmarkStart w:id="908" w:name="_Toc152042432"/>
      <w:bookmarkStart w:id="909" w:name="_Toc338944747"/>
      <w:bookmarkStart w:id="910" w:name="_Toc159950656"/>
      <w:bookmarkStart w:id="911" w:name="_Toc144974622"/>
      <w:bookmarkStart w:id="912" w:name="_Toc179632672"/>
      <w:bookmarkStart w:id="913" w:name="_Toc152045654"/>
      <w:bookmarkStart w:id="914" w:name="_Toc342296305"/>
      <w:r>
        <w:rPr>
          <w:rFonts w:eastAsia="黑体"/>
          <w:color w:val="auto"/>
          <w:sz w:val="24"/>
          <w:szCs w:val="20"/>
          <w:highlight w:val="none"/>
        </w:rPr>
        <w:t>5.3 材料和工程设备专用于合同工程</w:t>
      </w:r>
      <w:bookmarkEnd w:id="908"/>
      <w:bookmarkEnd w:id="909"/>
      <w:bookmarkEnd w:id="910"/>
      <w:bookmarkEnd w:id="911"/>
      <w:bookmarkEnd w:id="912"/>
      <w:bookmarkEnd w:id="913"/>
      <w:bookmarkEnd w:id="914"/>
    </w:p>
    <w:p w14:paraId="12436516">
      <w:pPr>
        <w:spacing w:line="400" w:lineRule="exact"/>
        <w:ind w:firstLine="420" w:firstLineChars="200"/>
        <w:rPr>
          <w:color w:val="auto"/>
          <w:highlight w:val="none"/>
        </w:rPr>
      </w:pPr>
      <w:r>
        <w:rPr>
          <w:color w:val="auto"/>
          <w:highlight w:val="none"/>
        </w:rPr>
        <w:t>5.3.1运入施工场地的材料、工程设备，包括备品备件、安装专用工器具与随机资料，必须专用于合同工程，</w:t>
      </w:r>
      <w:r>
        <w:rPr>
          <w:rFonts w:hint="eastAsia"/>
          <w:color w:val="auto"/>
          <w:highlight w:val="none"/>
        </w:rPr>
        <w:t>且入场前均要通知监理人与发包人工程师进行检查。且</w:t>
      </w:r>
      <w:r>
        <w:rPr>
          <w:color w:val="auto"/>
          <w:highlight w:val="none"/>
        </w:rPr>
        <w:t>未经监理人同意，承包人不得</w:t>
      </w:r>
      <w:r>
        <w:rPr>
          <w:rFonts w:hint="eastAsia"/>
          <w:color w:val="auto"/>
          <w:highlight w:val="none"/>
        </w:rPr>
        <w:t>将5.3.1条涉及的材料设备等</w:t>
      </w:r>
      <w:r>
        <w:rPr>
          <w:color w:val="auto"/>
          <w:highlight w:val="none"/>
        </w:rPr>
        <w:t>运出施工场地或挪作他用。</w:t>
      </w:r>
    </w:p>
    <w:p w14:paraId="3E89B14B">
      <w:pPr>
        <w:spacing w:line="400" w:lineRule="exact"/>
        <w:ind w:firstLine="420" w:firstLineChars="200"/>
        <w:rPr>
          <w:color w:val="auto"/>
          <w:highlight w:val="none"/>
        </w:rPr>
      </w:pPr>
      <w:r>
        <w:rPr>
          <w:color w:val="auto"/>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43635BD8">
      <w:pPr>
        <w:keepNext/>
        <w:keepLines/>
        <w:spacing w:line="400" w:lineRule="exact"/>
        <w:outlineLvl w:val="2"/>
        <w:rPr>
          <w:rFonts w:eastAsia="黑体"/>
          <w:color w:val="auto"/>
          <w:sz w:val="24"/>
          <w:szCs w:val="20"/>
          <w:highlight w:val="none"/>
        </w:rPr>
      </w:pPr>
      <w:bookmarkStart w:id="915" w:name="_Toc152045655"/>
      <w:bookmarkStart w:id="916" w:name="_Toc152042433"/>
      <w:bookmarkStart w:id="917" w:name="_Toc179632673"/>
      <w:bookmarkStart w:id="918" w:name="_Toc338944748"/>
      <w:bookmarkStart w:id="919" w:name="_Toc144974623"/>
      <w:bookmarkStart w:id="920" w:name="_Toc342296306"/>
      <w:bookmarkStart w:id="921" w:name="_Toc159950657"/>
      <w:r>
        <w:rPr>
          <w:rFonts w:eastAsia="黑体"/>
          <w:color w:val="auto"/>
          <w:sz w:val="24"/>
          <w:szCs w:val="20"/>
          <w:highlight w:val="none"/>
        </w:rPr>
        <w:t>5.4 禁止使用不合格的材料和工程设备</w:t>
      </w:r>
      <w:bookmarkEnd w:id="915"/>
      <w:bookmarkEnd w:id="916"/>
      <w:bookmarkEnd w:id="917"/>
      <w:bookmarkEnd w:id="918"/>
      <w:bookmarkEnd w:id="919"/>
      <w:bookmarkEnd w:id="920"/>
      <w:bookmarkEnd w:id="921"/>
    </w:p>
    <w:p w14:paraId="55C73FE4">
      <w:pPr>
        <w:spacing w:line="400" w:lineRule="exact"/>
        <w:ind w:firstLine="420" w:firstLineChars="200"/>
        <w:rPr>
          <w:color w:val="auto"/>
          <w:highlight w:val="none"/>
        </w:rPr>
      </w:pPr>
      <w:r>
        <w:rPr>
          <w:color w:val="auto"/>
          <w:highlight w:val="none"/>
        </w:rPr>
        <w:t>5.4.1 监理人有权拒绝承包人提供的不合格材料或工程设备，并要求承包人立即进行更换。监理人应在更换后再次进行检查和检验，由此增加的费用和（或）工期延误由承包人承担。</w:t>
      </w:r>
    </w:p>
    <w:p w14:paraId="57EAE02C">
      <w:pPr>
        <w:spacing w:line="400" w:lineRule="exact"/>
        <w:ind w:firstLine="420" w:firstLineChars="200"/>
        <w:rPr>
          <w:color w:val="auto"/>
          <w:highlight w:val="none"/>
        </w:rPr>
      </w:pPr>
      <w:r>
        <w:rPr>
          <w:color w:val="auto"/>
          <w:highlight w:val="none"/>
        </w:rPr>
        <w:t>5.4.2 监理人发现承包人使用了不合格的材料和工程设备，应即时发出指示要求承包人立即改正，并禁止在工程中继续使用不合格的材料和工程设备。</w:t>
      </w:r>
    </w:p>
    <w:p w14:paraId="68A6E9B9">
      <w:pPr>
        <w:spacing w:line="400" w:lineRule="exact"/>
        <w:ind w:firstLine="420" w:firstLineChars="200"/>
        <w:rPr>
          <w:color w:val="auto"/>
          <w:highlight w:val="none"/>
        </w:rPr>
      </w:pPr>
      <w:r>
        <w:rPr>
          <w:color w:val="auto"/>
          <w:highlight w:val="none"/>
        </w:rPr>
        <w:t>5.4.3 发包人提供的材料或工程设备不符合合同要求的，承包人有权拒绝，并可要求发包人更换，由此增加的费用和（或）工期延误由发包人承担。</w:t>
      </w:r>
    </w:p>
    <w:p w14:paraId="66615411">
      <w:pPr>
        <w:keepNext/>
        <w:keepLines/>
        <w:spacing w:line="400" w:lineRule="exact"/>
        <w:outlineLvl w:val="1"/>
        <w:rPr>
          <w:rFonts w:eastAsia="黑体" w:cs="仿宋_GB2312"/>
          <w:color w:val="auto"/>
          <w:sz w:val="28"/>
          <w:szCs w:val="20"/>
          <w:highlight w:val="none"/>
        </w:rPr>
      </w:pPr>
      <w:bookmarkStart w:id="922" w:name="_Toc448758527"/>
      <w:bookmarkStart w:id="923" w:name="_Toc338944749"/>
      <w:bookmarkStart w:id="924" w:name="_Toc448758427"/>
      <w:bookmarkStart w:id="925" w:name="_Toc159950658"/>
      <w:bookmarkStart w:id="926" w:name="_Toc469660022"/>
      <w:bookmarkStart w:id="927" w:name="_Toc342296307"/>
      <w:bookmarkStart w:id="928" w:name="_Toc442365619"/>
      <w:r>
        <w:rPr>
          <w:rFonts w:eastAsia="黑体" w:cs="仿宋_GB2312"/>
          <w:color w:val="auto"/>
          <w:sz w:val="28"/>
          <w:szCs w:val="20"/>
          <w:highlight w:val="none"/>
        </w:rPr>
        <w:t>6. 施工设备和临时设施</w:t>
      </w:r>
      <w:bookmarkEnd w:id="922"/>
      <w:bookmarkEnd w:id="923"/>
      <w:bookmarkEnd w:id="924"/>
      <w:bookmarkEnd w:id="925"/>
      <w:bookmarkEnd w:id="926"/>
      <w:bookmarkEnd w:id="927"/>
      <w:bookmarkEnd w:id="928"/>
    </w:p>
    <w:p w14:paraId="3EE305AA">
      <w:pPr>
        <w:keepNext/>
        <w:keepLines/>
        <w:spacing w:line="400" w:lineRule="exact"/>
        <w:outlineLvl w:val="2"/>
        <w:rPr>
          <w:rFonts w:eastAsia="黑体"/>
          <w:color w:val="auto"/>
          <w:sz w:val="24"/>
          <w:szCs w:val="20"/>
          <w:highlight w:val="none"/>
        </w:rPr>
      </w:pPr>
      <w:bookmarkStart w:id="929" w:name="_Toc159950659"/>
      <w:bookmarkStart w:id="930" w:name="_Toc338944750"/>
      <w:bookmarkStart w:id="931" w:name="_Toc342296308"/>
      <w:r>
        <w:rPr>
          <w:rFonts w:eastAsia="黑体"/>
          <w:color w:val="auto"/>
          <w:sz w:val="24"/>
          <w:szCs w:val="20"/>
          <w:highlight w:val="none"/>
        </w:rPr>
        <w:t>6.1 承包人提供的施工设备和临时设施</w:t>
      </w:r>
      <w:bookmarkEnd w:id="929"/>
      <w:bookmarkEnd w:id="930"/>
      <w:bookmarkEnd w:id="931"/>
    </w:p>
    <w:p w14:paraId="265D1D68">
      <w:pPr>
        <w:spacing w:line="400" w:lineRule="exact"/>
        <w:ind w:firstLine="420" w:firstLineChars="200"/>
        <w:rPr>
          <w:color w:val="auto"/>
          <w:highlight w:val="none"/>
        </w:rPr>
      </w:pPr>
      <w:r>
        <w:rPr>
          <w:color w:val="auto"/>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5D3DDFAB">
      <w:pPr>
        <w:spacing w:line="400" w:lineRule="exact"/>
        <w:ind w:firstLine="420" w:firstLineChars="200"/>
        <w:rPr>
          <w:color w:val="auto"/>
          <w:highlight w:val="none"/>
        </w:rPr>
      </w:pPr>
      <w:r>
        <w:rPr>
          <w:color w:val="auto"/>
          <w:highlight w:val="none"/>
        </w:rPr>
        <w:t>6.1.2除专用合同条款另有约定外，承包人应自行承担修建临时设施的费用，需要临时占地的，应由发包人办理申请手续并承担相应费用。</w:t>
      </w:r>
    </w:p>
    <w:p w14:paraId="29BA8880">
      <w:pPr>
        <w:keepNext/>
        <w:keepLines/>
        <w:spacing w:line="400" w:lineRule="exact"/>
        <w:outlineLvl w:val="2"/>
        <w:rPr>
          <w:rFonts w:eastAsia="黑体"/>
          <w:color w:val="auto"/>
          <w:sz w:val="24"/>
          <w:szCs w:val="20"/>
          <w:highlight w:val="none"/>
        </w:rPr>
      </w:pPr>
      <w:bookmarkStart w:id="932" w:name="_Toc159950660"/>
      <w:bookmarkStart w:id="933" w:name="_Toc342296309"/>
      <w:bookmarkStart w:id="934" w:name="_Toc338944751"/>
      <w:r>
        <w:rPr>
          <w:rFonts w:eastAsia="黑体"/>
          <w:color w:val="auto"/>
          <w:sz w:val="24"/>
          <w:szCs w:val="20"/>
          <w:highlight w:val="none"/>
        </w:rPr>
        <w:t>6.2 发包人提供的施工设备和临时设施</w:t>
      </w:r>
      <w:bookmarkEnd w:id="932"/>
      <w:bookmarkEnd w:id="933"/>
      <w:bookmarkEnd w:id="934"/>
    </w:p>
    <w:p w14:paraId="7413671F">
      <w:pPr>
        <w:spacing w:line="400" w:lineRule="exact"/>
        <w:ind w:firstLine="420" w:firstLineChars="200"/>
        <w:rPr>
          <w:color w:val="auto"/>
          <w:highlight w:val="none"/>
        </w:rPr>
      </w:pPr>
      <w:r>
        <w:rPr>
          <w:color w:val="auto"/>
          <w:highlight w:val="none"/>
        </w:rPr>
        <w:t>发包人提供的施工设备或临时设施在专用合同条款中约定。</w:t>
      </w:r>
    </w:p>
    <w:p w14:paraId="2767FB30">
      <w:pPr>
        <w:keepNext/>
        <w:keepLines/>
        <w:spacing w:line="400" w:lineRule="exact"/>
        <w:outlineLvl w:val="2"/>
        <w:rPr>
          <w:rFonts w:eastAsia="黑体"/>
          <w:color w:val="auto"/>
          <w:sz w:val="24"/>
          <w:szCs w:val="20"/>
          <w:highlight w:val="none"/>
        </w:rPr>
      </w:pPr>
      <w:bookmarkStart w:id="935" w:name="_Toc144974627"/>
      <w:bookmarkStart w:id="936" w:name="_Toc159950661"/>
      <w:bookmarkStart w:id="937" w:name="_Toc152045659"/>
      <w:bookmarkStart w:id="938" w:name="_Toc152042437"/>
      <w:bookmarkStart w:id="939" w:name="_Toc338944752"/>
      <w:bookmarkStart w:id="940" w:name="_Toc179632677"/>
      <w:bookmarkStart w:id="941" w:name="_Toc342296310"/>
      <w:r>
        <w:rPr>
          <w:rFonts w:eastAsia="黑体"/>
          <w:color w:val="auto"/>
          <w:sz w:val="24"/>
          <w:szCs w:val="20"/>
          <w:highlight w:val="none"/>
        </w:rPr>
        <w:t>6.3 要求承包人增加或更换施工设备</w:t>
      </w:r>
      <w:bookmarkEnd w:id="935"/>
      <w:bookmarkEnd w:id="936"/>
      <w:bookmarkEnd w:id="937"/>
      <w:bookmarkEnd w:id="938"/>
      <w:bookmarkEnd w:id="939"/>
      <w:bookmarkEnd w:id="940"/>
      <w:bookmarkEnd w:id="941"/>
    </w:p>
    <w:p w14:paraId="5B1C1BB4">
      <w:pPr>
        <w:spacing w:line="400" w:lineRule="exact"/>
        <w:ind w:firstLine="420" w:firstLineChars="200"/>
        <w:rPr>
          <w:color w:val="auto"/>
          <w:highlight w:val="none"/>
        </w:rPr>
      </w:pPr>
      <w:r>
        <w:rPr>
          <w:color w:val="auto"/>
          <w:highlight w:val="none"/>
        </w:rPr>
        <w:t>承包人使用的施工设备不能满足合同进度计划和（或）质量要求时，监理人有权要求承包人增加或更换施工设备，承包人应及时增加或更换，由此增加的费用和（或）工期延误由承包人承担。</w:t>
      </w:r>
    </w:p>
    <w:p w14:paraId="605FBC3A">
      <w:pPr>
        <w:keepNext/>
        <w:keepLines/>
        <w:spacing w:line="400" w:lineRule="exact"/>
        <w:outlineLvl w:val="2"/>
        <w:rPr>
          <w:rFonts w:eastAsia="黑体"/>
          <w:color w:val="auto"/>
          <w:sz w:val="24"/>
          <w:szCs w:val="20"/>
          <w:highlight w:val="none"/>
        </w:rPr>
      </w:pPr>
      <w:bookmarkStart w:id="942" w:name="_Toc338944753"/>
      <w:bookmarkStart w:id="943" w:name="_Toc159950662"/>
      <w:bookmarkStart w:id="944" w:name="_Toc342296311"/>
      <w:r>
        <w:rPr>
          <w:rFonts w:eastAsia="黑体"/>
          <w:color w:val="auto"/>
          <w:sz w:val="24"/>
          <w:szCs w:val="20"/>
          <w:highlight w:val="none"/>
        </w:rPr>
        <w:t>6.4 施工设备和临时设施专用于合同工程</w:t>
      </w:r>
      <w:bookmarkEnd w:id="942"/>
      <w:bookmarkEnd w:id="943"/>
      <w:bookmarkEnd w:id="944"/>
    </w:p>
    <w:p w14:paraId="53C4F63A">
      <w:pPr>
        <w:spacing w:line="400" w:lineRule="exact"/>
        <w:ind w:firstLine="420" w:firstLineChars="200"/>
        <w:rPr>
          <w:color w:val="auto"/>
          <w:highlight w:val="none"/>
        </w:rPr>
      </w:pPr>
      <w:r>
        <w:rPr>
          <w:color w:val="auto"/>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46270442">
      <w:pPr>
        <w:spacing w:line="400" w:lineRule="exact"/>
        <w:ind w:firstLine="420" w:firstLineChars="200"/>
        <w:rPr>
          <w:color w:val="auto"/>
          <w:highlight w:val="none"/>
        </w:rPr>
      </w:pPr>
      <w:r>
        <w:rPr>
          <w:color w:val="auto"/>
          <w:highlight w:val="none"/>
        </w:rPr>
        <w:t>6.4.2 经监理人同意，承包人可根据合同进度计划撤走闲置的施工设备。</w:t>
      </w:r>
    </w:p>
    <w:p w14:paraId="61DB351C">
      <w:pPr>
        <w:keepNext/>
        <w:keepLines/>
        <w:spacing w:line="400" w:lineRule="exact"/>
        <w:outlineLvl w:val="1"/>
        <w:rPr>
          <w:rFonts w:eastAsia="黑体" w:cs="仿宋_GB2312"/>
          <w:color w:val="auto"/>
          <w:sz w:val="28"/>
          <w:szCs w:val="20"/>
          <w:highlight w:val="none"/>
        </w:rPr>
      </w:pPr>
      <w:bookmarkStart w:id="945" w:name="_Toc448758428"/>
      <w:bookmarkStart w:id="946" w:name="_Toc159950663"/>
      <w:bookmarkStart w:id="947" w:name="_Toc338944754"/>
      <w:bookmarkStart w:id="948" w:name="_Toc342296312"/>
      <w:bookmarkStart w:id="949" w:name="_Toc448758528"/>
      <w:bookmarkStart w:id="950" w:name="_Toc469660023"/>
      <w:bookmarkStart w:id="951" w:name="_Toc442365620"/>
      <w:r>
        <w:rPr>
          <w:rFonts w:eastAsia="黑体" w:cs="仿宋_GB2312"/>
          <w:color w:val="auto"/>
          <w:sz w:val="28"/>
          <w:szCs w:val="20"/>
          <w:highlight w:val="none"/>
        </w:rPr>
        <w:t>7. 交通运输</w:t>
      </w:r>
      <w:bookmarkEnd w:id="945"/>
      <w:bookmarkEnd w:id="946"/>
      <w:bookmarkEnd w:id="947"/>
      <w:bookmarkEnd w:id="948"/>
      <w:bookmarkEnd w:id="949"/>
      <w:bookmarkEnd w:id="950"/>
      <w:bookmarkEnd w:id="951"/>
    </w:p>
    <w:p w14:paraId="31916AE9">
      <w:pPr>
        <w:keepNext/>
        <w:keepLines/>
        <w:spacing w:line="400" w:lineRule="exact"/>
        <w:outlineLvl w:val="2"/>
        <w:rPr>
          <w:rFonts w:eastAsia="黑体"/>
          <w:color w:val="auto"/>
          <w:sz w:val="24"/>
          <w:szCs w:val="20"/>
          <w:highlight w:val="none"/>
        </w:rPr>
      </w:pPr>
      <w:bookmarkStart w:id="952" w:name="_Toc342296313"/>
      <w:bookmarkStart w:id="953" w:name="_Toc159950664"/>
      <w:bookmarkStart w:id="954" w:name="_Toc338944755"/>
      <w:r>
        <w:rPr>
          <w:rFonts w:eastAsia="黑体"/>
          <w:color w:val="auto"/>
          <w:sz w:val="24"/>
          <w:szCs w:val="20"/>
          <w:highlight w:val="none"/>
        </w:rPr>
        <w:t>7.1 道路通行权和场外设施</w:t>
      </w:r>
      <w:bookmarkEnd w:id="952"/>
      <w:bookmarkEnd w:id="953"/>
      <w:bookmarkEnd w:id="954"/>
    </w:p>
    <w:p w14:paraId="32BF2A29">
      <w:pPr>
        <w:spacing w:line="400" w:lineRule="exact"/>
        <w:ind w:firstLine="420" w:firstLineChars="200"/>
        <w:rPr>
          <w:color w:val="auto"/>
          <w:highlight w:val="none"/>
        </w:rPr>
      </w:pPr>
      <w:r>
        <w:rPr>
          <w:color w:val="auto"/>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6AC1459A">
      <w:pPr>
        <w:keepNext/>
        <w:keepLines/>
        <w:spacing w:line="400" w:lineRule="exact"/>
        <w:outlineLvl w:val="2"/>
        <w:rPr>
          <w:rFonts w:eastAsia="黑体"/>
          <w:color w:val="auto"/>
          <w:sz w:val="24"/>
          <w:szCs w:val="20"/>
          <w:highlight w:val="none"/>
        </w:rPr>
      </w:pPr>
      <w:bookmarkStart w:id="955" w:name="_Toc338944756"/>
      <w:bookmarkStart w:id="956" w:name="_Toc342296314"/>
      <w:bookmarkStart w:id="957" w:name="_Toc159950665"/>
      <w:r>
        <w:rPr>
          <w:rFonts w:eastAsia="黑体"/>
          <w:color w:val="auto"/>
          <w:sz w:val="24"/>
          <w:szCs w:val="20"/>
          <w:highlight w:val="none"/>
        </w:rPr>
        <w:t>7.2 场内施工道路</w:t>
      </w:r>
      <w:bookmarkEnd w:id="955"/>
      <w:bookmarkEnd w:id="956"/>
      <w:bookmarkEnd w:id="957"/>
    </w:p>
    <w:p w14:paraId="13981591">
      <w:pPr>
        <w:spacing w:line="400" w:lineRule="exact"/>
        <w:ind w:firstLine="420" w:firstLineChars="200"/>
        <w:rPr>
          <w:color w:val="auto"/>
          <w:highlight w:val="none"/>
        </w:rPr>
      </w:pPr>
      <w:r>
        <w:rPr>
          <w:color w:val="auto"/>
          <w:highlight w:val="none"/>
        </w:rPr>
        <w:t>7.2.1 除专用合同条款另有约定外，承包人应负责修建、维修、养护和管理施工所需的临时道路和交通设施，包括维修、养护和管理发包人提供的道路和交通设施，并承担相应费用。</w:t>
      </w:r>
    </w:p>
    <w:p w14:paraId="4C800F60">
      <w:pPr>
        <w:spacing w:line="400" w:lineRule="exact"/>
        <w:ind w:firstLine="420" w:firstLineChars="200"/>
        <w:rPr>
          <w:color w:val="auto"/>
          <w:highlight w:val="none"/>
        </w:rPr>
      </w:pPr>
      <w:r>
        <w:rPr>
          <w:color w:val="auto"/>
          <w:highlight w:val="none"/>
        </w:rPr>
        <w:t>7.2.2 除专用合同条款另有约定外，承包人修建的临时道路和交通设施应免费提供发包人和监理人使用。</w:t>
      </w:r>
    </w:p>
    <w:p w14:paraId="67DABC73">
      <w:pPr>
        <w:keepNext/>
        <w:keepLines/>
        <w:spacing w:line="400" w:lineRule="exact"/>
        <w:outlineLvl w:val="2"/>
        <w:rPr>
          <w:rFonts w:eastAsia="黑体"/>
          <w:color w:val="auto"/>
          <w:sz w:val="24"/>
          <w:szCs w:val="20"/>
          <w:highlight w:val="none"/>
        </w:rPr>
      </w:pPr>
      <w:bookmarkStart w:id="958" w:name="_Toc144974632"/>
      <w:bookmarkStart w:id="959" w:name="_Toc152045664"/>
      <w:bookmarkStart w:id="960" w:name="_Toc179632682"/>
      <w:bookmarkStart w:id="961" w:name="_Toc338944757"/>
      <w:bookmarkStart w:id="962" w:name="_Toc152042442"/>
      <w:bookmarkStart w:id="963" w:name="_Toc159950666"/>
      <w:bookmarkStart w:id="964" w:name="_Toc342296315"/>
      <w:r>
        <w:rPr>
          <w:rFonts w:eastAsia="黑体"/>
          <w:color w:val="auto"/>
          <w:sz w:val="24"/>
          <w:szCs w:val="20"/>
          <w:highlight w:val="none"/>
        </w:rPr>
        <w:t>7.3 场外交通</w:t>
      </w:r>
      <w:bookmarkEnd w:id="958"/>
      <w:bookmarkEnd w:id="959"/>
      <w:bookmarkEnd w:id="960"/>
      <w:bookmarkEnd w:id="961"/>
      <w:bookmarkEnd w:id="962"/>
      <w:bookmarkEnd w:id="963"/>
      <w:bookmarkEnd w:id="964"/>
    </w:p>
    <w:p w14:paraId="4D7C7B2B">
      <w:pPr>
        <w:spacing w:line="400" w:lineRule="exact"/>
        <w:ind w:firstLine="420" w:firstLineChars="200"/>
        <w:rPr>
          <w:color w:val="auto"/>
          <w:highlight w:val="none"/>
        </w:rPr>
      </w:pPr>
      <w:r>
        <w:rPr>
          <w:color w:val="auto"/>
          <w:highlight w:val="none"/>
        </w:rPr>
        <w:t>7.3.1 承包人车辆外出行驶所需的场外公共道路的通行费、养路费和税款等由承包人承担。</w:t>
      </w:r>
    </w:p>
    <w:p w14:paraId="3B8DEFF9">
      <w:pPr>
        <w:spacing w:line="400" w:lineRule="exact"/>
        <w:ind w:firstLine="420" w:firstLineChars="200"/>
        <w:rPr>
          <w:color w:val="auto"/>
          <w:highlight w:val="none"/>
        </w:rPr>
      </w:pPr>
      <w:r>
        <w:rPr>
          <w:color w:val="auto"/>
          <w:highlight w:val="none"/>
        </w:rPr>
        <w:t>7.3.2 承包人应遵守有关交通法规，严格按照道路和桥梁的限制荷重安全行驶，并服从交通管理部门的检查和监督。</w:t>
      </w:r>
    </w:p>
    <w:p w14:paraId="4F3BE4A5">
      <w:pPr>
        <w:keepNext/>
        <w:keepLines/>
        <w:spacing w:line="400" w:lineRule="exact"/>
        <w:outlineLvl w:val="2"/>
        <w:rPr>
          <w:rFonts w:eastAsia="黑体"/>
          <w:color w:val="auto"/>
          <w:sz w:val="24"/>
          <w:szCs w:val="20"/>
          <w:highlight w:val="none"/>
        </w:rPr>
      </w:pPr>
      <w:bookmarkStart w:id="965" w:name="_Toc159950667"/>
      <w:bookmarkStart w:id="966" w:name="_Toc338944758"/>
      <w:bookmarkStart w:id="967" w:name="_Toc342296316"/>
      <w:r>
        <w:rPr>
          <w:rFonts w:eastAsia="黑体"/>
          <w:color w:val="auto"/>
          <w:sz w:val="24"/>
          <w:szCs w:val="20"/>
          <w:highlight w:val="none"/>
        </w:rPr>
        <w:t>7.4 超大件和超重件的运输</w:t>
      </w:r>
      <w:bookmarkEnd w:id="965"/>
      <w:bookmarkEnd w:id="966"/>
      <w:bookmarkEnd w:id="967"/>
    </w:p>
    <w:p w14:paraId="47BF68D4">
      <w:pPr>
        <w:spacing w:line="400" w:lineRule="exact"/>
        <w:ind w:firstLine="420" w:firstLineChars="200"/>
        <w:rPr>
          <w:color w:val="auto"/>
          <w:highlight w:val="none"/>
        </w:rPr>
      </w:pPr>
      <w:r>
        <w:rPr>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15257385">
      <w:pPr>
        <w:keepNext/>
        <w:keepLines/>
        <w:spacing w:line="400" w:lineRule="exact"/>
        <w:outlineLvl w:val="2"/>
        <w:rPr>
          <w:rFonts w:eastAsia="黑体"/>
          <w:color w:val="auto"/>
          <w:sz w:val="24"/>
          <w:szCs w:val="20"/>
          <w:highlight w:val="none"/>
        </w:rPr>
      </w:pPr>
      <w:bookmarkStart w:id="968" w:name="_Toc342296317"/>
      <w:bookmarkStart w:id="969" w:name="_Toc338944759"/>
      <w:bookmarkStart w:id="970" w:name="_Toc159950668"/>
      <w:r>
        <w:rPr>
          <w:rFonts w:eastAsia="黑体"/>
          <w:color w:val="auto"/>
          <w:sz w:val="24"/>
          <w:szCs w:val="20"/>
          <w:highlight w:val="none"/>
        </w:rPr>
        <w:t>7.5 道路和桥梁的损坏责任</w:t>
      </w:r>
      <w:bookmarkEnd w:id="968"/>
      <w:bookmarkEnd w:id="969"/>
      <w:bookmarkEnd w:id="970"/>
    </w:p>
    <w:p w14:paraId="58CD7B60">
      <w:pPr>
        <w:spacing w:line="400" w:lineRule="exact"/>
        <w:ind w:firstLine="420" w:firstLineChars="200"/>
        <w:rPr>
          <w:color w:val="auto"/>
          <w:highlight w:val="none"/>
        </w:rPr>
      </w:pPr>
      <w:r>
        <w:rPr>
          <w:color w:val="auto"/>
          <w:highlight w:val="none"/>
        </w:rPr>
        <w:t>因承包人运输造成施工场地内外公共道路和桥梁损坏的，由承包人承担修复损坏的全部费用和可能引起的赔偿。</w:t>
      </w:r>
    </w:p>
    <w:p w14:paraId="5E02E558">
      <w:pPr>
        <w:keepNext/>
        <w:keepLines/>
        <w:spacing w:line="400" w:lineRule="exact"/>
        <w:outlineLvl w:val="2"/>
        <w:rPr>
          <w:rFonts w:eastAsia="黑体"/>
          <w:color w:val="auto"/>
          <w:sz w:val="24"/>
          <w:szCs w:val="20"/>
          <w:highlight w:val="none"/>
        </w:rPr>
      </w:pPr>
      <w:bookmarkStart w:id="971" w:name="_Toc338944760"/>
      <w:bookmarkStart w:id="972" w:name="_Toc144974635"/>
      <w:bookmarkStart w:id="973" w:name="_Toc179632685"/>
      <w:bookmarkStart w:id="974" w:name="_Toc152045667"/>
      <w:bookmarkStart w:id="975" w:name="_Toc152042445"/>
      <w:bookmarkStart w:id="976" w:name="_Toc159950669"/>
      <w:bookmarkStart w:id="977" w:name="_Toc342296318"/>
      <w:r>
        <w:rPr>
          <w:rFonts w:eastAsia="黑体"/>
          <w:color w:val="auto"/>
          <w:sz w:val="24"/>
          <w:szCs w:val="20"/>
          <w:highlight w:val="none"/>
        </w:rPr>
        <w:t>7.6 水路和航空运输</w:t>
      </w:r>
      <w:bookmarkEnd w:id="971"/>
      <w:bookmarkEnd w:id="972"/>
      <w:bookmarkEnd w:id="973"/>
      <w:bookmarkEnd w:id="974"/>
      <w:bookmarkEnd w:id="975"/>
      <w:bookmarkEnd w:id="976"/>
      <w:bookmarkEnd w:id="977"/>
    </w:p>
    <w:p w14:paraId="30254825">
      <w:pPr>
        <w:spacing w:line="400" w:lineRule="exact"/>
        <w:ind w:firstLine="420" w:firstLineChars="200"/>
        <w:rPr>
          <w:color w:val="auto"/>
          <w:highlight w:val="none"/>
        </w:rPr>
      </w:pPr>
      <w:r>
        <w:rPr>
          <w:color w:val="auto"/>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14:paraId="214D91DA">
      <w:pPr>
        <w:keepNext/>
        <w:keepLines/>
        <w:spacing w:line="400" w:lineRule="exact"/>
        <w:outlineLvl w:val="1"/>
        <w:rPr>
          <w:rFonts w:eastAsia="黑体" w:cs="仿宋_GB2312"/>
          <w:color w:val="auto"/>
          <w:sz w:val="28"/>
          <w:szCs w:val="20"/>
          <w:highlight w:val="none"/>
        </w:rPr>
      </w:pPr>
      <w:bookmarkStart w:id="978" w:name="_Toc159950670"/>
      <w:bookmarkStart w:id="979" w:name="_Toc469660024"/>
      <w:bookmarkStart w:id="980" w:name="_Toc448758529"/>
      <w:bookmarkStart w:id="981" w:name="_Toc342296319"/>
      <w:bookmarkStart w:id="982" w:name="_Toc442365621"/>
      <w:bookmarkStart w:id="983" w:name="_Toc448758429"/>
      <w:bookmarkStart w:id="984" w:name="_Toc338944761"/>
      <w:r>
        <w:rPr>
          <w:rFonts w:eastAsia="黑体" w:cs="仿宋_GB2312"/>
          <w:color w:val="auto"/>
          <w:sz w:val="28"/>
          <w:szCs w:val="20"/>
          <w:highlight w:val="none"/>
        </w:rPr>
        <w:t>8. 测量放线</w:t>
      </w:r>
      <w:bookmarkEnd w:id="978"/>
      <w:bookmarkEnd w:id="979"/>
      <w:bookmarkEnd w:id="980"/>
      <w:bookmarkEnd w:id="981"/>
      <w:bookmarkEnd w:id="982"/>
      <w:bookmarkEnd w:id="983"/>
      <w:bookmarkEnd w:id="984"/>
    </w:p>
    <w:p w14:paraId="37E12CF1">
      <w:pPr>
        <w:keepNext/>
        <w:keepLines/>
        <w:spacing w:line="400" w:lineRule="exact"/>
        <w:outlineLvl w:val="2"/>
        <w:rPr>
          <w:rFonts w:eastAsia="黑体"/>
          <w:color w:val="auto"/>
          <w:sz w:val="24"/>
          <w:szCs w:val="20"/>
          <w:highlight w:val="none"/>
        </w:rPr>
      </w:pPr>
      <w:bookmarkStart w:id="985" w:name="_Toc159950671"/>
      <w:bookmarkStart w:id="986" w:name="_Toc342296320"/>
      <w:bookmarkStart w:id="987" w:name="_Toc338944762"/>
      <w:r>
        <w:rPr>
          <w:rFonts w:eastAsia="黑体"/>
          <w:color w:val="auto"/>
          <w:sz w:val="24"/>
          <w:szCs w:val="20"/>
          <w:highlight w:val="none"/>
        </w:rPr>
        <w:t>8.1 施工控制网</w:t>
      </w:r>
      <w:bookmarkEnd w:id="985"/>
      <w:bookmarkEnd w:id="986"/>
      <w:bookmarkEnd w:id="987"/>
    </w:p>
    <w:p w14:paraId="5485DDBC">
      <w:pPr>
        <w:spacing w:line="400" w:lineRule="exact"/>
        <w:ind w:firstLine="420" w:firstLineChars="200"/>
        <w:rPr>
          <w:color w:val="auto"/>
          <w:highlight w:val="none"/>
        </w:rPr>
      </w:pPr>
      <w:r>
        <w:rPr>
          <w:color w:val="auto"/>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2E985A60">
      <w:pPr>
        <w:spacing w:line="400" w:lineRule="exact"/>
        <w:ind w:firstLine="420" w:firstLineChars="200"/>
        <w:rPr>
          <w:color w:val="auto"/>
          <w:highlight w:val="none"/>
        </w:rPr>
      </w:pPr>
      <w:r>
        <w:rPr>
          <w:color w:val="auto"/>
          <w:highlight w:val="none"/>
        </w:rPr>
        <w:t>8.1.2承包人应负责管理施工控制网点。施工控制网点丢失或损坏的，承包人应及时修复。承包人应承担施工控制网点的管理与修复费用，并在工程竣工后将施工控制网点移交发包人。</w:t>
      </w:r>
    </w:p>
    <w:p w14:paraId="25CFEFFD">
      <w:pPr>
        <w:keepNext/>
        <w:keepLines/>
        <w:spacing w:line="400" w:lineRule="exact"/>
        <w:outlineLvl w:val="2"/>
        <w:rPr>
          <w:rFonts w:eastAsia="黑体"/>
          <w:color w:val="auto"/>
          <w:sz w:val="24"/>
          <w:szCs w:val="20"/>
          <w:highlight w:val="none"/>
        </w:rPr>
      </w:pPr>
      <w:bookmarkStart w:id="988" w:name="_Toc342296321"/>
      <w:bookmarkStart w:id="989" w:name="_Toc159950672"/>
      <w:bookmarkStart w:id="990" w:name="_Toc152042448"/>
      <w:bookmarkStart w:id="991" w:name="_Toc152045670"/>
      <w:bookmarkStart w:id="992" w:name="_Toc144974638"/>
      <w:bookmarkStart w:id="993" w:name="_Toc338944763"/>
      <w:bookmarkStart w:id="994" w:name="_Toc179632688"/>
      <w:r>
        <w:rPr>
          <w:rFonts w:eastAsia="黑体"/>
          <w:color w:val="auto"/>
          <w:sz w:val="24"/>
          <w:szCs w:val="20"/>
          <w:highlight w:val="none"/>
        </w:rPr>
        <w:t>8.2 施工测量</w:t>
      </w:r>
      <w:bookmarkEnd w:id="988"/>
      <w:bookmarkEnd w:id="989"/>
      <w:bookmarkEnd w:id="990"/>
      <w:bookmarkEnd w:id="991"/>
      <w:bookmarkEnd w:id="992"/>
      <w:bookmarkEnd w:id="993"/>
      <w:bookmarkEnd w:id="994"/>
    </w:p>
    <w:p w14:paraId="353691F4">
      <w:pPr>
        <w:spacing w:line="400" w:lineRule="exact"/>
        <w:ind w:firstLine="420" w:firstLineChars="200"/>
        <w:rPr>
          <w:color w:val="auto"/>
          <w:highlight w:val="none"/>
        </w:rPr>
      </w:pPr>
      <w:r>
        <w:rPr>
          <w:color w:val="auto"/>
          <w:highlight w:val="none"/>
        </w:rPr>
        <w:t>8.2.1承包人应负责施工过程中的全部施工测量放线工作，并配置合格的人员、仪器、设备和其他物品。</w:t>
      </w:r>
    </w:p>
    <w:p w14:paraId="098A1DB4">
      <w:pPr>
        <w:spacing w:line="400" w:lineRule="exact"/>
        <w:ind w:firstLine="420" w:firstLineChars="200"/>
        <w:rPr>
          <w:color w:val="auto"/>
          <w:highlight w:val="none"/>
        </w:rPr>
      </w:pPr>
      <w:r>
        <w:rPr>
          <w:color w:val="auto"/>
          <w:highlight w:val="none"/>
        </w:rPr>
        <w:t>8.2.2监理人可以指示承包人进行抽样复测，当复测中发现错误或出现超过合同约定的误差时，承包人应按监理人指示进行修正或补测，并承担相应的复测费用。</w:t>
      </w:r>
    </w:p>
    <w:p w14:paraId="12A230A0">
      <w:pPr>
        <w:keepNext/>
        <w:keepLines/>
        <w:spacing w:line="400" w:lineRule="exact"/>
        <w:outlineLvl w:val="2"/>
        <w:rPr>
          <w:rFonts w:eastAsia="黑体"/>
          <w:color w:val="auto"/>
          <w:sz w:val="24"/>
          <w:szCs w:val="20"/>
          <w:highlight w:val="none"/>
        </w:rPr>
      </w:pPr>
      <w:bookmarkStart w:id="995" w:name="_Toc144974639"/>
      <w:bookmarkStart w:id="996" w:name="_Toc342296322"/>
      <w:bookmarkStart w:id="997" w:name="_Toc338944764"/>
      <w:bookmarkStart w:id="998" w:name="_Toc152042449"/>
      <w:bookmarkStart w:id="999" w:name="_Toc152045671"/>
      <w:bookmarkStart w:id="1000" w:name="_Toc179632689"/>
      <w:bookmarkStart w:id="1001" w:name="_Toc159950673"/>
      <w:r>
        <w:rPr>
          <w:rFonts w:eastAsia="黑体"/>
          <w:color w:val="auto"/>
          <w:sz w:val="24"/>
          <w:szCs w:val="20"/>
          <w:highlight w:val="none"/>
        </w:rPr>
        <w:t>8.3 基准资料错误的责任</w:t>
      </w:r>
      <w:bookmarkEnd w:id="995"/>
      <w:bookmarkEnd w:id="996"/>
      <w:bookmarkEnd w:id="997"/>
      <w:bookmarkEnd w:id="998"/>
      <w:bookmarkEnd w:id="999"/>
      <w:bookmarkEnd w:id="1000"/>
      <w:bookmarkEnd w:id="1001"/>
    </w:p>
    <w:p w14:paraId="7330205F">
      <w:pPr>
        <w:spacing w:line="400" w:lineRule="exact"/>
        <w:ind w:firstLine="420" w:firstLineChars="200"/>
        <w:rPr>
          <w:color w:val="auto"/>
          <w:highlight w:val="none"/>
        </w:rPr>
      </w:pPr>
      <w:r>
        <w:rPr>
          <w:color w:val="auto"/>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856C9D6">
      <w:pPr>
        <w:keepNext/>
        <w:keepLines/>
        <w:spacing w:line="400" w:lineRule="exact"/>
        <w:outlineLvl w:val="2"/>
        <w:rPr>
          <w:rFonts w:eastAsia="黑体"/>
          <w:color w:val="auto"/>
          <w:sz w:val="24"/>
          <w:szCs w:val="20"/>
          <w:highlight w:val="none"/>
        </w:rPr>
      </w:pPr>
      <w:bookmarkStart w:id="1002" w:name="_Toc338944765"/>
      <w:bookmarkStart w:id="1003" w:name="_Toc152042450"/>
      <w:bookmarkStart w:id="1004" w:name="_Toc144974640"/>
      <w:bookmarkStart w:id="1005" w:name="_Toc152045672"/>
      <w:bookmarkStart w:id="1006" w:name="_Toc342296323"/>
      <w:bookmarkStart w:id="1007" w:name="_Toc179632690"/>
      <w:bookmarkStart w:id="1008" w:name="_Toc159950674"/>
      <w:r>
        <w:rPr>
          <w:rFonts w:eastAsia="黑体"/>
          <w:color w:val="auto"/>
          <w:sz w:val="24"/>
          <w:szCs w:val="20"/>
          <w:highlight w:val="none"/>
        </w:rPr>
        <w:t>8.4 监理人使用施工控制网</w:t>
      </w:r>
      <w:bookmarkEnd w:id="1002"/>
      <w:bookmarkEnd w:id="1003"/>
      <w:bookmarkEnd w:id="1004"/>
      <w:bookmarkEnd w:id="1005"/>
      <w:bookmarkEnd w:id="1006"/>
      <w:bookmarkEnd w:id="1007"/>
      <w:bookmarkEnd w:id="1008"/>
    </w:p>
    <w:p w14:paraId="5489CAD1">
      <w:pPr>
        <w:spacing w:line="400" w:lineRule="exact"/>
        <w:ind w:firstLine="420" w:firstLineChars="200"/>
        <w:rPr>
          <w:color w:val="auto"/>
          <w:highlight w:val="none"/>
        </w:rPr>
      </w:pPr>
      <w:r>
        <w:rPr>
          <w:color w:val="auto"/>
          <w:highlight w:val="none"/>
        </w:rPr>
        <w:t>监理人需要使用施工控制网的，承包人应提供必要的协助，发包人不再为此支付费用。</w:t>
      </w:r>
    </w:p>
    <w:p w14:paraId="453696FB">
      <w:pPr>
        <w:spacing w:line="400" w:lineRule="exact"/>
        <w:rPr>
          <w:rFonts w:cs="仿宋_GB2312"/>
          <w:color w:val="auto"/>
          <w:highlight w:val="none"/>
        </w:rPr>
      </w:pPr>
      <w:bookmarkStart w:id="1009" w:name="_Toc448758430"/>
      <w:bookmarkStart w:id="1010" w:name="_Toc448758530"/>
      <w:bookmarkStart w:id="1011" w:name="_Toc338944766"/>
      <w:bookmarkStart w:id="1012" w:name="_Toc469660025"/>
      <w:bookmarkStart w:id="1013" w:name="_Toc342296324"/>
      <w:bookmarkStart w:id="1014" w:name="_Toc442365622"/>
      <w:r>
        <w:rPr>
          <w:rFonts w:cs="仿宋_GB2312"/>
          <w:color w:val="auto"/>
          <w:highlight w:val="none"/>
        </w:rPr>
        <w:t>9. 施工安全、治安保卫</w:t>
      </w:r>
      <w:r>
        <w:rPr>
          <w:rFonts w:hint="eastAsia" w:cs="仿宋_GB2312"/>
          <w:color w:val="auto"/>
          <w:highlight w:val="none"/>
        </w:rPr>
        <w:t>，</w:t>
      </w:r>
      <w:r>
        <w:rPr>
          <w:rFonts w:cs="仿宋_GB2312"/>
          <w:color w:val="auto"/>
          <w:highlight w:val="none"/>
        </w:rPr>
        <w:t>环境保护</w:t>
      </w:r>
      <w:bookmarkEnd w:id="1009"/>
      <w:bookmarkEnd w:id="1010"/>
      <w:bookmarkEnd w:id="1011"/>
      <w:bookmarkEnd w:id="1012"/>
      <w:bookmarkEnd w:id="1013"/>
      <w:bookmarkEnd w:id="1014"/>
      <w:r>
        <w:rPr>
          <w:rFonts w:hint="eastAsia" w:ascii="仿宋_GB2312" w:hAnsi="仿宋_GB2312" w:cs="仿宋_GB2312"/>
          <w:color w:val="auto"/>
          <w:highlight w:val="none"/>
        </w:rPr>
        <w:t>以及安全文明施工</w:t>
      </w:r>
    </w:p>
    <w:p w14:paraId="5A4AF9F7">
      <w:pPr>
        <w:spacing w:line="400" w:lineRule="exact"/>
        <w:rPr>
          <w:color w:val="auto"/>
          <w:highlight w:val="none"/>
        </w:rPr>
      </w:pPr>
      <w:bookmarkStart w:id="1015" w:name="_Toc152045674"/>
      <w:bookmarkStart w:id="1016" w:name="_Toc152042452"/>
      <w:bookmarkStart w:id="1017" w:name="_Toc179632692"/>
      <w:bookmarkStart w:id="1018" w:name="_Toc342296325"/>
      <w:bookmarkStart w:id="1019" w:name="_Toc144974642"/>
      <w:bookmarkStart w:id="1020" w:name="_Toc338944767"/>
      <w:r>
        <w:rPr>
          <w:color w:val="auto"/>
          <w:highlight w:val="none"/>
        </w:rPr>
        <w:t>9.1 发包人的施工安全责任</w:t>
      </w:r>
      <w:bookmarkEnd w:id="1015"/>
      <w:bookmarkEnd w:id="1016"/>
      <w:bookmarkEnd w:id="1017"/>
      <w:bookmarkEnd w:id="1018"/>
      <w:bookmarkEnd w:id="1019"/>
      <w:bookmarkEnd w:id="1020"/>
    </w:p>
    <w:p w14:paraId="09647052">
      <w:pPr>
        <w:spacing w:line="400" w:lineRule="exact"/>
        <w:rPr>
          <w:color w:val="auto"/>
          <w:highlight w:val="none"/>
        </w:rPr>
      </w:pPr>
      <w:r>
        <w:rPr>
          <w:color w:val="auto"/>
          <w:highlight w:val="none"/>
        </w:rPr>
        <w:t>9.1.1 发包人应按合同约定履行安全职责，授权监理人按合同约定的安全工作内容监督、检查承包人安全工作的实施，组织承包人和有关单位进行安全检查。</w:t>
      </w:r>
    </w:p>
    <w:p w14:paraId="6D35A95E">
      <w:pPr>
        <w:spacing w:line="400" w:lineRule="exact"/>
        <w:ind w:firstLine="420" w:firstLineChars="200"/>
        <w:rPr>
          <w:color w:val="auto"/>
          <w:highlight w:val="none"/>
        </w:rPr>
      </w:pPr>
      <w:r>
        <w:rPr>
          <w:color w:val="auto"/>
          <w:highlight w:val="none"/>
        </w:rPr>
        <w:t>9.1.2 发包人应对其现场机构雇佣的全部人员的工伤事故承担责任，但由于承包人原因造成发包人人员工伤的，应由承包人承担责任。</w:t>
      </w:r>
    </w:p>
    <w:p w14:paraId="3EAF621A">
      <w:pPr>
        <w:spacing w:line="400" w:lineRule="exact"/>
        <w:ind w:firstLine="420" w:firstLineChars="200"/>
        <w:rPr>
          <w:color w:val="auto"/>
          <w:highlight w:val="none"/>
        </w:rPr>
      </w:pPr>
      <w:r>
        <w:rPr>
          <w:color w:val="auto"/>
          <w:highlight w:val="none"/>
        </w:rPr>
        <w:t>9.1.3 发包人应负责赔偿以下各种情况造成的第三者人身伤亡和财产损失：</w:t>
      </w:r>
    </w:p>
    <w:p w14:paraId="69534919">
      <w:pPr>
        <w:spacing w:line="400" w:lineRule="exact"/>
        <w:ind w:firstLine="420" w:firstLineChars="200"/>
        <w:rPr>
          <w:color w:val="auto"/>
          <w:highlight w:val="none"/>
        </w:rPr>
      </w:pPr>
      <w:r>
        <w:rPr>
          <w:color w:val="auto"/>
          <w:highlight w:val="none"/>
        </w:rPr>
        <w:t>（1） 工程或工程的任何部分对土地的占用所造成的第三者财产损失；</w:t>
      </w:r>
    </w:p>
    <w:p w14:paraId="3B283320">
      <w:pPr>
        <w:spacing w:line="400" w:lineRule="exact"/>
        <w:ind w:firstLine="420" w:firstLineChars="200"/>
        <w:rPr>
          <w:color w:val="auto"/>
          <w:highlight w:val="none"/>
        </w:rPr>
      </w:pPr>
      <w:r>
        <w:rPr>
          <w:color w:val="auto"/>
          <w:highlight w:val="none"/>
        </w:rPr>
        <w:t>（2） 由于发包人原因在施工场地及其毗邻地带造成的第三者人身伤亡和财产损失。</w:t>
      </w:r>
    </w:p>
    <w:p w14:paraId="103E33CF">
      <w:pPr>
        <w:keepNext/>
        <w:keepLines/>
        <w:spacing w:line="400" w:lineRule="exact"/>
        <w:outlineLvl w:val="2"/>
        <w:rPr>
          <w:rFonts w:eastAsia="黑体"/>
          <w:color w:val="auto"/>
          <w:sz w:val="24"/>
          <w:szCs w:val="20"/>
          <w:highlight w:val="none"/>
        </w:rPr>
      </w:pPr>
      <w:bookmarkStart w:id="1021" w:name="_Toc159950675"/>
      <w:bookmarkStart w:id="1022" w:name="_Toc338944768"/>
      <w:bookmarkStart w:id="1023" w:name="_Toc342296326"/>
      <w:r>
        <w:rPr>
          <w:rFonts w:eastAsia="黑体"/>
          <w:color w:val="auto"/>
          <w:sz w:val="24"/>
          <w:szCs w:val="20"/>
          <w:highlight w:val="none"/>
        </w:rPr>
        <w:t>9.2 承包人的施工安全责任</w:t>
      </w:r>
      <w:bookmarkEnd w:id="1021"/>
      <w:bookmarkEnd w:id="1022"/>
      <w:bookmarkEnd w:id="1023"/>
    </w:p>
    <w:p w14:paraId="3D56563B">
      <w:pPr>
        <w:spacing w:line="400" w:lineRule="exact"/>
        <w:ind w:firstLine="420" w:firstLineChars="200"/>
        <w:rPr>
          <w:color w:val="auto"/>
          <w:highlight w:val="none"/>
        </w:rPr>
      </w:pPr>
      <w:r>
        <w:rPr>
          <w:color w:val="auto"/>
          <w:highlight w:val="none"/>
        </w:rPr>
        <w:t>9.2.1 承包人应按合同约定履行安全职责,执行监理人有关安全工作的指示,并在专用合同条款约定的期限内，按合同约定的安全工作内容，编制施工安全措施计划报送监理人审批。</w:t>
      </w:r>
    </w:p>
    <w:p w14:paraId="3436DA98">
      <w:pPr>
        <w:spacing w:line="400" w:lineRule="exact"/>
        <w:ind w:firstLine="420" w:firstLineChars="200"/>
        <w:rPr>
          <w:color w:val="auto"/>
          <w:highlight w:val="none"/>
        </w:rPr>
      </w:pPr>
      <w:r>
        <w:rPr>
          <w:color w:val="auto"/>
          <w:highlight w:val="none"/>
        </w:rPr>
        <w:t>9.2.2 承包人应加强施工作业安全管理，特别应加强易燃、易爆材料、火工器材、有毒与腐蚀性材料和其他危险品的管理，以及对爆破作业和地下工程施工等危险作业的管理。</w:t>
      </w:r>
    </w:p>
    <w:p w14:paraId="376CC5CC">
      <w:pPr>
        <w:spacing w:line="400" w:lineRule="exact"/>
        <w:ind w:firstLine="420" w:firstLineChars="200"/>
        <w:rPr>
          <w:color w:val="auto"/>
          <w:highlight w:val="none"/>
        </w:rPr>
      </w:pPr>
      <w:r>
        <w:rPr>
          <w:color w:val="auto"/>
          <w:highlight w:val="none"/>
        </w:rPr>
        <w:t>9.2.3 承包人应严格按照国家安全标准制定施工安全操作规程，配备必要的安全生产和劳动保护设施，加强对承包人人员的安全教育，并发放安全工作手册和劳动保护用具。</w:t>
      </w:r>
    </w:p>
    <w:p w14:paraId="62ECEF03">
      <w:pPr>
        <w:spacing w:line="400" w:lineRule="exact"/>
        <w:ind w:firstLine="420" w:firstLineChars="200"/>
        <w:rPr>
          <w:color w:val="auto"/>
          <w:highlight w:val="none"/>
        </w:rPr>
      </w:pPr>
      <w:r>
        <w:rPr>
          <w:color w:val="auto"/>
          <w:highlight w:val="none"/>
        </w:rPr>
        <w:t>9.2.4 承包人应按监理人的指示制定应对灾害的紧急预案，报送监理人审批。承包人还应按预案做好安全检查，配置必要的救助物资和器材，切实保护好有关人员的人身和财产安全。</w:t>
      </w:r>
    </w:p>
    <w:p w14:paraId="369A2001">
      <w:pPr>
        <w:spacing w:line="400" w:lineRule="exact"/>
        <w:ind w:firstLine="420" w:firstLineChars="200"/>
        <w:rPr>
          <w:color w:val="auto"/>
          <w:highlight w:val="none"/>
        </w:rPr>
      </w:pPr>
      <w:r>
        <w:rPr>
          <w:color w:val="auto"/>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51CA9F01">
      <w:pPr>
        <w:spacing w:line="400" w:lineRule="exact"/>
        <w:ind w:firstLine="420" w:firstLineChars="200"/>
        <w:rPr>
          <w:color w:val="auto"/>
          <w:highlight w:val="none"/>
        </w:rPr>
      </w:pPr>
      <w:r>
        <w:rPr>
          <w:color w:val="auto"/>
          <w:highlight w:val="none"/>
        </w:rPr>
        <w:t>9.2.6 承包人应对其履行合同所雇佣的全部人员，包括分包人人员的工伤事故承担责任，但由于发包人原因造成承包人人员工伤事故的，应由发包人承担责任。</w:t>
      </w:r>
    </w:p>
    <w:p w14:paraId="6542BEA1">
      <w:pPr>
        <w:spacing w:line="400" w:lineRule="exact"/>
        <w:ind w:firstLine="420" w:firstLineChars="200"/>
        <w:rPr>
          <w:color w:val="auto"/>
          <w:highlight w:val="none"/>
        </w:rPr>
      </w:pPr>
      <w:r>
        <w:rPr>
          <w:color w:val="auto"/>
          <w:highlight w:val="none"/>
        </w:rPr>
        <w:t>9.2.7 由于承包人原因在施工场地内及其毗邻地带造成的第三者人员伤亡和财产损失，由承包人负责赔偿。</w:t>
      </w:r>
    </w:p>
    <w:p w14:paraId="4C981B73">
      <w:pPr>
        <w:spacing w:line="400" w:lineRule="exact"/>
        <w:ind w:firstLine="420" w:firstLineChars="200"/>
        <w:rPr>
          <w:color w:val="auto"/>
          <w:highlight w:val="none"/>
        </w:rPr>
      </w:pPr>
      <w:r>
        <w:rPr>
          <w:rFonts w:hint="eastAsia"/>
          <w:color w:val="auto"/>
          <w:highlight w:val="none"/>
        </w:rPr>
        <w:t>9.2.8 承包人应签署《施工安全协议书》（第七节），并严格按照第七节《施工安全协议书》中内容执行。</w:t>
      </w:r>
    </w:p>
    <w:p w14:paraId="0261F960">
      <w:pPr>
        <w:keepNext/>
        <w:keepLines/>
        <w:spacing w:line="400" w:lineRule="exact"/>
        <w:outlineLvl w:val="2"/>
        <w:rPr>
          <w:rFonts w:eastAsia="黑体"/>
          <w:color w:val="auto"/>
          <w:sz w:val="24"/>
          <w:szCs w:val="20"/>
          <w:highlight w:val="none"/>
        </w:rPr>
      </w:pPr>
      <w:bookmarkStart w:id="1024" w:name="_Toc342296327"/>
      <w:bookmarkStart w:id="1025" w:name="_Toc159950676"/>
      <w:bookmarkStart w:id="1026" w:name="_Toc338944769"/>
      <w:r>
        <w:rPr>
          <w:rFonts w:eastAsia="黑体"/>
          <w:color w:val="auto"/>
          <w:sz w:val="24"/>
          <w:szCs w:val="20"/>
          <w:highlight w:val="none"/>
        </w:rPr>
        <w:t>9.3 治安保卫</w:t>
      </w:r>
      <w:bookmarkEnd w:id="1024"/>
      <w:bookmarkEnd w:id="1025"/>
      <w:bookmarkEnd w:id="1026"/>
    </w:p>
    <w:p w14:paraId="03A88F40">
      <w:pPr>
        <w:spacing w:line="400" w:lineRule="exact"/>
        <w:ind w:firstLine="420" w:firstLineChars="200"/>
        <w:rPr>
          <w:color w:val="auto"/>
          <w:highlight w:val="none"/>
        </w:rPr>
      </w:pPr>
      <w:r>
        <w:rPr>
          <w:color w:val="auto"/>
          <w:highlight w:val="none"/>
        </w:rPr>
        <w:t>9.3.1 除合同另有约定外，发包人应与当地公安部门协商，在现场建立治安管理机构或联防组织，统一管理施工场地的治安保卫事项，履行合同工程的治安保卫职责。</w:t>
      </w:r>
    </w:p>
    <w:p w14:paraId="748C46A4">
      <w:pPr>
        <w:spacing w:line="400" w:lineRule="exact"/>
        <w:ind w:firstLine="420" w:firstLineChars="200"/>
        <w:rPr>
          <w:color w:val="auto"/>
          <w:highlight w:val="none"/>
        </w:rPr>
      </w:pPr>
      <w:r>
        <w:rPr>
          <w:color w:val="auto"/>
          <w:highlight w:val="none"/>
        </w:rPr>
        <w:t>9.3.2 发包人和承包人除应协助现场治安管理机构或联防组织维护施工场地的社会治安外，还应做好包括生活区在内的各自管辖区的治安保卫工作。</w:t>
      </w:r>
    </w:p>
    <w:p w14:paraId="447F01D9">
      <w:pPr>
        <w:spacing w:line="400" w:lineRule="exact"/>
        <w:ind w:firstLine="420" w:firstLineChars="200"/>
        <w:rPr>
          <w:color w:val="auto"/>
          <w:highlight w:val="none"/>
        </w:rPr>
      </w:pPr>
      <w:r>
        <w:rPr>
          <w:color w:val="auto"/>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5776AB56">
      <w:pPr>
        <w:keepNext/>
        <w:keepLines/>
        <w:spacing w:line="400" w:lineRule="exact"/>
        <w:outlineLvl w:val="2"/>
        <w:rPr>
          <w:rFonts w:eastAsia="黑体"/>
          <w:color w:val="auto"/>
          <w:sz w:val="24"/>
          <w:szCs w:val="20"/>
          <w:highlight w:val="none"/>
        </w:rPr>
      </w:pPr>
      <w:bookmarkStart w:id="1027" w:name="_Toc159950677"/>
      <w:bookmarkStart w:id="1028" w:name="_Toc338944770"/>
      <w:bookmarkStart w:id="1029" w:name="_Toc342296328"/>
      <w:r>
        <w:rPr>
          <w:rFonts w:eastAsia="黑体"/>
          <w:color w:val="auto"/>
          <w:sz w:val="24"/>
          <w:szCs w:val="20"/>
          <w:highlight w:val="none"/>
        </w:rPr>
        <w:t>9.4 环境保护</w:t>
      </w:r>
      <w:bookmarkEnd w:id="1027"/>
      <w:bookmarkEnd w:id="1028"/>
      <w:bookmarkEnd w:id="1029"/>
    </w:p>
    <w:p w14:paraId="7E97E359">
      <w:pPr>
        <w:spacing w:line="400" w:lineRule="exact"/>
        <w:ind w:firstLine="420" w:firstLineChars="200"/>
        <w:rPr>
          <w:color w:val="auto"/>
          <w:highlight w:val="none"/>
        </w:rPr>
      </w:pPr>
      <w:r>
        <w:rPr>
          <w:color w:val="auto"/>
          <w:highlight w:val="none"/>
        </w:rPr>
        <w:t>9.4.1 承包人在施工过程中，应遵守有关环境保护的法律，履行合同约定的环境保护义务，并对违反法律和合同约定义务所造成的环境破坏、人身伤害和财产损失负责。</w:t>
      </w:r>
    </w:p>
    <w:p w14:paraId="23F9B6C2">
      <w:pPr>
        <w:spacing w:line="400" w:lineRule="exact"/>
        <w:ind w:firstLine="420" w:firstLineChars="200"/>
        <w:rPr>
          <w:color w:val="auto"/>
          <w:highlight w:val="none"/>
        </w:rPr>
      </w:pPr>
      <w:r>
        <w:rPr>
          <w:color w:val="auto"/>
          <w:highlight w:val="none"/>
        </w:rPr>
        <w:t>9.4.2 承包人应按合同约定的环保工作内容，编制施工环保措施计划，报送监理人审批。</w:t>
      </w:r>
    </w:p>
    <w:p w14:paraId="3DE4F9D5">
      <w:pPr>
        <w:spacing w:line="400" w:lineRule="exact"/>
        <w:ind w:firstLine="420" w:firstLineChars="200"/>
        <w:rPr>
          <w:color w:val="auto"/>
          <w:highlight w:val="none"/>
        </w:rPr>
      </w:pPr>
      <w:r>
        <w:rPr>
          <w:color w:val="auto"/>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1451338D">
      <w:pPr>
        <w:spacing w:line="400" w:lineRule="exact"/>
        <w:ind w:firstLine="420" w:firstLineChars="200"/>
        <w:rPr>
          <w:color w:val="auto"/>
          <w:highlight w:val="none"/>
        </w:rPr>
      </w:pPr>
      <w:r>
        <w:rPr>
          <w:color w:val="auto"/>
          <w:highlight w:val="none"/>
        </w:rPr>
        <w:t>9.4.4 承包人应按合同约定采取有效措施，对施工开挖的边坡及时进行支护,维护排水设施，并进行水土保护，避免因施工造成的地质灾害。</w:t>
      </w:r>
    </w:p>
    <w:p w14:paraId="0A337387">
      <w:pPr>
        <w:spacing w:line="400" w:lineRule="exact"/>
        <w:ind w:firstLine="420" w:firstLineChars="200"/>
        <w:rPr>
          <w:color w:val="auto"/>
          <w:highlight w:val="none"/>
        </w:rPr>
      </w:pPr>
      <w:r>
        <w:rPr>
          <w:color w:val="auto"/>
          <w:highlight w:val="none"/>
        </w:rPr>
        <w:t>9.4.5 承包人应按国家饮用水管理标准定期对饮用水源进行监测，防止施工活动污染饮用水源。</w:t>
      </w:r>
    </w:p>
    <w:p w14:paraId="72E3CA92">
      <w:pPr>
        <w:spacing w:line="400" w:lineRule="exact"/>
        <w:ind w:firstLine="420" w:firstLineChars="200"/>
        <w:rPr>
          <w:color w:val="auto"/>
          <w:highlight w:val="none"/>
        </w:rPr>
      </w:pPr>
      <w:r>
        <w:rPr>
          <w:color w:val="auto"/>
          <w:highlight w:val="none"/>
        </w:rPr>
        <w:t>9.4.6 承包人应按合同约定，加强对噪声、粉尘、废气、废水和废油的控制，努力降低噪声，控制粉尘和废气浓度，做好废水和废油的治理和排放。</w:t>
      </w:r>
    </w:p>
    <w:p w14:paraId="27DF3CA6">
      <w:pPr>
        <w:keepNext/>
        <w:keepLines/>
        <w:spacing w:line="400" w:lineRule="exact"/>
        <w:outlineLvl w:val="2"/>
        <w:rPr>
          <w:rFonts w:eastAsia="黑体"/>
          <w:color w:val="auto"/>
          <w:sz w:val="24"/>
          <w:szCs w:val="20"/>
          <w:highlight w:val="none"/>
        </w:rPr>
      </w:pPr>
      <w:bookmarkStart w:id="1030" w:name="_Toc152045678"/>
      <w:bookmarkStart w:id="1031" w:name="_Toc179632696"/>
      <w:bookmarkStart w:id="1032" w:name="_Toc144974646"/>
      <w:bookmarkStart w:id="1033" w:name="_Toc338944771"/>
      <w:bookmarkStart w:id="1034" w:name="_Toc159950678"/>
      <w:bookmarkStart w:id="1035" w:name="_Toc342296329"/>
      <w:bookmarkStart w:id="1036" w:name="_Toc152042456"/>
      <w:r>
        <w:rPr>
          <w:rFonts w:eastAsia="黑体"/>
          <w:color w:val="auto"/>
          <w:sz w:val="24"/>
          <w:szCs w:val="20"/>
          <w:highlight w:val="none"/>
        </w:rPr>
        <w:t>9.5 事故处理</w:t>
      </w:r>
      <w:bookmarkEnd w:id="1030"/>
      <w:bookmarkEnd w:id="1031"/>
      <w:bookmarkEnd w:id="1032"/>
      <w:bookmarkEnd w:id="1033"/>
      <w:bookmarkEnd w:id="1034"/>
      <w:bookmarkEnd w:id="1035"/>
      <w:bookmarkEnd w:id="1036"/>
    </w:p>
    <w:p w14:paraId="3A267EA7">
      <w:pPr>
        <w:spacing w:line="400" w:lineRule="exact"/>
        <w:ind w:firstLine="420" w:firstLineChars="200"/>
        <w:rPr>
          <w:color w:val="auto"/>
          <w:highlight w:val="none"/>
        </w:rPr>
      </w:pPr>
      <w:r>
        <w:rPr>
          <w:color w:val="auto"/>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71D5980B">
      <w:pPr>
        <w:keepNext/>
        <w:keepLines/>
        <w:spacing w:line="400" w:lineRule="exact"/>
        <w:outlineLvl w:val="2"/>
        <w:rPr>
          <w:rFonts w:eastAsia="黑体"/>
          <w:color w:val="auto"/>
          <w:sz w:val="24"/>
          <w:szCs w:val="20"/>
          <w:highlight w:val="none"/>
        </w:rPr>
      </w:pPr>
      <w:bookmarkStart w:id="1037" w:name="_Toc159950679"/>
      <w:r>
        <w:rPr>
          <w:rFonts w:eastAsia="黑体"/>
          <w:color w:val="auto"/>
          <w:sz w:val="24"/>
          <w:szCs w:val="20"/>
          <w:highlight w:val="none"/>
        </w:rPr>
        <w:t xml:space="preserve">9.5 </w:t>
      </w:r>
      <w:r>
        <w:rPr>
          <w:rFonts w:hint="eastAsia" w:ascii="等线" w:hAnsi="等线" w:eastAsia="等线"/>
          <w:color w:val="auto"/>
          <w:sz w:val="24"/>
          <w:szCs w:val="20"/>
          <w:highlight w:val="none"/>
        </w:rPr>
        <w:t>安全文明施工</w:t>
      </w:r>
      <w:bookmarkEnd w:id="1037"/>
    </w:p>
    <w:p w14:paraId="2A36D3DC">
      <w:pPr>
        <w:spacing w:line="400" w:lineRule="exact"/>
        <w:ind w:firstLine="420" w:firstLineChars="200"/>
        <w:rPr>
          <w:color w:val="auto"/>
          <w:highlight w:val="none"/>
        </w:rPr>
      </w:pPr>
      <w:r>
        <w:rPr>
          <w:color w:val="auto"/>
          <w:highlight w:val="none"/>
        </w:rPr>
        <w:t xml:space="preserve">9.5.1 </w:t>
      </w:r>
      <w:r>
        <w:rPr>
          <w:rFonts w:hint="eastAsia"/>
          <w:color w:val="auto"/>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146A6E20">
      <w:pPr>
        <w:spacing w:line="400" w:lineRule="exact"/>
        <w:ind w:firstLine="420" w:firstLineChars="200"/>
        <w:rPr>
          <w:color w:val="auto"/>
          <w:highlight w:val="none"/>
        </w:rPr>
      </w:pPr>
      <w:r>
        <w:rPr>
          <w:rFonts w:hint="eastAsia"/>
          <w:color w:val="auto"/>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520F74E0">
      <w:pPr>
        <w:spacing w:line="400" w:lineRule="exact"/>
        <w:ind w:firstLine="420" w:firstLineChars="200"/>
        <w:rPr>
          <w:color w:val="auto"/>
          <w:highlight w:val="none"/>
        </w:rPr>
      </w:pPr>
      <w:r>
        <w:rPr>
          <w:color w:val="auto"/>
          <w:highlight w:val="none"/>
        </w:rPr>
        <w:t xml:space="preserve">9.5.2 </w:t>
      </w:r>
      <w:r>
        <w:rPr>
          <w:rFonts w:hint="eastAsia"/>
          <w:color w:val="auto"/>
          <w:highlight w:val="none"/>
        </w:rPr>
        <w:t>安全文明施工费由发包人承担，发包人不得以任何形式扣减该部分费用。因基准日期后合同所适用的法律或政府有关规定发生变化，增加的安全文明施工费由发包人承担。</w:t>
      </w:r>
    </w:p>
    <w:p w14:paraId="36039882">
      <w:pPr>
        <w:spacing w:line="400" w:lineRule="exact"/>
        <w:ind w:firstLine="420" w:firstLineChars="200"/>
        <w:rPr>
          <w:color w:val="auto"/>
          <w:highlight w:val="none"/>
        </w:rPr>
      </w:pPr>
      <w:r>
        <w:rPr>
          <w:rFonts w:hint="eastAsia"/>
          <w:color w:val="auto"/>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42FE729E">
      <w:pPr>
        <w:spacing w:line="400" w:lineRule="exact"/>
        <w:ind w:firstLine="420" w:firstLineChars="200"/>
        <w:rPr>
          <w:color w:val="auto"/>
          <w:highlight w:val="none"/>
        </w:rPr>
      </w:pPr>
      <w:r>
        <w:rPr>
          <w:rFonts w:hint="eastAsia"/>
          <w:color w:val="auto"/>
          <w:highlight w:val="none"/>
        </w:rPr>
        <w:t>除专用合同条款另有约定外，发包人应在开工后</w:t>
      </w:r>
      <w:r>
        <w:rPr>
          <w:color w:val="auto"/>
          <w:highlight w:val="none"/>
        </w:rPr>
        <w:t>28天内预付安全文明施工费总额的50%，其余部分与进度款同期支付。发包人逾期支付安全文明施工费超过7天的，承包人有权向发包人发出要求预付的催告通知，发包人收到通知后7天内仍未支付的，承包人有权暂停施工。</w:t>
      </w:r>
    </w:p>
    <w:p w14:paraId="367FE480">
      <w:pPr>
        <w:spacing w:line="400" w:lineRule="exact"/>
        <w:ind w:firstLine="420" w:firstLineChars="200"/>
        <w:rPr>
          <w:color w:val="auto"/>
          <w:highlight w:val="none"/>
        </w:rPr>
      </w:pPr>
    </w:p>
    <w:p w14:paraId="636DD8D1">
      <w:pPr>
        <w:spacing w:line="400" w:lineRule="exact"/>
        <w:ind w:firstLine="420" w:firstLineChars="200"/>
        <w:rPr>
          <w:color w:val="auto"/>
          <w:highlight w:val="none"/>
        </w:rPr>
      </w:pPr>
      <w:r>
        <w:rPr>
          <w:rFonts w:hint="eastAsia"/>
          <w:color w:val="auto"/>
          <w:highlight w:val="none"/>
        </w:rPr>
        <w:t>安全文明施工费应专款专用，应在财务账目中单独列项备查，不得挪作他用，否则发包人有权责令其限期改正；逾期未改正的，可以责令其暂停施工，由此增加的费用和（或）延误的工期由承包人承担。且安全文明施工费应根据相关施工措施和市场价格测算确定，但不得低于规定的费用标准（费率）计算的金额，且不得作为让利因素。施工现场安全生产标准化管理目标应符合合同约定中等级要求，且不得低于</w:t>
      </w:r>
      <w:r>
        <w:rPr>
          <w:color w:val="auto"/>
          <w:highlight w:val="none"/>
        </w:rPr>
        <w:t>达标标准。</w:t>
      </w:r>
    </w:p>
    <w:p w14:paraId="0823AD5C">
      <w:pPr>
        <w:keepNext/>
        <w:keepLines/>
        <w:spacing w:line="400" w:lineRule="exact"/>
        <w:outlineLvl w:val="1"/>
        <w:rPr>
          <w:rFonts w:eastAsia="黑体" w:cs="仿宋_GB2312"/>
          <w:color w:val="auto"/>
          <w:sz w:val="28"/>
          <w:szCs w:val="20"/>
          <w:highlight w:val="none"/>
        </w:rPr>
      </w:pPr>
      <w:bookmarkStart w:id="1038" w:name="_Toc442365623"/>
      <w:bookmarkStart w:id="1039" w:name="_Toc469660026"/>
      <w:bookmarkStart w:id="1040" w:name="_Toc448758431"/>
      <w:bookmarkStart w:id="1041" w:name="_Toc342296330"/>
      <w:bookmarkStart w:id="1042" w:name="_Toc448758531"/>
      <w:bookmarkStart w:id="1043" w:name="_Toc338944772"/>
      <w:bookmarkStart w:id="1044" w:name="_Toc159950680"/>
      <w:r>
        <w:rPr>
          <w:rFonts w:eastAsia="黑体" w:cs="仿宋_GB2312"/>
          <w:color w:val="auto"/>
          <w:sz w:val="28"/>
          <w:szCs w:val="20"/>
          <w:highlight w:val="none"/>
        </w:rPr>
        <w:t>10. 进度计划</w:t>
      </w:r>
      <w:bookmarkEnd w:id="1038"/>
      <w:bookmarkEnd w:id="1039"/>
      <w:bookmarkEnd w:id="1040"/>
      <w:bookmarkEnd w:id="1041"/>
      <w:bookmarkEnd w:id="1042"/>
      <w:bookmarkEnd w:id="1043"/>
      <w:bookmarkEnd w:id="1044"/>
    </w:p>
    <w:p w14:paraId="5BBE5752">
      <w:pPr>
        <w:keepNext/>
        <w:keepLines/>
        <w:spacing w:line="400" w:lineRule="exact"/>
        <w:outlineLvl w:val="2"/>
        <w:rPr>
          <w:rFonts w:eastAsia="黑体"/>
          <w:color w:val="auto"/>
          <w:sz w:val="24"/>
          <w:szCs w:val="20"/>
          <w:highlight w:val="none"/>
        </w:rPr>
      </w:pPr>
      <w:bookmarkStart w:id="1045" w:name="_Toc342296331"/>
      <w:bookmarkStart w:id="1046" w:name="_Toc338944773"/>
      <w:bookmarkStart w:id="1047" w:name="_Toc159950681"/>
      <w:r>
        <w:rPr>
          <w:rFonts w:eastAsia="黑体"/>
          <w:color w:val="auto"/>
          <w:sz w:val="24"/>
          <w:szCs w:val="20"/>
          <w:highlight w:val="none"/>
        </w:rPr>
        <w:t>10.1 合同进度计划</w:t>
      </w:r>
      <w:bookmarkEnd w:id="1045"/>
      <w:bookmarkEnd w:id="1046"/>
      <w:bookmarkEnd w:id="1047"/>
    </w:p>
    <w:p w14:paraId="3028C7C5">
      <w:pPr>
        <w:spacing w:line="400" w:lineRule="exact"/>
        <w:ind w:firstLine="420" w:firstLineChars="200"/>
        <w:rPr>
          <w:color w:val="auto"/>
          <w:highlight w:val="none"/>
        </w:rPr>
      </w:pPr>
      <w:r>
        <w:rPr>
          <w:color w:val="auto"/>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2784A862">
      <w:pPr>
        <w:keepNext/>
        <w:keepLines/>
        <w:spacing w:line="400" w:lineRule="exact"/>
        <w:outlineLvl w:val="2"/>
        <w:rPr>
          <w:rFonts w:eastAsia="黑体"/>
          <w:color w:val="auto"/>
          <w:sz w:val="24"/>
          <w:szCs w:val="20"/>
          <w:highlight w:val="none"/>
        </w:rPr>
      </w:pPr>
      <w:bookmarkStart w:id="1048" w:name="_Toc159950682"/>
      <w:bookmarkStart w:id="1049" w:name="_Toc338944774"/>
      <w:bookmarkStart w:id="1050" w:name="_Toc342296332"/>
      <w:r>
        <w:rPr>
          <w:rFonts w:eastAsia="黑体"/>
          <w:color w:val="auto"/>
          <w:sz w:val="24"/>
          <w:szCs w:val="20"/>
          <w:highlight w:val="none"/>
        </w:rPr>
        <w:t>10.2 合同进度计划的修订</w:t>
      </w:r>
      <w:bookmarkEnd w:id="1048"/>
      <w:bookmarkEnd w:id="1049"/>
      <w:bookmarkEnd w:id="1050"/>
    </w:p>
    <w:p w14:paraId="273C8CF2">
      <w:pPr>
        <w:spacing w:line="400" w:lineRule="exact"/>
        <w:ind w:firstLine="420" w:firstLineChars="200"/>
        <w:rPr>
          <w:color w:val="auto"/>
          <w:highlight w:val="none"/>
        </w:rPr>
      </w:pPr>
      <w:r>
        <w:rPr>
          <w:color w:val="auto"/>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58F7F57B">
      <w:pPr>
        <w:keepNext/>
        <w:keepLines/>
        <w:spacing w:line="400" w:lineRule="exact"/>
        <w:outlineLvl w:val="1"/>
        <w:rPr>
          <w:rFonts w:eastAsia="黑体" w:cs="仿宋_GB2312"/>
          <w:color w:val="auto"/>
          <w:sz w:val="28"/>
          <w:szCs w:val="20"/>
          <w:highlight w:val="none"/>
        </w:rPr>
      </w:pPr>
      <w:bookmarkStart w:id="1051" w:name="_Toc448758432"/>
      <w:bookmarkStart w:id="1052" w:name="_Toc159950683"/>
      <w:bookmarkStart w:id="1053" w:name="_Toc342296333"/>
      <w:bookmarkStart w:id="1054" w:name="_Toc469660027"/>
      <w:bookmarkStart w:id="1055" w:name="_Toc338944775"/>
      <w:bookmarkStart w:id="1056" w:name="_Toc442365624"/>
      <w:bookmarkStart w:id="1057" w:name="_Toc448758532"/>
      <w:r>
        <w:rPr>
          <w:rFonts w:eastAsia="黑体" w:cs="仿宋_GB2312"/>
          <w:color w:val="auto"/>
          <w:sz w:val="28"/>
          <w:szCs w:val="20"/>
          <w:highlight w:val="none"/>
        </w:rPr>
        <w:t>11. 开工和竣工</w:t>
      </w:r>
      <w:bookmarkEnd w:id="1051"/>
      <w:bookmarkEnd w:id="1052"/>
      <w:bookmarkEnd w:id="1053"/>
      <w:bookmarkEnd w:id="1054"/>
      <w:bookmarkEnd w:id="1055"/>
      <w:bookmarkEnd w:id="1056"/>
      <w:bookmarkEnd w:id="1057"/>
    </w:p>
    <w:p w14:paraId="3B915A28">
      <w:pPr>
        <w:keepNext/>
        <w:keepLines/>
        <w:spacing w:line="400" w:lineRule="exact"/>
        <w:outlineLvl w:val="2"/>
        <w:rPr>
          <w:rFonts w:eastAsia="黑体"/>
          <w:color w:val="auto"/>
          <w:sz w:val="24"/>
          <w:szCs w:val="20"/>
          <w:highlight w:val="none"/>
        </w:rPr>
      </w:pPr>
      <w:bookmarkStart w:id="1058" w:name="_Toc342296334"/>
      <w:bookmarkStart w:id="1059" w:name="_Toc179632701"/>
      <w:bookmarkStart w:id="1060" w:name="_Toc159950684"/>
      <w:bookmarkStart w:id="1061" w:name="_Toc338944776"/>
      <w:bookmarkStart w:id="1062" w:name="_Toc152042461"/>
      <w:bookmarkStart w:id="1063" w:name="_Toc144974651"/>
      <w:bookmarkStart w:id="1064" w:name="_Toc152045683"/>
      <w:r>
        <w:rPr>
          <w:rFonts w:eastAsia="黑体"/>
          <w:color w:val="auto"/>
          <w:sz w:val="24"/>
          <w:szCs w:val="20"/>
          <w:highlight w:val="none"/>
        </w:rPr>
        <w:t>11.1 开工</w:t>
      </w:r>
      <w:bookmarkEnd w:id="1058"/>
      <w:bookmarkEnd w:id="1059"/>
      <w:bookmarkEnd w:id="1060"/>
      <w:bookmarkEnd w:id="1061"/>
      <w:bookmarkEnd w:id="1062"/>
      <w:bookmarkEnd w:id="1063"/>
      <w:bookmarkEnd w:id="1064"/>
    </w:p>
    <w:p w14:paraId="523C8EA4">
      <w:pPr>
        <w:spacing w:line="400" w:lineRule="exact"/>
        <w:ind w:firstLine="420" w:firstLineChars="200"/>
        <w:rPr>
          <w:color w:val="auto"/>
          <w:highlight w:val="none"/>
        </w:rPr>
      </w:pPr>
      <w:r>
        <w:rPr>
          <w:color w:val="auto"/>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783908CF">
      <w:pPr>
        <w:spacing w:line="400" w:lineRule="exact"/>
        <w:ind w:firstLine="420" w:firstLineChars="200"/>
        <w:rPr>
          <w:color w:val="auto"/>
          <w:highlight w:val="none"/>
          <w:shd w:val="pct10" w:color="auto" w:fill="FFFFFF"/>
        </w:rPr>
      </w:pPr>
      <w:r>
        <w:rPr>
          <w:color w:val="auto"/>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3F13E83B">
      <w:pPr>
        <w:keepNext/>
        <w:keepLines/>
        <w:spacing w:line="400" w:lineRule="exact"/>
        <w:outlineLvl w:val="2"/>
        <w:rPr>
          <w:rFonts w:eastAsia="黑体"/>
          <w:color w:val="auto"/>
          <w:sz w:val="24"/>
          <w:szCs w:val="20"/>
          <w:highlight w:val="none"/>
        </w:rPr>
      </w:pPr>
      <w:bookmarkStart w:id="1065" w:name="_Toc338944777"/>
      <w:bookmarkStart w:id="1066" w:name="_Toc179632702"/>
      <w:bookmarkStart w:id="1067" w:name="_Toc342296335"/>
      <w:bookmarkStart w:id="1068" w:name="_Toc144974652"/>
      <w:bookmarkStart w:id="1069" w:name="_Toc152042462"/>
      <w:bookmarkStart w:id="1070" w:name="_Toc152045684"/>
      <w:bookmarkStart w:id="1071" w:name="_Toc159950685"/>
      <w:r>
        <w:rPr>
          <w:rFonts w:eastAsia="黑体"/>
          <w:color w:val="auto"/>
          <w:sz w:val="24"/>
          <w:szCs w:val="20"/>
          <w:highlight w:val="none"/>
        </w:rPr>
        <w:t>11.2 竣工</w:t>
      </w:r>
      <w:bookmarkEnd w:id="1065"/>
      <w:bookmarkEnd w:id="1066"/>
      <w:bookmarkEnd w:id="1067"/>
      <w:bookmarkEnd w:id="1068"/>
      <w:bookmarkEnd w:id="1069"/>
      <w:bookmarkEnd w:id="1070"/>
      <w:bookmarkEnd w:id="1071"/>
    </w:p>
    <w:p w14:paraId="79C10329">
      <w:pPr>
        <w:spacing w:line="400" w:lineRule="exact"/>
        <w:ind w:firstLine="420" w:firstLineChars="200"/>
        <w:rPr>
          <w:color w:val="auto"/>
          <w:highlight w:val="none"/>
        </w:rPr>
      </w:pPr>
      <w:r>
        <w:rPr>
          <w:color w:val="auto"/>
          <w:highlight w:val="none"/>
        </w:rPr>
        <w:t>承包人应在第1.1.4.3目约定的期限内完成合同工程。实际竣工日期在接收证书中写明。</w:t>
      </w:r>
    </w:p>
    <w:p w14:paraId="7CA33307">
      <w:pPr>
        <w:keepNext/>
        <w:keepLines/>
        <w:spacing w:line="400" w:lineRule="exact"/>
        <w:outlineLvl w:val="2"/>
        <w:rPr>
          <w:rFonts w:eastAsia="黑体"/>
          <w:color w:val="auto"/>
          <w:sz w:val="24"/>
          <w:szCs w:val="20"/>
          <w:highlight w:val="none"/>
        </w:rPr>
      </w:pPr>
      <w:bookmarkStart w:id="1072" w:name="_Toc159950686"/>
      <w:bookmarkStart w:id="1073" w:name="_Toc342296336"/>
      <w:bookmarkStart w:id="1074" w:name="_Toc338944778"/>
      <w:r>
        <w:rPr>
          <w:rFonts w:eastAsia="黑体"/>
          <w:color w:val="auto"/>
          <w:sz w:val="24"/>
          <w:szCs w:val="20"/>
          <w:highlight w:val="none"/>
        </w:rPr>
        <w:t>11.3 发包人的工期延误</w:t>
      </w:r>
      <w:bookmarkEnd w:id="1072"/>
      <w:bookmarkEnd w:id="1073"/>
      <w:bookmarkEnd w:id="1074"/>
    </w:p>
    <w:p w14:paraId="1BE98C8E">
      <w:pPr>
        <w:spacing w:line="400" w:lineRule="exact"/>
        <w:ind w:firstLine="420" w:firstLineChars="200"/>
        <w:rPr>
          <w:color w:val="auto"/>
          <w:highlight w:val="none"/>
        </w:rPr>
      </w:pPr>
      <w:r>
        <w:rPr>
          <w:color w:val="auto"/>
          <w:highlight w:val="none"/>
        </w:rPr>
        <w:t>在履行合同过程中，由于发包人的下列原因造成工期延误的，承包人有权要求发包人延长工期和（或）增加费用，并支付合理利润。需要修订合同进度计划的，按照第10.2款的约定办理。</w:t>
      </w:r>
    </w:p>
    <w:p w14:paraId="69C1E48C">
      <w:pPr>
        <w:spacing w:line="400" w:lineRule="exact"/>
        <w:ind w:firstLine="359" w:firstLineChars="171"/>
        <w:rPr>
          <w:color w:val="auto"/>
          <w:highlight w:val="none"/>
        </w:rPr>
      </w:pPr>
      <w:r>
        <w:rPr>
          <w:color w:val="auto"/>
          <w:highlight w:val="none"/>
        </w:rPr>
        <w:t>（1）增加合同工作内容；</w:t>
      </w:r>
    </w:p>
    <w:p w14:paraId="4E69BB35">
      <w:pPr>
        <w:spacing w:line="400" w:lineRule="exact"/>
        <w:ind w:firstLine="359" w:firstLineChars="171"/>
        <w:rPr>
          <w:color w:val="auto"/>
          <w:highlight w:val="none"/>
        </w:rPr>
      </w:pPr>
      <w:r>
        <w:rPr>
          <w:color w:val="auto"/>
          <w:highlight w:val="none"/>
        </w:rPr>
        <w:t>（2）改变合同中任何一项工作的质量要求或其他特性；</w:t>
      </w:r>
    </w:p>
    <w:p w14:paraId="493FACC1">
      <w:pPr>
        <w:spacing w:line="400" w:lineRule="exact"/>
        <w:ind w:firstLine="359" w:firstLineChars="171"/>
        <w:rPr>
          <w:color w:val="auto"/>
          <w:highlight w:val="none"/>
        </w:rPr>
      </w:pPr>
      <w:r>
        <w:rPr>
          <w:color w:val="auto"/>
          <w:highlight w:val="none"/>
        </w:rPr>
        <w:t>（3）发包人迟延提供材料、工程设备或变更交货地点的；</w:t>
      </w:r>
    </w:p>
    <w:p w14:paraId="2AD3536A">
      <w:pPr>
        <w:spacing w:line="400" w:lineRule="exact"/>
        <w:ind w:firstLine="359" w:firstLineChars="171"/>
        <w:rPr>
          <w:color w:val="auto"/>
          <w:highlight w:val="none"/>
        </w:rPr>
      </w:pPr>
      <w:r>
        <w:rPr>
          <w:color w:val="auto"/>
          <w:highlight w:val="none"/>
        </w:rPr>
        <w:t>（4）因发包人原因导致的暂停施工；</w:t>
      </w:r>
    </w:p>
    <w:p w14:paraId="0833C12F">
      <w:pPr>
        <w:spacing w:line="400" w:lineRule="exact"/>
        <w:ind w:firstLine="359" w:firstLineChars="171"/>
        <w:rPr>
          <w:color w:val="auto"/>
          <w:highlight w:val="none"/>
        </w:rPr>
      </w:pPr>
      <w:r>
        <w:rPr>
          <w:color w:val="auto"/>
          <w:highlight w:val="none"/>
        </w:rPr>
        <w:t>（5）提供图纸延误；</w:t>
      </w:r>
    </w:p>
    <w:p w14:paraId="4486D9FA">
      <w:pPr>
        <w:spacing w:line="400" w:lineRule="exact"/>
        <w:ind w:firstLine="359" w:firstLineChars="171"/>
        <w:rPr>
          <w:color w:val="auto"/>
          <w:highlight w:val="none"/>
        </w:rPr>
      </w:pPr>
      <w:r>
        <w:rPr>
          <w:color w:val="auto"/>
          <w:highlight w:val="none"/>
        </w:rPr>
        <w:t>（6）未按合同约定及时支付预付款、进度款；</w:t>
      </w:r>
    </w:p>
    <w:p w14:paraId="0465249D">
      <w:pPr>
        <w:spacing w:line="400" w:lineRule="exact"/>
        <w:ind w:firstLine="359" w:firstLineChars="171"/>
        <w:rPr>
          <w:color w:val="auto"/>
          <w:highlight w:val="none"/>
        </w:rPr>
      </w:pPr>
      <w:r>
        <w:rPr>
          <w:color w:val="auto"/>
          <w:highlight w:val="none"/>
        </w:rPr>
        <w:t>（7）发包人造成工期延误的其他原因。</w:t>
      </w:r>
    </w:p>
    <w:p w14:paraId="373A57E1">
      <w:pPr>
        <w:keepNext/>
        <w:keepLines/>
        <w:spacing w:line="400" w:lineRule="exact"/>
        <w:outlineLvl w:val="2"/>
        <w:rPr>
          <w:rFonts w:eastAsia="黑体"/>
          <w:color w:val="auto"/>
          <w:sz w:val="24"/>
          <w:szCs w:val="20"/>
          <w:highlight w:val="none"/>
        </w:rPr>
      </w:pPr>
      <w:bookmarkStart w:id="1075" w:name="_Toc342296337"/>
      <w:bookmarkStart w:id="1076" w:name="_Toc338944779"/>
      <w:bookmarkStart w:id="1077" w:name="_Toc159950687"/>
      <w:r>
        <w:rPr>
          <w:rFonts w:eastAsia="黑体"/>
          <w:color w:val="auto"/>
          <w:sz w:val="24"/>
          <w:szCs w:val="20"/>
          <w:highlight w:val="none"/>
        </w:rPr>
        <w:t>11.4 异常恶劣的气候条件</w:t>
      </w:r>
      <w:bookmarkEnd w:id="1075"/>
      <w:bookmarkEnd w:id="1076"/>
      <w:bookmarkEnd w:id="1077"/>
    </w:p>
    <w:p w14:paraId="544A1918">
      <w:pPr>
        <w:spacing w:line="400" w:lineRule="exact"/>
        <w:ind w:firstLine="359" w:firstLineChars="171"/>
        <w:rPr>
          <w:color w:val="auto"/>
          <w:highlight w:val="none"/>
        </w:rPr>
      </w:pPr>
      <w:r>
        <w:rPr>
          <w:color w:val="auto"/>
          <w:highlight w:val="none"/>
        </w:rPr>
        <w:t>由于出现专用合同条款规定的异常恶劣气候的条件导致工期延误的，承包人有权要求发包人延长工期。</w:t>
      </w:r>
    </w:p>
    <w:p w14:paraId="39B19D10">
      <w:pPr>
        <w:keepNext/>
        <w:keepLines/>
        <w:spacing w:line="400" w:lineRule="exact"/>
        <w:outlineLvl w:val="2"/>
        <w:rPr>
          <w:rFonts w:eastAsia="黑体"/>
          <w:color w:val="auto"/>
          <w:sz w:val="24"/>
          <w:szCs w:val="20"/>
          <w:highlight w:val="none"/>
        </w:rPr>
      </w:pPr>
      <w:bookmarkStart w:id="1078" w:name="_Toc159950688"/>
      <w:bookmarkStart w:id="1079" w:name="_Toc338944780"/>
      <w:bookmarkStart w:id="1080" w:name="_Toc342296338"/>
      <w:r>
        <w:rPr>
          <w:rFonts w:eastAsia="黑体"/>
          <w:color w:val="auto"/>
          <w:sz w:val="24"/>
          <w:szCs w:val="20"/>
          <w:highlight w:val="none"/>
        </w:rPr>
        <w:t>11.5 承包人的工期延误</w:t>
      </w:r>
      <w:bookmarkEnd w:id="1078"/>
      <w:bookmarkEnd w:id="1079"/>
      <w:bookmarkEnd w:id="1080"/>
    </w:p>
    <w:p w14:paraId="6DE34581">
      <w:pPr>
        <w:spacing w:line="400" w:lineRule="exact"/>
        <w:ind w:firstLine="420" w:firstLineChars="200"/>
        <w:rPr>
          <w:color w:val="auto"/>
          <w:highlight w:val="none"/>
        </w:rPr>
      </w:pPr>
      <w:r>
        <w:rPr>
          <w:color w:val="auto"/>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42EE45C6">
      <w:pPr>
        <w:keepNext/>
        <w:keepLines/>
        <w:spacing w:line="400" w:lineRule="exact"/>
        <w:outlineLvl w:val="2"/>
        <w:rPr>
          <w:rFonts w:eastAsia="黑体"/>
          <w:color w:val="auto"/>
          <w:sz w:val="24"/>
          <w:szCs w:val="20"/>
          <w:highlight w:val="none"/>
        </w:rPr>
      </w:pPr>
      <w:bookmarkStart w:id="1081" w:name="_Toc338944781"/>
      <w:bookmarkStart w:id="1082" w:name="_Toc342296339"/>
      <w:bookmarkStart w:id="1083" w:name="_Toc159950689"/>
      <w:r>
        <w:rPr>
          <w:rFonts w:eastAsia="黑体"/>
          <w:color w:val="auto"/>
          <w:sz w:val="24"/>
          <w:szCs w:val="20"/>
          <w:highlight w:val="none"/>
        </w:rPr>
        <w:t>11.6 工期提前</w:t>
      </w:r>
      <w:bookmarkEnd w:id="1081"/>
      <w:bookmarkEnd w:id="1082"/>
      <w:bookmarkEnd w:id="1083"/>
    </w:p>
    <w:p w14:paraId="49F78396">
      <w:pPr>
        <w:spacing w:line="400" w:lineRule="exact"/>
        <w:ind w:firstLine="420" w:firstLineChars="200"/>
        <w:rPr>
          <w:color w:val="auto"/>
          <w:highlight w:val="none"/>
        </w:rPr>
      </w:pPr>
      <w:r>
        <w:rPr>
          <w:color w:val="auto"/>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377FF659">
      <w:pPr>
        <w:keepNext/>
        <w:keepLines/>
        <w:spacing w:line="400" w:lineRule="exact"/>
        <w:outlineLvl w:val="1"/>
        <w:rPr>
          <w:rFonts w:eastAsia="黑体" w:cs="仿宋_GB2312"/>
          <w:color w:val="auto"/>
          <w:sz w:val="28"/>
          <w:szCs w:val="20"/>
          <w:highlight w:val="none"/>
        </w:rPr>
      </w:pPr>
      <w:bookmarkStart w:id="1084" w:name="_Toc338944782"/>
      <w:bookmarkStart w:id="1085" w:name="_Toc442365625"/>
      <w:bookmarkStart w:id="1086" w:name="_Toc342296340"/>
      <w:bookmarkStart w:id="1087" w:name="_Toc469660028"/>
      <w:bookmarkStart w:id="1088" w:name="_Toc159950690"/>
      <w:bookmarkStart w:id="1089" w:name="_Toc448758533"/>
      <w:bookmarkStart w:id="1090" w:name="_Toc448758433"/>
      <w:r>
        <w:rPr>
          <w:rFonts w:eastAsia="黑体" w:cs="仿宋_GB2312"/>
          <w:color w:val="auto"/>
          <w:sz w:val="28"/>
          <w:szCs w:val="20"/>
          <w:highlight w:val="none"/>
        </w:rPr>
        <w:t>12. 暂停施工</w:t>
      </w:r>
      <w:bookmarkEnd w:id="1084"/>
      <w:bookmarkEnd w:id="1085"/>
      <w:bookmarkEnd w:id="1086"/>
      <w:bookmarkEnd w:id="1087"/>
      <w:bookmarkEnd w:id="1088"/>
      <w:bookmarkEnd w:id="1089"/>
      <w:bookmarkEnd w:id="1090"/>
    </w:p>
    <w:p w14:paraId="431A7A8A">
      <w:pPr>
        <w:keepNext/>
        <w:keepLines/>
        <w:spacing w:line="400" w:lineRule="exact"/>
        <w:outlineLvl w:val="2"/>
        <w:rPr>
          <w:rFonts w:eastAsia="黑体"/>
          <w:color w:val="auto"/>
          <w:sz w:val="24"/>
          <w:szCs w:val="20"/>
          <w:highlight w:val="none"/>
        </w:rPr>
      </w:pPr>
      <w:bookmarkStart w:id="1091" w:name="_Toc338944783"/>
      <w:bookmarkStart w:id="1092" w:name="_Toc159950691"/>
      <w:bookmarkStart w:id="1093" w:name="_Toc342296341"/>
      <w:r>
        <w:rPr>
          <w:rFonts w:eastAsia="黑体"/>
          <w:color w:val="auto"/>
          <w:sz w:val="24"/>
          <w:szCs w:val="20"/>
          <w:highlight w:val="none"/>
        </w:rPr>
        <w:t>12.1 承包人暂停施工的责任</w:t>
      </w:r>
      <w:bookmarkEnd w:id="1091"/>
      <w:bookmarkEnd w:id="1092"/>
      <w:bookmarkEnd w:id="1093"/>
    </w:p>
    <w:p w14:paraId="69DBE18A">
      <w:pPr>
        <w:spacing w:line="400" w:lineRule="exact"/>
        <w:ind w:firstLine="420" w:firstLineChars="200"/>
        <w:rPr>
          <w:color w:val="auto"/>
          <w:highlight w:val="none"/>
        </w:rPr>
      </w:pPr>
      <w:r>
        <w:rPr>
          <w:color w:val="auto"/>
          <w:highlight w:val="none"/>
        </w:rPr>
        <w:t>因下列暂停施工增加的费用和（或）工期延误由承包人承担：</w:t>
      </w:r>
    </w:p>
    <w:p w14:paraId="33684A11">
      <w:pPr>
        <w:spacing w:line="400" w:lineRule="exact"/>
        <w:ind w:firstLine="359" w:firstLineChars="171"/>
        <w:rPr>
          <w:color w:val="auto"/>
          <w:highlight w:val="none"/>
        </w:rPr>
      </w:pPr>
      <w:r>
        <w:rPr>
          <w:color w:val="auto"/>
          <w:highlight w:val="none"/>
        </w:rPr>
        <w:t>（1）承包人违约引起的暂停施工；</w:t>
      </w:r>
    </w:p>
    <w:p w14:paraId="42EE4D56">
      <w:pPr>
        <w:spacing w:line="400" w:lineRule="exact"/>
        <w:ind w:firstLine="359" w:firstLineChars="171"/>
        <w:rPr>
          <w:color w:val="auto"/>
          <w:highlight w:val="none"/>
        </w:rPr>
      </w:pPr>
      <w:r>
        <w:rPr>
          <w:color w:val="auto"/>
          <w:highlight w:val="none"/>
        </w:rPr>
        <w:t>（2）由于承包人原因为工程合理施工和安全保障所必需的暂停施工；</w:t>
      </w:r>
    </w:p>
    <w:p w14:paraId="4B19A9F1">
      <w:pPr>
        <w:spacing w:line="400" w:lineRule="exact"/>
        <w:ind w:firstLine="359" w:firstLineChars="171"/>
        <w:rPr>
          <w:color w:val="auto"/>
          <w:highlight w:val="none"/>
        </w:rPr>
      </w:pPr>
      <w:r>
        <w:rPr>
          <w:color w:val="auto"/>
          <w:highlight w:val="none"/>
        </w:rPr>
        <w:t>（3）承包人擅自暂停施工；</w:t>
      </w:r>
    </w:p>
    <w:p w14:paraId="32996A41">
      <w:pPr>
        <w:spacing w:line="400" w:lineRule="exact"/>
        <w:ind w:firstLine="359" w:firstLineChars="171"/>
        <w:rPr>
          <w:color w:val="auto"/>
          <w:highlight w:val="none"/>
        </w:rPr>
      </w:pPr>
      <w:r>
        <w:rPr>
          <w:color w:val="auto"/>
          <w:highlight w:val="none"/>
        </w:rPr>
        <w:t>（4）承包人其他原因引起的暂停施工；</w:t>
      </w:r>
    </w:p>
    <w:p w14:paraId="428E0213">
      <w:pPr>
        <w:spacing w:line="400" w:lineRule="exact"/>
        <w:ind w:firstLine="359" w:firstLineChars="171"/>
        <w:rPr>
          <w:color w:val="auto"/>
          <w:highlight w:val="none"/>
        </w:rPr>
      </w:pPr>
      <w:r>
        <w:rPr>
          <w:color w:val="auto"/>
          <w:highlight w:val="none"/>
        </w:rPr>
        <w:t>（5）专用合同条款约定由承包人承担的其他暂停施工。</w:t>
      </w:r>
    </w:p>
    <w:p w14:paraId="5CF27129">
      <w:pPr>
        <w:keepNext/>
        <w:keepLines/>
        <w:spacing w:line="400" w:lineRule="exact"/>
        <w:outlineLvl w:val="2"/>
        <w:rPr>
          <w:rFonts w:eastAsia="黑体"/>
          <w:color w:val="auto"/>
          <w:sz w:val="24"/>
          <w:szCs w:val="20"/>
          <w:highlight w:val="none"/>
        </w:rPr>
      </w:pPr>
      <w:bookmarkStart w:id="1094" w:name="_Toc342296342"/>
      <w:bookmarkStart w:id="1095" w:name="_Toc159950692"/>
      <w:bookmarkStart w:id="1096" w:name="_Toc338944784"/>
      <w:bookmarkStart w:id="1097" w:name="_Toc179632709"/>
      <w:bookmarkStart w:id="1098" w:name="_Toc152042469"/>
      <w:bookmarkStart w:id="1099" w:name="_Toc152045691"/>
      <w:bookmarkStart w:id="1100" w:name="_Toc144974660"/>
      <w:r>
        <w:rPr>
          <w:rFonts w:eastAsia="黑体"/>
          <w:color w:val="auto"/>
          <w:sz w:val="24"/>
          <w:szCs w:val="20"/>
          <w:highlight w:val="none"/>
        </w:rPr>
        <w:t>12.2 发包人暂停施工的责任</w:t>
      </w:r>
      <w:bookmarkEnd w:id="1094"/>
      <w:bookmarkEnd w:id="1095"/>
      <w:bookmarkEnd w:id="1096"/>
      <w:bookmarkEnd w:id="1097"/>
      <w:bookmarkEnd w:id="1098"/>
      <w:bookmarkEnd w:id="1099"/>
      <w:bookmarkEnd w:id="1100"/>
    </w:p>
    <w:p w14:paraId="5BEC1F10">
      <w:pPr>
        <w:spacing w:line="400" w:lineRule="exact"/>
        <w:ind w:firstLine="420" w:firstLineChars="200"/>
        <w:rPr>
          <w:color w:val="auto"/>
          <w:highlight w:val="none"/>
        </w:rPr>
      </w:pPr>
      <w:r>
        <w:rPr>
          <w:color w:val="auto"/>
          <w:highlight w:val="none"/>
        </w:rPr>
        <w:t>由于发包人原因引起的暂停施工造成工期延误的，承包人有权要求发包人延长工期和（或）增加费用，并支付合理利润。</w:t>
      </w:r>
    </w:p>
    <w:p w14:paraId="0C709B9B">
      <w:pPr>
        <w:keepNext/>
        <w:keepLines/>
        <w:spacing w:line="400" w:lineRule="exact"/>
        <w:outlineLvl w:val="2"/>
        <w:rPr>
          <w:rFonts w:eastAsia="黑体"/>
          <w:color w:val="auto"/>
          <w:sz w:val="24"/>
          <w:szCs w:val="20"/>
          <w:highlight w:val="none"/>
        </w:rPr>
      </w:pPr>
      <w:bookmarkStart w:id="1101" w:name="_Toc152042470"/>
      <w:bookmarkStart w:id="1102" w:name="_Toc159950693"/>
      <w:bookmarkStart w:id="1103" w:name="_Toc342296343"/>
      <w:bookmarkStart w:id="1104" w:name="_Toc144974661"/>
      <w:bookmarkStart w:id="1105" w:name="_Toc179632710"/>
      <w:bookmarkStart w:id="1106" w:name="_Toc338944785"/>
      <w:bookmarkStart w:id="1107" w:name="_Toc152045692"/>
      <w:r>
        <w:rPr>
          <w:rFonts w:eastAsia="黑体"/>
          <w:color w:val="auto"/>
          <w:sz w:val="24"/>
          <w:szCs w:val="20"/>
          <w:highlight w:val="none"/>
        </w:rPr>
        <w:t>12.3 监理人暂停施工指示</w:t>
      </w:r>
      <w:bookmarkEnd w:id="1101"/>
      <w:bookmarkEnd w:id="1102"/>
      <w:bookmarkEnd w:id="1103"/>
      <w:bookmarkEnd w:id="1104"/>
      <w:bookmarkEnd w:id="1105"/>
      <w:bookmarkEnd w:id="1106"/>
      <w:bookmarkEnd w:id="1107"/>
    </w:p>
    <w:p w14:paraId="570E4746">
      <w:pPr>
        <w:spacing w:line="400" w:lineRule="exact"/>
        <w:ind w:firstLine="420" w:firstLineChars="200"/>
        <w:rPr>
          <w:color w:val="auto"/>
          <w:highlight w:val="none"/>
        </w:rPr>
      </w:pPr>
      <w:r>
        <w:rPr>
          <w:color w:val="auto"/>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59D12A96">
      <w:pPr>
        <w:spacing w:line="400" w:lineRule="exact"/>
        <w:ind w:firstLine="420" w:firstLineChars="200"/>
        <w:rPr>
          <w:color w:val="auto"/>
          <w:highlight w:val="none"/>
        </w:rPr>
      </w:pPr>
      <w:r>
        <w:rPr>
          <w:color w:val="auto"/>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85B9462">
      <w:pPr>
        <w:keepNext/>
        <w:keepLines/>
        <w:spacing w:line="400" w:lineRule="exact"/>
        <w:outlineLvl w:val="2"/>
        <w:rPr>
          <w:rFonts w:eastAsia="黑体"/>
          <w:color w:val="auto"/>
          <w:sz w:val="24"/>
          <w:szCs w:val="20"/>
          <w:highlight w:val="none"/>
        </w:rPr>
      </w:pPr>
      <w:bookmarkStart w:id="1108" w:name="_Toc159950694"/>
      <w:bookmarkStart w:id="1109" w:name="_Toc179632711"/>
      <w:bookmarkStart w:id="1110" w:name="_Toc152042471"/>
      <w:bookmarkStart w:id="1111" w:name="_Toc152045693"/>
      <w:bookmarkStart w:id="1112" w:name="_Toc144974662"/>
      <w:bookmarkStart w:id="1113" w:name="_Toc342296344"/>
      <w:bookmarkStart w:id="1114" w:name="_Toc338944786"/>
      <w:r>
        <w:rPr>
          <w:rFonts w:eastAsia="黑体"/>
          <w:color w:val="auto"/>
          <w:sz w:val="24"/>
          <w:szCs w:val="20"/>
          <w:highlight w:val="none"/>
        </w:rPr>
        <w:t>12.4 暂停施工后的复工</w:t>
      </w:r>
      <w:bookmarkEnd w:id="1108"/>
      <w:bookmarkEnd w:id="1109"/>
      <w:bookmarkEnd w:id="1110"/>
      <w:bookmarkEnd w:id="1111"/>
      <w:bookmarkEnd w:id="1112"/>
      <w:bookmarkEnd w:id="1113"/>
      <w:bookmarkEnd w:id="1114"/>
    </w:p>
    <w:p w14:paraId="7C584FE9">
      <w:pPr>
        <w:spacing w:line="400" w:lineRule="exact"/>
        <w:ind w:firstLine="420" w:firstLineChars="200"/>
        <w:rPr>
          <w:color w:val="auto"/>
          <w:highlight w:val="none"/>
        </w:rPr>
      </w:pPr>
      <w:r>
        <w:rPr>
          <w:color w:val="auto"/>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62FE9574">
      <w:pPr>
        <w:spacing w:line="400" w:lineRule="exact"/>
        <w:ind w:firstLine="420" w:firstLineChars="200"/>
        <w:rPr>
          <w:color w:val="auto"/>
          <w:highlight w:val="none"/>
        </w:rPr>
      </w:pPr>
      <w:r>
        <w:rPr>
          <w:color w:val="auto"/>
          <w:highlight w:val="none"/>
        </w:rPr>
        <w:t>12.4.2 承包人无故拖延和拒绝复工的，由此增加的费用和工期延误由承包人承担；因发包人原因无法按时复工的，承包人有权要求发包人延长工期和（或）增加费用，并支付合理利润。</w:t>
      </w:r>
    </w:p>
    <w:p w14:paraId="5BB86E10">
      <w:pPr>
        <w:keepNext/>
        <w:keepLines/>
        <w:spacing w:line="400" w:lineRule="exact"/>
        <w:outlineLvl w:val="2"/>
        <w:rPr>
          <w:rFonts w:eastAsia="黑体"/>
          <w:color w:val="auto"/>
          <w:sz w:val="24"/>
          <w:szCs w:val="20"/>
          <w:highlight w:val="none"/>
        </w:rPr>
      </w:pPr>
      <w:bookmarkStart w:id="1115" w:name="_Toc152045694"/>
      <w:bookmarkStart w:id="1116" w:name="_Toc144974663"/>
      <w:bookmarkStart w:id="1117" w:name="_Toc338944787"/>
      <w:bookmarkStart w:id="1118" w:name="_Toc152042472"/>
      <w:bookmarkStart w:id="1119" w:name="_Toc159950695"/>
      <w:bookmarkStart w:id="1120" w:name="_Toc179632712"/>
      <w:bookmarkStart w:id="1121" w:name="_Toc342296345"/>
      <w:r>
        <w:rPr>
          <w:rFonts w:eastAsia="黑体"/>
          <w:color w:val="auto"/>
          <w:sz w:val="24"/>
          <w:szCs w:val="20"/>
          <w:highlight w:val="none"/>
        </w:rPr>
        <w:t>12.5 暂停施工持续56天以上</w:t>
      </w:r>
      <w:bookmarkEnd w:id="1115"/>
      <w:bookmarkEnd w:id="1116"/>
      <w:bookmarkEnd w:id="1117"/>
      <w:bookmarkEnd w:id="1118"/>
      <w:bookmarkEnd w:id="1119"/>
      <w:bookmarkEnd w:id="1120"/>
      <w:bookmarkEnd w:id="1121"/>
    </w:p>
    <w:p w14:paraId="4D633D5E">
      <w:pPr>
        <w:spacing w:line="400" w:lineRule="exact"/>
        <w:ind w:firstLine="411" w:firstLineChars="196"/>
        <w:rPr>
          <w:color w:val="auto"/>
          <w:highlight w:val="none"/>
        </w:rPr>
      </w:pPr>
      <w:r>
        <w:rPr>
          <w:color w:val="auto"/>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73362C04">
      <w:pPr>
        <w:spacing w:line="400" w:lineRule="exact"/>
        <w:ind w:firstLine="420" w:firstLineChars="200"/>
        <w:rPr>
          <w:color w:val="auto"/>
          <w:highlight w:val="none"/>
        </w:rPr>
      </w:pPr>
      <w:r>
        <w:rPr>
          <w:color w:val="auto"/>
          <w:highlight w:val="none"/>
        </w:rPr>
        <w:t>12.5.2 由于承包人责任引起的暂停施工，如承包人在收到监理人暂停施工指示后56天内不认真采取有效的复工措施，造成工期延误，可视为承包人违约，应按第22.1款的规定办理。</w:t>
      </w:r>
    </w:p>
    <w:p w14:paraId="004392BD">
      <w:pPr>
        <w:spacing w:line="400" w:lineRule="exact"/>
        <w:rPr>
          <w:color w:val="auto"/>
          <w:sz w:val="24"/>
          <w:highlight w:val="none"/>
        </w:rPr>
      </w:pPr>
      <w:r>
        <w:rPr>
          <w:rFonts w:hint="eastAsia"/>
          <w:color w:val="auto"/>
          <w:sz w:val="24"/>
          <w:highlight w:val="none"/>
        </w:rPr>
        <w:t>12.6暂停施工期间的工程照管和措施</w:t>
      </w:r>
    </w:p>
    <w:p w14:paraId="3B6104BF">
      <w:pPr>
        <w:spacing w:line="400" w:lineRule="exact"/>
        <w:ind w:firstLine="420" w:firstLineChars="200"/>
        <w:rPr>
          <w:color w:val="auto"/>
          <w:highlight w:val="none"/>
        </w:rPr>
      </w:pPr>
      <w:r>
        <w:rPr>
          <w:color w:val="auto"/>
          <w:highlight w:val="none"/>
        </w:rPr>
        <w:t>12.5.1</w:t>
      </w:r>
      <w:r>
        <w:rPr>
          <w:rFonts w:hint="eastAsia"/>
          <w:color w:val="auto"/>
          <w:highlight w:val="none"/>
        </w:rPr>
        <w:t>暂停施工期间，承包人应负责妥善照管工程并提供安全保障，由此增加的费用由责任方承担。</w:t>
      </w:r>
    </w:p>
    <w:p w14:paraId="13FFF40C">
      <w:pPr>
        <w:spacing w:line="400" w:lineRule="exact"/>
        <w:ind w:firstLine="420" w:firstLineChars="200"/>
        <w:rPr>
          <w:color w:val="auto"/>
          <w:sz w:val="24"/>
          <w:highlight w:val="none"/>
        </w:rPr>
      </w:pPr>
      <w:r>
        <w:rPr>
          <w:rFonts w:hint="eastAsia"/>
          <w:color w:val="auto"/>
          <w:highlight w:val="none"/>
        </w:rPr>
        <w:t>12.5.2暂停施工期间，发包人和承包人均应采取必要的措施确保工程质量及安全，防止因暂停施工扩大损失。</w:t>
      </w:r>
    </w:p>
    <w:p w14:paraId="5D423E5C">
      <w:pPr>
        <w:keepNext/>
        <w:keepLines/>
        <w:spacing w:line="400" w:lineRule="exact"/>
        <w:outlineLvl w:val="1"/>
        <w:rPr>
          <w:rFonts w:eastAsia="等线" w:cs="仿宋_GB2312"/>
          <w:color w:val="auto"/>
          <w:sz w:val="28"/>
          <w:szCs w:val="20"/>
          <w:highlight w:val="none"/>
        </w:rPr>
      </w:pPr>
      <w:bookmarkStart w:id="1122" w:name="_Toc338944788"/>
      <w:bookmarkStart w:id="1123" w:name="_Toc442365626"/>
      <w:bookmarkStart w:id="1124" w:name="_Toc342296346"/>
      <w:bookmarkStart w:id="1125" w:name="_Toc448758434"/>
      <w:bookmarkStart w:id="1126" w:name="_Toc448758534"/>
      <w:bookmarkStart w:id="1127" w:name="_Toc469660029"/>
      <w:bookmarkStart w:id="1128" w:name="_Toc159950696"/>
      <w:r>
        <w:rPr>
          <w:rFonts w:eastAsia="黑体" w:cs="仿宋_GB2312"/>
          <w:color w:val="auto"/>
          <w:sz w:val="28"/>
          <w:szCs w:val="20"/>
          <w:highlight w:val="none"/>
        </w:rPr>
        <w:t>13. 工程质量</w:t>
      </w:r>
      <w:bookmarkEnd w:id="1122"/>
      <w:bookmarkEnd w:id="1123"/>
      <w:bookmarkEnd w:id="1124"/>
      <w:bookmarkEnd w:id="1125"/>
      <w:bookmarkEnd w:id="1126"/>
      <w:bookmarkEnd w:id="1127"/>
      <w:bookmarkEnd w:id="1128"/>
    </w:p>
    <w:p w14:paraId="515F2CA2">
      <w:pPr>
        <w:keepNext/>
        <w:keepLines/>
        <w:spacing w:line="400" w:lineRule="exact"/>
        <w:outlineLvl w:val="2"/>
        <w:rPr>
          <w:rFonts w:eastAsia="黑体"/>
          <w:color w:val="auto"/>
          <w:sz w:val="24"/>
          <w:szCs w:val="20"/>
          <w:highlight w:val="none"/>
        </w:rPr>
      </w:pPr>
      <w:bookmarkStart w:id="1129" w:name="_Toc159950697"/>
      <w:bookmarkStart w:id="1130" w:name="_Toc152045696"/>
      <w:bookmarkStart w:id="1131" w:name="_Toc179632714"/>
      <w:bookmarkStart w:id="1132" w:name="_Toc152042474"/>
      <w:bookmarkStart w:id="1133" w:name="_Toc144974665"/>
      <w:bookmarkStart w:id="1134" w:name="_Toc338944789"/>
      <w:bookmarkStart w:id="1135" w:name="_Toc342296347"/>
      <w:r>
        <w:rPr>
          <w:rFonts w:eastAsia="黑体"/>
          <w:color w:val="auto"/>
          <w:sz w:val="24"/>
          <w:szCs w:val="20"/>
          <w:highlight w:val="none"/>
        </w:rPr>
        <w:t>13.1 工程质量要求</w:t>
      </w:r>
      <w:bookmarkEnd w:id="1129"/>
      <w:bookmarkEnd w:id="1130"/>
      <w:bookmarkEnd w:id="1131"/>
      <w:bookmarkEnd w:id="1132"/>
      <w:bookmarkEnd w:id="1133"/>
      <w:bookmarkEnd w:id="1134"/>
      <w:bookmarkEnd w:id="1135"/>
    </w:p>
    <w:p w14:paraId="4B401B31">
      <w:pPr>
        <w:spacing w:line="400" w:lineRule="exact"/>
        <w:ind w:firstLine="420" w:firstLineChars="200"/>
        <w:rPr>
          <w:color w:val="auto"/>
          <w:highlight w:val="none"/>
        </w:rPr>
      </w:pPr>
      <w:r>
        <w:rPr>
          <w:color w:val="auto"/>
          <w:highlight w:val="none"/>
        </w:rPr>
        <w:t>13.1.1 工程质量验收按合同约定验收标准执行。</w:t>
      </w:r>
    </w:p>
    <w:p w14:paraId="7560068E">
      <w:pPr>
        <w:spacing w:line="400" w:lineRule="exact"/>
        <w:ind w:firstLine="420" w:firstLineChars="200"/>
        <w:rPr>
          <w:color w:val="auto"/>
          <w:highlight w:val="none"/>
        </w:rPr>
      </w:pPr>
      <w:r>
        <w:rPr>
          <w:color w:val="auto"/>
          <w:highlight w:val="none"/>
        </w:rPr>
        <w:t>13.1.2 因承包人原因造成工程质量达不到合同约定验收标准的，监理人有权要求承包人返工直至符合合同要求为止，由此造成的费用增加和（或）工期延误由承包人承担。</w:t>
      </w:r>
    </w:p>
    <w:p w14:paraId="7FE87B08">
      <w:pPr>
        <w:spacing w:line="400" w:lineRule="exact"/>
        <w:ind w:firstLine="420" w:firstLineChars="200"/>
        <w:rPr>
          <w:color w:val="auto"/>
          <w:highlight w:val="none"/>
        </w:rPr>
      </w:pPr>
      <w:r>
        <w:rPr>
          <w:color w:val="auto"/>
          <w:highlight w:val="none"/>
        </w:rPr>
        <w:t>13.1.3 因发包人原因造成工程质量达不到合同约定验收标准的，发包人应承担由于承包人返工造成的费用增加和（或）工期延误，并支付承包人合理利润。</w:t>
      </w:r>
    </w:p>
    <w:p w14:paraId="14C4CF14">
      <w:pPr>
        <w:keepNext/>
        <w:keepLines/>
        <w:spacing w:line="400" w:lineRule="exact"/>
        <w:outlineLvl w:val="2"/>
        <w:rPr>
          <w:rFonts w:eastAsia="黑体"/>
          <w:color w:val="auto"/>
          <w:sz w:val="24"/>
          <w:szCs w:val="20"/>
          <w:highlight w:val="none"/>
        </w:rPr>
      </w:pPr>
      <w:bookmarkStart w:id="1136" w:name="_Toc338944790"/>
      <w:bookmarkStart w:id="1137" w:name="_Toc159950698"/>
      <w:bookmarkStart w:id="1138" w:name="_Toc342296348"/>
      <w:r>
        <w:rPr>
          <w:rFonts w:eastAsia="黑体"/>
          <w:color w:val="auto"/>
          <w:sz w:val="24"/>
          <w:szCs w:val="20"/>
          <w:highlight w:val="none"/>
        </w:rPr>
        <w:t>13.2 承包人的质量管理</w:t>
      </w:r>
      <w:bookmarkEnd w:id="1136"/>
      <w:bookmarkEnd w:id="1137"/>
      <w:bookmarkEnd w:id="1138"/>
    </w:p>
    <w:p w14:paraId="5D48FEC4">
      <w:pPr>
        <w:spacing w:line="400" w:lineRule="exact"/>
        <w:ind w:firstLine="420" w:firstLineChars="200"/>
        <w:rPr>
          <w:color w:val="auto"/>
          <w:highlight w:val="none"/>
        </w:rPr>
      </w:pPr>
      <w:r>
        <w:rPr>
          <w:color w:val="auto"/>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54629080">
      <w:pPr>
        <w:spacing w:line="400" w:lineRule="exact"/>
        <w:ind w:firstLine="420" w:firstLineChars="200"/>
        <w:rPr>
          <w:color w:val="auto"/>
          <w:highlight w:val="none"/>
        </w:rPr>
      </w:pPr>
      <w:r>
        <w:rPr>
          <w:color w:val="auto"/>
          <w:highlight w:val="none"/>
        </w:rPr>
        <w:t>13.2.2 承包人应加强对施工人员的质量教育和技术培训，定期考核施工人员的劳动技能，严格执行规范和操作规程。</w:t>
      </w:r>
    </w:p>
    <w:p w14:paraId="644E5C88">
      <w:pPr>
        <w:keepNext/>
        <w:keepLines/>
        <w:spacing w:line="400" w:lineRule="exact"/>
        <w:outlineLvl w:val="2"/>
        <w:rPr>
          <w:rFonts w:eastAsia="黑体"/>
          <w:color w:val="auto"/>
          <w:sz w:val="24"/>
          <w:szCs w:val="20"/>
          <w:highlight w:val="none"/>
        </w:rPr>
      </w:pPr>
      <w:bookmarkStart w:id="1139" w:name="_Toc342296349"/>
      <w:bookmarkStart w:id="1140" w:name="_Toc338944791"/>
      <w:bookmarkStart w:id="1141" w:name="_Toc159950699"/>
      <w:r>
        <w:rPr>
          <w:rFonts w:eastAsia="黑体"/>
          <w:color w:val="auto"/>
          <w:sz w:val="24"/>
          <w:szCs w:val="20"/>
          <w:highlight w:val="none"/>
        </w:rPr>
        <w:t>13.3 承包人的质量检查</w:t>
      </w:r>
      <w:bookmarkEnd w:id="1139"/>
      <w:bookmarkEnd w:id="1140"/>
      <w:bookmarkEnd w:id="1141"/>
    </w:p>
    <w:p w14:paraId="2D40CC09">
      <w:pPr>
        <w:spacing w:line="400" w:lineRule="exact"/>
        <w:ind w:firstLine="420" w:firstLineChars="200"/>
        <w:rPr>
          <w:color w:val="auto"/>
          <w:highlight w:val="none"/>
        </w:rPr>
      </w:pPr>
      <w:r>
        <w:rPr>
          <w:color w:val="auto"/>
          <w:highlight w:val="none"/>
        </w:rPr>
        <w:t>承包人应按合同约定对材料、工程设备以及工程的所有部位及其施工工艺进行全过程的质量检查和检验，并作详细记录，编制工程质量报表，报送监理人审查。</w:t>
      </w:r>
    </w:p>
    <w:p w14:paraId="29E04E10">
      <w:pPr>
        <w:keepNext/>
        <w:keepLines/>
        <w:spacing w:line="400" w:lineRule="exact"/>
        <w:outlineLvl w:val="2"/>
        <w:rPr>
          <w:rFonts w:eastAsia="黑体"/>
          <w:color w:val="auto"/>
          <w:sz w:val="24"/>
          <w:szCs w:val="20"/>
          <w:highlight w:val="none"/>
        </w:rPr>
      </w:pPr>
      <w:bookmarkStart w:id="1142" w:name="_Toc159950700"/>
      <w:bookmarkStart w:id="1143" w:name="_Toc342296350"/>
      <w:bookmarkStart w:id="1144" w:name="_Toc338944792"/>
      <w:r>
        <w:rPr>
          <w:rFonts w:eastAsia="黑体"/>
          <w:color w:val="auto"/>
          <w:sz w:val="24"/>
          <w:szCs w:val="20"/>
          <w:highlight w:val="none"/>
        </w:rPr>
        <w:t>13.4 监理人的质量检查</w:t>
      </w:r>
      <w:bookmarkEnd w:id="1142"/>
      <w:bookmarkEnd w:id="1143"/>
      <w:bookmarkEnd w:id="1144"/>
    </w:p>
    <w:p w14:paraId="1D1F78A8">
      <w:pPr>
        <w:spacing w:line="400" w:lineRule="exact"/>
        <w:ind w:firstLine="420" w:firstLineChars="200"/>
        <w:rPr>
          <w:color w:val="auto"/>
          <w:highlight w:val="none"/>
        </w:rPr>
      </w:pPr>
      <w:r>
        <w:rPr>
          <w:color w:val="auto"/>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5B648B63">
      <w:pPr>
        <w:keepNext/>
        <w:keepLines/>
        <w:spacing w:line="400" w:lineRule="exact"/>
        <w:outlineLvl w:val="2"/>
        <w:rPr>
          <w:rFonts w:eastAsia="黑体"/>
          <w:color w:val="auto"/>
          <w:sz w:val="24"/>
          <w:szCs w:val="20"/>
          <w:highlight w:val="none"/>
        </w:rPr>
      </w:pPr>
      <w:bookmarkStart w:id="1145" w:name="_Toc338944793"/>
      <w:bookmarkStart w:id="1146" w:name="_Toc159950701"/>
      <w:bookmarkStart w:id="1147" w:name="_Toc342296351"/>
      <w:r>
        <w:rPr>
          <w:rFonts w:eastAsia="黑体"/>
          <w:color w:val="auto"/>
          <w:sz w:val="24"/>
          <w:szCs w:val="20"/>
          <w:highlight w:val="none"/>
        </w:rPr>
        <w:t>13.5 工程隐蔽部位覆盖前的检查</w:t>
      </w:r>
      <w:bookmarkEnd w:id="1145"/>
      <w:bookmarkEnd w:id="1146"/>
      <w:bookmarkEnd w:id="1147"/>
    </w:p>
    <w:p w14:paraId="3B44444F">
      <w:pPr>
        <w:spacing w:line="400" w:lineRule="exact"/>
        <w:ind w:firstLine="420" w:firstLineChars="200"/>
        <w:rPr>
          <w:color w:val="auto"/>
          <w:highlight w:val="none"/>
        </w:rPr>
      </w:pPr>
      <w:r>
        <w:rPr>
          <w:color w:val="auto"/>
          <w:highlight w:val="none"/>
        </w:rPr>
        <w:t xml:space="preserve">13.5.1 </w:t>
      </w:r>
      <w:r>
        <w:rPr>
          <w:rFonts w:hint="eastAsia" w:ascii="宋体" w:hAnsi="宋体" w:cs="宋体"/>
          <w:color w:val="auto"/>
          <w:highlight w:val="none"/>
        </w:rPr>
        <w:t>通知监理人检查</w:t>
      </w:r>
    </w:p>
    <w:p w14:paraId="44FD6164">
      <w:pPr>
        <w:spacing w:line="400" w:lineRule="exact"/>
        <w:ind w:firstLine="420" w:firstLineChars="200"/>
        <w:rPr>
          <w:color w:val="auto"/>
          <w:highlight w:val="none"/>
        </w:rPr>
      </w:pPr>
      <w:r>
        <w:rPr>
          <w:color w:val="auto"/>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478E193C">
      <w:pPr>
        <w:spacing w:line="400" w:lineRule="exact"/>
        <w:ind w:firstLine="420" w:firstLineChars="200"/>
        <w:rPr>
          <w:color w:val="auto"/>
          <w:highlight w:val="none"/>
        </w:rPr>
      </w:pPr>
      <w:r>
        <w:rPr>
          <w:color w:val="auto"/>
          <w:highlight w:val="none"/>
        </w:rPr>
        <w:t xml:space="preserve">13.5.2 </w:t>
      </w:r>
      <w:r>
        <w:rPr>
          <w:rFonts w:hint="eastAsia" w:ascii="宋体" w:hAnsi="宋体" w:cs="宋体"/>
          <w:color w:val="auto"/>
          <w:highlight w:val="none"/>
        </w:rPr>
        <w:t>监理人未到场检查</w:t>
      </w:r>
    </w:p>
    <w:p w14:paraId="316AFFD2">
      <w:pPr>
        <w:spacing w:line="400" w:lineRule="exact"/>
        <w:ind w:firstLine="420" w:firstLineChars="200"/>
        <w:rPr>
          <w:color w:val="auto"/>
          <w:highlight w:val="none"/>
        </w:rPr>
      </w:pPr>
      <w:r>
        <w:rPr>
          <w:color w:val="auto"/>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70E4D9C7">
      <w:pPr>
        <w:spacing w:line="400" w:lineRule="exact"/>
        <w:ind w:firstLine="420" w:firstLineChars="200"/>
        <w:rPr>
          <w:color w:val="auto"/>
          <w:highlight w:val="none"/>
        </w:rPr>
      </w:pPr>
      <w:r>
        <w:rPr>
          <w:color w:val="auto"/>
          <w:highlight w:val="none"/>
        </w:rPr>
        <w:t xml:space="preserve">13.5.3 </w:t>
      </w:r>
      <w:r>
        <w:rPr>
          <w:rFonts w:hint="eastAsia" w:ascii="宋体" w:hAnsi="宋体" w:cs="宋体"/>
          <w:color w:val="auto"/>
          <w:highlight w:val="none"/>
        </w:rPr>
        <w:t>监理人重新检查</w:t>
      </w:r>
    </w:p>
    <w:p w14:paraId="168393DE">
      <w:pPr>
        <w:spacing w:line="400" w:lineRule="exact"/>
        <w:ind w:firstLine="420" w:firstLineChars="200"/>
        <w:rPr>
          <w:color w:val="auto"/>
          <w:highlight w:val="none"/>
        </w:rPr>
      </w:pPr>
      <w:r>
        <w:rPr>
          <w:color w:val="auto"/>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50CC66C4">
      <w:pPr>
        <w:spacing w:line="400" w:lineRule="exact"/>
        <w:ind w:firstLine="420" w:firstLineChars="200"/>
        <w:rPr>
          <w:color w:val="auto"/>
          <w:highlight w:val="none"/>
        </w:rPr>
      </w:pPr>
      <w:r>
        <w:rPr>
          <w:color w:val="auto"/>
          <w:highlight w:val="none"/>
        </w:rPr>
        <w:t xml:space="preserve">13.5.4 </w:t>
      </w:r>
      <w:r>
        <w:rPr>
          <w:rFonts w:hint="eastAsia" w:ascii="宋体" w:hAnsi="宋体" w:cs="宋体"/>
          <w:color w:val="auto"/>
          <w:highlight w:val="none"/>
        </w:rPr>
        <w:t>承包人私自覆盖</w:t>
      </w:r>
    </w:p>
    <w:p w14:paraId="4C8F531B">
      <w:pPr>
        <w:spacing w:line="400" w:lineRule="exact"/>
        <w:ind w:firstLine="420" w:firstLineChars="200"/>
        <w:rPr>
          <w:color w:val="auto"/>
          <w:highlight w:val="none"/>
        </w:rPr>
      </w:pPr>
      <w:r>
        <w:rPr>
          <w:color w:val="auto"/>
          <w:highlight w:val="none"/>
        </w:rPr>
        <w:t>承包人未通知监理人到场检查，私自将工程隐蔽部位覆盖的，监理人有权指示承包人钻孔探测或揭开检查，由此增加的费用和（或）工期延误由承包人承担。</w:t>
      </w:r>
    </w:p>
    <w:p w14:paraId="31740DD9">
      <w:pPr>
        <w:keepNext/>
        <w:keepLines/>
        <w:spacing w:line="400" w:lineRule="exact"/>
        <w:outlineLvl w:val="2"/>
        <w:rPr>
          <w:rFonts w:eastAsia="黑体"/>
          <w:color w:val="auto"/>
          <w:sz w:val="24"/>
          <w:szCs w:val="20"/>
          <w:highlight w:val="none"/>
        </w:rPr>
      </w:pPr>
      <w:bookmarkStart w:id="1148" w:name="_Toc152045701"/>
      <w:bookmarkStart w:id="1149" w:name="_Toc342296352"/>
      <w:bookmarkStart w:id="1150" w:name="_Toc338944794"/>
      <w:bookmarkStart w:id="1151" w:name="_Toc152042479"/>
      <w:bookmarkStart w:id="1152" w:name="_Toc159950702"/>
      <w:bookmarkStart w:id="1153" w:name="_Toc179632719"/>
      <w:bookmarkStart w:id="1154" w:name="_Toc144974670"/>
      <w:r>
        <w:rPr>
          <w:rFonts w:eastAsia="黑体"/>
          <w:color w:val="auto"/>
          <w:sz w:val="24"/>
          <w:szCs w:val="20"/>
          <w:highlight w:val="none"/>
        </w:rPr>
        <w:t>13.6 清除不合格工程</w:t>
      </w:r>
      <w:bookmarkEnd w:id="1148"/>
      <w:bookmarkEnd w:id="1149"/>
      <w:bookmarkEnd w:id="1150"/>
      <w:bookmarkEnd w:id="1151"/>
      <w:bookmarkEnd w:id="1152"/>
      <w:bookmarkEnd w:id="1153"/>
      <w:bookmarkEnd w:id="1154"/>
    </w:p>
    <w:p w14:paraId="4C440BE8">
      <w:pPr>
        <w:spacing w:line="400" w:lineRule="exact"/>
        <w:ind w:firstLine="420" w:firstLineChars="200"/>
        <w:rPr>
          <w:color w:val="auto"/>
          <w:highlight w:val="none"/>
        </w:rPr>
      </w:pPr>
      <w:r>
        <w:rPr>
          <w:color w:val="auto"/>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6989A775">
      <w:pPr>
        <w:spacing w:line="400" w:lineRule="exact"/>
        <w:ind w:firstLine="420" w:firstLineChars="200"/>
        <w:rPr>
          <w:color w:val="auto"/>
          <w:highlight w:val="none"/>
        </w:rPr>
      </w:pPr>
      <w:r>
        <w:rPr>
          <w:color w:val="auto"/>
          <w:highlight w:val="none"/>
        </w:rPr>
        <w:t>13.6.2 由于发包人提供的材料或工程设备不合格造成的工程不合格，需要承包人采取措施补救的，发包人应承担由此增加的费用和（或）工期延误，并支付承包人合理利润。</w:t>
      </w:r>
    </w:p>
    <w:p w14:paraId="60EA2E16">
      <w:pPr>
        <w:keepNext/>
        <w:keepLines/>
        <w:spacing w:line="400" w:lineRule="exact"/>
        <w:outlineLvl w:val="1"/>
        <w:rPr>
          <w:rFonts w:eastAsia="黑体" w:cs="仿宋_GB2312"/>
          <w:color w:val="auto"/>
          <w:sz w:val="28"/>
          <w:szCs w:val="20"/>
          <w:highlight w:val="none"/>
        </w:rPr>
      </w:pPr>
      <w:bookmarkStart w:id="1155" w:name="_Toc152042480"/>
      <w:bookmarkStart w:id="1156" w:name="_Toc342296353"/>
      <w:bookmarkStart w:id="1157" w:name="_Toc159950703"/>
      <w:bookmarkStart w:id="1158" w:name="_Toc448758535"/>
      <w:bookmarkStart w:id="1159" w:name="_Toc442365627"/>
      <w:bookmarkStart w:id="1160" w:name="_Toc448758435"/>
      <w:bookmarkStart w:id="1161" w:name="_Toc469660030"/>
      <w:bookmarkStart w:id="1162" w:name="_Toc152045702"/>
      <w:bookmarkStart w:id="1163" w:name="_Toc338944795"/>
      <w:bookmarkStart w:id="1164" w:name="_Toc179632720"/>
      <w:bookmarkStart w:id="1165" w:name="_Toc144974671"/>
      <w:r>
        <w:rPr>
          <w:rFonts w:eastAsia="黑体" w:cs="仿宋_GB2312"/>
          <w:color w:val="auto"/>
          <w:sz w:val="28"/>
          <w:szCs w:val="20"/>
          <w:highlight w:val="none"/>
        </w:rPr>
        <w:t>14. 试验和检验</w:t>
      </w:r>
      <w:bookmarkEnd w:id="1155"/>
      <w:bookmarkEnd w:id="1156"/>
      <w:bookmarkEnd w:id="1157"/>
      <w:bookmarkEnd w:id="1158"/>
      <w:bookmarkEnd w:id="1159"/>
      <w:bookmarkEnd w:id="1160"/>
      <w:bookmarkEnd w:id="1161"/>
      <w:bookmarkEnd w:id="1162"/>
      <w:bookmarkEnd w:id="1163"/>
      <w:bookmarkEnd w:id="1164"/>
      <w:bookmarkEnd w:id="1165"/>
    </w:p>
    <w:p w14:paraId="12F6E221">
      <w:pPr>
        <w:keepNext/>
        <w:keepLines/>
        <w:spacing w:line="400" w:lineRule="exact"/>
        <w:outlineLvl w:val="2"/>
        <w:rPr>
          <w:rFonts w:eastAsia="黑体"/>
          <w:color w:val="auto"/>
          <w:sz w:val="24"/>
          <w:szCs w:val="20"/>
          <w:highlight w:val="none"/>
        </w:rPr>
      </w:pPr>
      <w:bookmarkStart w:id="1166" w:name="_Toc159950704"/>
      <w:bookmarkStart w:id="1167" w:name="_Toc338944796"/>
      <w:bookmarkStart w:id="1168" w:name="_Toc342296354"/>
      <w:bookmarkStart w:id="1169" w:name="_Toc179632721"/>
      <w:bookmarkStart w:id="1170" w:name="_Toc144974672"/>
      <w:bookmarkStart w:id="1171" w:name="_Toc152045703"/>
      <w:bookmarkStart w:id="1172" w:name="_Toc152042481"/>
      <w:r>
        <w:rPr>
          <w:rFonts w:eastAsia="黑体"/>
          <w:color w:val="auto"/>
          <w:sz w:val="24"/>
          <w:szCs w:val="20"/>
          <w:highlight w:val="none"/>
        </w:rPr>
        <w:t>14.1 材料、工程设备和工程的试验和检验</w:t>
      </w:r>
      <w:bookmarkEnd w:id="1166"/>
      <w:bookmarkEnd w:id="1167"/>
      <w:bookmarkEnd w:id="1168"/>
      <w:bookmarkEnd w:id="1169"/>
      <w:bookmarkEnd w:id="1170"/>
      <w:bookmarkEnd w:id="1171"/>
      <w:bookmarkEnd w:id="1172"/>
    </w:p>
    <w:p w14:paraId="244DC130">
      <w:pPr>
        <w:spacing w:line="400" w:lineRule="exact"/>
        <w:ind w:firstLine="420" w:firstLineChars="200"/>
        <w:rPr>
          <w:color w:val="auto"/>
          <w:highlight w:val="none"/>
        </w:rPr>
      </w:pPr>
      <w:r>
        <w:rPr>
          <w:color w:val="auto"/>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5F926ED">
      <w:pPr>
        <w:spacing w:line="400" w:lineRule="exact"/>
        <w:ind w:firstLine="420" w:firstLineChars="200"/>
        <w:rPr>
          <w:color w:val="auto"/>
          <w:highlight w:val="none"/>
        </w:rPr>
      </w:pPr>
      <w:r>
        <w:rPr>
          <w:color w:val="auto"/>
          <w:highlight w:val="none"/>
        </w:rPr>
        <w:t>14.1.2 监理人未按合同约定派员参加试验和检验的，除监理人另有指示外，承包人可自行试验和检验，并应立即将试验和检验结果报送监理人，监理人应签字确认。</w:t>
      </w:r>
    </w:p>
    <w:p w14:paraId="52573FCB">
      <w:pPr>
        <w:spacing w:line="400" w:lineRule="exact"/>
        <w:ind w:firstLine="420" w:firstLineChars="200"/>
        <w:rPr>
          <w:color w:val="auto"/>
          <w:highlight w:val="none"/>
        </w:rPr>
      </w:pPr>
      <w:r>
        <w:rPr>
          <w:color w:val="auto"/>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78372596">
      <w:pPr>
        <w:keepNext/>
        <w:keepLines/>
        <w:spacing w:line="400" w:lineRule="exact"/>
        <w:outlineLvl w:val="2"/>
        <w:rPr>
          <w:rFonts w:eastAsia="黑体"/>
          <w:color w:val="auto"/>
          <w:sz w:val="24"/>
          <w:szCs w:val="20"/>
          <w:highlight w:val="none"/>
        </w:rPr>
      </w:pPr>
      <w:bookmarkStart w:id="1173" w:name="_Toc342296355"/>
      <w:bookmarkStart w:id="1174" w:name="_Toc152042482"/>
      <w:bookmarkStart w:id="1175" w:name="_Toc338944797"/>
      <w:bookmarkStart w:id="1176" w:name="_Toc179632722"/>
      <w:bookmarkStart w:id="1177" w:name="_Toc159950705"/>
      <w:bookmarkStart w:id="1178" w:name="_Toc152045704"/>
      <w:bookmarkStart w:id="1179" w:name="_Toc144974673"/>
      <w:r>
        <w:rPr>
          <w:rFonts w:eastAsia="黑体"/>
          <w:color w:val="auto"/>
          <w:sz w:val="24"/>
          <w:szCs w:val="20"/>
          <w:highlight w:val="none"/>
        </w:rPr>
        <w:t>14.2 现场材料试验</w:t>
      </w:r>
      <w:bookmarkEnd w:id="1173"/>
      <w:bookmarkEnd w:id="1174"/>
      <w:bookmarkEnd w:id="1175"/>
      <w:bookmarkEnd w:id="1176"/>
      <w:bookmarkEnd w:id="1177"/>
      <w:bookmarkEnd w:id="1178"/>
      <w:bookmarkEnd w:id="1179"/>
    </w:p>
    <w:p w14:paraId="76A9D956">
      <w:pPr>
        <w:spacing w:line="400" w:lineRule="exact"/>
        <w:ind w:firstLine="420" w:firstLineChars="200"/>
        <w:rPr>
          <w:color w:val="auto"/>
          <w:highlight w:val="none"/>
        </w:rPr>
      </w:pPr>
      <w:r>
        <w:rPr>
          <w:color w:val="auto"/>
          <w:highlight w:val="none"/>
        </w:rPr>
        <w:t>14.2.1 承包人根据合同约定或监理人指示进行的现场材料试验，应由承包人提供试验场所、试验人员、试验设备器材以及其他必要的试验条件。</w:t>
      </w:r>
    </w:p>
    <w:p w14:paraId="6D039D2B">
      <w:pPr>
        <w:spacing w:line="400" w:lineRule="exact"/>
        <w:ind w:firstLine="420" w:firstLineChars="200"/>
        <w:rPr>
          <w:color w:val="auto"/>
          <w:highlight w:val="none"/>
        </w:rPr>
      </w:pPr>
      <w:r>
        <w:rPr>
          <w:color w:val="auto"/>
          <w:highlight w:val="none"/>
        </w:rPr>
        <w:t>14.2.2 监理人在必要时可以使用承包人的试验场所、试验设备器材以及其他试验条件，进行以工程质量检查为目的的复核性材料试验，承包人应予以协助。</w:t>
      </w:r>
    </w:p>
    <w:p w14:paraId="3EB16E3C">
      <w:pPr>
        <w:keepNext/>
        <w:keepLines/>
        <w:spacing w:line="400" w:lineRule="exact"/>
        <w:outlineLvl w:val="2"/>
        <w:rPr>
          <w:rFonts w:eastAsia="黑体"/>
          <w:color w:val="auto"/>
          <w:sz w:val="24"/>
          <w:szCs w:val="20"/>
          <w:highlight w:val="none"/>
        </w:rPr>
      </w:pPr>
      <w:bookmarkStart w:id="1180" w:name="_Toc179632723"/>
      <w:bookmarkStart w:id="1181" w:name="_Toc152042483"/>
      <w:bookmarkStart w:id="1182" w:name="_Toc152045705"/>
      <w:bookmarkStart w:id="1183" w:name="_Toc342296356"/>
      <w:bookmarkStart w:id="1184" w:name="_Toc144974674"/>
      <w:bookmarkStart w:id="1185" w:name="_Toc338944798"/>
      <w:bookmarkStart w:id="1186" w:name="_Toc159950706"/>
      <w:r>
        <w:rPr>
          <w:rFonts w:eastAsia="黑体"/>
          <w:color w:val="auto"/>
          <w:sz w:val="24"/>
          <w:szCs w:val="20"/>
          <w:highlight w:val="none"/>
        </w:rPr>
        <w:t>14.3 现场工艺试验</w:t>
      </w:r>
      <w:bookmarkEnd w:id="1180"/>
      <w:bookmarkEnd w:id="1181"/>
      <w:bookmarkEnd w:id="1182"/>
      <w:bookmarkEnd w:id="1183"/>
      <w:bookmarkEnd w:id="1184"/>
      <w:bookmarkEnd w:id="1185"/>
      <w:bookmarkEnd w:id="1186"/>
    </w:p>
    <w:p w14:paraId="37DED820">
      <w:pPr>
        <w:spacing w:line="400" w:lineRule="exact"/>
        <w:ind w:firstLine="420" w:firstLineChars="200"/>
        <w:rPr>
          <w:color w:val="auto"/>
          <w:highlight w:val="none"/>
        </w:rPr>
      </w:pPr>
      <w:r>
        <w:rPr>
          <w:color w:val="auto"/>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7B1625C7">
      <w:pPr>
        <w:keepNext/>
        <w:keepLines/>
        <w:spacing w:line="400" w:lineRule="exact"/>
        <w:outlineLvl w:val="1"/>
        <w:rPr>
          <w:rFonts w:eastAsia="黑体" w:cs="仿宋_GB2312"/>
          <w:color w:val="auto"/>
          <w:sz w:val="28"/>
          <w:szCs w:val="20"/>
          <w:highlight w:val="none"/>
        </w:rPr>
      </w:pPr>
      <w:bookmarkStart w:id="1187" w:name="_Toc342296357"/>
      <w:bookmarkStart w:id="1188" w:name="_Toc469660031"/>
      <w:bookmarkStart w:id="1189" w:name="_Toc448758536"/>
      <w:bookmarkStart w:id="1190" w:name="_Toc442365628"/>
      <w:bookmarkStart w:id="1191" w:name="_Toc338944799"/>
      <w:bookmarkStart w:id="1192" w:name="_Toc159950707"/>
      <w:bookmarkStart w:id="1193" w:name="_Toc448758436"/>
      <w:r>
        <w:rPr>
          <w:rFonts w:eastAsia="黑体" w:cs="仿宋_GB2312"/>
          <w:color w:val="auto"/>
          <w:sz w:val="28"/>
          <w:szCs w:val="20"/>
          <w:highlight w:val="none"/>
        </w:rPr>
        <w:t>15. 变更</w:t>
      </w:r>
      <w:bookmarkEnd w:id="1187"/>
      <w:bookmarkEnd w:id="1188"/>
      <w:bookmarkEnd w:id="1189"/>
      <w:bookmarkEnd w:id="1190"/>
      <w:bookmarkEnd w:id="1191"/>
      <w:bookmarkEnd w:id="1192"/>
      <w:bookmarkEnd w:id="1193"/>
    </w:p>
    <w:p w14:paraId="1BB4418D">
      <w:pPr>
        <w:keepNext/>
        <w:keepLines/>
        <w:spacing w:line="400" w:lineRule="exact"/>
        <w:outlineLvl w:val="2"/>
        <w:rPr>
          <w:rFonts w:eastAsia="黑体"/>
          <w:color w:val="auto"/>
          <w:sz w:val="24"/>
          <w:szCs w:val="20"/>
          <w:highlight w:val="none"/>
        </w:rPr>
      </w:pPr>
      <w:bookmarkStart w:id="1194" w:name="_Toc342296358"/>
      <w:bookmarkStart w:id="1195" w:name="_Toc338944800"/>
      <w:bookmarkStart w:id="1196" w:name="_Toc159950708"/>
      <w:r>
        <w:rPr>
          <w:rFonts w:eastAsia="黑体"/>
          <w:color w:val="auto"/>
          <w:sz w:val="24"/>
          <w:szCs w:val="20"/>
          <w:highlight w:val="none"/>
        </w:rPr>
        <w:t>15.1 变更的范围和内容</w:t>
      </w:r>
      <w:bookmarkEnd w:id="1194"/>
      <w:bookmarkEnd w:id="1195"/>
      <w:bookmarkEnd w:id="1196"/>
    </w:p>
    <w:p w14:paraId="6D43743E">
      <w:pPr>
        <w:spacing w:line="400" w:lineRule="exact"/>
        <w:ind w:firstLine="420" w:firstLineChars="200"/>
        <w:rPr>
          <w:color w:val="auto"/>
          <w:highlight w:val="none"/>
        </w:rPr>
      </w:pPr>
      <w:r>
        <w:rPr>
          <w:color w:val="auto"/>
          <w:highlight w:val="none"/>
        </w:rPr>
        <w:t>除专用合同条款另有约定外，在履行合同中发生以下情形之一，应按照本条规定进行变更。</w:t>
      </w:r>
    </w:p>
    <w:p w14:paraId="4FCF6D4D">
      <w:pPr>
        <w:spacing w:line="400" w:lineRule="exact"/>
        <w:ind w:firstLine="359" w:firstLineChars="171"/>
        <w:rPr>
          <w:color w:val="auto"/>
          <w:highlight w:val="none"/>
        </w:rPr>
      </w:pPr>
      <w:r>
        <w:rPr>
          <w:color w:val="auto"/>
          <w:highlight w:val="none"/>
        </w:rPr>
        <w:t>（1）取消合同中任何一项工作，但被取消的工作不能转由发包人或其他人实施；</w:t>
      </w:r>
    </w:p>
    <w:p w14:paraId="63A109B3">
      <w:pPr>
        <w:spacing w:line="400" w:lineRule="exact"/>
        <w:ind w:firstLine="359" w:firstLineChars="171"/>
        <w:rPr>
          <w:color w:val="auto"/>
          <w:highlight w:val="none"/>
        </w:rPr>
      </w:pPr>
      <w:r>
        <w:rPr>
          <w:color w:val="auto"/>
          <w:highlight w:val="none"/>
        </w:rPr>
        <w:t>（2）改变合同中任何一项工作的质量或其他特性；</w:t>
      </w:r>
    </w:p>
    <w:p w14:paraId="33FDF2FE">
      <w:pPr>
        <w:spacing w:line="400" w:lineRule="exact"/>
        <w:ind w:firstLine="359" w:firstLineChars="171"/>
        <w:rPr>
          <w:color w:val="auto"/>
          <w:highlight w:val="none"/>
        </w:rPr>
      </w:pPr>
      <w:r>
        <w:rPr>
          <w:color w:val="auto"/>
          <w:highlight w:val="none"/>
        </w:rPr>
        <w:t>（3）改变合同工程的基线、标高、位置或尺寸；</w:t>
      </w:r>
    </w:p>
    <w:p w14:paraId="305FC162">
      <w:pPr>
        <w:spacing w:line="400" w:lineRule="exact"/>
        <w:ind w:firstLine="359" w:firstLineChars="171"/>
        <w:rPr>
          <w:color w:val="auto"/>
          <w:highlight w:val="none"/>
        </w:rPr>
      </w:pPr>
      <w:r>
        <w:rPr>
          <w:color w:val="auto"/>
          <w:highlight w:val="none"/>
        </w:rPr>
        <w:t>（4）改变合同中任何一项工作的施工时间或改变已批准的施工工艺或顺序；</w:t>
      </w:r>
    </w:p>
    <w:p w14:paraId="648A8E89">
      <w:pPr>
        <w:spacing w:line="400" w:lineRule="exact"/>
        <w:ind w:firstLine="359" w:firstLineChars="171"/>
        <w:rPr>
          <w:color w:val="auto"/>
          <w:highlight w:val="none"/>
        </w:rPr>
      </w:pPr>
      <w:r>
        <w:rPr>
          <w:color w:val="auto"/>
          <w:highlight w:val="none"/>
        </w:rPr>
        <w:t>（5）为完成工程需要追加的额外工作。</w:t>
      </w:r>
    </w:p>
    <w:p w14:paraId="328B17FB">
      <w:pPr>
        <w:keepNext/>
        <w:keepLines/>
        <w:spacing w:line="400" w:lineRule="exact"/>
        <w:outlineLvl w:val="2"/>
        <w:rPr>
          <w:rFonts w:eastAsia="黑体"/>
          <w:color w:val="auto"/>
          <w:sz w:val="24"/>
          <w:szCs w:val="20"/>
          <w:highlight w:val="none"/>
        </w:rPr>
      </w:pPr>
      <w:bookmarkStart w:id="1197" w:name="_Toc159950709"/>
      <w:bookmarkStart w:id="1198" w:name="_Toc338944801"/>
      <w:bookmarkStart w:id="1199" w:name="_Toc179632726"/>
      <w:bookmarkStart w:id="1200" w:name="_Toc342296359"/>
      <w:bookmarkStart w:id="1201" w:name="_Toc144974677"/>
      <w:bookmarkStart w:id="1202" w:name="_Toc152045708"/>
      <w:bookmarkStart w:id="1203" w:name="_Toc152042486"/>
      <w:r>
        <w:rPr>
          <w:rFonts w:eastAsia="黑体"/>
          <w:color w:val="auto"/>
          <w:sz w:val="24"/>
          <w:szCs w:val="20"/>
          <w:highlight w:val="none"/>
        </w:rPr>
        <w:t>15.2 变更权</w:t>
      </w:r>
      <w:bookmarkEnd w:id="1197"/>
      <w:bookmarkEnd w:id="1198"/>
      <w:bookmarkEnd w:id="1199"/>
      <w:bookmarkEnd w:id="1200"/>
      <w:bookmarkEnd w:id="1201"/>
      <w:bookmarkEnd w:id="1202"/>
      <w:bookmarkEnd w:id="1203"/>
    </w:p>
    <w:p w14:paraId="1D23B57A">
      <w:pPr>
        <w:spacing w:line="400" w:lineRule="exact"/>
        <w:ind w:firstLine="420" w:firstLineChars="200"/>
        <w:rPr>
          <w:color w:val="auto"/>
          <w:highlight w:val="none"/>
        </w:rPr>
      </w:pPr>
      <w:r>
        <w:rPr>
          <w:color w:val="auto"/>
          <w:highlight w:val="none"/>
        </w:rPr>
        <w:t>在履行合同过程中，经发包人同意，监理人可按第15.3款约定的变更程序向承包人作出变更指示，承包人应遵照执行。没有监理人的变更指示，承包人不得擅自变更。</w:t>
      </w:r>
    </w:p>
    <w:p w14:paraId="7DF5D31F">
      <w:pPr>
        <w:keepNext/>
        <w:keepLines/>
        <w:spacing w:line="400" w:lineRule="exact"/>
        <w:outlineLvl w:val="2"/>
        <w:rPr>
          <w:rFonts w:eastAsia="黑体"/>
          <w:color w:val="auto"/>
          <w:sz w:val="24"/>
          <w:szCs w:val="20"/>
          <w:highlight w:val="none"/>
        </w:rPr>
      </w:pPr>
      <w:bookmarkStart w:id="1204" w:name="_Toc342296360"/>
      <w:bookmarkStart w:id="1205" w:name="_Toc159950710"/>
      <w:bookmarkStart w:id="1206" w:name="_Toc338944802"/>
      <w:r>
        <w:rPr>
          <w:rFonts w:eastAsia="黑体"/>
          <w:color w:val="auto"/>
          <w:sz w:val="24"/>
          <w:szCs w:val="20"/>
          <w:highlight w:val="none"/>
        </w:rPr>
        <w:t>15.3 变更程序</w:t>
      </w:r>
      <w:bookmarkEnd w:id="1204"/>
      <w:bookmarkEnd w:id="1205"/>
      <w:bookmarkEnd w:id="1206"/>
    </w:p>
    <w:p w14:paraId="5AB1493E">
      <w:pPr>
        <w:spacing w:line="400" w:lineRule="exact"/>
        <w:ind w:firstLine="420" w:firstLineChars="200"/>
        <w:rPr>
          <w:color w:val="auto"/>
          <w:highlight w:val="none"/>
        </w:rPr>
      </w:pPr>
      <w:r>
        <w:rPr>
          <w:color w:val="auto"/>
          <w:highlight w:val="none"/>
        </w:rPr>
        <w:t xml:space="preserve">15.3.1 </w:t>
      </w:r>
      <w:r>
        <w:rPr>
          <w:rFonts w:hint="eastAsia" w:ascii="宋体" w:hAnsi="宋体" w:cs="宋体"/>
          <w:color w:val="auto"/>
          <w:highlight w:val="none"/>
        </w:rPr>
        <w:t>变更的提出</w:t>
      </w:r>
    </w:p>
    <w:p w14:paraId="5E53A876">
      <w:pPr>
        <w:spacing w:line="400" w:lineRule="exact"/>
        <w:ind w:firstLine="420" w:firstLineChars="200"/>
        <w:rPr>
          <w:color w:val="auto"/>
          <w:highlight w:val="none"/>
        </w:rPr>
      </w:pPr>
      <w:r>
        <w:rPr>
          <w:color w:val="auto"/>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4A72A802">
      <w:pPr>
        <w:spacing w:line="400" w:lineRule="exact"/>
        <w:ind w:firstLine="420" w:firstLineChars="200"/>
        <w:rPr>
          <w:color w:val="auto"/>
          <w:highlight w:val="none"/>
        </w:rPr>
      </w:pPr>
      <w:r>
        <w:rPr>
          <w:color w:val="auto"/>
          <w:highlight w:val="none"/>
        </w:rPr>
        <w:t>（2）在合同履行过程中，发生第15.1款约定情形的，监理人应按照第15.3.3项约定向承包人发出变更指示。</w:t>
      </w:r>
    </w:p>
    <w:p w14:paraId="2BA43935">
      <w:pPr>
        <w:spacing w:line="400" w:lineRule="exact"/>
        <w:ind w:firstLine="420" w:firstLineChars="200"/>
        <w:rPr>
          <w:color w:val="auto"/>
          <w:highlight w:val="none"/>
        </w:rPr>
      </w:pPr>
      <w:r>
        <w:rPr>
          <w:color w:val="auto"/>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56336FFB">
      <w:pPr>
        <w:spacing w:line="400" w:lineRule="exact"/>
        <w:ind w:firstLine="420" w:firstLineChars="200"/>
        <w:rPr>
          <w:color w:val="auto"/>
          <w:highlight w:val="none"/>
        </w:rPr>
      </w:pPr>
      <w:r>
        <w:rPr>
          <w:color w:val="auto"/>
          <w:highlight w:val="none"/>
        </w:rPr>
        <w:t>（4）若承包人收到监理人的变更意向书后认为难以实施此项变更，应立即通知监理人，说明原因并附详细依据。监理人与承包人和发包人协商后确定撤销、改变或不改变原变更意向书。</w:t>
      </w:r>
    </w:p>
    <w:p w14:paraId="0E5BE633">
      <w:pPr>
        <w:spacing w:line="400" w:lineRule="exact"/>
        <w:ind w:firstLine="420" w:firstLineChars="200"/>
        <w:rPr>
          <w:color w:val="auto"/>
          <w:highlight w:val="none"/>
        </w:rPr>
      </w:pPr>
      <w:r>
        <w:rPr>
          <w:color w:val="auto"/>
          <w:highlight w:val="none"/>
        </w:rPr>
        <w:t xml:space="preserve">15.3.2 </w:t>
      </w:r>
      <w:r>
        <w:rPr>
          <w:rFonts w:hint="eastAsia" w:ascii="宋体" w:hAnsi="宋体" w:cs="宋体"/>
          <w:color w:val="auto"/>
          <w:highlight w:val="none"/>
        </w:rPr>
        <w:t>变更估价</w:t>
      </w:r>
    </w:p>
    <w:p w14:paraId="769AE939">
      <w:pPr>
        <w:spacing w:line="400" w:lineRule="exact"/>
        <w:ind w:firstLine="420" w:firstLineChars="200"/>
        <w:rPr>
          <w:color w:val="auto"/>
          <w:highlight w:val="none"/>
        </w:rPr>
      </w:pPr>
      <w:r>
        <w:rPr>
          <w:color w:val="auto"/>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FF2207A">
      <w:pPr>
        <w:spacing w:line="400" w:lineRule="exact"/>
        <w:ind w:firstLine="420" w:firstLineChars="200"/>
        <w:rPr>
          <w:color w:val="auto"/>
          <w:highlight w:val="none"/>
        </w:rPr>
      </w:pPr>
      <w:r>
        <w:rPr>
          <w:color w:val="auto"/>
          <w:highlight w:val="none"/>
        </w:rPr>
        <w:t>（2）变更工作影响工期的，承包人应提出调整工期的具体细节。监理人认为有必要时，可要求承包人提交要求提前或延长工期的施工进度计划及相应施工措施等详细资料。</w:t>
      </w:r>
    </w:p>
    <w:p w14:paraId="76D4AA08">
      <w:pPr>
        <w:spacing w:line="400" w:lineRule="exact"/>
        <w:ind w:firstLine="420" w:firstLineChars="200"/>
        <w:rPr>
          <w:color w:val="auto"/>
          <w:highlight w:val="none"/>
        </w:rPr>
      </w:pPr>
      <w:r>
        <w:rPr>
          <w:color w:val="auto"/>
          <w:highlight w:val="none"/>
        </w:rPr>
        <w:t>（3）除专用合同条款对期限另有约定外，监理人收到承包人变更报价书后的14天内，根据第15.4款约定的估价原则，按照第3.5款商定或确定变更价格。</w:t>
      </w:r>
    </w:p>
    <w:p w14:paraId="578BDA35">
      <w:pPr>
        <w:spacing w:line="400" w:lineRule="exact"/>
        <w:ind w:firstLine="420" w:firstLineChars="200"/>
        <w:rPr>
          <w:color w:val="auto"/>
          <w:highlight w:val="none"/>
        </w:rPr>
      </w:pPr>
      <w:r>
        <w:rPr>
          <w:color w:val="auto"/>
          <w:highlight w:val="none"/>
        </w:rPr>
        <w:t xml:space="preserve">15.3.3 </w:t>
      </w:r>
      <w:r>
        <w:rPr>
          <w:rFonts w:hint="eastAsia" w:ascii="宋体" w:hAnsi="宋体" w:cs="宋体"/>
          <w:color w:val="auto"/>
          <w:highlight w:val="none"/>
        </w:rPr>
        <w:t>变更指示</w:t>
      </w:r>
    </w:p>
    <w:p w14:paraId="2B3F1346">
      <w:pPr>
        <w:spacing w:line="400" w:lineRule="exact"/>
        <w:ind w:firstLine="420" w:firstLineChars="200"/>
        <w:rPr>
          <w:color w:val="auto"/>
          <w:highlight w:val="none"/>
        </w:rPr>
      </w:pPr>
      <w:r>
        <w:rPr>
          <w:color w:val="auto"/>
          <w:highlight w:val="none"/>
        </w:rPr>
        <w:t>（1）变更指示只能由监理人发出。</w:t>
      </w:r>
    </w:p>
    <w:p w14:paraId="2DD32D1D">
      <w:pPr>
        <w:spacing w:line="400" w:lineRule="exact"/>
        <w:ind w:firstLine="420" w:firstLineChars="200"/>
        <w:rPr>
          <w:color w:val="auto"/>
          <w:highlight w:val="none"/>
        </w:rPr>
      </w:pPr>
      <w:r>
        <w:rPr>
          <w:color w:val="auto"/>
          <w:highlight w:val="none"/>
        </w:rPr>
        <w:t>（2）变更指示应说明变更的目的、范围、变更内容以及变更的工程量及其进度和技术要求，并附有关图纸和文件。承包人收到变更指示后，应按变更指示进行变更工作。</w:t>
      </w:r>
    </w:p>
    <w:p w14:paraId="19766C5B">
      <w:pPr>
        <w:keepNext/>
        <w:keepLines/>
        <w:spacing w:line="400" w:lineRule="exact"/>
        <w:outlineLvl w:val="2"/>
        <w:rPr>
          <w:rFonts w:eastAsia="黑体"/>
          <w:color w:val="auto"/>
          <w:sz w:val="24"/>
          <w:szCs w:val="20"/>
          <w:highlight w:val="none"/>
        </w:rPr>
      </w:pPr>
      <w:bookmarkStart w:id="1207" w:name="_Toc159950711"/>
      <w:bookmarkStart w:id="1208" w:name="_Toc338944803"/>
      <w:bookmarkStart w:id="1209" w:name="_Toc342296361"/>
      <w:r>
        <w:rPr>
          <w:rFonts w:eastAsia="黑体"/>
          <w:color w:val="auto"/>
          <w:sz w:val="24"/>
          <w:szCs w:val="20"/>
          <w:highlight w:val="none"/>
        </w:rPr>
        <w:t>15.4 变更的估价原则</w:t>
      </w:r>
      <w:bookmarkEnd w:id="1207"/>
      <w:bookmarkEnd w:id="1208"/>
      <w:bookmarkEnd w:id="1209"/>
    </w:p>
    <w:p w14:paraId="6F27A916">
      <w:pPr>
        <w:spacing w:line="400" w:lineRule="exact"/>
        <w:ind w:firstLine="420" w:firstLineChars="200"/>
        <w:rPr>
          <w:color w:val="auto"/>
          <w:highlight w:val="none"/>
        </w:rPr>
      </w:pPr>
      <w:r>
        <w:rPr>
          <w:color w:val="auto"/>
          <w:highlight w:val="none"/>
        </w:rPr>
        <w:t>除专用合同条款另有约定外，因变更引起的价格调整按照本款约定处理。</w:t>
      </w:r>
    </w:p>
    <w:p w14:paraId="5F8E9C83">
      <w:pPr>
        <w:spacing w:line="400" w:lineRule="exact"/>
        <w:ind w:firstLine="420" w:firstLineChars="200"/>
        <w:rPr>
          <w:color w:val="auto"/>
          <w:highlight w:val="none"/>
        </w:rPr>
      </w:pPr>
      <w:r>
        <w:rPr>
          <w:color w:val="auto"/>
          <w:highlight w:val="none"/>
        </w:rPr>
        <w:t>15.4.1 已标价工程量清单中有适用于变更工作的子目的，采用该子目的单价。</w:t>
      </w:r>
    </w:p>
    <w:p w14:paraId="7D17409A">
      <w:pPr>
        <w:spacing w:line="400" w:lineRule="exact"/>
        <w:ind w:firstLine="420" w:firstLineChars="200"/>
        <w:rPr>
          <w:color w:val="auto"/>
          <w:highlight w:val="none"/>
        </w:rPr>
      </w:pPr>
      <w:r>
        <w:rPr>
          <w:color w:val="auto"/>
          <w:highlight w:val="none"/>
        </w:rPr>
        <w:t>15.4.2 已标价工程量清单中无适用于变更工作的子目，但有类似子目的，可在合理范围内参照类似子目的单价，由监理人按第3.5款商定或确定变更工作的单价。</w:t>
      </w:r>
    </w:p>
    <w:p w14:paraId="00164D2F">
      <w:pPr>
        <w:spacing w:line="400" w:lineRule="exact"/>
        <w:ind w:firstLine="420" w:firstLineChars="200"/>
        <w:rPr>
          <w:color w:val="auto"/>
          <w:highlight w:val="none"/>
        </w:rPr>
      </w:pPr>
      <w:r>
        <w:rPr>
          <w:color w:val="auto"/>
          <w:highlight w:val="none"/>
        </w:rPr>
        <w:t>15.4.3 已标价工程量清单中无适用或类似子目的单价，可按照成本加利润的原则，由监理人按第3.5款商定或确定变更工作的单价。</w:t>
      </w:r>
    </w:p>
    <w:p w14:paraId="729BB3A7">
      <w:pPr>
        <w:keepNext/>
        <w:keepLines/>
        <w:spacing w:line="400" w:lineRule="exact"/>
        <w:outlineLvl w:val="2"/>
        <w:rPr>
          <w:rFonts w:eastAsia="黑体"/>
          <w:color w:val="auto"/>
          <w:sz w:val="24"/>
          <w:szCs w:val="20"/>
          <w:highlight w:val="none"/>
        </w:rPr>
      </w:pPr>
      <w:bookmarkStart w:id="1210" w:name="_Toc159950712"/>
      <w:bookmarkStart w:id="1211" w:name="_Toc338944804"/>
      <w:bookmarkStart w:id="1212" w:name="_Toc342296362"/>
      <w:r>
        <w:rPr>
          <w:rFonts w:eastAsia="黑体"/>
          <w:color w:val="auto"/>
          <w:sz w:val="24"/>
          <w:szCs w:val="20"/>
          <w:highlight w:val="none"/>
        </w:rPr>
        <w:t>15.5 承包人的合理化建议</w:t>
      </w:r>
      <w:bookmarkEnd w:id="1210"/>
      <w:bookmarkEnd w:id="1211"/>
      <w:bookmarkEnd w:id="1212"/>
    </w:p>
    <w:p w14:paraId="5A47F49F">
      <w:pPr>
        <w:spacing w:line="400" w:lineRule="exact"/>
        <w:ind w:firstLine="420" w:firstLineChars="200"/>
        <w:rPr>
          <w:color w:val="auto"/>
          <w:highlight w:val="none"/>
        </w:rPr>
      </w:pPr>
      <w:r>
        <w:rPr>
          <w:color w:val="auto"/>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15804F0E">
      <w:pPr>
        <w:spacing w:line="400" w:lineRule="exact"/>
        <w:ind w:firstLine="420" w:firstLineChars="200"/>
        <w:rPr>
          <w:color w:val="auto"/>
          <w:highlight w:val="none"/>
        </w:rPr>
      </w:pPr>
      <w:r>
        <w:rPr>
          <w:color w:val="auto"/>
          <w:highlight w:val="none"/>
        </w:rPr>
        <w:t>15.5.2 承包人提出的合理化建议降低了合同价格、缩短了工期或者提高了工程经济效益的，发包人可按国家有关规定在专用合同条款中约定给予奖励。</w:t>
      </w:r>
    </w:p>
    <w:p w14:paraId="76659703">
      <w:pPr>
        <w:keepNext/>
        <w:keepLines/>
        <w:spacing w:line="400" w:lineRule="exact"/>
        <w:outlineLvl w:val="2"/>
        <w:rPr>
          <w:rFonts w:eastAsia="黑体"/>
          <w:color w:val="auto"/>
          <w:sz w:val="24"/>
          <w:szCs w:val="20"/>
          <w:highlight w:val="none"/>
        </w:rPr>
      </w:pPr>
      <w:bookmarkStart w:id="1213" w:name="_Toc342296363"/>
      <w:bookmarkStart w:id="1214" w:name="_Toc338944805"/>
      <w:bookmarkStart w:id="1215" w:name="_Toc144974681"/>
      <w:bookmarkStart w:id="1216" w:name="_Toc159950713"/>
      <w:bookmarkStart w:id="1217" w:name="_Toc152042490"/>
      <w:bookmarkStart w:id="1218" w:name="_Toc152045712"/>
      <w:bookmarkStart w:id="1219" w:name="_Toc179632730"/>
      <w:r>
        <w:rPr>
          <w:rFonts w:eastAsia="黑体"/>
          <w:color w:val="auto"/>
          <w:sz w:val="24"/>
          <w:szCs w:val="20"/>
          <w:highlight w:val="none"/>
        </w:rPr>
        <w:t>15.6 暂列金额</w:t>
      </w:r>
      <w:bookmarkEnd w:id="1213"/>
      <w:bookmarkEnd w:id="1214"/>
      <w:bookmarkEnd w:id="1215"/>
      <w:bookmarkEnd w:id="1216"/>
      <w:bookmarkEnd w:id="1217"/>
      <w:bookmarkEnd w:id="1218"/>
      <w:bookmarkEnd w:id="1219"/>
    </w:p>
    <w:p w14:paraId="325F4082">
      <w:pPr>
        <w:spacing w:line="400" w:lineRule="exact"/>
        <w:ind w:firstLine="420" w:firstLineChars="200"/>
        <w:rPr>
          <w:color w:val="auto"/>
          <w:highlight w:val="none"/>
        </w:rPr>
      </w:pPr>
      <w:r>
        <w:rPr>
          <w:color w:val="auto"/>
          <w:highlight w:val="none"/>
        </w:rPr>
        <w:t>暂列金额只能按照监理人的指示使用，并对合同价格进行相应调整。</w:t>
      </w:r>
    </w:p>
    <w:p w14:paraId="0B3A7CCB">
      <w:pPr>
        <w:keepNext/>
        <w:keepLines/>
        <w:spacing w:line="400" w:lineRule="exact"/>
        <w:outlineLvl w:val="2"/>
        <w:rPr>
          <w:rFonts w:eastAsia="黑体"/>
          <w:color w:val="auto"/>
          <w:sz w:val="24"/>
          <w:szCs w:val="20"/>
          <w:highlight w:val="none"/>
        </w:rPr>
      </w:pPr>
      <w:bookmarkStart w:id="1220" w:name="_Toc338944806"/>
      <w:bookmarkStart w:id="1221" w:name="_Toc152042491"/>
      <w:bookmarkStart w:id="1222" w:name="_Toc159950714"/>
      <w:bookmarkStart w:id="1223" w:name="_Toc342296364"/>
      <w:bookmarkStart w:id="1224" w:name="_Toc179632731"/>
      <w:bookmarkStart w:id="1225" w:name="_Toc152045713"/>
      <w:bookmarkStart w:id="1226" w:name="_Toc144974682"/>
      <w:r>
        <w:rPr>
          <w:rFonts w:eastAsia="黑体"/>
          <w:color w:val="auto"/>
          <w:sz w:val="24"/>
          <w:szCs w:val="20"/>
          <w:highlight w:val="none"/>
        </w:rPr>
        <w:t>15.7 计日工</w:t>
      </w:r>
      <w:bookmarkEnd w:id="1220"/>
      <w:bookmarkEnd w:id="1221"/>
      <w:bookmarkEnd w:id="1222"/>
      <w:bookmarkEnd w:id="1223"/>
      <w:bookmarkEnd w:id="1224"/>
      <w:bookmarkEnd w:id="1225"/>
      <w:bookmarkEnd w:id="1226"/>
    </w:p>
    <w:p w14:paraId="5DD228BF">
      <w:pPr>
        <w:spacing w:line="400" w:lineRule="exact"/>
        <w:ind w:firstLine="420" w:firstLineChars="200"/>
        <w:rPr>
          <w:color w:val="auto"/>
          <w:highlight w:val="none"/>
          <w:shd w:val="pct10" w:color="auto" w:fill="FFFFFF"/>
        </w:rPr>
      </w:pPr>
      <w:r>
        <w:rPr>
          <w:color w:val="auto"/>
          <w:highlight w:val="none"/>
        </w:rPr>
        <w:t>15.7.1 发包人认为有必要时，</w:t>
      </w:r>
      <w:r>
        <w:rPr>
          <w:color w:val="auto"/>
          <w:szCs w:val="21"/>
          <w:highlight w:val="none"/>
        </w:rPr>
        <w:t>由</w:t>
      </w:r>
      <w:r>
        <w:rPr>
          <w:color w:val="auto"/>
          <w:highlight w:val="none"/>
        </w:rPr>
        <w:t>监理人通知承包人以计日工方式实施变更的零星工作。其价款按列入已标价工程量清单中的计日工计价子目及其单价进行计算。</w:t>
      </w:r>
    </w:p>
    <w:p w14:paraId="62721FA5">
      <w:pPr>
        <w:spacing w:line="400" w:lineRule="exact"/>
        <w:ind w:firstLine="420" w:firstLineChars="200"/>
        <w:rPr>
          <w:color w:val="auto"/>
          <w:highlight w:val="none"/>
        </w:rPr>
      </w:pPr>
      <w:r>
        <w:rPr>
          <w:color w:val="auto"/>
          <w:highlight w:val="none"/>
        </w:rPr>
        <w:t>15.7.2 采用计日工计价的任何一项变更工作，应从暂列金额中支付，承包人应在该项变更的实施过程中，每天提交以下报表和有关凭证报送监理人审批：</w:t>
      </w:r>
    </w:p>
    <w:p w14:paraId="4F34EB3C">
      <w:pPr>
        <w:spacing w:line="400" w:lineRule="exact"/>
        <w:ind w:firstLine="718" w:firstLineChars="342"/>
        <w:rPr>
          <w:color w:val="auto"/>
          <w:highlight w:val="none"/>
        </w:rPr>
      </w:pPr>
      <w:r>
        <w:rPr>
          <w:color w:val="auto"/>
          <w:highlight w:val="none"/>
        </w:rPr>
        <w:t>（1）工作名称、内容和数量；</w:t>
      </w:r>
    </w:p>
    <w:p w14:paraId="3C314506">
      <w:pPr>
        <w:spacing w:line="400" w:lineRule="exact"/>
        <w:ind w:firstLine="718" w:firstLineChars="342"/>
        <w:rPr>
          <w:color w:val="auto"/>
          <w:highlight w:val="none"/>
        </w:rPr>
      </w:pPr>
      <w:r>
        <w:rPr>
          <w:color w:val="auto"/>
          <w:highlight w:val="none"/>
        </w:rPr>
        <w:t>（2）投入该工作所有人员的姓名、工种、级别和耗用工时；</w:t>
      </w:r>
    </w:p>
    <w:p w14:paraId="4931C40E">
      <w:pPr>
        <w:spacing w:line="400" w:lineRule="exact"/>
        <w:ind w:firstLine="718" w:firstLineChars="342"/>
        <w:rPr>
          <w:color w:val="auto"/>
          <w:highlight w:val="none"/>
        </w:rPr>
      </w:pPr>
      <w:r>
        <w:rPr>
          <w:color w:val="auto"/>
          <w:highlight w:val="none"/>
        </w:rPr>
        <w:t>（3）投入该工作的材料类别和数量；</w:t>
      </w:r>
    </w:p>
    <w:p w14:paraId="153B34DD">
      <w:pPr>
        <w:spacing w:line="400" w:lineRule="exact"/>
        <w:ind w:firstLine="718" w:firstLineChars="342"/>
        <w:rPr>
          <w:color w:val="auto"/>
          <w:highlight w:val="none"/>
        </w:rPr>
      </w:pPr>
      <w:r>
        <w:rPr>
          <w:color w:val="auto"/>
          <w:highlight w:val="none"/>
        </w:rPr>
        <w:t>（4）投入该工作的施工设备型号、台数和耗用台时；</w:t>
      </w:r>
    </w:p>
    <w:p w14:paraId="1B67CBB8">
      <w:pPr>
        <w:spacing w:line="400" w:lineRule="exact"/>
        <w:ind w:firstLine="718" w:firstLineChars="342"/>
        <w:rPr>
          <w:color w:val="auto"/>
          <w:highlight w:val="none"/>
        </w:rPr>
      </w:pPr>
      <w:r>
        <w:rPr>
          <w:color w:val="auto"/>
          <w:highlight w:val="none"/>
        </w:rPr>
        <w:t>（5）监理人要求提交的其他资料和凭证。</w:t>
      </w:r>
    </w:p>
    <w:p w14:paraId="77FF059E">
      <w:pPr>
        <w:spacing w:line="400" w:lineRule="exact"/>
        <w:ind w:firstLine="420" w:firstLineChars="200"/>
        <w:rPr>
          <w:color w:val="auto"/>
          <w:highlight w:val="none"/>
        </w:rPr>
      </w:pPr>
      <w:r>
        <w:rPr>
          <w:color w:val="auto"/>
          <w:highlight w:val="none"/>
        </w:rPr>
        <w:t>15.7.3 计日工由承包人汇总后，按第17.3.2项的约定列入进度付款申请单，由监理人复核并经发包人同意后列入进度付款。</w:t>
      </w:r>
    </w:p>
    <w:p w14:paraId="0D876BF2">
      <w:pPr>
        <w:keepNext/>
        <w:keepLines/>
        <w:spacing w:line="400" w:lineRule="exact"/>
        <w:outlineLvl w:val="2"/>
        <w:rPr>
          <w:rFonts w:eastAsia="黑体"/>
          <w:color w:val="auto"/>
          <w:sz w:val="24"/>
          <w:szCs w:val="20"/>
          <w:highlight w:val="none"/>
        </w:rPr>
      </w:pPr>
      <w:bookmarkStart w:id="1227" w:name="_Toc338944807"/>
      <w:bookmarkStart w:id="1228" w:name="_Toc342296365"/>
      <w:bookmarkStart w:id="1229" w:name="_Toc159950715"/>
      <w:r>
        <w:rPr>
          <w:rFonts w:eastAsia="黑体"/>
          <w:color w:val="auto"/>
          <w:sz w:val="24"/>
          <w:szCs w:val="20"/>
          <w:highlight w:val="none"/>
        </w:rPr>
        <w:t>15.8 暂估价</w:t>
      </w:r>
      <w:bookmarkEnd w:id="1227"/>
      <w:bookmarkEnd w:id="1228"/>
      <w:bookmarkEnd w:id="1229"/>
    </w:p>
    <w:p w14:paraId="1F44EBF9">
      <w:pPr>
        <w:spacing w:line="400" w:lineRule="exact"/>
        <w:rPr>
          <w:color w:val="auto"/>
          <w:highlight w:val="none"/>
        </w:rPr>
      </w:pPr>
      <w:r>
        <w:rPr>
          <w:color w:val="auto"/>
          <w:highlight w:val="none"/>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321D66C1">
      <w:pPr>
        <w:spacing w:line="400" w:lineRule="exact"/>
        <w:ind w:firstLine="420" w:firstLineChars="200"/>
        <w:rPr>
          <w:color w:val="auto"/>
          <w:highlight w:val="none"/>
        </w:rPr>
      </w:pPr>
      <w:r>
        <w:rPr>
          <w:color w:val="auto"/>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2CFBD5E7">
      <w:pPr>
        <w:spacing w:line="400" w:lineRule="exact"/>
        <w:ind w:firstLine="420" w:firstLineChars="200"/>
        <w:rPr>
          <w:color w:val="auto"/>
          <w:highlight w:val="none"/>
        </w:rPr>
      </w:pPr>
      <w:r>
        <w:rPr>
          <w:color w:val="auto"/>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5449C5F3">
      <w:pPr>
        <w:keepNext/>
        <w:keepLines/>
        <w:spacing w:line="400" w:lineRule="exact"/>
        <w:outlineLvl w:val="1"/>
        <w:rPr>
          <w:rFonts w:eastAsia="黑体" w:cs="仿宋_GB2312"/>
          <w:color w:val="auto"/>
          <w:sz w:val="28"/>
          <w:szCs w:val="20"/>
          <w:highlight w:val="none"/>
        </w:rPr>
      </w:pPr>
      <w:bookmarkStart w:id="1230" w:name="_Toc442365629"/>
      <w:bookmarkStart w:id="1231" w:name="_Toc448758437"/>
      <w:bookmarkStart w:id="1232" w:name="_Toc469660032"/>
      <w:bookmarkStart w:id="1233" w:name="_Toc342296366"/>
      <w:bookmarkStart w:id="1234" w:name="_Toc159950716"/>
      <w:bookmarkStart w:id="1235" w:name="_Toc448758537"/>
      <w:bookmarkStart w:id="1236" w:name="_Toc338944808"/>
      <w:r>
        <w:rPr>
          <w:rFonts w:eastAsia="黑体" w:cs="仿宋_GB2312"/>
          <w:color w:val="auto"/>
          <w:sz w:val="28"/>
          <w:szCs w:val="20"/>
          <w:highlight w:val="none"/>
        </w:rPr>
        <w:t>16. 价格调整</w:t>
      </w:r>
      <w:bookmarkEnd w:id="1230"/>
      <w:bookmarkEnd w:id="1231"/>
      <w:bookmarkEnd w:id="1232"/>
      <w:bookmarkEnd w:id="1233"/>
      <w:bookmarkEnd w:id="1234"/>
      <w:bookmarkEnd w:id="1235"/>
      <w:bookmarkEnd w:id="1236"/>
    </w:p>
    <w:p w14:paraId="2D3BDC9C">
      <w:pPr>
        <w:keepNext/>
        <w:keepLines/>
        <w:spacing w:line="400" w:lineRule="exact"/>
        <w:outlineLvl w:val="2"/>
        <w:rPr>
          <w:rFonts w:eastAsia="黑体"/>
          <w:color w:val="auto"/>
          <w:sz w:val="24"/>
          <w:szCs w:val="20"/>
          <w:highlight w:val="none"/>
        </w:rPr>
      </w:pPr>
      <w:bookmarkStart w:id="1237" w:name="_Toc342296367"/>
      <w:bookmarkStart w:id="1238" w:name="_Toc159950717"/>
      <w:bookmarkStart w:id="1239" w:name="_Toc338944809"/>
      <w:r>
        <w:rPr>
          <w:rFonts w:eastAsia="黑体"/>
          <w:color w:val="auto"/>
          <w:sz w:val="24"/>
          <w:szCs w:val="20"/>
          <w:highlight w:val="none"/>
        </w:rPr>
        <w:t>16.1 物价波动引起的价格调整</w:t>
      </w:r>
      <w:bookmarkEnd w:id="1237"/>
      <w:bookmarkEnd w:id="1238"/>
      <w:bookmarkEnd w:id="1239"/>
    </w:p>
    <w:p w14:paraId="6C8B24A3">
      <w:pPr>
        <w:rPr>
          <w:color w:val="auto"/>
          <w:highlight w:val="none"/>
        </w:rPr>
      </w:pPr>
      <w:r>
        <w:rPr>
          <w:color w:val="auto"/>
          <w:highlight w:val="none"/>
        </w:rPr>
        <w:t>除专用合同条款另有约定外，因物价波动引起的价格调整按照本款约定处理。</w:t>
      </w:r>
    </w:p>
    <w:p w14:paraId="3109647F">
      <w:pPr>
        <w:rPr>
          <w:color w:val="auto"/>
          <w:highlight w:val="none"/>
        </w:rPr>
      </w:pPr>
      <w:r>
        <w:rPr>
          <w:color w:val="auto"/>
          <w:highlight w:val="none"/>
        </w:rPr>
        <w:t xml:space="preserve">16.1.1 </w:t>
      </w:r>
      <w:r>
        <w:rPr>
          <w:rFonts w:hint="eastAsia" w:ascii="宋体" w:hAnsi="宋体" w:cs="宋体"/>
          <w:color w:val="auto"/>
          <w:highlight w:val="none"/>
        </w:rPr>
        <w:t>采用价格指数调整价格差额</w:t>
      </w:r>
    </w:p>
    <w:p w14:paraId="50612989">
      <w:pPr>
        <w:rPr>
          <w:color w:val="auto"/>
          <w:highlight w:val="none"/>
        </w:rPr>
      </w:pPr>
      <w:r>
        <w:rPr>
          <w:color w:val="auto"/>
          <w:highlight w:val="none"/>
        </w:rPr>
        <w:t>16.1.1.1 价格调整公式</w:t>
      </w:r>
    </w:p>
    <w:p w14:paraId="3A835EF6">
      <w:pPr>
        <w:rPr>
          <w:color w:val="auto"/>
          <w:highlight w:val="none"/>
        </w:rPr>
      </w:pPr>
      <w:r>
        <w:rPr>
          <w:color w:val="auto"/>
          <w:highlight w:val="none"/>
        </w:rPr>
        <w:t>因人工、材料和设备等价格波动影响合同价格时，根据投标函附录中的价格指数和权重表约定的数据，按以下公式计算差额并调整合同价格。</w:t>
      </w:r>
    </w:p>
    <w:p w14:paraId="5CDED650">
      <w:pPr>
        <w:rPr>
          <w:color w:val="auto"/>
          <w:highlight w:val="none"/>
        </w:rPr>
      </w:pPr>
      <w:r>
        <w:rPr>
          <w:b/>
          <w:bCs/>
          <w:color w:val="auto"/>
          <w:kern w:val="0"/>
          <w:sz w:val="19"/>
          <w:szCs w:val="19"/>
          <w:highlight w:val="none"/>
          <w:lang w:val="zh-CN"/>
        </w:rPr>
        <w:t xml:space="preserve">        </w:t>
      </w:r>
      <w:r>
        <w:rPr>
          <w:color w:val="auto"/>
          <w:position w:val="-34"/>
          <w:highlight w:val="none"/>
        </w:rPr>
        <w:drawing>
          <wp:inline distT="0" distB="0" distL="0" distR="0">
            <wp:extent cx="3892550" cy="5080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892550" cy="508000"/>
                    </a:xfrm>
                    <a:prstGeom prst="rect">
                      <a:avLst/>
                    </a:prstGeom>
                    <a:noFill/>
                    <a:ln>
                      <a:noFill/>
                    </a:ln>
                  </pic:spPr>
                </pic:pic>
              </a:graphicData>
            </a:graphic>
          </wp:inline>
        </w:drawing>
      </w:r>
    </w:p>
    <w:p w14:paraId="6BD097D2">
      <w:pPr>
        <w:rPr>
          <w:color w:val="auto"/>
          <w:highlight w:val="none"/>
        </w:rPr>
      </w:pPr>
      <w:r>
        <w:rPr>
          <w:color w:val="auto"/>
          <w:highlight w:val="none"/>
        </w:rPr>
        <w:t xml:space="preserve"> </w:t>
      </w:r>
    </w:p>
    <w:p w14:paraId="3C5D4E8C">
      <w:pPr>
        <w:rPr>
          <w:color w:val="auto"/>
          <w:highlight w:val="none"/>
        </w:rPr>
      </w:pPr>
      <w:r>
        <w:rPr>
          <w:color w:val="auto"/>
          <w:highlight w:val="none"/>
        </w:rPr>
        <w:t xml:space="preserve">式中： </w:t>
      </w:r>
      <w:r>
        <w:rPr>
          <w:rFonts w:hint="eastAsia" w:ascii="Cambria" w:hAnsi="Cambria" w:cs="Cambria"/>
          <w:color w:val="auto"/>
          <w:highlight w:val="none"/>
        </w:rPr>
        <w:t>△</w:t>
      </w:r>
      <w:r>
        <w:rPr>
          <w:color w:val="auto"/>
          <w:highlight w:val="none"/>
        </w:rPr>
        <w:t>P -- 需调整的价格差额；</w:t>
      </w:r>
    </w:p>
    <w:p w14:paraId="629B230E">
      <w:pPr>
        <w:rPr>
          <w:color w:val="auto"/>
          <w:highlight w:val="none"/>
        </w:rPr>
      </w:pPr>
      <w:r>
        <w:rPr>
          <w:color w:val="auto"/>
          <w:highlight w:val="none"/>
        </w:rPr>
        <w:tab/>
      </w:r>
      <w:r>
        <w:rPr>
          <w:color w:val="auto"/>
          <w:highlight w:val="none"/>
        </w:rPr>
        <w:t>P</w:t>
      </w:r>
      <w:r>
        <w:rPr>
          <w:color w:val="auto"/>
          <w:szCs w:val="21"/>
          <w:highlight w:val="none"/>
          <w:vertAlign w:val="subscript"/>
        </w:rPr>
        <w:t>0</w:t>
      </w:r>
      <w:r>
        <w:rPr>
          <w:color w:val="auto"/>
          <w:highlight w:val="none"/>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749CB3E3">
      <w:pPr>
        <w:rPr>
          <w:color w:val="auto"/>
          <w:highlight w:val="none"/>
        </w:rPr>
      </w:pPr>
      <w:r>
        <w:rPr>
          <w:color w:val="auto"/>
          <w:highlight w:val="none"/>
        </w:rPr>
        <w:tab/>
      </w:r>
      <w:bookmarkStart w:id="1240" w:name="_Toc152042495"/>
      <w:bookmarkStart w:id="1241" w:name="_Toc144974686"/>
      <w:r>
        <w:rPr>
          <w:color w:val="auto"/>
          <w:highlight w:val="none"/>
        </w:rPr>
        <w:t>A -- 定值权重(即不调部分的权重)；</w:t>
      </w:r>
      <w:bookmarkEnd w:id="1240"/>
      <w:bookmarkEnd w:id="1241"/>
    </w:p>
    <w:p w14:paraId="3AAE0992">
      <w:pPr>
        <w:rPr>
          <w:color w:val="auto"/>
          <w:highlight w:val="none"/>
        </w:rPr>
      </w:pPr>
      <w:r>
        <w:rPr>
          <w:color w:val="auto"/>
          <w:highlight w:val="none"/>
        </w:rPr>
        <w:tab/>
      </w:r>
      <w:r>
        <w:rPr>
          <w:color w:val="auto"/>
          <w:highlight w:val="none"/>
        </w:rPr>
        <w:t>B</w:t>
      </w:r>
      <w:r>
        <w:rPr>
          <w:color w:val="auto"/>
          <w:szCs w:val="21"/>
          <w:highlight w:val="none"/>
          <w:vertAlign w:val="subscript"/>
        </w:rPr>
        <w:t>1</w:t>
      </w:r>
      <w:r>
        <w:rPr>
          <w:color w:val="auto"/>
          <w:sz w:val="15"/>
          <w:szCs w:val="15"/>
          <w:highlight w:val="none"/>
        </w:rPr>
        <w:t>;</w:t>
      </w:r>
      <w:r>
        <w:rPr>
          <w:color w:val="auto"/>
          <w:highlight w:val="none"/>
        </w:rPr>
        <w:t xml:space="preserve"> B</w:t>
      </w:r>
      <w:r>
        <w:rPr>
          <w:color w:val="auto"/>
          <w:szCs w:val="21"/>
          <w:highlight w:val="none"/>
          <w:vertAlign w:val="subscript"/>
        </w:rPr>
        <w:t>2</w:t>
      </w:r>
      <w:r>
        <w:rPr>
          <w:color w:val="auto"/>
          <w:highlight w:val="none"/>
        </w:rPr>
        <w:t xml:space="preserve"> ;B</w:t>
      </w:r>
      <w:r>
        <w:rPr>
          <w:color w:val="auto"/>
          <w:szCs w:val="21"/>
          <w:highlight w:val="none"/>
          <w:vertAlign w:val="subscript"/>
        </w:rPr>
        <w:t>3</w:t>
      </w:r>
      <w:r>
        <w:rPr>
          <w:color w:val="auto"/>
          <w:sz w:val="15"/>
          <w:szCs w:val="15"/>
          <w:highlight w:val="none"/>
        </w:rPr>
        <w:t>·····</w:t>
      </w:r>
      <w:r>
        <w:rPr>
          <w:color w:val="auto"/>
          <w:highlight w:val="none"/>
        </w:rPr>
        <w:t>B</w:t>
      </w:r>
      <w:r>
        <w:rPr>
          <w:color w:val="auto"/>
          <w:szCs w:val="21"/>
          <w:highlight w:val="none"/>
          <w:vertAlign w:val="subscript"/>
        </w:rPr>
        <w:t>n</w:t>
      </w:r>
      <w:r>
        <w:rPr>
          <w:color w:val="auto"/>
          <w:highlight w:val="none"/>
        </w:rPr>
        <w:t xml:space="preserve"> -- 各可调因子的变值权重(即可调部分的权重)为各可调因子在投标函投标总报价中所占的比例；</w:t>
      </w:r>
    </w:p>
    <w:p w14:paraId="41B1F47D">
      <w:pPr>
        <w:rPr>
          <w:color w:val="auto"/>
          <w:highlight w:val="none"/>
        </w:rPr>
      </w:pPr>
      <w:r>
        <w:rPr>
          <w:color w:val="auto"/>
          <w:highlight w:val="none"/>
        </w:rPr>
        <w:tab/>
      </w:r>
      <w:r>
        <w:rPr>
          <w:color w:val="auto"/>
          <w:highlight w:val="none"/>
        </w:rPr>
        <w:t>F</w:t>
      </w:r>
      <w:r>
        <w:rPr>
          <w:color w:val="auto"/>
          <w:szCs w:val="21"/>
          <w:highlight w:val="none"/>
          <w:vertAlign w:val="subscript"/>
        </w:rPr>
        <w:t>t1</w:t>
      </w:r>
      <w:r>
        <w:rPr>
          <w:color w:val="auto"/>
          <w:highlight w:val="none"/>
        </w:rPr>
        <w:t xml:space="preserve"> ;F</w:t>
      </w:r>
      <w:r>
        <w:rPr>
          <w:color w:val="auto"/>
          <w:szCs w:val="21"/>
          <w:highlight w:val="none"/>
          <w:vertAlign w:val="subscript"/>
        </w:rPr>
        <w:t>t2</w:t>
      </w:r>
      <w:r>
        <w:rPr>
          <w:color w:val="auto"/>
          <w:highlight w:val="none"/>
        </w:rPr>
        <w:t xml:space="preserve"> ;F</w:t>
      </w:r>
      <w:r>
        <w:rPr>
          <w:color w:val="auto"/>
          <w:szCs w:val="21"/>
          <w:highlight w:val="none"/>
          <w:vertAlign w:val="subscript"/>
        </w:rPr>
        <w:t>t3</w:t>
      </w:r>
      <w:r>
        <w:rPr>
          <w:color w:val="auto"/>
          <w:sz w:val="15"/>
          <w:szCs w:val="15"/>
          <w:highlight w:val="none"/>
        </w:rPr>
        <w:t>·····</w:t>
      </w:r>
      <w:r>
        <w:rPr>
          <w:color w:val="auto"/>
          <w:highlight w:val="none"/>
        </w:rPr>
        <w:t>F</w:t>
      </w:r>
      <w:r>
        <w:rPr>
          <w:color w:val="auto"/>
          <w:szCs w:val="21"/>
          <w:highlight w:val="none"/>
          <w:vertAlign w:val="subscript"/>
        </w:rPr>
        <w:t>tn</w:t>
      </w:r>
      <w:r>
        <w:rPr>
          <w:color w:val="auto"/>
          <w:highlight w:val="none"/>
        </w:rPr>
        <w:t xml:space="preserve"> -- 各可调因子的现行价格指数，指第17.3.3项、第17.5.2项和第17.6.2项约定的付款证书相关周期最后一天的前42天的各可调因子的价格指数；</w:t>
      </w:r>
    </w:p>
    <w:p w14:paraId="62FD4011">
      <w:pPr>
        <w:rPr>
          <w:color w:val="auto"/>
          <w:highlight w:val="none"/>
        </w:rPr>
      </w:pPr>
      <w:r>
        <w:rPr>
          <w:color w:val="auto"/>
          <w:highlight w:val="none"/>
        </w:rPr>
        <w:tab/>
      </w:r>
      <w:r>
        <w:rPr>
          <w:color w:val="auto"/>
          <w:highlight w:val="none"/>
        </w:rPr>
        <w:t>F</w:t>
      </w:r>
      <w:r>
        <w:rPr>
          <w:color w:val="auto"/>
          <w:szCs w:val="21"/>
          <w:highlight w:val="none"/>
          <w:vertAlign w:val="subscript"/>
        </w:rPr>
        <w:t>o1</w:t>
      </w:r>
      <w:r>
        <w:rPr>
          <w:color w:val="auto"/>
          <w:highlight w:val="none"/>
        </w:rPr>
        <w:t>; F</w:t>
      </w:r>
      <w:r>
        <w:rPr>
          <w:color w:val="auto"/>
          <w:szCs w:val="21"/>
          <w:highlight w:val="none"/>
          <w:vertAlign w:val="subscript"/>
        </w:rPr>
        <w:t>o2</w:t>
      </w:r>
      <w:r>
        <w:rPr>
          <w:color w:val="auto"/>
          <w:sz w:val="15"/>
          <w:szCs w:val="15"/>
          <w:highlight w:val="none"/>
        </w:rPr>
        <w:t>;</w:t>
      </w:r>
      <w:r>
        <w:rPr>
          <w:color w:val="auto"/>
          <w:highlight w:val="none"/>
        </w:rPr>
        <w:t xml:space="preserve"> F</w:t>
      </w:r>
      <w:r>
        <w:rPr>
          <w:color w:val="auto"/>
          <w:szCs w:val="21"/>
          <w:highlight w:val="none"/>
          <w:vertAlign w:val="subscript"/>
        </w:rPr>
        <w:t>o3</w:t>
      </w:r>
      <w:r>
        <w:rPr>
          <w:color w:val="auto"/>
          <w:sz w:val="15"/>
          <w:szCs w:val="15"/>
          <w:highlight w:val="none"/>
        </w:rPr>
        <w:t>·····</w:t>
      </w:r>
      <w:r>
        <w:rPr>
          <w:color w:val="auto"/>
          <w:highlight w:val="none"/>
        </w:rPr>
        <w:t>F</w:t>
      </w:r>
      <w:r>
        <w:rPr>
          <w:color w:val="auto"/>
          <w:szCs w:val="21"/>
          <w:highlight w:val="none"/>
          <w:vertAlign w:val="subscript"/>
        </w:rPr>
        <w:t>on</w:t>
      </w:r>
      <w:r>
        <w:rPr>
          <w:color w:val="auto"/>
          <w:highlight w:val="none"/>
        </w:rPr>
        <w:t xml:space="preserve"> -- 各可调因子的基本价格指数，指基准日期的各可调因子的价格指数。</w:t>
      </w:r>
    </w:p>
    <w:p w14:paraId="288FB228">
      <w:pPr>
        <w:rPr>
          <w:color w:val="auto"/>
          <w:highlight w:val="none"/>
        </w:rPr>
      </w:pPr>
      <w:r>
        <w:rPr>
          <w:color w:val="auto"/>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BB2642D">
      <w:pPr>
        <w:rPr>
          <w:color w:val="auto"/>
          <w:highlight w:val="none"/>
        </w:rPr>
      </w:pPr>
      <w:r>
        <w:rPr>
          <w:color w:val="auto"/>
          <w:highlight w:val="none"/>
        </w:rPr>
        <w:t>16.1.1.2 暂时确定调整差额</w:t>
      </w:r>
    </w:p>
    <w:p w14:paraId="75B9DC4D">
      <w:pPr>
        <w:rPr>
          <w:color w:val="auto"/>
          <w:highlight w:val="none"/>
        </w:rPr>
      </w:pPr>
      <w:r>
        <w:rPr>
          <w:color w:val="auto"/>
          <w:highlight w:val="none"/>
        </w:rPr>
        <w:t>在计算调整差额时得不到现行价格指数的，可暂用上一次价格指数计算，并在以后的付款中再按实际价格指数进行调整。</w:t>
      </w:r>
    </w:p>
    <w:p w14:paraId="76455A86">
      <w:pPr>
        <w:rPr>
          <w:color w:val="auto"/>
          <w:highlight w:val="none"/>
        </w:rPr>
      </w:pPr>
      <w:r>
        <w:rPr>
          <w:color w:val="auto"/>
          <w:highlight w:val="none"/>
        </w:rPr>
        <w:t>16.1.1.3 权重的调整</w:t>
      </w:r>
    </w:p>
    <w:p w14:paraId="5DAEBDE4">
      <w:pPr>
        <w:rPr>
          <w:color w:val="auto"/>
          <w:highlight w:val="none"/>
        </w:rPr>
      </w:pPr>
      <w:r>
        <w:rPr>
          <w:color w:val="auto"/>
          <w:highlight w:val="none"/>
        </w:rPr>
        <w:t>按第15.1款约定的变更导致原定合同中的权重不合理时，由监理人与承包人和发包人协商后进行调整。</w:t>
      </w:r>
    </w:p>
    <w:p w14:paraId="13B7AD5F">
      <w:pPr>
        <w:rPr>
          <w:color w:val="auto"/>
          <w:highlight w:val="none"/>
        </w:rPr>
      </w:pPr>
      <w:r>
        <w:rPr>
          <w:color w:val="auto"/>
          <w:highlight w:val="none"/>
        </w:rPr>
        <w:t>16.1.1.4 承包人工期延误后的价格调整</w:t>
      </w:r>
    </w:p>
    <w:p w14:paraId="0882CB50">
      <w:pPr>
        <w:rPr>
          <w:color w:val="auto"/>
          <w:highlight w:val="none"/>
        </w:rPr>
      </w:pPr>
      <w:r>
        <w:rPr>
          <w:color w:val="auto"/>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1CBE7F93">
      <w:pPr>
        <w:rPr>
          <w:rFonts w:eastAsia="Cambria"/>
          <w:color w:val="auto"/>
          <w:highlight w:val="none"/>
        </w:rPr>
      </w:pPr>
      <w:r>
        <w:rPr>
          <w:rFonts w:eastAsia="Cambria"/>
          <w:color w:val="auto"/>
          <w:highlight w:val="none"/>
        </w:rPr>
        <w:t xml:space="preserve">16.1.2 </w:t>
      </w:r>
      <w:r>
        <w:rPr>
          <w:rFonts w:hint="eastAsia" w:ascii="宋体" w:hAnsi="宋体" w:cs="宋体"/>
          <w:color w:val="auto"/>
          <w:highlight w:val="none"/>
        </w:rPr>
        <w:t>采用造价信息调整价格差额</w:t>
      </w:r>
    </w:p>
    <w:p w14:paraId="5330F721">
      <w:pPr>
        <w:rPr>
          <w:color w:val="auto"/>
          <w:highlight w:val="none"/>
        </w:rPr>
      </w:pPr>
      <w:r>
        <w:rPr>
          <w:color w:val="auto"/>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188586D4">
      <w:pPr>
        <w:keepNext/>
        <w:keepLines/>
        <w:spacing w:line="400" w:lineRule="exact"/>
        <w:outlineLvl w:val="2"/>
        <w:rPr>
          <w:rFonts w:eastAsia="黑体"/>
          <w:color w:val="auto"/>
          <w:sz w:val="24"/>
          <w:szCs w:val="20"/>
          <w:highlight w:val="none"/>
        </w:rPr>
      </w:pPr>
      <w:bookmarkStart w:id="1242" w:name="_Toc152045717"/>
      <w:bookmarkStart w:id="1243" w:name="_Toc342296368"/>
      <w:bookmarkStart w:id="1244" w:name="_Toc338944810"/>
      <w:bookmarkStart w:id="1245" w:name="_Toc152042496"/>
      <w:bookmarkStart w:id="1246" w:name="_Toc159950718"/>
      <w:bookmarkStart w:id="1247" w:name="_Toc144974688"/>
      <w:bookmarkStart w:id="1248" w:name="_Toc179632735"/>
      <w:r>
        <w:rPr>
          <w:rFonts w:eastAsia="黑体"/>
          <w:color w:val="auto"/>
          <w:sz w:val="24"/>
          <w:szCs w:val="20"/>
          <w:highlight w:val="none"/>
        </w:rPr>
        <w:t>16.2 法律变化引起的价格调整</w:t>
      </w:r>
      <w:bookmarkEnd w:id="1242"/>
      <w:bookmarkEnd w:id="1243"/>
      <w:bookmarkEnd w:id="1244"/>
      <w:bookmarkEnd w:id="1245"/>
      <w:bookmarkEnd w:id="1246"/>
      <w:bookmarkEnd w:id="1247"/>
      <w:bookmarkEnd w:id="1248"/>
    </w:p>
    <w:p w14:paraId="559244B0">
      <w:pPr>
        <w:spacing w:line="400" w:lineRule="exact"/>
        <w:ind w:firstLine="420" w:firstLineChars="200"/>
        <w:rPr>
          <w:color w:val="auto"/>
          <w:highlight w:val="none"/>
        </w:rPr>
      </w:pPr>
      <w:r>
        <w:rPr>
          <w:color w:val="auto"/>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6761ED53">
      <w:pPr>
        <w:keepNext/>
        <w:keepLines/>
        <w:spacing w:line="400" w:lineRule="exact"/>
        <w:outlineLvl w:val="1"/>
        <w:rPr>
          <w:rFonts w:eastAsia="黑体" w:cs="仿宋_GB2312"/>
          <w:color w:val="auto"/>
          <w:sz w:val="28"/>
          <w:szCs w:val="20"/>
          <w:highlight w:val="none"/>
        </w:rPr>
      </w:pPr>
      <w:bookmarkStart w:id="1249" w:name="_Toc448758438"/>
      <w:bookmarkStart w:id="1250" w:name="_Toc442365630"/>
      <w:bookmarkStart w:id="1251" w:name="_Toc342296369"/>
      <w:bookmarkStart w:id="1252" w:name="_Toc448758538"/>
      <w:bookmarkStart w:id="1253" w:name="_Toc159950719"/>
      <w:bookmarkStart w:id="1254" w:name="_Toc338944811"/>
      <w:bookmarkStart w:id="1255" w:name="_Toc469660033"/>
      <w:r>
        <w:rPr>
          <w:rFonts w:eastAsia="黑体" w:cs="仿宋_GB2312"/>
          <w:color w:val="auto"/>
          <w:sz w:val="28"/>
          <w:szCs w:val="20"/>
          <w:highlight w:val="none"/>
        </w:rPr>
        <w:t>17. 计量与支付</w:t>
      </w:r>
      <w:bookmarkEnd w:id="1249"/>
      <w:bookmarkEnd w:id="1250"/>
      <w:bookmarkEnd w:id="1251"/>
      <w:bookmarkEnd w:id="1252"/>
      <w:bookmarkEnd w:id="1253"/>
      <w:bookmarkEnd w:id="1254"/>
      <w:bookmarkEnd w:id="1255"/>
    </w:p>
    <w:p w14:paraId="32DA7DBE">
      <w:pPr>
        <w:keepNext/>
        <w:keepLines/>
        <w:spacing w:line="400" w:lineRule="exact"/>
        <w:outlineLvl w:val="2"/>
        <w:rPr>
          <w:rFonts w:eastAsia="黑体"/>
          <w:color w:val="auto"/>
          <w:sz w:val="24"/>
          <w:szCs w:val="20"/>
          <w:highlight w:val="none"/>
        </w:rPr>
      </w:pPr>
      <w:bookmarkStart w:id="1256" w:name="_Toc159950720"/>
      <w:bookmarkStart w:id="1257" w:name="_Toc342296370"/>
      <w:bookmarkStart w:id="1258" w:name="_Toc338944812"/>
      <w:r>
        <w:rPr>
          <w:rFonts w:eastAsia="黑体"/>
          <w:color w:val="auto"/>
          <w:sz w:val="24"/>
          <w:szCs w:val="20"/>
          <w:highlight w:val="none"/>
        </w:rPr>
        <w:t>17.1 计量</w:t>
      </w:r>
      <w:bookmarkEnd w:id="1256"/>
      <w:bookmarkEnd w:id="1257"/>
      <w:bookmarkEnd w:id="1258"/>
    </w:p>
    <w:p w14:paraId="0316ADC8">
      <w:pPr>
        <w:spacing w:line="400" w:lineRule="exact"/>
        <w:ind w:firstLine="420" w:firstLineChars="200"/>
        <w:rPr>
          <w:color w:val="auto"/>
          <w:highlight w:val="none"/>
        </w:rPr>
      </w:pPr>
      <w:r>
        <w:rPr>
          <w:color w:val="auto"/>
          <w:highlight w:val="none"/>
        </w:rPr>
        <w:t xml:space="preserve">17.1.1 </w:t>
      </w:r>
      <w:r>
        <w:rPr>
          <w:rFonts w:hint="eastAsia" w:ascii="宋体" w:hAnsi="宋体" w:cs="宋体"/>
          <w:color w:val="auto"/>
          <w:highlight w:val="none"/>
        </w:rPr>
        <w:t>计量单位</w:t>
      </w:r>
    </w:p>
    <w:p w14:paraId="18157746">
      <w:pPr>
        <w:spacing w:line="400" w:lineRule="exact"/>
        <w:ind w:firstLine="420" w:firstLineChars="200"/>
        <w:rPr>
          <w:color w:val="auto"/>
          <w:highlight w:val="none"/>
        </w:rPr>
      </w:pPr>
      <w:r>
        <w:rPr>
          <w:color w:val="auto"/>
          <w:highlight w:val="none"/>
        </w:rPr>
        <w:t>计量采用国家法定的计量单位。</w:t>
      </w:r>
    </w:p>
    <w:p w14:paraId="0A8D72F4">
      <w:pPr>
        <w:spacing w:line="400" w:lineRule="exact"/>
        <w:ind w:firstLine="420" w:firstLineChars="200"/>
        <w:rPr>
          <w:color w:val="auto"/>
          <w:highlight w:val="none"/>
        </w:rPr>
      </w:pPr>
      <w:r>
        <w:rPr>
          <w:color w:val="auto"/>
          <w:highlight w:val="none"/>
        </w:rPr>
        <w:t xml:space="preserve">17.1.2 </w:t>
      </w:r>
      <w:r>
        <w:rPr>
          <w:rFonts w:hint="eastAsia" w:ascii="宋体" w:hAnsi="宋体" w:cs="宋体"/>
          <w:color w:val="auto"/>
          <w:highlight w:val="none"/>
        </w:rPr>
        <w:t>计量方法</w:t>
      </w:r>
    </w:p>
    <w:p w14:paraId="6F7FBFCC">
      <w:pPr>
        <w:spacing w:line="400" w:lineRule="exact"/>
        <w:ind w:firstLine="420" w:firstLineChars="200"/>
        <w:rPr>
          <w:color w:val="auto"/>
          <w:highlight w:val="none"/>
        </w:rPr>
      </w:pPr>
      <w:r>
        <w:rPr>
          <w:color w:val="auto"/>
          <w:highlight w:val="none"/>
        </w:rPr>
        <w:t>工程量清单中的工程量计算规则应按有关国家标准、行业标准的规定，并在合同中约定执行。</w:t>
      </w:r>
    </w:p>
    <w:p w14:paraId="12EDE80D">
      <w:pPr>
        <w:spacing w:line="400" w:lineRule="exact"/>
        <w:ind w:firstLine="420" w:firstLineChars="200"/>
        <w:rPr>
          <w:color w:val="auto"/>
          <w:highlight w:val="none"/>
        </w:rPr>
      </w:pPr>
      <w:r>
        <w:rPr>
          <w:color w:val="auto"/>
          <w:highlight w:val="none"/>
        </w:rPr>
        <w:t xml:space="preserve">17.1.3 </w:t>
      </w:r>
      <w:r>
        <w:rPr>
          <w:rFonts w:hint="eastAsia" w:ascii="宋体" w:hAnsi="宋体" w:cs="宋体"/>
          <w:color w:val="auto"/>
          <w:highlight w:val="none"/>
        </w:rPr>
        <w:t>计量周期</w:t>
      </w:r>
    </w:p>
    <w:p w14:paraId="4BEC06C6">
      <w:pPr>
        <w:spacing w:line="400" w:lineRule="exact"/>
        <w:ind w:firstLine="420" w:firstLineChars="200"/>
        <w:rPr>
          <w:color w:val="auto"/>
          <w:highlight w:val="none"/>
        </w:rPr>
      </w:pPr>
      <w:r>
        <w:rPr>
          <w:color w:val="auto"/>
          <w:highlight w:val="none"/>
        </w:rPr>
        <w:t>除专用合同条款另有约定外，单价子目已完成工程量按月计量，总价子目的计量周期按批准的支付分解报告确定。</w:t>
      </w:r>
    </w:p>
    <w:p w14:paraId="38CCC1C8">
      <w:pPr>
        <w:spacing w:line="400" w:lineRule="exact"/>
        <w:ind w:firstLine="420" w:firstLineChars="200"/>
        <w:rPr>
          <w:color w:val="auto"/>
          <w:highlight w:val="none"/>
        </w:rPr>
      </w:pPr>
      <w:r>
        <w:rPr>
          <w:color w:val="auto"/>
          <w:highlight w:val="none"/>
        </w:rPr>
        <w:t>17.1.4</w:t>
      </w:r>
      <w:r>
        <w:rPr>
          <w:rFonts w:eastAsia="Cambria"/>
          <w:color w:val="auto"/>
          <w:highlight w:val="none"/>
        </w:rPr>
        <w:t xml:space="preserve"> </w:t>
      </w:r>
      <w:r>
        <w:rPr>
          <w:rFonts w:hint="eastAsia" w:ascii="宋体" w:hAnsi="宋体" w:cs="宋体"/>
          <w:color w:val="auto"/>
          <w:highlight w:val="none"/>
        </w:rPr>
        <w:t>单价子目的计量</w:t>
      </w:r>
    </w:p>
    <w:p w14:paraId="2232E60E">
      <w:pPr>
        <w:spacing w:line="400" w:lineRule="exact"/>
        <w:ind w:firstLine="283" w:firstLineChars="135"/>
        <w:rPr>
          <w:color w:val="auto"/>
          <w:highlight w:val="none"/>
        </w:rPr>
      </w:pPr>
      <w:r>
        <w:rPr>
          <w:color w:val="auto"/>
          <w:highlight w:val="none"/>
        </w:rPr>
        <w:t>（1）已标价工程量清单中的单价子目工程量为估算工程量。结算工程量是承包人实际完成的，并按合同约定的计量方法进行计量的工程量。</w:t>
      </w:r>
    </w:p>
    <w:p w14:paraId="15B07D1B">
      <w:pPr>
        <w:spacing w:line="400" w:lineRule="exact"/>
        <w:ind w:firstLine="283" w:firstLineChars="135"/>
        <w:rPr>
          <w:color w:val="auto"/>
          <w:highlight w:val="none"/>
        </w:rPr>
      </w:pPr>
      <w:r>
        <w:rPr>
          <w:color w:val="auto"/>
          <w:highlight w:val="none"/>
        </w:rPr>
        <w:t>（2）承包人对已完成的工程进行计量，向监理人提交进度付款申请单、已完成工程量报表和有关计量资料。</w:t>
      </w:r>
    </w:p>
    <w:p w14:paraId="2EBC3C5E">
      <w:pPr>
        <w:spacing w:line="400" w:lineRule="exact"/>
        <w:ind w:firstLine="283" w:firstLineChars="135"/>
        <w:rPr>
          <w:color w:val="auto"/>
          <w:highlight w:val="none"/>
        </w:rPr>
      </w:pPr>
      <w:r>
        <w:rPr>
          <w:color w:val="auto"/>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0664A789">
      <w:pPr>
        <w:spacing w:line="400" w:lineRule="exact"/>
        <w:ind w:firstLine="283" w:firstLineChars="135"/>
        <w:rPr>
          <w:color w:val="auto"/>
          <w:highlight w:val="none"/>
        </w:rPr>
      </w:pPr>
      <w:r>
        <w:rPr>
          <w:color w:val="auto"/>
          <w:highlight w:val="none"/>
        </w:rPr>
        <w:t>（4）监理人认为有必要时，可通知承包人共同进行联合测量、计量，承包人应遵照执行。</w:t>
      </w:r>
    </w:p>
    <w:p w14:paraId="5E7BEDE3">
      <w:pPr>
        <w:spacing w:line="400" w:lineRule="exact"/>
        <w:ind w:firstLine="283" w:firstLineChars="135"/>
        <w:rPr>
          <w:color w:val="auto"/>
          <w:highlight w:val="none"/>
        </w:rPr>
      </w:pPr>
      <w:r>
        <w:rPr>
          <w:color w:val="auto"/>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5362035E">
      <w:pPr>
        <w:spacing w:line="400" w:lineRule="exact"/>
        <w:ind w:firstLine="283" w:firstLineChars="135"/>
        <w:rPr>
          <w:color w:val="auto"/>
          <w:highlight w:val="none"/>
        </w:rPr>
      </w:pPr>
      <w:r>
        <w:rPr>
          <w:color w:val="auto"/>
          <w:highlight w:val="none"/>
        </w:rPr>
        <w:t>（6）监理人应在收到承包人提交的工程量报表后的7天内进行复核，监理人未在约定时间内复核的，承包人提交的工程量报表中的工程量视为承包人实际完成的工程量，据此计算工程价款。</w:t>
      </w:r>
    </w:p>
    <w:p w14:paraId="7228082F">
      <w:pPr>
        <w:spacing w:line="400" w:lineRule="exact"/>
        <w:ind w:firstLine="420" w:firstLineChars="200"/>
        <w:rPr>
          <w:rFonts w:eastAsia="Cambria"/>
          <w:color w:val="auto"/>
          <w:highlight w:val="none"/>
        </w:rPr>
      </w:pPr>
      <w:r>
        <w:rPr>
          <w:color w:val="auto"/>
          <w:highlight w:val="none"/>
        </w:rPr>
        <w:t xml:space="preserve">17.1.5 </w:t>
      </w:r>
      <w:r>
        <w:rPr>
          <w:rFonts w:hint="eastAsia" w:ascii="宋体" w:hAnsi="宋体" w:cs="宋体"/>
          <w:color w:val="auto"/>
          <w:highlight w:val="none"/>
        </w:rPr>
        <w:t>总价子目的计量</w:t>
      </w:r>
    </w:p>
    <w:p w14:paraId="04CEE784">
      <w:pPr>
        <w:spacing w:line="400" w:lineRule="exact"/>
        <w:ind w:firstLine="630" w:firstLineChars="300"/>
        <w:rPr>
          <w:color w:val="auto"/>
          <w:highlight w:val="none"/>
        </w:rPr>
      </w:pPr>
      <w:r>
        <w:rPr>
          <w:color w:val="auto"/>
          <w:highlight w:val="none"/>
        </w:rPr>
        <w:t>除专用合同条款另有约定外，总价子目的分解和计量按照下述约定进行。</w:t>
      </w:r>
    </w:p>
    <w:p w14:paraId="109470EC">
      <w:pPr>
        <w:spacing w:line="400" w:lineRule="exact"/>
        <w:ind w:firstLine="424" w:firstLineChars="202"/>
        <w:rPr>
          <w:color w:val="auto"/>
          <w:highlight w:val="none"/>
        </w:rPr>
      </w:pPr>
      <w:r>
        <w:rPr>
          <w:color w:val="auto"/>
          <w:highlight w:val="none"/>
        </w:rPr>
        <w:t>（1）总价子目的计量和支付应以总价为基础，不因第16.1款中的因素而进行调整。承包人实际完成的工程量，是进行工程目标管理和控制进度支付的依据。</w:t>
      </w:r>
    </w:p>
    <w:p w14:paraId="29BCC987">
      <w:pPr>
        <w:spacing w:line="400" w:lineRule="exact"/>
        <w:ind w:firstLine="424" w:firstLineChars="202"/>
        <w:rPr>
          <w:color w:val="auto"/>
          <w:highlight w:val="none"/>
        </w:rPr>
      </w:pPr>
      <w:r>
        <w:rPr>
          <w:color w:val="auto"/>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4A8C17EF">
      <w:pPr>
        <w:spacing w:line="400" w:lineRule="exact"/>
        <w:ind w:firstLine="424" w:firstLineChars="202"/>
        <w:rPr>
          <w:color w:val="auto"/>
          <w:highlight w:val="none"/>
        </w:rPr>
      </w:pPr>
      <w:r>
        <w:rPr>
          <w:color w:val="auto"/>
          <w:highlight w:val="none"/>
        </w:rPr>
        <w:t>（3）监理人对承包人提交的上述资料进行复核，以确定分阶段实际完成的工程量和工程形象目标。对其有异议的，可要求承包人按第8.2款约定进行共同复核和抽样复测。</w:t>
      </w:r>
    </w:p>
    <w:p w14:paraId="7B7F0822">
      <w:pPr>
        <w:spacing w:line="400" w:lineRule="exact"/>
        <w:ind w:firstLine="424" w:firstLineChars="202"/>
        <w:rPr>
          <w:color w:val="auto"/>
          <w:highlight w:val="none"/>
        </w:rPr>
      </w:pPr>
      <w:r>
        <w:rPr>
          <w:color w:val="auto"/>
          <w:highlight w:val="none"/>
        </w:rPr>
        <w:t xml:space="preserve">（4）除按照第15条约定的变更外，总价子目的工程量是承包人用于结算的最终工程量。 </w:t>
      </w:r>
    </w:p>
    <w:p w14:paraId="5367F829">
      <w:pPr>
        <w:keepNext/>
        <w:keepLines/>
        <w:spacing w:line="400" w:lineRule="exact"/>
        <w:outlineLvl w:val="2"/>
        <w:rPr>
          <w:rFonts w:eastAsia="黑体"/>
          <w:color w:val="auto"/>
          <w:sz w:val="24"/>
          <w:szCs w:val="20"/>
          <w:highlight w:val="none"/>
        </w:rPr>
      </w:pPr>
      <w:bookmarkStart w:id="1259" w:name="_Toc342296371"/>
      <w:bookmarkStart w:id="1260" w:name="_Toc159950721"/>
      <w:bookmarkStart w:id="1261" w:name="_Toc338944813"/>
      <w:r>
        <w:rPr>
          <w:rFonts w:eastAsia="黑体"/>
          <w:color w:val="auto"/>
          <w:sz w:val="24"/>
          <w:szCs w:val="20"/>
          <w:highlight w:val="none"/>
        </w:rPr>
        <w:t>17.2 预付款</w:t>
      </w:r>
      <w:bookmarkEnd w:id="1259"/>
      <w:bookmarkEnd w:id="1260"/>
      <w:bookmarkEnd w:id="1261"/>
    </w:p>
    <w:p w14:paraId="56A827D1">
      <w:pPr>
        <w:spacing w:line="400" w:lineRule="exact"/>
        <w:ind w:firstLine="420" w:firstLineChars="200"/>
        <w:rPr>
          <w:color w:val="auto"/>
          <w:highlight w:val="none"/>
        </w:rPr>
      </w:pPr>
      <w:r>
        <w:rPr>
          <w:color w:val="auto"/>
          <w:highlight w:val="none"/>
        </w:rPr>
        <w:t xml:space="preserve">17.2.1 </w:t>
      </w:r>
      <w:r>
        <w:rPr>
          <w:rFonts w:hint="eastAsia" w:ascii="宋体" w:hAnsi="宋体" w:cs="宋体"/>
          <w:color w:val="auto"/>
          <w:highlight w:val="none"/>
        </w:rPr>
        <w:t>预付款</w:t>
      </w:r>
    </w:p>
    <w:p w14:paraId="0C0C5E7C">
      <w:pPr>
        <w:spacing w:line="400" w:lineRule="exact"/>
        <w:ind w:firstLine="420" w:firstLineChars="200"/>
        <w:rPr>
          <w:color w:val="auto"/>
          <w:highlight w:val="none"/>
        </w:rPr>
      </w:pPr>
      <w:r>
        <w:rPr>
          <w:color w:val="auto"/>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5191818E">
      <w:pPr>
        <w:spacing w:line="400" w:lineRule="exact"/>
        <w:ind w:firstLine="420" w:firstLineChars="200"/>
        <w:rPr>
          <w:color w:val="auto"/>
          <w:highlight w:val="none"/>
        </w:rPr>
      </w:pPr>
      <w:r>
        <w:rPr>
          <w:color w:val="auto"/>
          <w:highlight w:val="none"/>
        </w:rPr>
        <w:t xml:space="preserve">17.2.2 </w:t>
      </w:r>
      <w:r>
        <w:rPr>
          <w:rFonts w:hint="eastAsia" w:ascii="宋体" w:hAnsi="宋体" w:cs="宋体"/>
          <w:color w:val="auto"/>
          <w:highlight w:val="none"/>
        </w:rPr>
        <w:t>预付款保函</w:t>
      </w:r>
    </w:p>
    <w:p w14:paraId="5623FB80">
      <w:pPr>
        <w:spacing w:line="400" w:lineRule="exact"/>
        <w:ind w:firstLine="420" w:firstLineChars="200"/>
        <w:rPr>
          <w:color w:val="auto"/>
          <w:highlight w:val="none"/>
        </w:rPr>
      </w:pPr>
      <w:r>
        <w:rPr>
          <w:color w:val="auto"/>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3D745250">
      <w:pPr>
        <w:spacing w:line="400" w:lineRule="exact"/>
        <w:ind w:firstLine="420" w:firstLineChars="200"/>
        <w:rPr>
          <w:color w:val="auto"/>
          <w:highlight w:val="none"/>
        </w:rPr>
      </w:pPr>
      <w:r>
        <w:rPr>
          <w:color w:val="auto"/>
          <w:highlight w:val="none"/>
        </w:rPr>
        <w:t xml:space="preserve">17.2.3 </w:t>
      </w:r>
      <w:r>
        <w:rPr>
          <w:rFonts w:hint="eastAsia" w:ascii="宋体" w:hAnsi="宋体" w:cs="宋体"/>
          <w:color w:val="auto"/>
          <w:highlight w:val="none"/>
        </w:rPr>
        <w:t>预付款的扣回与还清</w:t>
      </w:r>
    </w:p>
    <w:p w14:paraId="3286A7B9">
      <w:pPr>
        <w:spacing w:line="400" w:lineRule="exact"/>
        <w:ind w:firstLine="420" w:firstLineChars="200"/>
        <w:rPr>
          <w:color w:val="auto"/>
          <w:highlight w:val="none"/>
        </w:rPr>
      </w:pPr>
      <w:r>
        <w:rPr>
          <w:color w:val="auto"/>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72DD23D2">
      <w:pPr>
        <w:keepNext/>
        <w:keepLines/>
        <w:spacing w:line="400" w:lineRule="exact"/>
        <w:outlineLvl w:val="2"/>
        <w:rPr>
          <w:rFonts w:eastAsia="黑体"/>
          <w:color w:val="auto"/>
          <w:sz w:val="24"/>
          <w:szCs w:val="20"/>
          <w:highlight w:val="none"/>
        </w:rPr>
      </w:pPr>
      <w:bookmarkStart w:id="1262" w:name="_Toc159950722"/>
      <w:bookmarkStart w:id="1263" w:name="_Toc338944814"/>
      <w:bookmarkStart w:id="1264" w:name="_Toc342296372"/>
      <w:r>
        <w:rPr>
          <w:rFonts w:eastAsia="黑体"/>
          <w:color w:val="auto"/>
          <w:sz w:val="24"/>
          <w:szCs w:val="20"/>
          <w:highlight w:val="none"/>
        </w:rPr>
        <w:t>17.3 工程进度付款</w:t>
      </w:r>
      <w:bookmarkEnd w:id="1262"/>
      <w:bookmarkEnd w:id="1263"/>
      <w:bookmarkEnd w:id="1264"/>
    </w:p>
    <w:p w14:paraId="28B4114C">
      <w:pPr>
        <w:spacing w:line="400" w:lineRule="exact"/>
        <w:ind w:firstLine="420" w:firstLineChars="200"/>
        <w:rPr>
          <w:color w:val="auto"/>
          <w:highlight w:val="none"/>
        </w:rPr>
      </w:pPr>
      <w:r>
        <w:rPr>
          <w:color w:val="auto"/>
          <w:highlight w:val="none"/>
        </w:rPr>
        <w:t xml:space="preserve">17.3.1 </w:t>
      </w:r>
      <w:r>
        <w:rPr>
          <w:rFonts w:hint="eastAsia" w:ascii="宋体" w:hAnsi="宋体" w:cs="宋体"/>
          <w:color w:val="auto"/>
          <w:highlight w:val="none"/>
        </w:rPr>
        <w:t>付款周期</w:t>
      </w:r>
    </w:p>
    <w:p w14:paraId="1F085A91">
      <w:pPr>
        <w:spacing w:line="400" w:lineRule="exact"/>
        <w:ind w:firstLine="420" w:firstLineChars="200"/>
        <w:rPr>
          <w:color w:val="auto"/>
          <w:highlight w:val="none"/>
        </w:rPr>
      </w:pPr>
      <w:r>
        <w:rPr>
          <w:color w:val="auto"/>
          <w:highlight w:val="none"/>
        </w:rPr>
        <w:t>付款周期同计量周期。</w:t>
      </w:r>
    </w:p>
    <w:p w14:paraId="1E872ADE">
      <w:pPr>
        <w:spacing w:line="400" w:lineRule="exact"/>
        <w:ind w:firstLine="420" w:firstLineChars="200"/>
        <w:rPr>
          <w:color w:val="auto"/>
          <w:highlight w:val="none"/>
        </w:rPr>
      </w:pPr>
      <w:r>
        <w:rPr>
          <w:color w:val="auto"/>
          <w:highlight w:val="none"/>
        </w:rPr>
        <w:t xml:space="preserve">17.3.2 </w:t>
      </w:r>
      <w:r>
        <w:rPr>
          <w:rFonts w:hint="eastAsia" w:ascii="宋体" w:hAnsi="宋体" w:cs="宋体"/>
          <w:color w:val="auto"/>
          <w:highlight w:val="none"/>
        </w:rPr>
        <w:t>进度付款申请单</w:t>
      </w:r>
    </w:p>
    <w:p w14:paraId="42845759">
      <w:pPr>
        <w:spacing w:line="400" w:lineRule="exact"/>
        <w:ind w:firstLine="420" w:firstLineChars="200"/>
        <w:rPr>
          <w:dstrike/>
          <w:color w:val="auto"/>
          <w:szCs w:val="21"/>
          <w:highlight w:val="none"/>
        </w:rPr>
      </w:pPr>
      <w:r>
        <w:rPr>
          <w:color w:val="auto"/>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6A17BCDC">
      <w:pPr>
        <w:spacing w:line="400" w:lineRule="exact"/>
        <w:ind w:firstLine="420" w:firstLineChars="200"/>
        <w:rPr>
          <w:color w:val="auto"/>
          <w:highlight w:val="none"/>
        </w:rPr>
      </w:pPr>
      <w:r>
        <w:rPr>
          <w:color w:val="auto"/>
          <w:highlight w:val="none"/>
        </w:rPr>
        <w:t>（1）截至本次付款周期末已实施工程的价款；</w:t>
      </w:r>
    </w:p>
    <w:p w14:paraId="2BB5215C">
      <w:pPr>
        <w:spacing w:line="400" w:lineRule="exact"/>
        <w:ind w:firstLine="420" w:firstLineChars="200"/>
        <w:rPr>
          <w:color w:val="auto"/>
          <w:highlight w:val="none"/>
        </w:rPr>
      </w:pPr>
      <w:r>
        <w:rPr>
          <w:color w:val="auto"/>
          <w:highlight w:val="none"/>
        </w:rPr>
        <w:t>（2）根据第15条应增加和扣减的变更金额；</w:t>
      </w:r>
    </w:p>
    <w:p w14:paraId="5ECD8D4D">
      <w:pPr>
        <w:spacing w:line="400" w:lineRule="exact"/>
        <w:ind w:firstLine="420" w:firstLineChars="200"/>
        <w:rPr>
          <w:color w:val="auto"/>
          <w:highlight w:val="none"/>
        </w:rPr>
      </w:pPr>
      <w:r>
        <w:rPr>
          <w:color w:val="auto"/>
          <w:highlight w:val="none"/>
        </w:rPr>
        <w:t>（3）根据第23条应增加和扣减的索赔金额；</w:t>
      </w:r>
    </w:p>
    <w:p w14:paraId="0EB2BCBC">
      <w:pPr>
        <w:spacing w:line="400" w:lineRule="exact"/>
        <w:ind w:firstLine="420" w:firstLineChars="200"/>
        <w:rPr>
          <w:color w:val="auto"/>
          <w:highlight w:val="none"/>
        </w:rPr>
      </w:pPr>
      <w:r>
        <w:rPr>
          <w:color w:val="auto"/>
          <w:highlight w:val="none"/>
        </w:rPr>
        <w:t>（4）根据第17.2款约定应支付的预付款和扣减的返还预付款；</w:t>
      </w:r>
    </w:p>
    <w:p w14:paraId="79FF3223">
      <w:pPr>
        <w:spacing w:line="400" w:lineRule="exact"/>
        <w:ind w:firstLine="420" w:firstLineChars="200"/>
        <w:rPr>
          <w:color w:val="auto"/>
          <w:highlight w:val="none"/>
        </w:rPr>
      </w:pPr>
      <w:r>
        <w:rPr>
          <w:color w:val="auto"/>
          <w:highlight w:val="none"/>
        </w:rPr>
        <w:t>（5）根据第17.4.1项约定应扣减的质量保证金；</w:t>
      </w:r>
    </w:p>
    <w:p w14:paraId="4E33719C">
      <w:pPr>
        <w:spacing w:line="400" w:lineRule="exact"/>
        <w:ind w:firstLine="420" w:firstLineChars="200"/>
        <w:rPr>
          <w:color w:val="auto"/>
          <w:highlight w:val="none"/>
        </w:rPr>
      </w:pPr>
      <w:r>
        <w:rPr>
          <w:color w:val="auto"/>
          <w:highlight w:val="none"/>
        </w:rPr>
        <w:t>（6）根据合同应增加和扣减的其他金额。</w:t>
      </w:r>
    </w:p>
    <w:p w14:paraId="269A421E">
      <w:pPr>
        <w:spacing w:line="400" w:lineRule="exact"/>
        <w:ind w:firstLine="420" w:firstLineChars="200"/>
        <w:rPr>
          <w:color w:val="auto"/>
          <w:highlight w:val="none"/>
        </w:rPr>
      </w:pPr>
      <w:r>
        <w:rPr>
          <w:color w:val="auto"/>
          <w:highlight w:val="none"/>
        </w:rPr>
        <w:t xml:space="preserve">17.3.3 </w:t>
      </w:r>
      <w:r>
        <w:rPr>
          <w:rFonts w:hint="eastAsia" w:ascii="宋体" w:hAnsi="宋体" w:cs="宋体"/>
          <w:color w:val="auto"/>
          <w:highlight w:val="none"/>
        </w:rPr>
        <w:t>进度付款证书和支付时间</w:t>
      </w:r>
    </w:p>
    <w:p w14:paraId="06E74794">
      <w:pPr>
        <w:spacing w:line="400" w:lineRule="exact"/>
        <w:ind w:firstLine="424" w:firstLineChars="202"/>
        <w:rPr>
          <w:color w:val="auto"/>
          <w:highlight w:val="none"/>
        </w:rPr>
      </w:pPr>
      <w:r>
        <w:rPr>
          <w:color w:val="auto"/>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1B1A199">
      <w:pPr>
        <w:spacing w:line="400" w:lineRule="exact"/>
        <w:ind w:firstLine="424" w:firstLineChars="202"/>
        <w:rPr>
          <w:color w:val="auto"/>
          <w:highlight w:val="none"/>
        </w:rPr>
      </w:pPr>
      <w:r>
        <w:rPr>
          <w:color w:val="auto"/>
          <w:highlight w:val="none"/>
        </w:rPr>
        <w:t>（2）发包人应在监理人收到进度付款申请单后的28天内，将进度应付款支付给承包人。发包人不按期支付的，按专用合同条款的约定支付逾期付款违约金。</w:t>
      </w:r>
    </w:p>
    <w:p w14:paraId="46916A8F">
      <w:pPr>
        <w:spacing w:line="400" w:lineRule="exact"/>
        <w:ind w:firstLine="424" w:firstLineChars="202"/>
        <w:rPr>
          <w:color w:val="auto"/>
          <w:highlight w:val="none"/>
        </w:rPr>
      </w:pPr>
      <w:r>
        <w:rPr>
          <w:color w:val="auto"/>
          <w:highlight w:val="none"/>
        </w:rPr>
        <w:t>（3）监理人出具进度付款证书，不应视为监理人已同意、批准或接受了承包人完成的该部分工作。</w:t>
      </w:r>
    </w:p>
    <w:p w14:paraId="53B1D314">
      <w:pPr>
        <w:spacing w:line="400" w:lineRule="exact"/>
        <w:ind w:firstLine="424" w:firstLineChars="202"/>
        <w:rPr>
          <w:color w:val="auto"/>
          <w:highlight w:val="none"/>
        </w:rPr>
      </w:pPr>
      <w:r>
        <w:rPr>
          <w:color w:val="auto"/>
          <w:highlight w:val="none"/>
        </w:rPr>
        <w:t>（4）进度付款涉及政府投资资金的，按照国库集中支付等国家相关规定和专用合同条款的约定办理。</w:t>
      </w:r>
    </w:p>
    <w:p w14:paraId="67FB8C04">
      <w:pPr>
        <w:spacing w:line="400" w:lineRule="exact"/>
        <w:ind w:firstLine="420" w:firstLineChars="200"/>
        <w:rPr>
          <w:color w:val="auto"/>
          <w:highlight w:val="none"/>
        </w:rPr>
      </w:pPr>
      <w:r>
        <w:rPr>
          <w:color w:val="auto"/>
          <w:highlight w:val="none"/>
        </w:rPr>
        <w:t xml:space="preserve">17.3.4 </w:t>
      </w:r>
      <w:r>
        <w:rPr>
          <w:rFonts w:hint="eastAsia" w:ascii="宋体" w:hAnsi="宋体" w:cs="宋体"/>
          <w:color w:val="auto"/>
          <w:highlight w:val="none"/>
        </w:rPr>
        <w:t>工程进度付款的修正</w:t>
      </w:r>
    </w:p>
    <w:p w14:paraId="383768EB">
      <w:pPr>
        <w:spacing w:line="400" w:lineRule="exact"/>
        <w:ind w:firstLine="420" w:firstLineChars="200"/>
        <w:rPr>
          <w:color w:val="auto"/>
          <w:highlight w:val="none"/>
        </w:rPr>
      </w:pPr>
      <w:r>
        <w:rPr>
          <w:color w:val="auto"/>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40C0D5B0">
      <w:pPr>
        <w:keepNext/>
        <w:keepLines/>
        <w:spacing w:line="400" w:lineRule="exact"/>
        <w:outlineLvl w:val="2"/>
        <w:rPr>
          <w:rFonts w:eastAsia="黑体"/>
          <w:color w:val="auto"/>
          <w:sz w:val="24"/>
          <w:szCs w:val="20"/>
          <w:highlight w:val="none"/>
        </w:rPr>
      </w:pPr>
      <w:bookmarkStart w:id="1265" w:name="_Toc338944815"/>
      <w:bookmarkStart w:id="1266" w:name="_Toc342296373"/>
      <w:bookmarkStart w:id="1267" w:name="_Toc159950723"/>
      <w:r>
        <w:rPr>
          <w:rFonts w:eastAsia="黑体"/>
          <w:color w:val="auto"/>
          <w:sz w:val="24"/>
          <w:szCs w:val="20"/>
          <w:highlight w:val="none"/>
        </w:rPr>
        <w:t>17.4 质量保证金</w:t>
      </w:r>
      <w:bookmarkEnd w:id="1265"/>
      <w:bookmarkEnd w:id="1266"/>
      <w:bookmarkEnd w:id="1267"/>
    </w:p>
    <w:p w14:paraId="40D2A45E">
      <w:pPr>
        <w:spacing w:line="400" w:lineRule="exact"/>
        <w:ind w:firstLine="420" w:firstLineChars="200"/>
        <w:rPr>
          <w:color w:val="auto"/>
          <w:highlight w:val="none"/>
        </w:rPr>
      </w:pPr>
      <w:r>
        <w:rPr>
          <w:color w:val="auto"/>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6BF88569">
      <w:pPr>
        <w:spacing w:line="400" w:lineRule="exact"/>
        <w:ind w:firstLine="420" w:firstLineChars="200"/>
        <w:rPr>
          <w:color w:val="auto"/>
          <w:highlight w:val="none"/>
        </w:rPr>
      </w:pPr>
      <w:r>
        <w:rPr>
          <w:color w:val="auto"/>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3822F020">
      <w:pPr>
        <w:spacing w:line="400" w:lineRule="exact"/>
        <w:ind w:firstLine="420" w:firstLineChars="200"/>
        <w:rPr>
          <w:color w:val="auto"/>
          <w:highlight w:val="none"/>
        </w:rPr>
      </w:pPr>
      <w:r>
        <w:rPr>
          <w:color w:val="auto"/>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2F62D384">
      <w:pPr>
        <w:keepNext/>
        <w:keepLines/>
        <w:spacing w:line="400" w:lineRule="exact"/>
        <w:outlineLvl w:val="2"/>
        <w:rPr>
          <w:rFonts w:eastAsia="黑体"/>
          <w:color w:val="auto"/>
          <w:sz w:val="24"/>
          <w:szCs w:val="20"/>
          <w:highlight w:val="none"/>
        </w:rPr>
      </w:pPr>
      <w:bookmarkStart w:id="1268" w:name="_Toc338944816"/>
      <w:bookmarkStart w:id="1269" w:name="_Toc342296374"/>
      <w:bookmarkStart w:id="1270" w:name="_Toc159950724"/>
      <w:r>
        <w:rPr>
          <w:rFonts w:eastAsia="黑体"/>
          <w:color w:val="auto"/>
          <w:sz w:val="24"/>
          <w:szCs w:val="20"/>
          <w:highlight w:val="none"/>
        </w:rPr>
        <w:t>17.5 竣工结算</w:t>
      </w:r>
      <w:bookmarkEnd w:id="1268"/>
      <w:bookmarkEnd w:id="1269"/>
      <w:bookmarkEnd w:id="1270"/>
    </w:p>
    <w:p w14:paraId="7D594B43">
      <w:pPr>
        <w:spacing w:line="400" w:lineRule="exact"/>
        <w:ind w:firstLine="420" w:firstLineChars="200"/>
        <w:rPr>
          <w:color w:val="auto"/>
          <w:highlight w:val="none"/>
        </w:rPr>
      </w:pPr>
      <w:r>
        <w:rPr>
          <w:color w:val="auto"/>
          <w:highlight w:val="none"/>
        </w:rPr>
        <w:t xml:space="preserve">17.5.1 </w:t>
      </w:r>
      <w:r>
        <w:rPr>
          <w:rFonts w:hint="eastAsia" w:ascii="宋体" w:hAnsi="宋体" w:cs="宋体"/>
          <w:color w:val="auto"/>
          <w:highlight w:val="none"/>
        </w:rPr>
        <w:t>竣工付款申请单</w:t>
      </w:r>
    </w:p>
    <w:p w14:paraId="65A94126">
      <w:pPr>
        <w:spacing w:line="400" w:lineRule="exact"/>
        <w:ind w:firstLine="718" w:firstLineChars="342"/>
        <w:rPr>
          <w:color w:val="auto"/>
          <w:highlight w:val="none"/>
        </w:rPr>
      </w:pPr>
      <w:r>
        <w:rPr>
          <w:color w:val="auto"/>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93539BB">
      <w:pPr>
        <w:spacing w:line="400" w:lineRule="exact"/>
        <w:ind w:firstLine="718" w:firstLineChars="342"/>
        <w:rPr>
          <w:color w:val="auto"/>
          <w:highlight w:val="none"/>
        </w:rPr>
      </w:pPr>
      <w:r>
        <w:rPr>
          <w:color w:val="auto"/>
          <w:highlight w:val="none"/>
        </w:rPr>
        <w:t>（2）监理人对竣工付款申请单有异议的，有权要求承包人进行修正和提供补充资料。经监理人和承包人协商后，由承包人向监理人提交修正后的竣工付款申请单。</w:t>
      </w:r>
    </w:p>
    <w:p w14:paraId="79F47620">
      <w:pPr>
        <w:spacing w:line="400" w:lineRule="exact"/>
        <w:ind w:firstLine="420" w:firstLineChars="200"/>
        <w:rPr>
          <w:color w:val="auto"/>
          <w:highlight w:val="none"/>
        </w:rPr>
      </w:pPr>
      <w:r>
        <w:rPr>
          <w:color w:val="auto"/>
          <w:highlight w:val="none"/>
        </w:rPr>
        <w:t xml:space="preserve">17.5.2 </w:t>
      </w:r>
      <w:r>
        <w:rPr>
          <w:rFonts w:hint="eastAsia" w:ascii="宋体" w:hAnsi="宋体" w:cs="宋体"/>
          <w:color w:val="auto"/>
          <w:highlight w:val="none"/>
        </w:rPr>
        <w:t>竣工付款证书及支付时间</w:t>
      </w:r>
    </w:p>
    <w:p w14:paraId="3264967F">
      <w:pPr>
        <w:spacing w:line="400" w:lineRule="exact"/>
        <w:ind w:firstLine="424" w:firstLineChars="202"/>
        <w:rPr>
          <w:color w:val="auto"/>
          <w:highlight w:val="none"/>
        </w:rPr>
      </w:pPr>
      <w:r>
        <w:rPr>
          <w:color w:val="auto"/>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57EE5D21">
      <w:pPr>
        <w:spacing w:line="400" w:lineRule="exact"/>
        <w:ind w:firstLine="424" w:firstLineChars="202"/>
        <w:rPr>
          <w:color w:val="auto"/>
          <w:highlight w:val="none"/>
        </w:rPr>
      </w:pPr>
      <w:r>
        <w:rPr>
          <w:color w:val="auto"/>
          <w:highlight w:val="none"/>
        </w:rPr>
        <w:t>（2）发包人应在监理人出具竣工付款证书后的14天内，将应支付款支付给承包人。发包人不按期支付的，按第17.3.3（2）目的约定，将逾期付款违约金支付给承包人。</w:t>
      </w:r>
    </w:p>
    <w:p w14:paraId="6E779067">
      <w:pPr>
        <w:spacing w:line="400" w:lineRule="exact"/>
        <w:ind w:firstLine="424" w:firstLineChars="202"/>
        <w:rPr>
          <w:color w:val="auto"/>
          <w:highlight w:val="none"/>
        </w:rPr>
      </w:pPr>
      <w:r>
        <w:rPr>
          <w:color w:val="auto"/>
          <w:highlight w:val="none"/>
        </w:rPr>
        <w:t>（3）承包人对发包人签认的竣工付款证书有异议的，发包人可出具竣工付款申请单中承包人已同意部分的临时付款证书。存在争议的部分，按第24条的约定办理。</w:t>
      </w:r>
    </w:p>
    <w:p w14:paraId="7BEBC250">
      <w:pPr>
        <w:spacing w:line="400" w:lineRule="exact"/>
        <w:ind w:firstLine="424" w:firstLineChars="202"/>
        <w:rPr>
          <w:color w:val="auto"/>
          <w:highlight w:val="none"/>
        </w:rPr>
      </w:pPr>
      <w:r>
        <w:rPr>
          <w:color w:val="auto"/>
          <w:highlight w:val="none"/>
        </w:rPr>
        <w:t>（4）竣工付款涉及政府投资资金的，按第17.3.3（４）目的约定办理。</w:t>
      </w:r>
    </w:p>
    <w:p w14:paraId="1E8A83DB">
      <w:pPr>
        <w:keepNext/>
        <w:keepLines/>
        <w:spacing w:line="400" w:lineRule="exact"/>
        <w:outlineLvl w:val="2"/>
        <w:rPr>
          <w:rFonts w:eastAsia="黑体"/>
          <w:color w:val="auto"/>
          <w:sz w:val="24"/>
          <w:szCs w:val="20"/>
          <w:highlight w:val="none"/>
        </w:rPr>
      </w:pPr>
      <w:bookmarkStart w:id="1271" w:name="_Toc342296375"/>
      <w:bookmarkStart w:id="1272" w:name="_Toc159950725"/>
      <w:bookmarkStart w:id="1273" w:name="_Toc338944817"/>
      <w:r>
        <w:rPr>
          <w:rFonts w:eastAsia="黑体"/>
          <w:color w:val="auto"/>
          <w:sz w:val="24"/>
          <w:szCs w:val="20"/>
          <w:highlight w:val="none"/>
        </w:rPr>
        <w:t>17.6 最终结清</w:t>
      </w:r>
      <w:bookmarkEnd w:id="1271"/>
      <w:bookmarkEnd w:id="1272"/>
      <w:bookmarkEnd w:id="1273"/>
    </w:p>
    <w:p w14:paraId="42F127B9">
      <w:pPr>
        <w:spacing w:line="400" w:lineRule="exact"/>
        <w:ind w:firstLine="420" w:firstLineChars="200"/>
        <w:rPr>
          <w:color w:val="auto"/>
          <w:highlight w:val="none"/>
        </w:rPr>
      </w:pPr>
      <w:r>
        <w:rPr>
          <w:color w:val="auto"/>
          <w:highlight w:val="none"/>
        </w:rPr>
        <w:t xml:space="preserve">17.6.1 </w:t>
      </w:r>
      <w:r>
        <w:rPr>
          <w:rFonts w:hint="eastAsia" w:ascii="宋体" w:hAnsi="宋体" w:cs="宋体"/>
          <w:color w:val="auto"/>
          <w:highlight w:val="none"/>
        </w:rPr>
        <w:t>最终结清申请单</w:t>
      </w:r>
    </w:p>
    <w:p w14:paraId="388DC2C4">
      <w:pPr>
        <w:spacing w:line="400" w:lineRule="exact"/>
        <w:ind w:firstLine="718" w:firstLineChars="342"/>
        <w:rPr>
          <w:color w:val="auto"/>
          <w:highlight w:val="none"/>
        </w:rPr>
      </w:pPr>
      <w:r>
        <w:rPr>
          <w:color w:val="auto"/>
          <w:highlight w:val="none"/>
        </w:rPr>
        <w:t>（1）缺陷责任期终止证书签发后，承包人可按专用合同条款约定的份数和期限向监理人提交最终结清申请单，并提供相关证明材料。</w:t>
      </w:r>
    </w:p>
    <w:p w14:paraId="3175BBE3">
      <w:pPr>
        <w:spacing w:line="400" w:lineRule="exact"/>
        <w:ind w:firstLine="718" w:firstLineChars="342"/>
        <w:rPr>
          <w:color w:val="auto"/>
          <w:highlight w:val="none"/>
        </w:rPr>
      </w:pPr>
      <w:r>
        <w:rPr>
          <w:color w:val="auto"/>
          <w:highlight w:val="none"/>
        </w:rPr>
        <w:t>（2）发包人对最终结清申请单内容有异议的，有权要求承包人进行修正和提供补充资料，由承包人向监理人提交修正后的最终结清申请单。</w:t>
      </w:r>
    </w:p>
    <w:p w14:paraId="0CB5AF69">
      <w:pPr>
        <w:spacing w:line="400" w:lineRule="exact"/>
        <w:ind w:firstLine="420" w:firstLineChars="200"/>
        <w:rPr>
          <w:color w:val="auto"/>
          <w:highlight w:val="none"/>
        </w:rPr>
      </w:pPr>
      <w:r>
        <w:rPr>
          <w:color w:val="auto"/>
          <w:highlight w:val="none"/>
        </w:rPr>
        <w:t xml:space="preserve">17.6.2 </w:t>
      </w:r>
      <w:r>
        <w:rPr>
          <w:rFonts w:hint="eastAsia" w:ascii="宋体" w:hAnsi="宋体" w:cs="宋体"/>
          <w:color w:val="auto"/>
          <w:highlight w:val="none"/>
        </w:rPr>
        <w:t>最终结清证书和支付时间</w:t>
      </w:r>
    </w:p>
    <w:p w14:paraId="31170E9C">
      <w:pPr>
        <w:spacing w:line="400" w:lineRule="exact"/>
        <w:ind w:firstLine="718" w:firstLineChars="342"/>
        <w:rPr>
          <w:color w:val="auto"/>
          <w:highlight w:val="none"/>
        </w:rPr>
      </w:pPr>
      <w:r>
        <w:rPr>
          <w:color w:val="auto"/>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5C984ABD">
      <w:pPr>
        <w:spacing w:line="400" w:lineRule="exact"/>
        <w:ind w:firstLine="718" w:firstLineChars="342"/>
        <w:rPr>
          <w:color w:val="auto"/>
          <w:highlight w:val="none"/>
        </w:rPr>
      </w:pPr>
      <w:r>
        <w:rPr>
          <w:color w:val="auto"/>
          <w:highlight w:val="none"/>
        </w:rPr>
        <w:t>（2）发包人应在监理人出具最终结清证书后的14天内，将应支付款支付给承包人。发包人不按期支付的，按第17.3.3（2）目的约定，将逾期付款违约金支付给承包人。</w:t>
      </w:r>
    </w:p>
    <w:p w14:paraId="59782D38">
      <w:pPr>
        <w:spacing w:line="400" w:lineRule="exact"/>
        <w:ind w:firstLine="718" w:firstLineChars="342"/>
        <w:rPr>
          <w:color w:val="auto"/>
          <w:highlight w:val="none"/>
        </w:rPr>
      </w:pPr>
      <w:r>
        <w:rPr>
          <w:color w:val="auto"/>
          <w:highlight w:val="none"/>
        </w:rPr>
        <w:t>（3）承包人对发包人签认的最终结清证书有异议的，按第24条的约定办理。</w:t>
      </w:r>
    </w:p>
    <w:p w14:paraId="726BA125">
      <w:pPr>
        <w:spacing w:line="400" w:lineRule="exact"/>
        <w:ind w:firstLine="718" w:firstLineChars="342"/>
        <w:rPr>
          <w:color w:val="auto"/>
          <w:highlight w:val="none"/>
        </w:rPr>
      </w:pPr>
      <w:r>
        <w:rPr>
          <w:color w:val="auto"/>
          <w:highlight w:val="none"/>
        </w:rPr>
        <w:t>（4）最终结清付款涉及政府投资资金的，按第17.3.3（４）目的约定办理。</w:t>
      </w:r>
    </w:p>
    <w:p w14:paraId="2612068C">
      <w:pPr>
        <w:keepNext/>
        <w:keepLines/>
        <w:spacing w:line="400" w:lineRule="exact"/>
        <w:outlineLvl w:val="1"/>
        <w:rPr>
          <w:rFonts w:eastAsia="黑体" w:cs="仿宋_GB2312"/>
          <w:color w:val="auto"/>
          <w:sz w:val="28"/>
          <w:szCs w:val="20"/>
          <w:highlight w:val="none"/>
        </w:rPr>
      </w:pPr>
      <w:bookmarkStart w:id="1274" w:name="_Toc448758439"/>
      <w:bookmarkStart w:id="1275" w:name="_Toc159950726"/>
      <w:bookmarkStart w:id="1276" w:name="_Toc442365631"/>
      <w:bookmarkStart w:id="1277" w:name="_Toc338944818"/>
      <w:bookmarkStart w:id="1278" w:name="_Toc342296376"/>
      <w:bookmarkStart w:id="1279" w:name="_Toc469660034"/>
      <w:bookmarkStart w:id="1280" w:name="_Toc448758539"/>
      <w:r>
        <w:rPr>
          <w:rFonts w:eastAsia="黑体" w:cs="仿宋_GB2312"/>
          <w:color w:val="auto"/>
          <w:sz w:val="28"/>
          <w:szCs w:val="20"/>
          <w:highlight w:val="none"/>
        </w:rPr>
        <w:t>18. 竣工验收</w:t>
      </w:r>
      <w:bookmarkEnd w:id="1274"/>
      <w:bookmarkEnd w:id="1275"/>
      <w:bookmarkEnd w:id="1276"/>
      <w:bookmarkEnd w:id="1277"/>
      <w:bookmarkEnd w:id="1278"/>
      <w:bookmarkEnd w:id="1279"/>
      <w:bookmarkEnd w:id="1280"/>
    </w:p>
    <w:p w14:paraId="1C91F750">
      <w:pPr>
        <w:keepNext/>
        <w:keepLines/>
        <w:spacing w:line="400" w:lineRule="exact"/>
        <w:outlineLvl w:val="2"/>
        <w:rPr>
          <w:rFonts w:eastAsia="黑体"/>
          <w:color w:val="auto"/>
          <w:sz w:val="24"/>
          <w:szCs w:val="20"/>
          <w:highlight w:val="none"/>
        </w:rPr>
      </w:pPr>
      <w:bookmarkStart w:id="1281" w:name="_Toc179632744"/>
      <w:bookmarkStart w:id="1282" w:name="_Toc338944819"/>
      <w:bookmarkStart w:id="1283" w:name="_Toc144974697"/>
      <w:bookmarkStart w:id="1284" w:name="_Toc342296377"/>
      <w:bookmarkStart w:id="1285" w:name="_Toc152042505"/>
      <w:bookmarkStart w:id="1286" w:name="_Toc152045726"/>
      <w:bookmarkStart w:id="1287" w:name="_Toc159950727"/>
      <w:r>
        <w:rPr>
          <w:rFonts w:eastAsia="黑体"/>
          <w:color w:val="auto"/>
          <w:sz w:val="24"/>
          <w:szCs w:val="20"/>
          <w:highlight w:val="none"/>
        </w:rPr>
        <w:t>18.1 竣工验收的含义</w:t>
      </w:r>
      <w:bookmarkEnd w:id="1281"/>
      <w:bookmarkEnd w:id="1282"/>
      <w:bookmarkEnd w:id="1283"/>
      <w:bookmarkEnd w:id="1284"/>
      <w:bookmarkEnd w:id="1285"/>
      <w:bookmarkEnd w:id="1286"/>
      <w:bookmarkEnd w:id="1287"/>
    </w:p>
    <w:p w14:paraId="26C9725C">
      <w:pPr>
        <w:spacing w:line="400" w:lineRule="exact"/>
        <w:ind w:firstLine="420" w:firstLineChars="200"/>
        <w:rPr>
          <w:color w:val="auto"/>
          <w:highlight w:val="none"/>
        </w:rPr>
      </w:pPr>
      <w:r>
        <w:rPr>
          <w:color w:val="auto"/>
          <w:highlight w:val="none"/>
        </w:rPr>
        <w:t>18.1.1 竣工验收指承包人完成了全部合同工作后，发包人按合同要求进行的验收。</w:t>
      </w:r>
    </w:p>
    <w:p w14:paraId="1934F30A">
      <w:pPr>
        <w:spacing w:line="400" w:lineRule="exact"/>
        <w:ind w:firstLine="420" w:firstLineChars="200"/>
        <w:rPr>
          <w:color w:val="auto"/>
          <w:highlight w:val="none"/>
        </w:rPr>
      </w:pPr>
      <w:r>
        <w:rPr>
          <w:color w:val="auto"/>
          <w:highlight w:val="none"/>
        </w:rPr>
        <w:t>18.1.2 国家验收是政府有关部门根据法律、规范、规程和政策要求，针对发包人全面组织实施的整个工程正式交付投运前的验收。</w:t>
      </w:r>
    </w:p>
    <w:p w14:paraId="1F5C8247">
      <w:pPr>
        <w:spacing w:line="400" w:lineRule="exact"/>
        <w:ind w:firstLine="420" w:firstLineChars="200"/>
        <w:rPr>
          <w:color w:val="auto"/>
          <w:highlight w:val="none"/>
        </w:rPr>
      </w:pPr>
      <w:r>
        <w:rPr>
          <w:color w:val="auto"/>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3AFEA7BF">
      <w:pPr>
        <w:keepNext/>
        <w:keepLines/>
        <w:spacing w:line="400" w:lineRule="exact"/>
        <w:outlineLvl w:val="2"/>
        <w:rPr>
          <w:rFonts w:eastAsia="黑体"/>
          <w:color w:val="auto"/>
          <w:sz w:val="24"/>
          <w:szCs w:val="20"/>
          <w:highlight w:val="none"/>
        </w:rPr>
      </w:pPr>
      <w:bookmarkStart w:id="1288" w:name="_Toc342296378"/>
      <w:bookmarkStart w:id="1289" w:name="_Toc338944820"/>
      <w:bookmarkStart w:id="1290" w:name="_Toc159950728"/>
      <w:r>
        <w:rPr>
          <w:rFonts w:eastAsia="黑体"/>
          <w:color w:val="auto"/>
          <w:sz w:val="24"/>
          <w:szCs w:val="20"/>
          <w:highlight w:val="none"/>
        </w:rPr>
        <w:t>18.2 竣工验收申请报告</w:t>
      </w:r>
      <w:bookmarkEnd w:id="1288"/>
      <w:bookmarkEnd w:id="1289"/>
      <w:bookmarkEnd w:id="1290"/>
    </w:p>
    <w:p w14:paraId="56762EF0">
      <w:pPr>
        <w:spacing w:line="400" w:lineRule="exact"/>
        <w:ind w:firstLine="420" w:firstLineChars="200"/>
        <w:rPr>
          <w:color w:val="auto"/>
          <w:highlight w:val="none"/>
        </w:rPr>
      </w:pPr>
      <w:r>
        <w:rPr>
          <w:color w:val="auto"/>
          <w:highlight w:val="none"/>
        </w:rPr>
        <w:t>当工程具备以下条件时，承包人即可向监理人报送竣工验收申请报告：</w:t>
      </w:r>
    </w:p>
    <w:p w14:paraId="0EF3A440">
      <w:pPr>
        <w:spacing w:line="400" w:lineRule="exact"/>
        <w:ind w:firstLine="359" w:firstLineChars="171"/>
        <w:rPr>
          <w:color w:val="auto"/>
          <w:highlight w:val="none"/>
        </w:rPr>
      </w:pPr>
      <w:r>
        <w:rPr>
          <w:color w:val="auto"/>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33F0F6C7">
      <w:pPr>
        <w:spacing w:line="400" w:lineRule="exact"/>
        <w:ind w:firstLine="359" w:firstLineChars="171"/>
        <w:rPr>
          <w:color w:val="auto"/>
          <w:highlight w:val="none"/>
        </w:rPr>
      </w:pPr>
      <w:r>
        <w:rPr>
          <w:color w:val="auto"/>
          <w:highlight w:val="none"/>
        </w:rPr>
        <w:t xml:space="preserve">（2）已按合同约定的内容和份数备齐了符合要求的竣工资料； </w:t>
      </w:r>
    </w:p>
    <w:p w14:paraId="3E380DBB">
      <w:pPr>
        <w:spacing w:line="400" w:lineRule="exact"/>
        <w:ind w:firstLine="359" w:firstLineChars="171"/>
        <w:rPr>
          <w:color w:val="auto"/>
          <w:highlight w:val="none"/>
        </w:rPr>
      </w:pPr>
      <w:r>
        <w:rPr>
          <w:color w:val="auto"/>
          <w:highlight w:val="none"/>
        </w:rPr>
        <w:t>（3）已按监理人的要求编制了在缺陷责任期内完成的尾工（甩项）工程和缺陷修补工作清单以及相应施工计划；</w:t>
      </w:r>
    </w:p>
    <w:p w14:paraId="077385D2">
      <w:pPr>
        <w:spacing w:line="400" w:lineRule="exact"/>
        <w:ind w:firstLine="359" w:firstLineChars="171"/>
        <w:rPr>
          <w:color w:val="auto"/>
          <w:highlight w:val="none"/>
        </w:rPr>
      </w:pPr>
      <w:r>
        <w:rPr>
          <w:color w:val="auto"/>
          <w:highlight w:val="none"/>
        </w:rPr>
        <w:t>（4）监理人要求在竣工验收前应完成的其他工作；</w:t>
      </w:r>
    </w:p>
    <w:p w14:paraId="75E17651">
      <w:pPr>
        <w:spacing w:line="400" w:lineRule="exact"/>
        <w:ind w:firstLine="359" w:firstLineChars="171"/>
        <w:rPr>
          <w:color w:val="auto"/>
          <w:highlight w:val="none"/>
        </w:rPr>
      </w:pPr>
      <w:r>
        <w:rPr>
          <w:color w:val="auto"/>
          <w:highlight w:val="none"/>
        </w:rPr>
        <w:t>（5）监理人要求提交的竣工验收资料清单。</w:t>
      </w:r>
    </w:p>
    <w:p w14:paraId="658507FF">
      <w:pPr>
        <w:keepNext/>
        <w:keepLines/>
        <w:spacing w:line="400" w:lineRule="exact"/>
        <w:outlineLvl w:val="2"/>
        <w:rPr>
          <w:rFonts w:eastAsia="黑体"/>
          <w:color w:val="auto"/>
          <w:sz w:val="24"/>
          <w:szCs w:val="20"/>
          <w:highlight w:val="none"/>
        </w:rPr>
      </w:pPr>
      <w:bookmarkStart w:id="1291" w:name="_Toc159950729"/>
      <w:bookmarkStart w:id="1292" w:name="_Toc338944821"/>
      <w:bookmarkStart w:id="1293" w:name="_Toc342296379"/>
      <w:r>
        <w:rPr>
          <w:rFonts w:eastAsia="黑体"/>
          <w:color w:val="auto"/>
          <w:sz w:val="24"/>
          <w:szCs w:val="20"/>
          <w:highlight w:val="none"/>
        </w:rPr>
        <w:t>18.3 验收</w:t>
      </w:r>
      <w:bookmarkEnd w:id="1291"/>
      <w:bookmarkEnd w:id="1292"/>
      <w:bookmarkEnd w:id="1293"/>
    </w:p>
    <w:p w14:paraId="3B90A42B">
      <w:pPr>
        <w:spacing w:line="400" w:lineRule="exact"/>
        <w:ind w:firstLine="420" w:firstLineChars="200"/>
        <w:rPr>
          <w:color w:val="auto"/>
          <w:highlight w:val="none"/>
        </w:rPr>
      </w:pPr>
      <w:r>
        <w:rPr>
          <w:color w:val="auto"/>
          <w:highlight w:val="none"/>
        </w:rPr>
        <w:t>监理人收到承包人按第18.2款约定提交的竣工验收申请报告后，应审查申请报告的各项内容，并按以下不同情况进行处理。</w:t>
      </w:r>
    </w:p>
    <w:p w14:paraId="36F6D9FE">
      <w:pPr>
        <w:spacing w:line="400" w:lineRule="exact"/>
        <w:ind w:firstLine="420" w:firstLineChars="200"/>
        <w:rPr>
          <w:color w:val="auto"/>
          <w:highlight w:val="none"/>
        </w:rPr>
      </w:pPr>
      <w:r>
        <w:rPr>
          <w:color w:val="auto"/>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3715ACFB">
      <w:pPr>
        <w:spacing w:line="400" w:lineRule="exact"/>
        <w:ind w:firstLine="420" w:firstLineChars="200"/>
        <w:rPr>
          <w:color w:val="auto"/>
          <w:highlight w:val="none"/>
        </w:rPr>
      </w:pPr>
      <w:r>
        <w:rPr>
          <w:color w:val="auto"/>
          <w:highlight w:val="none"/>
        </w:rPr>
        <w:t>18.3.2 监理人审查后认为已具备竣工验收条件的，应在收到竣工验收申请报告后的28天内提请发包人进行工程验收。</w:t>
      </w:r>
    </w:p>
    <w:p w14:paraId="5599EC81">
      <w:pPr>
        <w:spacing w:line="400" w:lineRule="exact"/>
        <w:ind w:firstLine="420" w:firstLineChars="200"/>
        <w:rPr>
          <w:color w:val="auto"/>
          <w:highlight w:val="none"/>
        </w:rPr>
      </w:pPr>
      <w:r>
        <w:rPr>
          <w:color w:val="auto"/>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0D12EA1B">
      <w:pPr>
        <w:spacing w:line="400" w:lineRule="exact"/>
        <w:ind w:firstLine="420" w:firstLineChars="200"/>
        <w:rPr>
          <w:color w:val="auto"/>
          <w:highlight w:val="none"/>
        </w:rPr>
      </w:pPr>
      <w:r>
        <w:rPr>
          <w:color w:val="auto"/>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29ABCE19">
      <w:pPr>
        <w:spacing w:line="400" w:lineRule="exact"/>
        <w:ind w:firstLine="420" w:firstLineChars="200"/>
        <w:rPr>
          <w:color w:val="auto"/>
          <w:highlight w:val="none"/>
        </w:rPr>
      </w:pPr>
      <w:r>
        <w:rPr>
          <w:color w:val="auto"/>
          <w:highlight w:val="none"/>
        </w:rPr>
        <w:t>18.3.5 除专用合同条款另有约定外，经验收合格工程的实际竣工日期，以提交竣工验收申请报告的日期为准，并在工程接收证书中写明。</w:t>
      </w:r>
    </w:p>
    <w:p w14:paraId="3F0E6914">
      <w:pPr>
        <w:spacing w:line="400" w:lineRule="exact"/>
        <w:ind w:firstLine="420" w:firstLineChars="200"/>
        <w:rPr>
          <w:color w:val="auto"/>
          <w:highlight w:val="none"/>
        </w:rPr>
      </w:pPr>
      <w:r>
        <w:rPr>
          <w:color w:val="auto"/>
          <w:highlight w:val="none"/>
        </w:rPr>
        <w:t>18.3.6 发包人在收到承包人竣工验收申请报告56天后未进行验收的，视为验收合格，实际竣工日期以提交竣工验收申请报告的日期为准，但发包人由于不可抗力不能进行验收的除外。</w:t>
      </w:r>
    </w:p>
    <w:p w14:paraId="26E1EF7F">
      <w:pPr>
        <w:keepNext/>
        <w:keepLines/>
        <w:spacing w:line="400" w:lineRule="exact"/>
        <w:outlineLvl w:val="2"/>
        <w:rPr>
          <w:rFonts w:eastAsia="黑体"/>
          <w:color w:val="auto"/>
          <w:sz w:val="24"/>
          <w:szCs w:val="20"/>
          <w:highlight w:val="none"/>
        </w:rPr>
      </w:pPr>
      <w:bookmarkStart w:id="1294" w:name="_Toc159950730"/>
      <w:bookmarkStart w:id="1295" w:name="_Toc342296380"/>
      <w:bookmarkStart w:id="1296" w:name="_Toc179632747"/>
      <w:bookmarkStart w:id="1297" w:name="_Toc152045729"/>
      <w:bookmarkStart w:id="1298" w:name="_Toc338944822"/>
      <w:bookmarkStart w:id="1299" w:name="_Toc152042508"/>
      <w:bookmarkStart w:id="1300" w:name="_Toc144974700"/>
      <w:r>
        <w:rPr>
          <w:rFonts w:eastAsia="黑体"/>
          <w:color w:val="auto"/>
          <w:sz w:val="24"/>
          <w:szCs w:val="20"/>
          <w:highlight w:val="none"/>
        </w:rPr>
        <w:t>18.4 单位工程验收</w:t>
      </w:r>
      <w:bookmarkEnd w:id="1294"/>
      <w:bookmarkEnd w:id="1295"/>
      <w:bookmarkEnd w:id="1296"/>
      <w:bookmarkEnd w:id="1297"/>
      <w:bookmarkEnd w:id="1298"/>
      <w:bookmarkEnd w:id="1299"/>
      <w:bookmarkEnd w:id="1300"/>
    </w:p>
    <w:p w14:paraId="44AD9CB3">
      <w:pPr>
        <w:spacing w:line="400" w:lineRule="exact"/>
        <w:ind w:firstLine="420" w:firstLineChars="200"/>
        <w:rPr>
          <w:color w:val="auto"/>
          <w:highlight w:val="none"/>
        </w:rPr>
      </w:pPr>
      <w:r>
        <w:rPr>
          <w:color w:val="auto"/>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3615665">
      <w:pPr>
        <w:spacing w:line="400" w:lineRule="exact"/>
        <w:ind w:firstLine="420" w:firstLineChars="200"/>
        <w:rPr>
          <w:color w:val="auto"/>
          <w:highlight w:val="none"/>
        </w:rPr>
      </w:pPr>
      <w:r>
        <w:rPr>
          <w:color w:val="auto"/>
          <w:highlight w:val="none"/>
        </w:rPr>
        <w:t>18.4.2 发包人在全部工程竣工前，使用已接收的单位工程导致承包人费用增加的，发包人应承担由此增加的费用和（或）工期延误，并支付承包人合理利润。</w:t>
      </w:r>
    </w:p>
    <w:p w14:paraId="583C3296">
      <w:pPr>
        <w:keepNext/>
        <w:keepLines/>
        <w:spacing w:line="400" w:lineRule="exact"/>
        <w:outlineLvl w:val="2"/>
        <w:rPr>
          <w:rFonts w:eastAsia="黑体"/>
          <w:color w:val="auto"/>
          <w:sz w:val="24"/>
          <w:szCs w:val="20"/>
          <w:highlight w:val="none"/>
        </w:rPr>
      </w:pPr>
      <w:bookmarkStart w:id="1301" w:name="_Toc342296381"/>
      <w:bookmarkStart w:id="1302" w:name="_Toc338944823"/>
      <w:bookmarkStart w:id="1303" w:name="_Toc159950731"/>
      <w:r>
        <w:rPr>
          <w:rFonts w:eastAsia="黑体"/>
          <w:color w:val="auto"/>
          <w:sz w:val="24"/>
          <w:szCs w:val="20"/>
          <w:highlight w:val="none"/>
        </w:rPr>
        <w:t>18.5 施工期运行</w:t>
      </w:r>
      <w:bookmarkEnd w:id="1301"/>
      <w:bookmarkEnd w:id="1302"/>
      <w:bookmarkEnd w:id="1303"/>
    </w:p>
    <w:p w14:paraId="186D92CA">
      <w:pPr>
        <w:spacing w:line="400" w:lineRule="exact"/>
        <w:ind w:firstLine="420" w:firstLineChars="200"/>
        <w:rPr>
          <w:color w:val="auto"/>
          <w:highlight w:val="none"/>
        </w:rPr>
      </w:pPr>
      <w:r>
        <w:rPr>
          <w:color w:val="auto"/>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3EA5113F">
      <w:pPr>
        <w:spacing w:line="400" w:lineRule="exact"/>
        <w:ind w:firstLine="420" w:firstLineChars="200"/>
        <w:rPr>
          <w:color w:val="auto"/>
          <w:highlight w:val="none"/>
        </w:rPr>
      </w:pPr>
      <w:r>
        <w:rPr>
          <w:color w:val="auto"/>
          <w:highlight w:val="none"/>
        </w:rPr>
        <w:t>18.5.2 在施工期运行中发现工程或工程设备损坏或存在缺陷的，由承包人按第19.2款约定进行修复。</w:t>
      </w:r>
    </w:p>
    <w:p w14:paraId="5D936AC3">
      <w:pPr>
        <w:keepNext/>
        <w:keepLines/>
        <w:spacing w:line="400" w:lineRule="exact"/>
        <w:outlineLvl w:val="2"/>
        <w:rPr>
          <w:rFonts w:eastAsia="黑体"/>
          <w:color w:val="auto"/>
          <w:sz w:val="24"/>
          <w:szCs w:val="20"/>
          <w:highlight w:val="none"/>
        </w:rPr>
      </w:pPr>
      <w:bookmarkStart w:id="1304" w:name="_Toc159950732"/>
      <w:bookmarkStart w:id="1305" w:name="_Toc342296382"/>
      <w:bookmarkStart w:id="1306" w:name="_Toc338944824"/>
      <w:r>
        <w:rPr>
          <w:rFonts w:eastAsia="黑体"/>
          <w:color w:val="auto"/>
          <w:sz w:val="24"/>
          <w:szCs w:val="20"/>
          <w:highlight w:val="none"/>
        </w:rPr>
        <w:t>18.6 试运行</w:t>
      </w:r>
      <w:bookmarkEnd w:id="1304"/>
      <w:bookmarkEnd w:id="1305"/>
      <w:bookmarkEnd w:id="1306"/>
    </w:p>
    <w:p w14:paraId="7B73A29D">
      <w:pPr>
        <w:spacing w:line="400" w:lineRule="exact"/>
        <w:ind w:firstLine="420" w:firstLineChars="200"/>
        <w:rPr>
          <w:color w:val="auto"/>
          <w:highlight w:val="none"/>
        </w:rPr>
      </w:pPr>
      <w:r>
        <w:rPr>
          <w:color w:val="auto"/>
          <w:highlight w:val="none"/>
        </w:rPr>
        <w:t>18.6.1 除专用合同条款另有约定外，承包人应按专用合同条款约定进行工程及工程设备试运行，负责提供试运行所需的人员、器材和必要的条件，并承担全部试运行费用。</w:t>
      </w:r>
    </w:p>
    <w:p w14:paraId="1E3250D5">
      <w:pPr>
        <w:spacing w:line="400" w:lineRule="exact"/>
        <w:ind w:firstLine="420" w:firstLineChars="200"/>
        <w:rPr>
          <w:color w:val="auto"/>
          <w:highlight w:val="none"/>
        </w:rPr>
      </w:pPr>
      <w:r>
        <w:rPr>
          <w:color w:val="auto"/>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0B53AF28">
      <w:pPr>
        <w:keepNext/>
        <w:keepLines/>
        <w:spacing w:line="400" w:lineRule="exact"/>
        <w:outlineLvl w:val="2"/>
        <w:rPr>
          <w:rFonts w:eastAsia="黑体"/>
          <w:color w:val="auto"/>
          <w:sz w:val="24"/>
          <w:szCs w:val="20"/>
          <w:highlight w:val="none"/>
        </w:rPr>
      </w:pPr>
      <w:bookmarkStart w:id="1307" w:name="_Toc338944825"/>
      <w:bookmarkStart w:id="1308" w:name="_Toc159950733"/>
      <w:bookmarkStart w:id="1309" w:name="_Toc342296383"/>
      <w:r>
        <w:rPr>
          <w:rFonts w:eastAsia="黑体"/>
          <w:color w:val="auto"/>
          <w:sz w:val="24"/>
          <w:szCs w:val="20"/>
          <w:highlight w:val="none"/>
        </w:rPr>
        <w:t>18.7 竣工清场</w:t>
      </w:r>
      <w:bookmarkEnd w:id="1307"/>
      <w:bookmarkEnd w:id="1308"/>
      <w:bookmarkEnd w:id="1309"/>
    </w:p>
    <w:p w14:paraId="247358B7">
      <w:pPr>
        <w:spacing w:line="400" w:lineRule="exact"/>
        <w:ind w:firstLine="420" w:firstLineChars="200"/>
        <w:rPr>
          <w:color w:val="auto"/>
          <w:highlight w:val="none"/>
        </w:rPr>
      </w:pPr>
      <w:r>
        <w:rPr>
          <w:color w:val="auto"/>
          <w:highlight w:val="none"/>
        </w:rPr>
        <w:t>18.7.1 除合同另有约定外，工程接收证书颁发后，承包人应按以下要求对施工场地进行清理，直至监理人检验合格为止。竣工清场费用由承包人承担。</w:t>
      </w:r>
    </w:p>
    <w:p w14:paraId="781F2D62">
      <w:pPr>
        <w:spacing w:line="400" w:lineRule="exact"/>
        <w:ind w:firstLine="718" w:firstLineChars="342"/>
        <w:rPr>
          <w:color w:val="auto"/>
          <w:highlight w:val="none"/>
        </w:rPr>
      </w:pPr>
      <w:r>
        <w:rPr>
          <w:color w:val="auto"/>
          <w:highlight w:val="none"/>
        </w:rPr>
        <w:t>（1）施工场地内残留的垃圾已全部清除出场；</w:t>
      </w:r>
    </w:p>
    <w:p w14:paraId="5F1CFEB0">
      <w:pPr>
        <w:spacing w:line="400" w:lineRule="exact"/>
        <w:ind w:firstLine="718" w:firstLineChars="342"/>
        <w:rPr>
          <w:color w:val="auto"/>
          <w:highlight w:val="none"/>
        </w:rPr>
      </w:pPr>
      <w:r>
        <w:rPr>
          <w:color w:val="auto"/>
          <w:highlight w:val="none"/>
        </w:rPr>
        <w:t>（2）临时工程已拆除，场地已按合同要求进行清理、平整或复原；</w:t>
      </w:r>
    </w:p>
    <w:p w14:paraId="766389F7">
      <w:pPr>
        <w:spacing w:line="400" w:lineRule="exact"/>
        <w:ind w:firstLine="718" w:firstLineChars="342"/>
        <w:rPr>
          <w:color w:val="auto"/>
          <w:highlight w:val="none"/>
        </w:rPr>
      </w:pPr>
      <w:r>
        <w:rPr>
          <w:color w:val="auto"/>
          <w:highlight w:val="none"/>
        </w:rPr>
        <w:t>（3）按合同约定应撤离的承包人设备和剩余的材料，包括废弃的施工设备和材料，已按计划撤离施工场地；</w:t>
      </w:r>
    </w:p>
    <w:p w14:paraId="63B0B560">
      <w:pPr>
        <w:spacing w:line="400" w:lineRule="exact"/>
        <w:ind w:firstLine="718" w:firstLineChars="342"/>
        <w:rPr>
          <w:color w:val="auto"/>
          <w:highlight w:val="none"/>
        </w:rPr>
      </w:pPr>
      <w:r>
        <w:rPr>
          <w:color w:val="auto"/>
          <w:highlight w:val="none"/>
        </w:rPr>
        <w:t>（4）工程建筑物周边及其附近道路、河道的施工堆积物，已按监理人指示全部清理；</w:t>
      </w:r>
    </w:p>
    <w:p w14:paraId="0D2B0C67">
      <w:pPr>
        <w:spacing w:line="400" w:lineRule="exact"/>
        <w:ind w:firstLine="718" w:firstLineChars="342"/>
        <w:rPr>
          <w:color w:val="auto"/>
          <w:highlight w:val="none"/>
        </w:rPr>
      </w:pPr>
      <w:r>
        <w:rPr>
          <w:color w:val="auto"/>
          <w:highlight w:val="none"/>
        </w:rPr>
        <w:t>（5）监理人指示的其他场地清理工作已全部完成。</w:t>
      </w:r>
    </w:p>
    <w:p w14:paraId="47878DCE">
      <w:pPr>
        <w:spacing w:line="400" w:lineRule="exact"/>
        <w:ind w:firstLine="420" w:firstLineChars="200"/>
        <w:rPr>
          <w:color w:val="auto"/>
          <w:highlight w:val="none"/>
        </w:rPr>
      </w:pPr>
      <w:r>
        <w:rPr>
          <w:color w:val="auto"/>
          <w:highlight w:val="none"/>
        </w:rPr>
        <w:t>18.7.2 承包人未按监理人的要求恢复临时占地，或者场地清理未达到合同约定的，发包人有权委托其他人恢复或清理，所发生的金额从拟支付给承包人的款项中扣除。</w:t>
      </w:r>
    </w:p>
    <w:p w14:paraId="3657EF21">
      <w:pPr>
        <w:keepNext/>
        <w:keepLines/>
        <w:spacing w:line="400" w:lineRule="exact"/>
        <w:outlineLvl w:val="2"/>
        <w:rPr>
          <w:rFonts w:eastAsia="黑体"/>
          <w:color w:val="auto"/>
          <w:sz w:val="24"/>
          <w:szCs w:val="20"/>
          <w:highlight w:val="none"/>
        </w:rPr>
      </w:pPr>
      <w:bookmarkStart w:id="1310" w:name="_Toc342296384"/>
      <w:bookmarkStart w:id="1311" w:name="_Toc159950734"/>
      <w:bookmarkStart w:id="1312" w:name="_Toc338944826"/>
      <w:r>
        <w:rPr>
          <w:rFonts w:eastAsia="黑体"/>
          <w:color w:val="auto"/>
          <w:sz w:val="24"/>
          <w:szCs w:val="20"/>
          <w:highlight w:val="none"/>
        </w:rPr>
        <w:t>18.8 施工队伍的撤离</w:t>
      </w:r>
      <w:bookmarkEnd w:id="1310"/>
      <w:bookmarkEnd w:id="1311"/>
      <w:bookmarkEnd w:id="1312"/>
    </w:p>
    <w:p w14:paraId="667D8FEA">
      <w:pPr>
        <w:spacing w:line="400" w:lineRule="exact"/>
        <w:ind w:firstLine="420" w:firstLineChars="200"/>
        <w:rPr>
          <w:color w:val="auto"/>
          <w:highlight w:val="none"/>
        </w:rPr>
      </w:pPr>
      <w:r>
        <w:rPr>
          <w:color w:val="auto"/>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7A06F66C">
      <w:pPr>
        <w:keepNext/>
        <w:keepLines/>
        <w:spacing w:line="400" w:lineRule="exact"/>
        <w:outlineLvl w:val="1"/>
        <w:rPr>
          <w:rFonts w:eastAsia="黑体" w:cs="仿宋_GB2312"/>
          <w:color w:val="auto"/>
          <w:sz w:val="28"/>
          <w:szCs w:val="20"/>
          <w:highlight w:val="none"/>
        </w:rPr>
      </w:pPr>
      <w:bookmarkStart w:id="1313" w:name="_Toc342296385"/>
      <w:bookmarkStart w:id="1314" w:name="_Toc442365632"/>
      <w:bookmarkStart w:id="1315" w:name="_Toc448758440"/>
      <w:bookmarkStart w:id="1316" w:name="_Toc338944827"/>
      <w:bookmarkStart w:id="1317" w:name="_Toc159950735"/>
      <w:bookmarkStart w:id="1318" w:name="_Toc448758540"/>
      <w:bookmarkStart w:id="1319" w:name="_Toc469660035"/>
      <w:r>
        <w:rPr>
          <w:rFonts w:eastAsia="黑体" w:cs="仿宋_GB2312"/>
          <w:color w:val="auto"/>
          <w:sz w:val="28"/>
          <w:szCs w:val="20"/>
          <w:highlight w:val="none"/>
        </w:rPr>
        <w:t>19. 缺陷责任与保修责任</w:t>
      </w:r>
      <w:bookmarkEnd w:id="1313"/>
      <w:bookmarkEnd w:id="1314"/>
      <w:bookmarkEnd w:id="1315"/>
      <w:bookmarkEnd w:id="1316"/>
      <w:bookmarkEnd w:id="1317"/>
      <w:bookmarkEnd w:id="1318"/>
      <w:bookmarkEnd w:id="1319"/>
    </w:p>
    <w:p w14:paraId="78287515">
      <w:pPr>
        <w:keepNext/>
        <w:keepLines/>
        <w:spacing w:line="400" w:lineRule="exact"/>
        <w:outlineLvl w:val="2"/>
        <w:rPr>
          <w:rFonts w:eastAsia="黑体"/>
          <w:color w:val="auto"/>
          <w:sz w:val="24"/>
          <w:szCs w:val="20"/>
          <w:highlight w:val="none"/>
        </w:rPr>
      </w:pPr>
      <w:bookmarkStart w:id="1320" w:name="_Toc144974706"/>
      <w:bookmarkStart w:id="1321" w:name="_Toc152045735"/>
      <w:bookmarkStart w:id="1322" w:name="_Toc342296386"/>
      <w:bookmarkStart w:id="1323" w:name="_Toc338944828"/>
      <w:bookmarkStart w:id="1324" w:name="_Toc152042514"/>
      <w:bookmarkStart w:id="1325" w:name="_Toc159950736"/>
      <w:bookmarkStart w:id="1326" w:name="_Toc179632753"/>
      <w:r>
        <w:rPr>
          <w:rFonts w:eastAsia="黑体"/>
          <w:color w:val="auto"/>
          <w:sz w:val="24"/>
          <w:szCs w:val="20"/>
          <w:highlight w:val="none"/>
        </w:rPr>
        <w:t>19.1 缺陷责任期的起算时间</w:t>
      </w:r>
      <w:bookmarkEnd w:id="1320"/>
      <w:bookmarkEnd w:id="1321"/>
      <w:bookmarkEnd w:id="1322"/>
      <w:bookmarkEnd w:id="1323"/>
      <w:bookmarkEnd w:id="1324"/>
      <w:bookmarkEnd w:id="1325"/>
      <w:bookmarkEnd w:id="1326"/>
    </w:p>
    <w:p w14:paraId="43209D8A">
      <w:pPr>
        <w:spacing w:line="400" w:lineRule="exact"/>
        <w:ind w:firstLine="420" w:firstLineChars="200"/>
        <w:rPr>
          <w:color w:val="auto"/>
          <w:highlight w:val="none"/>
        </w:rPr>
      </w:pPr>
      <w:r>
        <w:rPr>
          <w:color w:val="auto"/>
          <w:highlight w:val="none"/>
        </w:rPr>
        <w:t>缺陷责任期自实际竣工日期起计算。在全部工程竣工验收前，已经发包人提前验收的单位工程，其缺陷责任期的起算日期相应提前。</w:t>
      </w:r>
    </w:p>
    <w:p w14:paraId="55489B29">
      <w:pPr>
        <w:keepNext/>
        <w:keepLines/>
        <w:spacing w:line="400" w:lineRule="exact"/>
        <w:outlineLvl w:val="2"/>
        <w:rPr>
          <w:rFonts w:eastAsia="黑体"/>
          <w:color w:val="auto"/>
          <w:sz w:val="24"/>
          <w:szCs w:val="20"/>
          <w:highlight w:val="none"/>
        </w:rPr>
      </w:pPr>
      <w:bookmarkStart w:id="1327" w:name="_Toc152045736"/>
      <w:bookmarkStart w:id="1328" w:name="_Toc342296387"/>
      <w:bookmarkStart w:id="1329" w:name="_Toc179632754"/>
      <w:bookmarkStart w:id="1330" w:name="_Toc159950737"/>
      <w:bookmarkStart w:id="1331" w:name="_Toc338944829"/>
      <w:bookmarkStart w:id="1332" w:name="_Toc152042515"/>
      <w:bookmarkStart w:id="1333" w:name="_Toc144974707"/>
      <w:r>
        <w:rPr>
          <w:rFonts w:eastAsia="黑体"/>
          <w:color w:val="auto"/>
          <w:sz w:val="24"/>
          <w:szCs w:val="20"/>
          <w:highlight w:val="none"/>
        </w:rPr>
        <w:t>19.2 缺陷责任</w:t>
      </w:r>
      <w:bookmarkEnd w:id="1327"/>
      <w:bookmarkEnd w:id="1328"/>
      <w:bookmarkEnd w:id="1329"/>
      <w:bookmarkEnd w:id="1330"/>
      <w:bookmarkEnd w:id="1331"/>
      <w:bookmarkEnd w:id="1332"/>
      <w:bookmarkEnd w:id="1333"/>
    </w:p>
    <w:p w14:paraId="5D75608A">
      <w:pPr>
        <w:spacing w:line="400" w:lineRule="exact"/>
        <w:ind w:firstLine="420" w:firstLineChars="200"/>
        <w:rPr>
          <w:color w:val="auto"/>
          <w:highlight w:val="none"/>
        </w:rPr>
      </w:pPr>
      <w:r>
        <w:rPr>
          <w:color w:val="auto"/>
          <w:highlight w:val="none"/>
        </w:rPr>
        <w:t>19.2.1 承包人应在缺陷责任期内对已交付使用的工程承担缺陷责任。</w:t>
      </w:r>
    </w:p>
    <w:p w14:paraId="7B057681">
      <w:pPr>
        <w:spacing w:line="400" w:lineRule="exact"/>
        <w:ind w:firstLine="420" w:firstLineChars="200"/>
        <w:rPr>
          <w:color w:val="auto"/>
          <w:highlight w:val="none"/>
        </w:rPr>
      </w:pPr>
      <w:r>
        <w:rPr>
          <w:color w:val="auto"/>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1BA0340B">
      <w:pPr>
        <w:spacing w:line="400" w:lineRule="exact"/>
        <w:ind w:firstLine="420" w:firstLineChars="200"/>
        <w:rPr>
          <w:color w:val="auto"/>
          <w:highlight w:val="none"/>
        </w:rPr>
      </w:pPr>
      <w:r>
        <w:rPr>
          <w:color w:val="auto"/>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6BF9432A">
      <w:pPr>
        <w:spacing w:line="400" w:lineRule="exact"/>
        <w:ind w:firstLine="420" w:firstLineChars="200"/>
        <w:rPr>
          <w:color w:val="auto"/>
          <w:highlight w:val="none"/>
        </w:rPr>
      </w:pPr>
      <w:r>
        <w:rPr>
          <w:color w:val="auto"/>
          <w:highlight w:val="none"/>
        </w:rPr>
        <w:t>19.2.4 承包人不能在合理时间内修复缺陷的，发包人可自行修复或委托其他人修复，所需费用和利润的承担，按第19.2.3项约定办理。</w:t>
      </w:r>
    </w:p>
    <w:p w14:paraId="549292CD">
      <w:pPr>
        <w:keepNext/>
        <w:keepLines/>
        <w:spacing w:line="400" w:lineRule="exact"/>
        <w:outlineLvl w:val="2"/>
        <w:rPr>
          <w:rFonts w:eastAsia="黑体"/>
          <w:color w:val="auto"/>
          <w:sz w:val="24"/>
          <w:szCs w:val="20"/>
          <w:highlight w:val="none"/>
        </w:rPr>
      </w:pPr>
      <w:bookmarkStart w:id="1334" w:name="_Toc159950738"/>
      <w:bookmarkStart w:id="1335" w:name="_Toc179632755"/>
      <w:bookmarkStart w:id="1336" w:name="_Toc338944830"/>
      <w:bookmarkStart w:id="1337" w:name="_Toc152045737"/>
      <w:bookmarkStart w:id="1338" w:name="_Toc342296388"/>
      <w:bookmarkStart w:id="1339" w:name="_Toc144974708"/>
      <w:bookmarkStart w:id="1340" w:name="_Toc152042516"/>
      <w:r>
        <w:rPr>
          <w:rFonts w:eastAsia="黑体"/>
          <w:color w:val="auto"/>
          <w:sz w:val="24"/>
          <w:szCs w:val="20"/>
          <w:highlight w:val="none"/>
        </w:rPr>
        <w:t>19.3 缺陷责任期的延长</w:t>
      </w:r>
      <w:bookmarkEnd w:id="1334"/>
      <w:bookmarkEnd w:id="1335"/>
      <w:bookmarkEnd w:id="1336"/>
      <w:bookmarkEnd w:id="1337"/>
      <w:bookmarkEnd w:id="1338"/>
      <w:bookmarkEnd w:id="1339"/>
      <w:bookmarkEnd w:id="1340"/>
    </w:p>
    <w:p w14:paraId="161695B9">
      <w:pPr>
        <w:spacing w:line="400" w:lineRule="exact"/>
        <w:ind w:firstLine="420" w:firstLineChars="200"/>
        <w:rPr>
          <w:color w:val="auto"/>
          <w:highlight w:val="none"/>
        </w:rPr>
      </w:pPr>
      <w:r>
        <w:rPr>
          <w:color w:val="auto"/>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7B7A861D">
      <w:pPr>
        <w:keepNext/>
        <w:keepLines/>
        <w:spacing w:line="400" w:lineRule="exact"/>
        <w:outlineLvl w:val="2"/>
        <w:rPr>
          <w:rFonts w:eastAsia="黑体"/>
          <w:color w:val="auto"/>
          <w:sz w:val="24"/>
          <w:szCs w:val="20"/>
          <w:highlight w:val="none"/>
        </w:rPr>
      </w:pPr>
      <w:bookmarkStart w:id="1341" w:name="_Toc152042517"/>
      <w:bookmarkStart w:id="1342" w:name="_Toc342296389"/>
      <w:bookmarkStart w:id="1343" w:name="_Toc179632756"/>
      <w:bookmarkStart w:id="1344" w:name="_Toc338944831"/>
      <w:bookmarkStart w:id="1345" w:name="_Toc152045738"/>
      <w:bookmarkStart w:id="1346" w:name="_Toc144974709"/>
      <w:bookmarkStart w:id="1347" w:name="_Toc159950739"/>
      <w:r>
        <w:rPr>
          <w:rFonts w:eastAsia="黑体"/>
          <w:color w:val="auto"/>
          <w:sz w:val="24"/>
          <w:szCs w:val="20"/>
          <w:highlight w:val="none"/>
        </w:rPr>
        <w:t>19.4 进一步试验和试运行</w:t>
      </w:r>
      <w:bookmarkEnd w:id="1341"/>
      <w:bookmarkEnd w:id="1342"/>
      <w:bookmarkEnd w:id="1343"/>
      <w:bookmarkEnd w:id="1344"/>
      <w:bookmarkEnd w:id="1345"/>
      <w:bookmarkEnd w:id="1346"/>
      <w:bookmarkEnd w:id="1347"/>
    </w:p>
    <w:p w14:paraId="2677F14F">
      <w:pPr>
        <w:spacing w:line="400" w:lineRule="exact"/>
        <w:ind w:firstLine="420" w:firstLineChars="200"/>
        <w:rPr>
          <w:color w:val="auto"/>
          <w:highlight w:val="none"/>
        </w:rPr>
      </w:pPr>
      <w:r>
        <w:rPr>
          <w:color w:val="auto"/>
          <w:highlight w:val="none"/>
        </w:rPr>
        <w:t>任何一项缺陷或损坏修复后，经检查证明其影响了工程或工程设备的使用性能，承包人应重新进行合同约定的试验和试运行，试验和试运行的全部费用应由责任方承担。</w:t>
      </w:r>
    </w:p>
    <w:p w14:paraId="62713764">
      <w:pPr>
        <w:keepNext/>
        <w:keepLines/>
        <w:spacing w:line="400" w:lineRule="exact"/>
        <w:outlineLvl w:val="2"/>
        <w:rPr>
          <w:rFonts w:eastAsia="黑体"/>
          <w:color w:val="auto"/>
          <w:sz w:val="24"/>
          <w:szCs w:val="20"/>
          <w:highlight w:val="none"/>
        </w:rPr>
      </w:pPr>
      <w:bookmarkStart w:id="1348" w:name="_Toc152042518"/>
      <w:bookmarkStart w:id="1349" w:name="_Toc338944832"/>
      <w:bookmarkStart w:id="1350" w:name="_Toc179632757"/>
      <w:bookmarkStart w:id="1351" w:name="_Toc144974710"/>
      <w:bookmarkStart w:id="1352" w:name="_Toc342296390"/>
      <w:bookmarkStart w:id="1353" w:name="_Toc152045739"/>
      <w:bookmarkStart w:id="1354" w:name="_Toc159950740"/>
      <w:r>
        <w:rPr>
          <w:rFonts w:eastAsia="黑体"/>
          <w:color w:val="auto"/>
          <w:sz w:val="24"/>
          <w:szCs w:val="20"/>
          <w:highlight w:val="none"/>
        </w:rPr>
        <w:t>19.5 承包人的进入权</w:t>
      </w:r>
      <w:bookmarkEnd w:id="1348"/>
      <w:bookmarkEnd w:id="1349"/>
      <w:bookmarkEnd w:id="1350"/>
      <w:bookmarkEnd w:id="1351"/>
      <w:bookmarkEnd w:id="1352"/>
      <w:bookmarkEnd w:id="1353"/>
      <w:bookmarkEnd w:id="1354"/>
    </w:p>
    <w:p w14:paraId="2C66F369">
      <w:pPr>
        <w:spacing w:line="400" w:lineRule="exact"/>
        <w:ind w:firstLine="420" w:firstLineChars="200"/>
        <w:rPr>
          <w:color w:val="auto"/>
          <w:highlight w:val="none"/>
        </w:rPr>
      </w:pPr>
      <w:r>
        <w:rPr>
          <w:color w:val="auto"/>
          <w:highlight w:val="none"/>
        </w:rPr>
        <w:t>缺陷责任期内承包人为缺陷修复工作需要，有权进入工程现场，但应遵守发包人的保安和保密规定。</w:t>
      </w:r>
    </w:p>
    <w:p w14:paraId="0494D532">
      <w:pPr>
        <w:keepNext/>
        <w:keepLines/>
        <w:spacing w:line="400" w:lineRule="exact"/>
        <w:outlineLvl w:val="2"/>
        <w:rPr>
          <w:rFonts w:eastAsia="黑体"/>
          <w:color w:val="auto"/>
          <w:sz w:val="24"/>
          <w:szCs w:val="20"/>
          <w:highlight w:val="none"/>
        </w:rPr>
      </w:pPr>
      <w:bookmarkStart w:id="1355" w:name="_Toc152042519"/>
      <w:bookmarkStart w:id="1356" w:name="_Toc179632758"/>
      <w:bookmarkStart w:id="1357" w:name="_Toc159950741"/>
      <w:bookmarkStart w:id="1358" w:name="_Toc144974711"/>
      <w:bookmarkStart w:id="1359" w:name="_Toc152045740"/>
      <w:bookmarkStart w:id="1360" w:name="_Toc342296391"/>
      <w:bookmarkStart w:id="1361" w:name="_Toc338944833"/>
      <w:r>
        <w:rPr>
          <w:rFonts w:eastAsia="黑体"/>
          <w:color w:val="auto"/>
          <w:sz w:val="24"/>
          <w:szCs w:val="20"/>
          <w:highlight w:val="none"/>
        </w:rPr>
        <w:t>19.6 缺陷责任期终止证书</w:t>
      </w:r>
      <w:bookmarkEnd w:id="1355"/>
      <w:bookmarkEnd w:id="1356"/>
      <w:bookmarkEnd w:id="1357"/>
      <w:bookmarkEnd w:id="1358"/>
      <w:bookmarkEnd w:id="1359"/>
      <w:bookmarkEnd w:id="1360"/>
      <w:bookmarkEnd w:id="1361"/>
    </w:p>
    <w:p w14:paraId="5CC38EAB">
      <w:pPr>
        <w:spacing w:line="400" w:lineRule="exact"/>
        <w:ind w:firstLine="420" w:firstLineChars="200"/>
        <w:rPr>
          <w:color w:val="auto"/>
          <w:highlight w:val="none"/>
        </w:rPr>
      </w:pPr>
      <w:r>
        <w:rPr>
          <w:color w:val="auto"/>
          <w:highlight w:val="none"/>
        </w:rPr>
        <w:t>在第1.1.4.5目约定的缺陷责任期，包括根据第19.3款延长的期限终止后14天内，由监理人向承包人出具经发包人签认的缺陷责任期终止证书，并退还剩余的质量保证金。</w:t>
      </w:r>
    </w:p>
    <w:p w14:paraId="5545161A">
      <w:pPr>
        <w:keepNext/>
        <w:keepLines/>
        <w:spacing w:line="400" w:lineRule="exact"/>
        <w:outlineLvl w:val="2"/>
        <w:rPr>
          <w:rFonts w:eastAsia="黑体"/>
          <w:color w:val="auto"/>
          <w:sz w:val="24"/>
          <w:szCs w:val="20"/>
          <w:highlight w:val="none"/>
        </w:rPr>
      </w:pPr>
      <w:bookmarkStart w:id="1362" w:name="_Toc159950742"/>
      <w:bookmarkStart w:id="1363" w:name="_Toc342296392"/>
      <w:bookmarkStart w:id="1364" w:name="_Toc338944834"/>
      <w:r>
        <w:rPr>
          <w:rFonts w:eastAsia="黑体"/>
          <w:color w:val="auto"/>
          <w:sz w:val="24"/>
          <w:szCs w:val="20"/>
          <w:highlight w:val="none"/>
        </w:rPr>
        <w:t>19.7 保修责任</w:t>
      </w:r>
      <w:bookmarkEnd w:id="1362"/>
      <w:bookmarkEnd w:id="1363"/>
      <w:bookmarkEnd w:id="1364"/>
    </w:p>
    <w:p w14:paraId="566DD76F">
      <w:pPr>
        <w:spacing w:line="400" w:lineRule="exact"/>
        <w:ind w:firstLine="420" w:firstLineChars="200"/>
        <w:rPr>
          <w:color w:val="auto"/>
          <w:highlight w:val="none"/>
        </w:rPr>
      </w:pPr>
      <w:r>
        <w:rPr>
          <w:color w:val="auto"/>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4EEE9E0E">
      <w:pPr>
        <w:keepNext/>
        <w:keepLines/>
        <w:spacing w:line="400" w:lineRule="exact"/>
        <w:outlineLvl w:val="1"/>
        <w:rPr>
          <w:rFonts w:eastAsia="黑体" w:cs="仿宋_GB2312"/>
          <w:color w:val="auto"/>
          <w:sz w:val="28"/>
          <w:szCs w:val="20"/>
          <w:highlight w:val="none"/>
        </w:rPr>
      </w:pPr>
      <w:bookmarkStart w:id="1365" w:name="_Toc442365633"/>
      <w:bookmarkStart w:id="1366" w:name="_Toc338944835"/>
      <w:bookmarkStart w:id="1367" w:name="_Toc448758441"/>
      <w:bookmarkStart w:id="1368" w:name="_Toc342296393"/>
      <w:bookmarkStart w:id="1369" w:name="_Toc159950743"/>
      <w:bookmarkStart w:id="1370" w:name="_Toc448758541"/>
      <w:bookmarkStart w:id="1371" w:name="_Toc469660036"/>
      <w:r>
        <w:rPr>
          <w:rFonts w:eastAsia="黑体" w:cs="仿宋_GB2312"/>
          <w:color w:val="auto"/>
          <w:sz w:val="28"/>
          <w:szCs w:val="20"/>
          <w:highlight w:val="none"/>
        </w:rPr>
        <w:t>20. 保险</w:t>
      </w:r>
      <w:bookmarkEnd w:id="1365"/>
      <w:bookmarkEnd w:id="1366"/>
      <w:bookmarkEnd w:id="1367"/>
      <w:bookmarkEnd w:id="1368"/>
      <w:bookmarkEnd w:id="1369"/>
      <w:bookmarkEnd w:id="1370"/>
      <w:bookmarkEnd w:id="1371"/>
    </w:p>
    <w:p w14:paraId="33326C08">
      <w:pPr>
        <w:keepNext/>
        <w:keepLines/>
        <w:spacing w:line="400" w:lineRule="exact"/>
        <w:outlineLvl w:val="2"/>
        <w:rPr>
          <w:rFonts w:eastAsia="黑体"/>
          <w:color w:val="auto"/>
          <w:sz w:val="24"/>
          <w:szCs w:val="20"/>
          <w:highlight w:val="none"/>
        </w:rPr>
      </w:pPr>
      <w:bookmarkStart w:id="1372" w:name="_Toc338944836"/>
      <w:bookmarkStart w:id="1373" w:name="_Toc159950744"/>
      <w:bookmarkStart w:id="1374" w:name="_Toc342296394"/>
      <w:r>
        <w:rPr>
          <w:rFonts w:eastAsia="黑体"/>
          <w:color w:val="auto"/>
          <w:sz w:val="24"/>
          <w:szCs w:val="20"/>
          <w:highlight w:val="none"/>
        </w:rPr>
        <w:t>20.1 工程保险</w:t>
      </w:r>
      <w:bookmarkEnd w:id="1372"/>
      <w:bookmarkEnd w:id="1373"/>
      <w:bookmarkEnd w:id="1374"/>
    </w:p>
    <w:p w14:paraId="30674CCB">
      <w:pPr>
        <w:spacing w:line="400" w:lineRule="exact"/>
        <w:ind w:firstLine="420" w:firstLineChars="200"/>
        <w:rPr>
          <w:color w:val="auto"/>
          <w:highlight w:val="none"/>
        </w:rPr>
      </w:pPr>
      <w:r>
        <w:rPr>
          <w:color w:val="auto"/>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5F9D214">
      <w:pPr>
        <w:keepNext/>
        <w:keepLines/>
        <w:spacing w:line="400" w:lineRule="exact"/>
        <w:outlineLvl w:val="2"/>
        <w:rPr>
          <w:rFonts w:eastAsia="黑体"/>
          <w:color w:val="auto"/>
          <w:sz w:val="24"/>
          <w:szCs w:val="20"/>
          <w:highlight w:val="none"/>
        </w:rPr>
      </w:pPr>
      <w:bookmarkStart w:id="1375" w:name="_Toc342296395"/>
      <w:bookmarkStart w:id="1376" w:name="_Toc338944837"/>
      <w:bookmarkStart w:id="1377" w:name="_Toc159950745"/>
      <w:r>
        <w:rPr>
          <w:rFonts w:eastAsia="黑体"/>
          <w:color w:val="auto"/>
          <w:sz w:val="24"/>
          <w:szCs w:val="20"/>
          <w:highlight w:val="none"/>
        </w:rPr>
        <w:t>20.2 人员工伤事故的保险</w:t>
      </w:r>
      <w:bookmarkEnd w:id="1375"/>
      <w:bookmarkEnd w:id="1376"/>
      <w:bookmarkEnd w:id="1377"/>
    </w:p>
    <w:p w14:paraId="5BFD03EF">
      <w:pPr>
        <w:spacing w:line="400" w:lineRule="exact"/>
        <w:ind w:firstLine="420" w:firstLineChars="200"/>
        <w:rPr>
          <w:rFonts w:eastAsia="Cambria"/>
          <w:color w:val="auto"/>
          <w:highlight w:val="none"/>
        </w:rPr>
      </w:pPr>
      <w:r>
        <w:rPr>
          <w:color w:val="auto"/>
          <w:highlight w:val="none"/>
        </w:rPr>
        <w:t xml:space="preserve">20.2.1 </w:t>
      </w:r>
      <w:r>
        <w:rPr>
          <w:rFonts w:hint="eastAsia" w:ascii="宋体" w:hAnsi="宋体" w:cs="宋体"/>
          <w:color w:val="auto"/>
          <w:highlight w:val="none"/>
        </w:rPr>
        <w:t>承包人员工伤事故的保险</w:t>
      </w:r>
    </w:p>
    <w:p w14:paraId="148CCA48">
      <w:pPr>
        <w:spacing w:line="400" w:lineRule="exact"/>
        <w:ind w:firstLine="420" w:firstLineChars="200"/>
        <w:rPr>
          <w:color w:val="auto"/>
          <w:highlight w:val="none"/>
        </w:rPr>
      </w:pPr>
      <w:r>
        <w:rPr>
          <w:color w:val="auto"/>
          <w:highlight w:val="none"/>
        </w:rPr>
        <w:t>承包人应依照有关法律规定参加工伤保险，为其履行合同所雇佣的全部人员，缴纳工伤保险费，并要求其分包人也进行此项保险。</w:t>
      </w:r>
    </w:p>
    <w:p w14:paraId="7838F98E">
      <w:pPr>
        <w:spacing w:line="400" w:lineRule="exact"/>
        <w:ind w:firstLine="420" w:firstLineChars="200"/>
        <w:rPr>
          <w:rFonts w:eastAsia="Cambria"/>
          <w:color w:val="auto"/>
          <w:highlight w:val="none"/>
        </w:rPr>
      </w:pPr>
      <w:r>
        <w:rPr>
          <w:color w:val="auto"/>
          <w:highlight w:val="none"/>
        </w:rPr>
        <w:t>20.2.2</w:t>
      </w:r>
      <w:r>
        <w:rPr>
          <w:rFonts w:eastAsia="Cambria"/>
          <w:color w:val="auto"/>
          <w:highlight w:val="none"/>
        </w:rPr>
        <w:t xml:space="preserve"> </w:t>
      </w:r>
      <w:r>
        <w:rPr>
          <w:rFonts w:hint="eastAsia" w:ascii="宋体" w:hAnsi="宋体" w:cs="宋体"/>
          <w:color w:val="auto"/>
          <w:highlight w:val="none"/>
        </w:rPr>
        <w:t>发包人员工伤事故的保险</w:t>
      </w:r>
    </w:p>
    <w:p w14:paraId="3CCAAEC7">
      <w:pPr>
        <w:spacing w:line="400" w:lineRule="exact"/>
        <w:ind w:firstLine="420" w:firstLineChars="200"/>
        <w:rPr>
          <w:color w:val="auto"/>
          <w:highlight w:val="none"/>
        </w:rPr>
      </w:pPr>
      <w:r>
        <w:rPr>
          <w:color w:val="auto"/>
          <w:highlight w:val="none"/>
        </w:rPr>
        <w:t>发包人应依照有关法律规定参加工伤保险，为其现场机构雇佣的全部人员，缴纳工伤保险费，并要求其监理人也进行此项保险。</w:t>
      </w:r>
    </w:p>
    <w:p w14:paraId="469FDB3D">
      <w:pPr>
        <w:keepNext/>
        <w:keepLines/>
        <w:spacing w:line="400" w:lineRule="exact"/>
        <w:outlineLvl w:val="2"/>
        <w:rPr>
          <w:rFonts w:eastAsia="黑体"/>
          <w:color w:val="auto"/>
          <w:sz w:val="24"/>
          <w:szCs w:val="20"/>
          <w:highlight w:val="none"/>
        </w:rPr>
      </w:pPr>
      <w:bookmarkStart w:id="1378" w:name="_Toc342296396"/>
      <w:bookmarkStart w:id="1379" w:name="_Toc144974716"/>
      <w:bookmarkStart w:id="1380" w:name="_Toc152045745"/>
      <w:bookmarkStart w:id="1381" w:name="_Toc152042524"/>
      <w:bookmarkStart w:id="1382" w:name="_Toc338944838"/>
      <w:bookmarkStart w:id="1383" w:name="_Toc159950746"/>
      <w:bookmarkStart w:id="1384" w:name="_Toc179632763"/>
      <w:r>
        <w:rPr>
          <w:rFonts w:eastAsia="黑体"/>
          <w:color w:val="auto"/>
          <w:sz w:val="24"/>
          <w:szCs w:val="20"/>
          <w:highlight w:val="none"/>
        </w:rPr>
        <w:t>20.3 人身意外伤害险</w:t>
      </w:r>
      <w:bookmarkEnd w:id="1378"/>
      <w:bookmarkEnd w:id="1379"/>
      <w:bookmarkEnd w:id="1380"/>
      <w:bookmarkEnd w:id="1381"/>
      <w:bookmarkEnd w:id="1382"/>
      <w:bookmarkEnd w:id="1383"/>
      <w:bookmarkEnd w:id="1384"/>
    </w:p>
    <w:p w14:paraId="7DAA8FEB">
      <w:pPr>
        <w:spacing w:line="400" w:lineRule="exact"/>
        <w:ind w:firstLine="420" w:firstLineChars="200"/>
        <w:rPr>
          <w:color w:val="auto"/>
          <w:highlight w:val="none"/>
        </w:rPr>
      </w:pPr>
      <w:r>
        <w:rPr>
          <w:color w:val="auto"/>
          <w:highlight w:val="none"/>
        </w:rPr>
        <w:t>20.3.1 发包人应在整个施工期间为其现场机构雇用的全部人员，投保人身意外伤害险，缴纳保险费，并要求其监理人也进行此项保险。</w:t>
      </w:r>
    </w:p>
    <w:p w14:paraId="136025A2">
      <w:pPr>
        <w:spacing w:line="400" w:lineRule="exact"/>
        <w:ind w:firstLine="420" w:firstLineChars="200"/>
        <w:rPr>
          <w:color w:val="auto"/>
          <w:highlight w:val="none"/>
        </w:rPr>
      </w:pPr>
      <w:r>
        <w:rPr>
          <w:color w:val="auto"/>
          <w:highlight w:val="none"/>
        </w:rPr>
        <w:t>20.3.2 承包人应在整个施工期间为其现场机构雇用的全部人员，投保人身意外伤害险，缴纳保险费，并要求其分包人也进行此项保险。</w:t>
      </w:r>
    </w:p>
    <w:p w14:paraId="6A9063AF">
      <w:pPr>
        <w:keepNext/>
        <w:keepLines/>
        <w:spacing w:line="400" w:lineRule="exact"/>
        <w:outlineLvl w:val="2"/>
        <w:rPr>
          <w:rFonts w:eastAsia="黑体"/>
          <w:color w:val="auto"/>
          <w:sz w:val="24"/>
          <w:szCs w:val="20"/>
          <w:highlight w:val="none"/>
        </w:rPr>
      </w:pPr>
      <w:bookmarkStart w:id="1385" w:name="_Toc159950747"/>
      <w:bookmarkStart w:id="1386" w:name="_Toc342296397"/>
      <w:bookmarkStart w:id="1387" w:name="_Toc338944839"/>
      <w:r>
        <w:rPr>
          <w:rFonts w:eastAsia="黑体"/>
          <w:color w:val="auto"/>
          <w:sz w:val="24"/>
          <w:szCs w:val="20"/>
          <w:highlight w:val="none"/>
        </w:rPr>
        <w:t>20.4 第三者责任险</w:t>
      </w:r>
      <w:bookmarkEnd w:id="1385"/>
      <w:bookmarkEnd w:id="1386"/>
      <w:bookmarkEnd w:id="1387"/>
    </w:p>
    <w:p w14:paraId="404D1461">
      <w:pPr>
        <w:spacing w:line="400" w:lineRule="exact"/>
        <w:ind w:firstLine="420" w:firstLineChars="200"/>
        <w:rPr>
          <w:color w:val="auto"/>
          <w:highlight w:val="none"/>
        </w:rPr>
      </w:pPr>
      <w:r>
        <w:rPr>
          <w:color w:val="auto"/>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6813A4FA">
      <w:pPr>
        <w:spacing w:line="400" w:lineRule="exact"/>
        <w:ind w:firstLine="420" w:firstLineChars="200"/>
        <w:rPr>
          <w:color w:val="auto"/>
          <w:highlight w:val="none"/>
        </w:rPr>
      </w:pPr>
      <w:r>
        <w:rPr>
          <w:color w:val="auto"/>
          <w:highlight w:val="none"/>
        </w:rPr>
        <w:t>20.4.2 在缺陷责任期终止证书颁发前，承包人应以承包人和发包人的共同名义，投保第20.4.1项约定的第三者责任险，其保险费率、保险金额等有关内容在专用合同条款中约定。</w:t>
      </w:r>
    </w:p>
    <w:p w14:paraId="54ACFF8F">
      <w:pPr>
        <w:keepNext/>
        <w:keepLines/>
        <w:spacing w:line="400" w:lineRule="exact"/>
        <w:outlineLvl w:val="2"/>
        <w:rPr>
          <w:rFonts w:eastAsia="黑体"/>
          <w:color w:val="auto"/>
          <w:sz w:val="24"/>
          <w:szCs w:val="20"/>
          <w:highlight w:val="none"/>
        </w:rPr>
      </w:pPr>
      <w:bookmarkStart w:id="1388" w:name="_Toc342296398"/>
      <w:bookmarkStart w:id="1389" w:name="_Toc338944840"/>
      <w:bookmarkStart w:id="1390" w:name="_Toc159950748"/>
      <w:r>
        <w:rPr>
          <w:rFonts w:eastAsia="黑体"/>
          <w:color w:val="auto"/>
          <w:sz w:val="24"/>
          <w:szCs w:val="20"/>
          <w:highlight w:val="none"/>
        </w:rPr>
        <w:t>20.5 其他保险</w:t>
      </w:r>
      <w:bookmarkEnd w:id="1388"/>
      <w:bookmarkEnd w:id="1389"/>
      <w:bookmarkEnd w:id="1390"/>
    </w:p>
    <w:p w14:paraId="0BD4EAA4">
      <w:pPr>
        <w:spacing w:line="400" w:lineRule="exact"/>
        <w:ind w:firstLine="420" w:firstLineChars="200"/>
        <w:rPr>
          <w:color w:val="auto"/>
          <w:highlight w:val="none"/>
        </w:rPr>
      </w:pPr>
      <w:r>
        <w:rPr>
          <w:color w:val="auto"/>
          <w:highlight w:val="none"/>
        </w:rPr>
        <w:t>除专用合同条款另有约定外，承包人应为其施工设备、进场的材料和工程设备等办理保险。</w:t>
      </w:r>
    </w:p>
    <w:p w14:paraId="023A5951">
      <w:pPr>
        <w:keepNext/>
        <w:keepLines/>
        <w:spacing w:line="400" w:lineRule="exact"/>
        <w:outlineLvl w:val="2"/>
        <w:rPr>
          <w:rFonts w:eastAsia="黑体"/>
          <w:color w:val="auto"/>
          <w:sz w:val="24"/>
          <w:szCs w:val="20"/>
          <w:highlight w:val="none"/>
        </w:rPr>
      </w:pPr>
      <w:bookmarkStart w:id="1391" w:name="_Toc338944841"/>
      <w:bookmarkStart w:id="1392" w:name="_Toc159950749"/>
      <w:bookmarkStart w:id="1393" w:name="_Toc342296399"/>
      <w:r>
        <w:rPr>
          <w:rFonts w:eastAsia="黑体"/>
          <w:color w:val="auto"/>
          <w:sz w:val="24"/>
          <w:szCs w:val="20"/>
          <w:highlight w:val="none"/>
        </w:rPr>
        <w:t>20.6 对各项保险的一般要求</w:t>
      </w:r>
      <w:bookmarkEnd w:id="1391"/>
      <w:bookmarkEnd w:id="1392"/>
      <w:bookmarkEnd w:id="1393"/>
    </w:p>
    <w:p w14:paraId="138133B2">
      <w:pPr>
        <w:spacing w:line="400" w:lineRule="exact"/>
        <w:ind w:firstLine="420" w:firstLineChars="200"/>
        <w:rPr>
          <w:color w:val="auto"/>
          <w:highlight w:val="none"/>
        </w:rPr>
      </w:pPr>
      <w:r>
        <w:rPr>
          <w:color w:val="auto"/>
          <w:highlight w:val="none"/>
        </w:rPr>
        <w:t xml:space="preserve">20.6.1 </w:t>
      </w:r>
      <w:r>
        <w:rPr>
          <w:rFonts w:hint="eastAsia" w:ascii="宋体" w:hAnsi="宋体" w:cs="宋体"/>
          <w:color w:val="auto"/>
          <w:highlight w:val="none"/>
        </w:rPr>
        <w:t>保险凭证</w:t>
      </w:r>
    </w:p>
    <w:p w14:paraId="5EA90124">
      <w:pPr>
        <w:spacing w:line="400" w:lineRule="exact"/>
        <w:ind w:firstLine="420" w:firstLineChars="200"/>
        <w:rPr>
          <w:color w:val="auto"/>
          <w:highlight w:val="none"/>
        </w:rPr>
      </w:pPr>
      <w:r>
        <w:rPr>
          <w:color w:val="auto"/>
          <w:highlight w:val="none"/>
        </w:rPr>
        <w:t>承包人应在专用合同条款约定的期限内向发包人提交各项保险生效的证据和保险单副本，保险单必须与专用合同条款约定的条件保持一致。</w:t>
      </w:r>
    </w:p>
    <w:p w14:paraId="149DABE1">
      <w:pPr>
        <w:spacing w:line="400" w:lineRule="exact"/>
        <w:ind w:firstLine="420" w:firstLineChars="200"/>
        <w:rPr>
          <w:color w:val="auto"/>
          <w:highlight w:val="none"/>
        </w:rPr>
      </w:pPr>
      <w:r>
        <w:rPr>
          <w:color w:val="auto"/>
          <w:highlight w:val="none"/>
        </w:rPr>
        <w:t xml:space="preserve">20.6.2 </w:t>
      </w:r>
      <w:r>
        <w:rPr>
          <w:rFonts w:hint="eastAsia" w:ascii="宋体" w:hAnsi="宋体" w:cs="宋体"/>
          <w:color w:val="auto"/>
          <w:highlight w:val="none"/>
        </w:rPr>
        <w:t>保险合同条款的变动</w:t>
      </w:r>
    </w:p>
    <w:p w14:paraId="7FD79C7E">
      <w:pPr>
        <w:spacing w:line="400" w:lineRule="exact"/>
        <w:ind w:firstLine="420" w:firstLineChars="200"/>
        <w:rPr>
          <w:color w:val="auto"/>
          <w:highlight w:val="none"/>
        </w:rPr>
      </w:pPr>
      <w:r>
        <w:rPr>
          <w:color w:val="auto"/>
          <w:highlight w:val="none"/>
        </w:rPr>
        <w:t>承包人需要变动保险合同条款时，应事先征得发包人同意，并通知监理人。保险人作出变动的，承包人应在收到保险人通知后立即通知发包人和监理人。</w:t>
      </w:r>
    </w:p>
    <w:p w14:paraId="0D9B921A">
      <w:pPr>
        <w:spacing w:line="400" w:lineRule="exact"/>
        <w:ind w:firstLine="420" w:firstLineChars="200"/>
        <w:rPr>
          <w:color w:val="auto"/>
          <w:highlight w:val="none"/>
        </w:rPr>
      </w:pPr>
      <w:r>
        <w:rPr>
          <w:color w:val="auto"/>
          <w:highlight w:val="none"/>
        </w:rPr>
        <w:t xml:space="preserve">20.6.3 </w:t>
      </w:r>
      <w:r>
        <w:rPr>
          <w:rFonts w:hint="eastAsia" w:ascii="宋体" w:hAnsi="宋体" w:cs="宋体"/>
          <w:color w:val="auto"/>
          <w:highlight w:val="none"/>
        </w:rPr>
        <w:t>持续保险</w:t>
      </w:r>
    </w:p>
    <w:p w14:paraId="24409A88">
      <w:pPr>
        <w:spacing w:line="400" w:lineRule="exact"/>
        <w:ind w:firstLine="420" w:firstLineChars="200"/>
        <w:rPr>
          <w:color w:val="auto"/>
          <w:highlight w:val="none"/>
        </w:rPr>
      </w:pPr>
      <w:r>
        <w:rPr>
          <w:color w:val="auto"/>
          <w:highlight w:val="none"/>
        </w:rPr>
        <w:t>承包人应与保险人保持联系，使保险人能够随时了解工程实施中的变动，并确保按保险合同条款要求持续保险。</w:t>
      </w:r>
    </w:p>
    <w:p w14:paraId="5D7517E4">
      <w:pPr>
        <w:spacing w:line="400" w:lineRule="exact"/>
        <w:ind w:firstLine="420" w:firstLineChars="200"/>
        <w:rPr>
          <w:rFonts w:eastAsia="Cambria"/>
          <w:color w:val="auto"/>
          <w:highlight w:val="none"/>
        </w:rPr>
      </w:pPr>
      <w:r>
        <w:rPr>
          <w:color w:val="auto"/>
          <w:highlight w:val="none"/>
        </w:rPr>
        <w:t xml:space="preserve">20.6.4 </w:t>
      </w:r>
      <w:r>
        <w:rPr>
          <w:rFonts w:hint="eastAsia" w:ascii="宋体" w:hAnsi="宋体" w:cs="宋体"/>
          <w:color w:val="auto"/>
          <w:highlight w:val="none"/>
        </w:rPr>
        <w:t>保险金不足的补偿</w:t>
      </w:r>
    </w:p>
    <w:p w14:paraId="7022606A">
      <w:pPr>
        <w:spacing w:line="400" w:lineRule="exact"/>
        <w:ind w:firstLine="420" w:firstLineChars="200"/>
        <w:rPr>
          <w:color w:val="auto"/>
          <w:highlight w:val="none"/>
        </w:rPr>
      </w:pPr>
      <w:r>
        <w:rPr>
          <w:color w:val="auto"/>
          <w:highlight w:val="none"/>
        </w:rPr>
        <w:t>保险金不足以补偿损失的，应由承包人和（或）发包人按合同约定负责补偿。</w:t>
      </w:r>
    </w:p>
    <w:p w14:paraId="71D9B37F">
      <w:pPr>
        <w:spacing w:line="400" w:lineRule="exact"/>
        <w:ind w:firstLine="420" w:firstLineChars="200"/>
        <w:rPr>
          <w:rFonts w:eastAsia="Cambria"/>
          <w:color w:val="auto"/>
          <w:highlight w:val="none"/>
        </w:rPr>
      </w:pPr>
      <w:r>
        <w:rPr>
          <w:color w:val="auto"/>
          <w:highlight w:val="none"/>
        </w:rPr>
        <w:t xml:space="preserve">20.6.5 </w:t>
      </w:r>
      <w:r>
        <w:rPr>
          <w:rFonts w:hint="eastAsia" w:ascii="宋体" w:hAnsi="宋体" w:cs="宋体"/>
          <w:color w:val="auto"/>
          <w:highlight w:val="none"/>
        </w:rPr>
        <w:t>未按约定投保的补救</w:t>
      </w:r>
    </w:p>
    <w:p w14:paraId="47C80C0B">
      <w:pPr>
        <w:spacing w:line="400" w:lineRule="exact"/>
        <w:ind w:firstLine="420" w:firstLineChars="200"/>
        <w:rPr>
          <w:rFonts w:eastAsia="Cambria"/>
          <w:color w:val="auto"/>
          <w:highlight w:val="none"/>
        </w:rPr>
      </w:pPr>
      <w:r>
        <w:rPr>
          <w:color w:val="auto"/>
          <w:highlight w:val="none"/>
        </w:rPr>
        <w:t>（1）由于负有投保义务的一方当事人未按合同约定办理保险，或未能使保险持续有效的，另一方当事人可代为办理，所需费用由对方当事人承担。</w:t>
      </w:r>
    </w:p>
    <w:p w14:paraId="6082D40A">
      <w:pPr>
        <w:spacing w:line="400" w:lineRule="exact"/>
        <w:ind w:firstLine="420" w:firstLineChars="200"/>
        <w:rPr>
          <w:color w:val="auto"/>
          <w:highlight w:val="none"/>
        </w:rPr>
      </w:pPr>
      <w:r>
        <w:rPr>
          <w:color w:val="auto"/>
          <w:highlight w:val="none"/>
        </w:rPr>
        <w:t>（2）由于负有投保义务的一方当事人未按合同约定办理某项保险，导致受益人未能得到保险人的赔偿，原应从该项保险得到的保险金应由负有投保义务的一方当事人支付。</w:t>
      </w:r>
    </w:p>
    <w:p w14:paraId="160D7FDE">
      <w:pPr>
        <w:spacing w:line="400" w:lineRule="exact"/>
        <w:ind w:firstLine="420" w:firstLineChars="200"/>
        <w:rPr>
          <w:rFonts w:eastAsia="Cambria"/>
          <w:color w:val="auto"/>
          <w:highlight w:val="none"/>
        </w:rPr>
      </w:pPr>
      <w:r>
        <w:rPr>
          <w:color w:val="auto"/>
          <w:highlight w:val="none"/>
        </w:rPr>
        <w:t xml:space="preserve">20.6.6 </w:t>
      </w:r>
      <w:r>
        <w:rPr>
          <w:rFonts w:hint="eastAsia" w:ascii="宋体" w:hAnsi="宋体" w:cs="宋体"/>
          <w:color w:val="auto"/>
          <w:highlight w:val="none"/>
        </w:rPr>
        <w:t>报告义务</w:t>
      </w:r>
    </w:p>
    <w:p w14:paraId="1EEF2145">
      <w:pPr>
        <w:spacing w:line="400" w:lineRule="exact"/>
        <w:ind w:firstLine="420" w:firstLineChars="200"/>
        <w:rPr>
          <w:color w:val="auto"/>
          <w:highlight w:val="none"/>
        </w:rPr>
      </w:pPr>
      <w:r>
        <w:rPr>
          <w:color w:val="auto"/>
          <w:highlight w:val="none"/>
        </w:rPr>
        <w:t>当保险事故发生时，投保人应按照保险单规定的条件和期限及时向保险人报告。</w:t>
      </w:r>
    </w:p>
    <w:p w14:paraId="56DC21B1">
      <w:pPr>
        <w:keepNext/>
        <w:keepLines/>
        <w:spacing w:line="400" w:lineRule="exact"/>
        <w:outlineLvl w:val="1"/>
        <w:rPr>
          <w:rFonts w:eastAsia="黑体" w:cs="仿宋_GB2312"/>
          <w:color w:val="auto"/>
          <w:sz w:val="28"/>
          <w:szCs w:val="20"/>
          <w:highlight w:val="none"/>
        </w:rPr>
      </w:pPr>
      <w:bookmarkStart w:id="1394" w:name="_Toc448758542"/>
      <w:bookmarkStart w:id="1395" w:name="_Toc338944842"/>
      <w:bookmarkStart w:id="1396" w:name="_Toc159950750"/>
      <w:bookmarkStart w:id="1397" w:name="_Toc448758442"/>
      <w:bookmarkStart w:id="1398" w:name="_Toc469660037"/>
      <w:bookmarkStart w:id="1399" w:name="_Toc342296400"/>
      <w:bookmarkStart w:id="1400" w:name="_Toc442365634"/>
      <w:r>
        <w:rPr>
          <w:rFonts w:eastAsia="黑体" w:cs="仿宋_GB2312"/>
          <w:color w:val="auto"/>
          <w:sz w:val="28"/>
          <w:szCs w:val="20"/>
          <w:highlight w:val="none"/>
        </w:rPr>
        <w:t>21. 不可抗力</w:t>
      </w:r>
      <w:bookmarkEnd w:id="1394"/>
      <w:bookmarkEnd w:id="1395"/>
      <w:bookmarkEnd w:id="1396"/>
      <w:bookmarkEnd w:id="1397"/>
      <w:bookmarkEnd w:id="1398"/>
      <w:bookmarkEnd w:id="1399"/>
      <w:bookmarkEnd w:id="1400"/>
    </w:p>
    <w:p w14:paraId="56056408">
      <w:pPr>
        <w:keepNext/>
        <w:keepLines/>
        <w:spacing w:line="400" w:lineRule="exact"/>
        <w:outlineLvl w:val="2"/>
        <w:rPr>
          <w:rFonts w:eastAsia="黑体"/>
          <w:color w:val="auto"/>
          <w:sz w:val="24"/>
          <w:szCs w:val="20"/>
          <w:highlight w:val="none"/>
        </w:rPr>
      </w:pPr>
      <w:bookmarkStart w:id="1401" w:name="_Toc342296401"/>
      <w:bookmarkStart w:id="1402" w:name="_Toc159950751"/>
      <w:bookmarkStart w:id="1403" w:name="_Toc338944843"/>
      <w:r>
        <w:rPr>
          <w:rFonts w:eastAsia="黑体"/>
          <w:color w:val="auto"/>
          <w:sz w:val="24"/>
          <w:szCs w:val="20"/>
          <w:highlight w:val="none"/>
        </w:rPr>
        <w:t>21.1 不可抗力的确认</w:t>
      </w:r>
      <w:bookmarkEnd w:id="1401"/>
      <w:bookmarkEnd w:id="1402"/>
      <w:bookmarkEnd w:id="1403"/>
    </w:p>
    <w:p w14:paraId="27DB73DB">
      <w:pPr>
        <w:spacing w:line="400" w:lineRule="exact"/>
        <w:ind w:firstLine="420" w:firstLineChars="200"/>
        <w:rPr>
          <w:color w:val="auto"/>
          <w:highlight w:val="none"/>
        </w:rPr>
      </w:pPr>
      <w:r>
        <w:rPr>
          <w:color w:val="auto"/>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28F85015">
      <w:pPr>
        <w:spacing w:line="400" w:lineRule="exact"/>
        <w:ind w:firstLine="420" w:firstLineChars="200"/>
        <w:rPr>
          <w:color w:val="auto"/>
          <w:highlight w:val="none"/>
        </w:rPr>
      </w:pPr>
      <w:r>
        <w:rPr>
          <w:color w:val="auto"/>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5924FFF5">
      <w:pPr>
        <w:keepNext/>
        <w:keepLines/>
        <w:spacing w:line="400" w:lineRule="exact"/>
        <w:outlineLvl w:val="2"/>
        <w:rPr>
          <w:rFonts w:eastAsia="黑体"/>
          <w:color w:val="auto"/>
          <w:sz w:val="24"/>
          <w:szCs w:val="20"/>
          <w:highlight w:val="none"/>
        </w:rPr>
      </w:pPr>
      <w:bookmarkStart w:id="1404" w:name="_Toc342296402"/>
      <w:bookmarkStart w:id="1405" w:name="_Toc159950752"/>
      <w:bookmarkStart w:id="1406" w:name="_Toc144974722"/>
      <w:bookmarkStart w:id="1407" w:name="_Toc152042530"/>
      <w:bookmarkStart w:id="1408" w:name="_Toc152045751"/>
      <w:bookmarkStart w:id="1409" w:name="_Toc179632769"/>
      <w:bookmarkStart w:id="1410" w:name="_Toc338944844"/>
      <w:r>
        <w:rPr>
          <w:rFonts w:eastAsia="黑体"/>
          <w:color w:val="auto"/>
          <w:sz w:val="24"/>
          <w:szCs w:val="20"/>
          <w:highlight w:val="none"/>
        </w:rPr>
        <w:t>21.2 不可抗力的通知</w:t>
      </w:r>
      <w:bookmarkEnd w:id="1404"/>
      <w:bookmarkEnd w:id="1405"/>
      <w:bookmarkEnd w:id="1406"/>
      <w:bookmarkEnd w:id="1407"/>
      <w:bookmarkEnd w:id="1408"/>
      <w:bookmarkEnd w:id="1409"/>
      <w:bookmarkEnd w:id="1410"/>
    </w:p>
    <w:p w14:paraId="7B7C3B08">
      <w:pPr>
        <w:spacing w:line="400" w:lineRule="exact"/>
        <w:ind w:firstLine="420" w:firstLineChars="200"/>
        <w:rPr>
          <w:color w:val="auto"/>
          <w:highlight w:val="none"/>
        </w:rPr>
      </w:pPr>
      <w:r>
        <w:rPr>
          <w:color w:val="auto"/>
          <w:highlight w:val="none"/>
        </w:rPr>
        <w:t>21.2.1 合同一方当事人遇到不可抗力事件，使其履行合同义务受到阻碍时，应立即通知合同另一方当事人和监理人，书面说明不可抗力和受阻碍的详细情况，并提供必要的证明。</w:t>
      </w:r>
    </w:p>
    <w:p w14:paraId="67F1AAB9">
      <w:pPr>
        <w:spacing w:line="400" w:lineRule="exact"/>
        <w:ind w:firstLine="420" w:firstLineChars="200"/>
        <w:rPr>
          <w:color w:val="auto"/>
          <w:highlight w:val="none"/>
        </w:rPr>
      </w:pPr>
      <w:r>
        <w:rPr>
          <w:color w:val="auto"/>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3D2F6F1F">
      <w:pPr>
        <w:keepNext/>
        <w:keepLines/>
        <w:spacing w:line="400" w:lineRule="exact"/>
        <w:outlineLvl w:val="2"/>
        <w:rPr>
          <w:rFonts w:eastAsia="黑体"/>
          <w:color w:val="auto"/>
          <w:sz w:val="24"/>
          <w:szCs w:val="20"/>
          <w:highlight w:val="none"/>
        </w:rPr>
      </w:pPr>
      <w:bookmarkStart w:id="1411" w:name="_Toc338944845"/>
      <w:bookmarkStart w:id="1412" w:name="_Toc159950753"/>
      <w:bookmarkStart w:id="1413" w:name="_Toc342296403"/>
      <w:r>
        <w:rPr>
          <w:rFonts w:eastAsia="黑体"/>
          <w:color w:val="auto"/>
          <w:sz w:val="24"/>
          <w:szCs w:val="20"/>
          <w:highlight w:val="none"/>
        </w:rPr>
        <w:t>21.3 不可抗力后果及其处理</w:t>
      </w:r>
      <w:bookmarkEnd w:id="1411"/>
      <w:bookmarkEnd w:id="1412"/>
      <w:bookmarkEnd w:id="1413"/>
    </w:p>
    <w:p w14:paraId="5FC6D206">
      <w:pPr>
        <w:spacing w:line="400" w:lineRule="exact"/>
        <w:ind w:firstLine="420" w:firstLineChars="200"/>
        <w:rPr>
          <w:color w:val="auto"/>
          <w:highlight w:val="none"/>
        </w:rPr>
      </w:pPr>
      <w:r>
        <w:rPr>
          <w:color w:val="auto"/>
          <w:highlight w:val="none"/>
        </w:rPr>
        <w:t xml:space="preserve">21.3.1 </w:t>
      </w:r>
      <w:r>
        <w:rPr>
          <w:rFonts w:hint="eastAsia" w:ascii="宋体" w:hAnsi="宋体" w:cs="宋体"/>
          <w:color w:val="auto"/>
          <w:highlight w:val="none"/>
        </w:rPr>
        <w:t>不可抗力造成损害的责任</w:t>
      </w:r>
    </w:p>
    <w:p w14:paraId="6974213F">
      <w:pPr>
        <w:spacing w:line="400" w:lineRule="exact"/>
        <w:ind w:firstLine="420" w:firstLineChars="200"/>
        <w:rPr>
          <w:color w:val="auto"/>
          <w:highlight w:val="none"/>
        </w:rPr>
      </w:pPr>
      <w:r>
        <w:rPr>
          <w:color w:val="auto"/>
          <w:highlight w:val="none"/>
        </w:rPr>
        <w:t>除专用合同条款另有约定外，不可抗力导致的人员伤亡、财产损失、费用增加和（或）工期延误等后果，由合同双方按以下原则承担：</w:t>
      </w:r>
    </w:p>
    <w:p w14:paraId="272C4B66">
      <w:pPr>
        <w:spacing w:line="400" w:lineRule="exact"/>
        <w:ind w:firstLine="718" w:firstLineChars="342"/>
        <w:rPr>
          <w:color w:val="auto"/>
          <w:highlight w:val="none"/>
        </w:rPr>
      </w:pPr>
      <w:r>
        <w:rPr>
          <w:color w:val="auto"/>
          <w:highlight w:val="none"/>
        </w:rPr>
        <w:t>（1）永久工程，包括已运至施工场地的材料和工程设备的损害，以及因工程损害造成的第三者人员伤亡和财产损失由发包人承担；</w:t>
      </w:r>
    </w:p>
    <w:p w14:paraId="695555E7">
      <w:pPr>
        <w:spacing w:line="400" w:lineRule="exact"/>
        <w:ind w:firstLine="718" w:firstLineChars="342"/>
        <w:rPr>
          <w:color w:val="auto"/>
          <w:highlight w:val="none"/>
        </w:rPr>
      </w:pPr>
      <w:r>
        <w:rPr>
          <w:color w:val="auto"/>
          <w:highlight w:val="none"/>
        </w:rPr>
        <w:t>（2）承包人设备的损坏由承包人承担；</w:t>
      </w:r>
    </w:p>
    <w:p w14:paraId="09CD748F">
      <w:pPr>
        <w:spacing w:line="400" w:lineRule="exact"/>
        <w:ind w:firstLine="718" w:firstLineChars="342"/>
        <w:rPr>
          <w:color w:val="auto"/>
          <w:highlight w:val="none"/>
        </w:rPr>
      </w:pPr>
      <w:r>
        <w:rPr>
          <w:color w:val="auto"/>
          <w:highlight w:val="none"/>
        </w:rPr>
        <w:t>（3）发包人和承包人各自承担其人员伤亡和其他财产损失及其相关费用；</w:t>
      </w:r>
    </w:p>
    <w:p w14:paraId="29FD4C2C">
      <w:pPr>
        <w:spacing w:line="400" w:lineRule="exact"/>
        <w:ind w:firstLine="718" w:firstLineChars="342"/>
        <w:rPr>
          <w:color w:val="auto"/>
          <w:highlight w:val="none"/>
        </w:rPr>
      </w:pPr>
      <w:r>
        <w:rPr>
          <w:color w:val="auto"/>
          <w:highlight w:val="none"/>
        </w:rPr>
        <w:t>（4）承包人的停工损失由承包人承担，但停工期间应监理人要求照管工程和清理、修复工程的金额由发包人承担；</w:t>
      </w:r>
    </w:p>
    <w:p w14:paraId="755FECA1">
      <w:pPr>
        <w:spacing w:line="400" w:lineRule="exact"/>
        <w:ind w:firstLine="718" w:firstLineChars="342"/>
        <w:rPr>
          <w:color w:val="auto"/>
          <w:highlight w:val="none"/>
        </w:rPr>
      </w:pPr>
      <w:r>
        <w:rPr>
          <w:color w:val="auto"/>
          <w:highlight w:val="none"/>
        </w:rPr>
        <w:t>（5）不能按期竣工的，应合理延长工期，承包人不需支付逾期竣工违约金。发包人要求赶工的，承包人应采取赶工措施，赶工费用由发包人承担。</w:t>
      </w:r>
    </w:p>
    <w:p w14:paraId="7C05C29D">
      <w:pPr>
        <w:spacing w:line="400" w:lineRule="exact"/>
        <w:ind w:firstLine="420" w:firstLineChars="200"/>
        <w:rPr>
          <w:color w:val="auto"/>
          <w:highlight w:val="none"/>
        </w:rPr>
      </w:pPr>
      <w:r>
        <w:rPr>
          <w:color w:val="auto"/>
          <w:highlight w:val="none"/>
        </w:rPr>
        <w:t xml:space="preserve">21.3.2 </w:t>
      </w:r>
      <w:r>
        <w:rPr>
          <w:rFonts w:hint="eastAsia" w:ascii="宋体" w:hAnsi="宋体" w:cs="宋体"/>
          <w:color w:val="auto"/>
          <w:highlight w:val="none"/>
        </w:rPr>
        <w:t>延迟履行期间发生的不可抗力</w:t>
      </w:r>
    </w:p>
    <w:p w14:paraId="0407F10F">
      <w:pPr>
        <w:spacing w:line="400" w:lineRule="exact"/>
        <w:ind w:firstLine="420" w:firstLineChars="200"/>
        <w:rPr>
          <w:color w:val="auto"/>
          <w:highlight w:val="none"/>
        </w:rPr>
      </w:pPr>
      <w:r>
        <w:rPr>
          <w:color w:val="auto"/>
          <w:highlight w:val="none"/>
        </w:rPr>
        <w:t>合同一方当事人延迟履行，在延迟履行期间发生不可抗力的，不免除其责任。</w:t>
      </w:r>
    </w:p>
    <w:p w14:paraId="3FB76ED7">
      <w:pPr>
        <w:spacing w:line="400" w:lineRule="exact"/>
        <w:ind w:firstLine="420" w:firstLineChars="200"/>
        <w:rPr>
          <w:color w:val="auto"/>
          <w:highlight w:val="none"/>
        </w:rPr>
      </w:pPr>
      <w:r>
        <w:rPr>
          <w:color w:val="auto"/>
          <w:highlight w:val="none"/>
        </w:rPr>
        <w:t xml:space="preserve">21.3.3 </w:t>
      </w:r>
      <w:r>
        <w:rPr>
          <w:rFonts w:hint="eastAsia" w:ascii="宋体" w:hAnsi="宋体" w:cs="宋体"/>
          <w:color w:val="auto"/>
          <w:highlight w:val="none"/>
        </w:rPr>
        <w:t>避免和减少不可抗力损失</w:t>
      </w:r>
    </w:p>
    <w:p w14:paraId="7B241641">
      <w:pPr>
        <w:spacing w:line="400" w:lineRule="exact"/>
        <w:ind w:firstLine="420" w:firstLineChars="200"/>
        <w:rPr>
          <w:color w:val="auto"/>
          <w:highlight w:val="none"/>
        </w:rPr>
      </w:pPr>
      <w:r>
        <w:rPr>
          <w:color w:val="auto"/>
          <w:highlight w:val="none"/>
        </w:rPr>
        <w:t>不可抗力发生后，发包人和承包人均应采取措施尽量避免和减少损失的扩大，任何一方没有采取有效措施导致损失扩大的，应对扩大的损失承担责任。</w:t>
      </w:r>
    </w:p>
    <w:p w14:paraId="3276A7E3">
      <w:pPr>
        <w:spacing w:line="400" w:lineRule="exact"/>
        <w:ind w:firstLine="420" w:firstLineChars="200"/>
        <w:rPr>
          <w:color w:val="auto"/>
          <w:highlight w:val="none"/>
        </w:rPr>
      </w:pPr>
      <w:r>
        <w:rPr>
          <w:color w:val="auto"/>
          <w:highlight w:val="none"/>
        </w:rPr>
        <w:t xml:space="preserve">21.3.4 </w:t>
      </w:r>
      <w:r>
        <w:rPr>
          <w:rFonts w:hint="eastAsia" w:ascii="宋体" w:hAnsi="宋体" w:cs="宋体"/>
          <w:color w:val="auto"/>
          <w:highlight w:val="none"/>
        </w:rPr>
        <w:t>因不可抗力解除合同</w:t>
      </w:r>
    </w:p>
    <w:p w14:paraId="0D137514">
      <w:pPr>
        <w:spacing w:line="400" w:lineRule="exact"/>
        <w:ind w:firstLine="420" w:firstLineChars="200"/>
        <w:rPr>
          <w:color w:val="auto"/>
          <w:highlight w:val="none"/>
        </w:rPr>
      </w:pPr>
      <w:r>
        <w:rPr>
          <w:color w:val="auto"/>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3E7F29ED">
      <w:pPr>
        <w:keepNext/>
        <w:keepLines/>
        <w:spacing w:line="400" w:lineRule="exact"/>
        <w:outlineLvl w:val="1"/>
        <w:rPr>
          <w:rFonts w:eastAsia="黑体" w:cs="仿宋_GB2312"/>
          <w:color w:val="auto"/>
          <w:sz w:val="28"/>
          <w:szCs w:val="20"/>
          <w:highlight w:val="none"/>
        </w:rPr>
      </w:pPr>
      <w:bookmarkStart w:id="1414" w:name="_Toc342296404"/>
      <w:bookmarkStart w:id="1415" w:name="_Toc442365635"/>
      <w:bookmarkStart w:id="1416" w:name="_Toc179632771"/>
      <w:bookmarkStart w:id="1417" w:name="_Toc448758543"/>
      <w:bookmarkStart w:id="1418" w:name="_Toc152045753"/>
      <w:bookmarkStart w:id="1419" w:name="_Toc152042532"/>
      <w:bookmarkStart w:id="1420" w:name="_Toc469660038"/>
      <w:bookmarkStart w:id="1421" w:name="_Toc144974724"/>
      <w:bookmarkStart w:id="1422" w:name="_Toc338944846"/>
      <w:bookmarkStart w:id="1423" w:name="_Toc448758443"/>
      <w:bookmarkStart w:id="1424" w:name="_Toc159950754"/>
      <w:r>
        <w:rPr>
          <w:rFonts w:eastAsia="黑体" w:cs="仿宋_GB2312"/>
          <w:color w:val="auto"/>
          <w:sz w:val="28"/>
          <w:szCs w:val="20"/>
          <w:highlight w:val="none"/>
        </w:rPr>
        <w:t>22. 违约</w:t>
      </w:r>
      <w:bookmarkEnd w:id="1414"/>
      <w:bookmarkEnd w:id="1415"/>
      <w:bookmarkEnd w:id="1416"/>
      <w:bookmarkEnd w:id="1417"/>
      <w:bookmarkEnd w:id="1418"/>
      <w:bookmarkEnd w:id="1419"/>
      <w:bookmarkEnd w:id="1420"/>
      <w:bookmarkEnd w:id="1421"/>
      <w:bookmarkEnd w:id="1422"/>
      <w:bookmarkEnd w:id="1423"/>
      <w:bookmarkEnd w:id="1424"/>
    </w:p>
    <w:p w14:paraId="2F7842A3">
      <w:pPr>
        <w:keepNext/>
        <w:keepLines/>
        <w:spacing w:line="400" w:lineRule="exact"/>
        <w:outlineLvl w:val="2"/>
        <w:rPr>
          <w:rFonts w:eastAsia="黑体"/>
          <w:color w:val="auto"/>
          <w:sz w:val="24"/>
          <w:szCs w:val="20"/>
          <w:highlight w:val="none"/>
        </w:rPr>
      </w:pPr>
      <w:bookmarkStart w:id="1425" w:name="_Toc144974725"/>
      <w:bookmarkStart w:id="1426" w:name="_Toc338944847"/>
      <w:bookmarkStart w:id="1427" w:name="_Toc159950755"/>
      <w:bookmarkStart w:id="1428" w:name="_Toc179632772"/>
      <w:bookmarkStart w:id="1429" w:name="_Toc152045754"/>
      <w:bookmarkStart w:id="1430" w:name="_Toc342296405"/>
      <w:bookmarkStart w:id="1431" w:name="_Toc152042533"/>
      <w:r>
        <w:rPr>
          <w:rFonts w:eastAsia="黑体"/>
          <w:color w:val="auto"/>
          <w:sz w:val="24"/>
          <w:szCs w:val="20"/>
          <w:highlight w:val="none"/>
        </w:rPr>
        <w:t>22.1 承包人违约</w:t>
      </w:r>
      <w:bookmarkEnd w:id="1425"/>
      <w:bookmarkEnd w:id="1426"/>
      <w:bookmarkEnd w:id="1427"/>
      <w:bookmarkEnd w:id="1428"/>
      <w:bookmarkEnd w:id="1429"/>
      <w:bookmarkEnd w:id="1430"/>
      <w:bookmarkEnd w:id="1431"/>
    </w:p>
    <w:p w14:paraId="33A14361">
      <w:pPr>
        <w:spacing w:line="400" w:lineRule="exact"/>
        <w:ind w:firstLine="420" w:firstLineChars="200"/>
        <w:rPr>
          <w:color w:val="auto"/>
          <w:highlight w:val="none"/>
        </w:rPr>
      </w:pPr>
      <w:r>
        <w:rPr>
          <w:color w:val="auto"/>
          <w:highlight w:val="none"/>
        </w:rPr>
        <w:t>22.1.1</w:t>
      </w:r>
      <w:r>
        <w:rPr>
          <w:rFonts w:eastAsia="Cambria"/>
          <w:color w:val="auto"/>
          <w:highlight w:val="none"/>
        </w:rPr>
        <w:t xml:space="preserve"> </w:t>
      </w:r>
      <w:r>
        <w:rPr>
          <w:rFonts w:hint="eastAsia" w:ascii="宋体" w:hAnsi="宋体" w:cs="宋体"/>
          <w:color w:val="auto"/>
          <w:highlight w:val="none"/>
        </w:rPr>
        <w:t>承包人违约的情形</w:t>
      </w:r>
    </w:p>
    <w:p w14:paraId="4CA2A3C0">
      <w:pPr>
        <w:spacing w:line="400" w:lineRule="exact"/>
        <w:ind w:firstLine="420" w:firstLineChars="200"/>
        <w:rPr>
          <w:color w:val="auto"/>
          <w:highlight w:val="none"/>
        </w:rPr>
      </w:pPr>
      <w:r>
        <w:rPr>
          <w:color w:val="auto"/>
          <w:highlight w:val="none"/>
        </w:rPr>
        <w:t>在履行合同过程中发生的下列情况属承包人违约：</w:t>
      </w:r>
    </w:p>
    <w:p w14:paraId="1670C97B">
      <w:pPr>
        <w:spacing w:line="400" w:lineRule="exact"/>
        <w:ind w:firstLine="718" w:firstLineChars="342"/>
        <w:rPr>
          <w:color w:val="auto"/>
          <w:highlight w:val="none"/>
        </w:rPr>
      </w:pPr>
      <w:r>
        <w:rPr>
          <w:color w:val="auto"/>
          <w:highlight w:val="none"/>
        </w:rPr>
        <w:t>（1）承包人违反第1.8款或第4.3款的约定，私自将合同的全部或部分权利转让给其他人，或私自将合同的全部或部分义务转移给其他人；</w:t>
      </w:r>
    </w:p>
    <w:p w14:paraId="7FEE2728">
      <w:pPr>
        <w:spacing w:line="400" w:lineRule="exact"/>
        <w:ind w:firstLine="718" w:firstLineChars="342"/>
        <w:rPr>
          <w:color w:val="auto"/>
          <w:highlight w:val="none"/>
        </w:rPr>
      </w:pPr>
      <w:r>
        <w:rPr>
          <w:color w:val="auto"/>
          <w:highlight w:val="none"/>
        </w:rPr>
        <w:t>（2）承包人违反第5.3款或第6.4款的约定，未经监理人批准，私自将已按合同约定进入施工场地的施工设备、临时设施或材料撤离施工场地；</w:t>
      </w:r>
    </w:p>
    <w:p w14:paraId="6E612190">
      <w:pPr>
        <w:spacing w:line="400" w:lineRule="exact"/>
        <w:ind w:firstLine="718" w:firstLineChars="342"/>
        <w:rPr>
          <w:color w:val="auto"/>
          <w:highlight w:val="none"/>
        </w:rPr>
      </w:pPr>
      <w:r>
        <w:rPr>
          <w:color w:val="auto"/>
          <w:highlight w:val="none"/>
        </w:rPr>
        <w:t>（3）承包人违反第5.4款的约定使用了不合格材料或工程设备，工程质量达不到标准要求，又拒绝清除不合格工程；</w:t>
      </w:r>
    </w:p>
    <w:p w14:paraId="1F519138">
      <w:pPr>
        <w:spacing w:line="400" w:lineRule="exact"/>
        <w:ind w:firstLine="718" w:firstLineChars="342"/>
        <w:rPr>
          <w:color w:val="auto"/>
          <w:highlight w:val="none"/>
        </w:rPr>
      </w:pPr>
      <w:r>
        <w:rPr>
          <w:color w:val="auto"/>
          <w:highlight w:val="none"/>
        </w:rPr>
        <w:t>（4）承包人未能按合同进度计划及时完成合同约定的工作，已造成或预期造成工期延误；</w:t>
      </w:r>
    </w:p>
    <w:p w14:paraId="173CC738">
      <w:pPr>
        <w:spacing w:line="400" w:lineRule="exact"/>
        <w:ind w:firstLine="718" w:firstLineChars="342"/>
        <w:rPr>
          <w:color w:val="auto"/>
          <w:highlight w:val="none"/>
        </w:rPr>
      </w:pPr>
      <w:r>
        <w:rPr>
          <w:color w:val="auto"/>
          <w:highlight w:val="none"/>
        </w:rPr>
        <w:t>（5）承包人在缺陷责任期内，未能对工程接收证书所列的缺陷清单的内容或缺陷责任期内发生的缺陷进行修复，而又拒绝按监理人指示再进行修补；</w:t>
      </w:r>
    </w:p>
    <w:p w14:paraId="11B379D3">
      <w:pPr>
        <w:spacing w:line="400" w:lineRule="exact"/>
        <w:ind w:firstLine="718" w:firstLineChars="342"/>
        <w:rPr>
          <w:color w:val="auto"/>
          <w:highlight w:val="none"/>
        </w:rPr>
      </w:pPr>
      <w:r>
        <w:rPr>
          <w:color w:val="auto"/>
          <w:highlight w:val="none"/>
        </w:rPr>
        <w:t>（6）承包人无法继续履行或明确表示不履行或实质上已停止履行合同；</w:t>
      </w:r>
    </w:p>
    <w:p w14:paraId="2D555C42">
      <w:pPr>
        <w:spacing w:line="400" w:lineRule="exact"/>
        <w:ind w:firstLine="718" w:firstLineChars="342"/>
        <w:rPr>
          <w:color w:val="auto"/>
          <w:highlight w:val="none"/>
        </w:rPr>
      </w:pPr>
      <w:r>
        <w:rPr>
          <w:color w:val="auto"/>
          <w:highlight w:val="none"/>
        </w:rPr>
        <w:t>（7）承包人不按合同约定履行义务的其他情况。</w:t>
      </w:r>
    </w:p>
    <w:p w14:paraId="3EC12A31">
      <w:pPr>
        <w:spacing w:line="400" w:lineRule="exact"/>
        <w:ind w:firstLine="420" w:firstLineChars="200"/>
        <w:rPr>
          <w:rFonts w:eastAsia="Cambria"/>
          <w:color w:val="auto"/>
          <w:highlight w:val="none"/>
        </w:rPr>
      </w:pPr>
      <w:r>
        <w:rPr>
          <w:color w:val="auto"/>
          <w:highlight w:val="none"/>
        </w:rPr>
        <w:t>22.1.2</w:t>
      </w:r>
      <w:r>
        <w:rPr>
          <w:rFonts w:eastAsia="Cambria"/>
          <w:color w:val="auto"/>
          <w:highlight w:val="none"/>
        </w:rPr>
        <w:t xml:space="preserve"> </w:t>
      </w:r>
      <w:r>
        <w:rPr>
          <w:rFonts w:hint="eastAsia" w:ascii="宋体" w:hAnsi="宋体" w:cs="宋体"/>
          <w:color w:val="auto"/>
          <w:highlight w:val="none"/>
        </w:rPr>
        <w:t>对承包人违约的处理</w:t>
      </w:r>
    </w:p>
    <w:p w14:paraId="137C67F4">
      <w:pPr>
        <w:spacing w:line="400" w:lineRule="exact"/>
        <w:ind w:firstLine="718" w:firstLineChars="342"/>
        <w:rPr>
          <w:color w:val="auto"/>
          <w:highlight w:val="none"/>
        </w:rPr>
      </w:pPr>
      <w:r>
        <w:rPr>
          <w:color w:val="auto"/>
          <w:highlight w:val="none"/>
        </w:rPr>
        <w:t>（1）承包人发生第22.1.1（6）目约定的违约情况时，发包人可通知承包人立即解除合同，并按有关法律处理。</w:t>
      </w:r>
    </w:p>
    <w:p w14:paraId="26ACC06D">
      <w:pPr>
        <w:spacing w:line="400" w:lineRule="exact"/>
        <w:ind w:firstLine="718" w:firstLineChars="342"/>
        <w:rPr>
          <w:color w:val="auto"/>
          <w:highlight w:val="none"/>
        </w:rPr>
      </w:pPr>
      <w:r>
        <w:rPr>
          <w:color w:val="auto"/>
          <w:highlight w:val="none"/>
        </w:rPr>
        <w:t>（2）承包人发生除第22.1.1（6）目约定以外的其他违约情况时，监理人可向承包人发出整改通知，要求其在指定的期限内改正。承包人应承担其违约所引起的费用增加和（或）工期延误。</w:t>
      </w:r>
    </w:p>
    <w:p w14:paraId="4C5EE5B2">
      <w:pPr>
        <w:spacing w:line="400" w:lineRule="exact"/>
        <w:ind w:firstLine="718" w:firstLineChars="342"/>
        <w:rPr>
          <w:color w:val="auto"/>
          <w:highlight w:val="none"/>
        </w:rPr>
      </w:pPr>
      <w:r>
        <w:rPr>
          <w:color w:val="auto"/>
          <w:highlight w:val="none"/>
        </w:rPr>
        <w:t>（3）经检查证明承包人已采取了有效措施纠正违约行为，具备复工条件的，可由监理人签发复工通知复工。</w:t>
      </w:r>
    </w:p>
    <w:p w14:paraId="6F9EBE2B">
      <w:pPr>
        <w:spacing w:line="400" w:lineRule="exact"/>
        <w:ind w:firstLine="420" w:firstLineChars="200"/>
        <w:rPr>
          <w:rFonts w:eastAsia="Cambria"/>
          <w:color w:val="auto"/>
          <w:highlight w:val="none"/>
        </w:rPr>
      </w:pPr>
      <w:r>
        <w:rPr>
          <w:color w:val="auto"/>
          <w:highlight w:val="none"/>
        </w:rPr>
        <w:t>22.1.3</w:t>
      </w:r>
      <w:r>
        <w:rPr>
          <w:rFonts w:eastAsia="Cambria"/>
          <w:color w:val="auto"/>
          <w:highlight w:val="none"/>
        </w:rPr>
        <w:t xml:space="preserve"> </w:t>
      </w:r>
      <w:r>
        <w:rPr>
          <w:rFonts w:hint="eastAsia" w:ascii="宋体" w:hAnsi="宋体" w:cs="宋体"/>
          <w:color w:val="auto"/>
          <w:highlight w:val="none"/>
        </w:rPr>
        <w:t>承包人违约解除合同</w:t>
      </w:r>
    </w:p>
    <w:p w14:paraId="37F27607">
      <w:pPr>
        <w:spacing w:line="400" w:lineRule="exact"/>
        <w:ind w:firstLine="420" w:firstLineChars="200"/>
        <w:rPr>
          <w:color w:val="auto"/>
          <w:highlight w:val="none"/>
        </w:rPr>
      </w:pPr>
      <w:r>
        <w:rPr>
          <w:color w:val="auto"/>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6BA6AE80">
      <w:pPr>
        <w:spacing w:line="400" w:lineRule="exact"/>
        <w:ind w:firstLine="420" w:firstLineChars="200"/>
        <w:rPr>
          <w:rFonts w:eastAsia="Cambria"/>
          <w:color w:val="auto"/>
          <w:highlight w:val="none"/>
        </w:rPr>
      </w:pPr>
      <w:r>
        <w:rPr>
          <w:color w:val="auto"/>
          <w:highlight w:val="none"/>
        </w:rPr>
        <w:t>22.1.4</w:t>
      </w:r>
      <w:r>
        <w:rPr>
          <w:rFonts w:eastAsia="Cambria"/>
          <w:color w:val="auto"/>
          <w:highlight w:val="none"/>
        </w:rPr>
        <w:t xml:space="preserve"> </w:t>
      </w:r>
      <w:r>
        <w:rPr>
          <w:rFonts w:hint="eastAsia" w:ascii="宋体" w:hAnsi="宋体" w:cs="宋体"/>
          <w:color w:val="auto"/>
          <w:highlight w:val="none"/>
        </w:rPr>
        <w:t>合同解除后的估价、付款和结清</w:t>
      </w:r>
    </w:p>
    <w:p w14:paraId="74815B09">
      <w:pPr>
        <w:spacing w:line="400" w:lineRule="exact"/>
        <w:ind w:firstLine="718" w:firstLineChars="342"/>
        <w:rPr>
          <w:color w:val="auto"/>
          <w:highlight w:val="none"/>
        </w:rPr>
      </w:pPr>
      <w:r>
        <w:rPr>
          <w:color w:val="auto"/>
          <w:highlight w:val="none"/>
        </w:rPr>
        <w:t xml:space="preserve">（1）合同解除后，监理人按第3.5款商定或确定承包人实际完成工作的价值，以及承包人已提供的材料、施工设备、工程设备和临时工程等的价值。 </w:t>
      </w:r>
    </w:p>
    <w:p w14:paraId="218E4FE6">
      <w:pPr>
        <w:spacing w:line="400" w:lineRule="exact"/>
        <w:ind w:firstLine="718" w:firstLineChars="342"/>
        <w:rPr>
          <w:color w:val="auto"/>
          <w:highlight w:val="none"/>
        </w:rPr>
      </w:pPr>
      <w:r>
        <w:rPr>
          <w:color w:val="auto"/>
          <w:highlight w:val="none"/>
        </w:rPr>
        <w:t xml:space="preserve">（2）合同解除后，发包人应暂停对承包人的一切付款，查清各项付款和已扣款金额，包括承包人应支付的违约金。 </w:t>
      </w:r>
    </w:p>
    <w:p w14:paraId="6B9BE61F">
      <w:pPr>
        <w:spacing w:line="400" w:lineRule="exact"/>
        <w:ind w:firstLine="718" w:firstLineChars="342"/>
        <w:rPr>
          <w:color w:val="auto"/>
          <w:highlight w:val="none"/>
        </w:rPr>
      </w:pPr>
      <w:r>
        <w:rPr>
          <w:color w:val="auto"/>
          <w:highlight w:val="none"/>
        </w:rPr>
        <w:t>（3）合同解除后，发包人应按第23.4款的约定向承包人索赔由于解除合同给发包人造成的损失。</w:t>
      </w:r>
    </w:p>
    <w:p w14:paraId="56D81C9C">
      <w:pPr>
        <w:spacing w:line="400" w:lineRule="exact"/>
        <w:ind w:firstLine="718" w:firstLineChars="342"/>
        <w:rPr>
          <w:color w:val="auto"/>
          <w:highlight w:val="none"/>
        </w:rPr>
      </w:pPr>
      <w:r>
        <w:rPr>
          <w:color w:val="auto"/>
          <w:highlight w:val="none"/>
        </w:rPr>
        <w:t>（4）合同双方确认上述往来款项后，出具最终结清付款证书，结清全部合同款项。</w:t>
      </w:r>
    </w:p>
    <w:p w14:paraId="3BCE757F">
      <w:pPr>
        <w:spacing w:line="400" w:lineRule="exact"/>
        <w:ind w:firstLine="718" w:firstLineChars="342"/>
        <w:rPr>
          <w:color w:val="auto"/>
          <w:highlight w:val="none"/>
        </w:rPr>
      </w:pPr>
      <w:r>
        <w:rPr>
          <w:color w:val="auto"/>
          <w:highlight w:val="none"/>
        </w:rPr>
        <w:t>（5）发包人和承包人未能就解除合同后的结清达成一致而形成争议的，按第24条的约定办理。</w:t>
      </w:r>
    </w:p>
    <w:p w14:paraId="7A7E6765">
      <w:pPr>
        <w:spacing w:line="400" w:lineRule="exact"/>
        <w:ind w:firstLine="420" w:firstLineChars="200"/>
        <w:rPr>
          <w:rFonts w:eastAsia="Cambria"/>
          <w:color w:val="auto"/>
          <w:highlight w:val="none"/>
        </w:rPr>
      </w:pPr>
      <w:r>
        <w:rPr>
          <w:color w:val="auto"/>
          <w:highlight w:val="none"/>
        </w:rPr>
        <w:t>22.1.5</w:t>
      </w:r>
      <w:r>
        <w:rPr>
          <w:rFonts w:eastAsia="Cambria"/>
          <w:color w:val="auto"/>
          <w:highlight w:val="none"/>
        </w:rPr>
        <w:t xml:space="preserve"> </w:t>
      </w:r>
      <w:r>
        <w:rPr>
          <w:rFonts w:hint="eastAsia" w:ascii="宋体" w:hAnsi="宋体" w:cs="宋体"/>
          <w:color w:val="auto"/>
          <w:highlight w:val="none"/>
        </w:rPr>
        <w:t>协议利益的转让</w:t>
      </w:r>
    </w:p>
    <w:p w14:paraId="5E517ADC">
      <w:pPr>
        <w:spacing w:line="400" w:lineRule="exact"/>
        <w:ind w:firstLine="420" w:firstLineChars="200"/>
        <w:rPr>
          <w:color w:val="auto"/>
          <w:highlight w:val="none"/>
        </w:rPr>
      </w:pPr>
      <w:r>
        <w:rPr>
          <w:color w:val="auto"/>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76E33CC9">
      <w:pPr>
        <w:spacing w:line="400" w:lineRule="exact"/>
        <w:ind w:firstLine="420" w:firstLineChars="200"/>
        <w:rPr>
          <w:rFonts w:eastAsia="Cambria"/>
          <w:color w:val="auto"/>
          <w:highlight w:val="none"/>
        </w:rPr>
      </w:pPr>
      <w:r>
        <w:rPr>
          <w:color w:val="auto"/>
          <w:highlight w:val="none"/>
        </w:rPr>
        <w:t>22.1.6</w:t>
      </w:r>
      <w:r>
        <w:rPr>
          <w:rFonts w:eastAsia="Cambria"/>
          <w:color w:val="auto"/>
          <w:highlight w:val="none"/>
        </w:rPr>
        <w:t xml:space="preserve"> </w:t>
      </w:r>
      <w:r>
        <w:rPr>
          <w:rFonts w:hint="eastAsia" w:ascii="宋体" w:hAnsi="宋体" w:cs="宋体"/>
          <w:color w:val="auto"/>
          <w:highlight w:val="none"/>
        </w:rPr>
        <w:t>紧急情况下无能力或不愿进行抢救</w:t>
      </w:r>
    </w:p>
    <w:p w14:paraId="069FD652">
      <w:pPr>
        <w:spacing w:line="400" w:lineRule="exact"/>
        <w:ind w:firstLine="420" w:firstLineChars="200"/>
        <w:rPr>
          <w:color w:val="auto"/>
          <w:highlight w:val="none"/>
        </w:rPr>
      </w:pPr>
      <w:r>
        <w:rPr>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3CEDBF76">
      <w:pPr>
        <w:keepNext/>
        <w:keepLines/>
        <w:spacing w:line="400" w:lineRule="exact"/>
        <w:outlineLvl w:val="2"/>
        <w:rPr>
          <w:rFonts w:eastAsia="黑体"/>
          <w:color w:val="auto"/>
          <w:sz w:val="24"/>
          <w:szCs w:val="20"/>
          <w:highlight w:val="none"/>
        </w:rPr>
      </w:pPr>
      <w:bookmarkStart w:id="1432" w:name="_Toc338944848"/>
      <w:bookmarkStart w:id="1433" w:name="_Toc144974726"/>
      <w:bookmarkStart w:id="1434" w:name="_Toc159950756"/>
      <w:bookmarkStart w:id="1435" w:name="_Toc152045755"/>
      <w:bookmarkStart w:id="1436" w:name="_Toc342296406"/>
      <w:bookmarkStart w:id="1437" w:name="_Toc152042534"/>
      <w:bookmarkStart w:id="1438" w:name="_Toc179632773"/>
      <w:r>
        <w:rPr>
          <w:rFonts w:eastAsia="黑体"/>
          <w:color w:val="auto"/>
          <w:sz w:val="24"/>
          <w:szCs w:val="20"/>
          <w:highlight w:val="none"/>
        </w:rPr>
        <w:t>22.2 发包人违约</w:t>
      </w:r>
      <w:bookmarkEnd w:id="1432"/>
      <w:bookmarkEnd w:id="1433"/>
      <w:bookmarkEnd w:id="1434"/>
      <w:bookmarkEnd w:id="1435"/>
      <w:bookmarkEnd w:id="1436"/>
      <w:bookmarkEnd w:id="1437"/>
      <w:bookmarkEnd w:id="1438"/>
    </w:p>
    <w:p w14:paraId="07D6EA23">
      <w:pPr>
        <w:spacing w:line="400" w:lineRule="exact"/>
        <w:ind w:firstLine="420" w:firstLineChars="200"/>
        <w:rPr>
          <w:rFonts w:eastAsia="Cambria"/>
          <w:color w:val="auto"/>
          <w:highlight w:val="none"/>
        </w:rPr>
      </w:pPr>
      <w:r>
        <w:rPr>
          <w:color w:val="auto"/>
          <w:highlight w:val="none"/>
        </w:rPr>
        <w:t xml:space="preserve">22.2.1 </w:t>
      </w:r>
      <w:r>
        <w:rPr>
          <w:rFonts w:hint="eastAsia" w:ascii="宋体" w:hAnsi="宋体" w:cs="宋体"/>
          <w:color w:val="auto"/>
          <w:highlight w:val="none"/>
        </w:rPr>
        <w:t>发包人违约的情形</w:t>
      </w:r>
    </w:p>
    <w:p w14:paraId="5AE0F324">
      <w:pPr>
        <w:spacing w:line="400" w:lineRule="exact"/>
        <w:ind w:firstLine="420" w:firstLineChars="200"/>
        <w:rPr>
          <w:color w:val="auto"/>
          <w:highlight w:val="none"/>
        </w:rPr>
      </w:pPr>
      <w:r>
        <w:rPr>
          <w:color w:val="auto"/>
          <w:highlight w:val="none"/>
        </w:rPr>
        <w:t>在履行合同过程中发生的下列情形，属发包人违约：</w:t>
      </w:r>
    </w:p>
    <w:p w14:paraId="02DC8F4A">
      <w:pPr>
        <w:spacing w:line="400" w:lineRule="exact"/>
        <w:ind w:firstLine="718" w:firstLineChars="342"/>
        <w:rPr>
          <w:color w:val="auto"/>
          <w:highlight w:val="none"/>
        </w:rPr>
      </w:pPr>
      <w:r>
        <w:rPr>
          <w:color w:val="auto"/>
          <w:highlight w:val="none"/>
        </w:rPr>
        <w:t>（1）发包人未能按合同约定支付预付款或合同价款，或拖延、拒绝批准付款申请和支付凭证，导致付款延误的；</w:t>
      </w:r>
    </w:p>
    <w:p w14:paraId="6271A9E0">
      <w:pPr>
        <w:spacing w:line="400" w:lineRule="exact"/>
        <w:ind w:firstLine="718" w:firstLineChars="342"/>
        <w:rPr>
          <w:color w:val="auto"/>
          <w:highlight w:val="none"/>
        </w:rPr>
      </w:pPr>
      <w:r>
        <w:rPr>
          <w:color w:val="auto"/>
          <w:highlight w:val="none"/>
        </w:rPr>
        <w:t>（2）发包人原因造成停工的；</w:t>
      </w:r>
    </w:p>
    <w:p w14:paraId="3D8EE5B9">
      <w:pPr>
        <w:spacing w:line="400" w:lineRule="exact"/>
        <w:ind w:firstLine="718" w:firstLineChars="342"/>
        <w:rPr>
          <w:color w:val="auto"/>
          <w:highlight w:val="none"/>
        </w:rPr>
      </w:pPr>
      <w:r>
        <w:rPr>
          <w:color w:val="auto"/>
          <w:highlight w:val="none"/>
        </w:rPr>
        <w:t>（3）监理人无正当理由没有在约定期限内发出复工指示，导致承包人无法复工的；</w:t>
      </w:r>
    </w:p>
    <w:p w14:paraId="2E0FB18A">
      <w:pPr>
        <w:spacing w:line="400" w:lineRule="exact"/>
        <w:ind w:firstLine="718" w:firstLineChars="342"/>
        <w:rPr>
          <w:color w:val="auto"/>
          <w:highlight w:val="none"/>
        </w:rPr>
      </w:pPr>
      <w:r>
        <w:rPr>
          <w:color w:val="auto"/>
          <w:highlight w:val="none"/>
        </w:rPr>
        <w:t>（4）发包人无法继续履行或明确表示不履行或实质上已停止履行合同的；</w:t>
      </w:r>
    </w:p>
    <w:p w14:paraId="2B1AD1FA">
      <w:pPr>
        <w:spacing w:line="400" w:lineRule="exact"/>
        <w:ind w:firstLine="718" w:firstLineChars="342"/>
        <w:rPr>
          <w:color w:val="auto"/>
          <w:highlight w:val="none"/>
        </w:rPr>
      </w:pPr>
      <w:r>
        <w:rPr>
          <w:color w:val="auto"/>
          <w:highlight w:val="none"/>
        </w:rPr>
        <w:t>（5）发包人不履行合同约定其他义务的。</w:t>
      </w:r>
    </w:p>
    <w:p w14:paraId="3EF62B4D">
      <w:pPr>
        <w:spacing w:line="400" w:lineRule="exact"/>
        <w:ind w:firstLine="420" w:firstLineChars="200"/>
        <w:rPr>
          <w:color w:val="auto"/>
          <w:highlight w:val="none"/>
        </w:rPr>
      </w:pPr>
      <w:r>
        <w:rPr>
          <w:color w:val="auto"/>
          <w:highlight w:val="none"/>
        </w:rPr>
        <w:t>22.2.2</w:t>
      </w:r>
      <w:r>
        <w:rPr>
          <w:rFonts w:eastAsia="Cambria"/>
          <w:color w:val="auto"/>
          <w:highlight w:val="none"/>
        </w:rPr>
        <w:t xml:space="preserve"> </w:t>
      </w:r>
      <w:r>
        <w:rPr>
          <w:rFonts w:hint="eastAsia" w:ascii="宋体" w:hAnsi="宋体" w:cs="宋体"/>
          <w:color w:val="auto"/>
          <w:highlight w:val="none"/>
        </w:rPr>
        <w:t>承包人有权暂停施工</w:t>
      </w:r>
    </w:p>
    <w:p w14:paraId="04E80DC1">
      <w:pPr>
        <w:spacing w:line="400" w:lineRule="exact"/>
        <w:ind w:firstLine="420" w:firstLineChars="200"/>
        <w:rPr>
          <w:color w:val="auto"/>
          <w:highlight w:val="none"/>
        </w:rPr>
      </w:pPr>
      <w:r>
        <w:rPr>
          <w:color w:val="auto"/>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564645A">
      <w:pPr>
        <w:spacing w:line="400" w:lineRule="exact"/>
        <w:ind w:firstLine="420" w:firstLineChars="200"/>
        <w:rPr>
          <w:color w:val="auto"/>
          <w:highlight w:val="none"/>
        </w:rPr>
      </w:pPr>
      <w:r>
        <w:rPr>
          <w:color w:val="auto"/>
          <w:highlight w:val="none"/>
        </w:rPr>
        <w:t>22.2.3</w:t>
      </w:r>
      <w:r>
        <w:rPr>
          <w:rFonts w:eastAsia="Cambria"/>
          <w:color w:val="auto"/>
          <w:highlight w:val="none"/>
        </w:rPr>
        <w:t xml:space="preserve"> </w:t>
      </w:r>
      <w:r>
        <w:rPr>
          <w:rFonts w:hint="eastAsia" w:ascii="宋体" w:hAnsi="宋体" w:cs="宋体"/>
          <w:color w:val="auto"/>
          <w:highlight w:val="none"/>
        </w:rPr>
        <w:t>发包人违约解除合同</w:t>
      </w:r>
      <w:r>
        <w:rPr>
          <w:color w:val="auto"/>
          <w:highlight w:val="none"/>
        </w:rPr>
        <w:t xml:space="preserve"> </w:t>
      </w:r>
    </w:p>
    <w:p w14:paraId="076AB63A">
      <w:pPr>
        <w:spacing w:line="400" w:lineRule="exact"/>
        <w:ind w:firstLine="718" w:firstLineChars="342"/>
        <w:rPr>
          <w:color w:val="auto"/>
          <w:highlight w:val="none"/>
        </w:rPr>
      </w:pPr>
      <w:r>
        <w:rPr>
          <w:color w:val="auto"/>
          <w:highlight w:val="none"/>
        </w:rPr>
        <w:t xml:space="preserve">（1）发生第22.2.1（4）目的违约情况时，承包人可书面通知发包人解除合同。   </w:t>
      </w:r>
    </w:p>
    <w:p w14:paraId="23DD8745">
      <w:pPr>
        <w:spacing w:line="400" w:lineRule="exact"/>
        <w:ind w:firstLine="718" w:firstLineChars="342"/>
        <w:rPr>
          <w:color w:val="auto"/>
          <w:highlight w:val="none"/>
        </w:rPr>
      </w:pPr>
      <w:r>
        <w:rPr>
          <w:color w:val="auto"/>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049B1E63">
      <w:pPr>
        <w:spacing w:line="400" w:lineRule="exact"/>
        <w:ind w:firstLine="420" w:firstLineChars="200"/>
        <w:rPr>
          <w:rFonts w:eastAsia="Cambria"/>
          <w:color w:val="auto"/>
          <w:highlight w:val="none"/>
        </w:rPr>
      </w:pPr>
      <w:r>
        <w:rPr>
          <w:color w:val="auto"/>
          <w:highlight w:val="none"/>
        </w:rPr>
        <w:t>22.2.4</w:t>
      </w:r>
      <w:r>
        <w:rPr>
          <w:rFonts w:eastAsia="Cambria"/>
          <w:color w:val="auto"/>
          <w:highlight w:val="none"/>
        </w:rPr>
        <w:t xml:space="preserve"> </w:t>
      </w:r>
      <w:r>
        <w:rPr>
          <w:rFonts w:hint="eastAsia" w:ascii="宋体" w:hAnsi="宋体" w:cs="宋体"/>
          <w:color w:val="auto"/>
          <w:highlight w:val="none"/>
        </w:rPr>
        <w:t>解除合同后的付款</w:t>
      </w:r>
    </w:p>
    <w:p w14:paraId="4DE977E8">
      <w:pPr>
        <w:spacing w:line="400" w:lineRule="exact"/>
        <w:ind w:firstLine="420" w:firstLineChars="200"/>
        <w:rPr>
          <w:color w:val="auto"/>
          <w:highlight w:val="none"/>
        </w:rPr>
      </w:pPr>
      <w:r>
        <w:rPr>
          <w:color w:val="auto"/>
          <w:highlight w:val="none"/>
        </w:rPr>
        <w:t>因发包人违约解除合同的，发包人应在解除合同后28天内向承包人支付下列金额，承包人应在此期限内及时向发包人提交要求支付下列金额的有关资料和凭证：</w:t>
      </w:r>
    </w:p>
    <w:p w14:paraId="10A9E51D">
      <w:pPr>
        <w:spacing w:line="400" w:lineRule="exact"/>
        <w:ind w:firstLine="718" w:firstLineChars="342"/>
        <w:rPr>
          <w:color w:val="auto"/>
          <w:highlight w:val="none"/>
        </w:rPr>
      </w:pPr>
      <w:r>
        <w:rPr>
          <w:color w:val="auto"/>
          <w:highlight w:val="none"/>
        </w:rPr>
        <w:t>（1）合同解除日以前所完成工作的价款；</w:t>
      </w:r>
    </w:p>
    <w:p w14:paraId="60C7373D">
      <w:pPr>
        <w:spacing w:line="400" w:lineRule="exact"/>
        <w:ind w:firstLine="718" w:firstLineChars="342"/>
        <w:rPr>
          <w:color w:val="auto"/>
          <w:highlight w:val="none"/>
        </w:rPr>
      </w:pPr>
      <w:r>
        <w:rPr>
          <w:color w:val="auto"/>
          <w:highlight w:val="none"/>
        </w:rPr>
        <w:t>（2）承包人为该工程施工订购并已付款的材料、工程设备和其他物品的金额。发包人付还后，该材料、工程设备和其他物品归发包人所有；</w:t>
      </w:r>
    </w:p>
    <w:p w14:paraId="559F17B8">
      <w:pPr>
        <w:spacing w:line="400" w:lineRule="exact"/>
        <w:ind w:firstLine="718" w:firstLineChars="342"/>
        <w:rPr>
          <w:color w:val="auto"/>
          <w:highlight w:val="none"/>
        </w:rPr>
      </w:pPr>
      <w:r>
        <w:rPr>
          <w:color w:val="auto"/>
          <w:highlight w:val="none"/>
        </w:rPr>
        <w:t>（3）承包人为完成工程所发生的，而发包人未支付的金额；</w:t>
      </w:r>
    </w:p>
    <w:p w14:paraId="535DD1A6">
      <w:pPr>
        <w:spacing w:line="400" w:lineRule="exact"/>
        <w:ind w:firstLine="718" w:firstLineChars="342"/>
        <w:rPr>
          <w:color w:val="auto"/>
          <w:highlight w:val="none"/>
        </w:rPr>
      </w:pPr>
      <w:r>
        <w:rPr>
          <w:color w:val="auto"/>
          <w:highlight w:val="none"/>
        </w:rPr>
        <w:t>（4）承包人撤离施工场地以及遣散承包人人员的金额；</w:t>
      </w:r>
    </w:p>
    <w:p w14:paraId="5140A50C">
      <w:pPr>
        <w:spacing w:line="400" w:lineRule="exact"/>
        <w:ind w:firstLine="718" w:firstLineChars="342"/>
        <w:rPr>
          <w:color w:val="auto"/>
          <w:highlight w:val="none"/>
        </w:rPr>
      </w:pPr>
      <w:r>
        <w:rPr>
          <w:color w:val="auto"/>
          <w:highlight w:val="none"/>
        </w:rPr>
        <w:t>（5）由于解除合同应赔偿的承包人损失；</w:t>
      </w:r>
    </w:p>
    <w:p w14:paraId="38088BBC">
      <w:pPr>
        <w:spacing w:line="400" w:lineRule="exact"/>
        <w:ind w:firstLine="718" w:firstLineChars="342"/>
        <w:rPr>
          <w:color w:val="auto"/>
          <w:highlight w:val="none"/>
        </w:rPr>
      </w:pPr>
      <w:r>
        <w:rPr>
          <w:color w:val="auto"/>
          <w:highlight w:val="none"/>
        </w:rPr>
        <w:t>（6）按合同约定在合同解除日前应支付给承包人的其他金额。</w:t>
      </w:r>
    </w:p>
    <w:p w14:paraId="3AE584FD">
      <w:pPr>
        <w:spacing w:line="400" w:lineRule="exact"/>
        <w:ind w:firstLine="420" w:firstLineChars="200"/>
        <w:rPr>
          <w:color w:val="auto"/>
          <w:highlight w:val="none"/>
        </w:rPr>
      </w:pPr>
      <w:r>
        <w:rPr>
          <w:color w:val="auto"/>
          <w:highlight w:val="none"/>
        </w:rPr>
        <w:t>发包人应按本项约定支付上述金额并退还质量保证金和履约担保，但有权要求承包人支付应偿还给发包人的各项金额。</w:t>
      </w:r>
    </w:p>
    <w:p w14:paraId="122BA1A6">
      <w:pPr>
        <w:spacing w:line="400" w:lineRule="exact"/>
        <w:ind w:firstLine="420" w:firstLineChars="200"/>
        <w:rPr>
          <w:rFonts w:eastAsia="Cambria"/>
          <w:color w:val="auto"/>
          <w:highlight w:val="none"/>
        </w:rPr>
      </w:pPr>
      <w:r>
        <w:rPr>
          <w:color w:val="auto"/>
          <w:highlight w:val="none"/>
        </w:rPr>
        <w:t>22.2.5</w:t>
      </w:r>
      <w:r>
        <w:rPr>
          <w:rFonts w:eastAsia="Cambria"/>
          <w:color w:val="auto"/>
          <w:highlight w:val="none"/>
        </w:rPr>
        <w:t xml:space="preserve"> </w:t>
      </w:r>
      <w:r>
        <w:rPr>
          <w:rFonts w:hint="eastAsia" w:ascii="宋体" w:hAnsi="宋体" w:cs="宋体"/>
          <w:color w:val="auto"/>
          <w:highlight w:val="none"/>
        </w:rPr>
        <w:t>解除合同后的承包人撤离</w:t>
      </w:r>
    </w:p>
    <w:p w14:paraId="2EE51893">
      <w:pPr>
        <w:spacing w:line="400" w:lineRule="exact"/>
        <w:ind w:firstLine="420" w:firstLineChars="200"/>
        <w:rPr>
          <w:color w:val="auto"/>
          <w:highlight w:val="none"/>
        </w:rPr>
      </w:pPr>
      <w:r>
        <w:rPr>
          <w:color w:val="auto"/>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25EC8CE1">
      <w:pPr>
        <w:keepNext/>
        <w:keepLines/>
        <w:spacing w:line="400" w:lineRule="exact"/>
        <w:outlineLvl w:val="2"/>
        <w:rPr>
          <w:rFonts w:eastAsia="黑体"/>
          <w:color w:val="auto"/>
          <w:sz w:val="24"/>
          <w:szCs w:val="20"/>
          <w:highlight w:val="none"/>
        </w:rPr>
      </w:pPr>
      <w:bookmarkStart w:id="1439" w:name="_Toc152045756"/>
      <w:bookmarkStart w:id="1440" w:name="_Toc179632774"/>
      <w:bookmarkStart w:id="1441" w:name="_Toc338944849"/>
      <w:bookmarkStart w:id="1442" w:name="_Toc342296407"/>
      <w:bookmarkStart w:id="1443" w:name="_Toc152042535"/>
      <w:bookmarkStart w:id="1444" w:name="_Toc159950757"/>
      <w:r>
        <w:rPr>
          <w:rFonts w:eastAsia="黑体"/>
          <w:color w:val="auto"/>
          <w:sz w:val="24"/>
          <w:szCs w:val="20"/>
          <w:highlight w:val="none"/>
        </w:rPr>
        <w:t>22.3 第三人造成的违约</w:t>
      </w:r>
      <w:bookmarkEnd w:id="1439"/>
      <w:bookmarkEnd w:id="1440"/>
      <w:bookmarkEnd w:id="1441"/>
      <w:bookmarkEnd w:id="1442"/>
      <w:bookmarkEnd w:id="1443"/>
      <w:bookmarkEnd w:id="1444"/>
    </w:p>
    <w:p w14:paraId="7EE56688">
      <w:pPr>
        <w:spacing w:line="400" w:lineRule="exact"/>
        <w:ind w:firstLine="420" w:firstLineChars="200"/>
        <w:rPr>
          <w:color w:val="auto"/>
          <w:highlight w:val="none"/>
        </w:rPr>
      </w:pPr>
      <w:r>
        <w:rPr>
          <w:color w:val="auto"/>
          <w:highlight w:val="none"/>
        </w:rPr>
        <w:t>在履行合同过程中，一方当事人因第三人的原因造成违约的，应当向对方当事人承担违约责任。一方当事人和第三人之间的纠纷，依照法律规定或者按照约定解决。</w:t>
      </w:r>
    </w:p>
    <w:p w14:paraId="419B6498">
      <w:pPr>
        <w:keepNext/>
        <w:keepLines/>
        <w:spacing w:line="400" w:lineRule="exact"/>
        <w:outlineLvl w:val="1"/>
        <w:rPr>
          <w:rFonts w:eastAsia="黑体" w:cs="仿宋_GB2312"/>
          <w:color w:val="auto"/>
          <w:sz w:val="28"/>
          <w:szCs w:val="20"/>
          <w:highlight w:val="none"/>
        </w:rPr>
      </w:pPr>
      <w:bookmarkStart w:id="1445" w:name="_Toc342296408"/>
      <w:bookmarkStart w:id="1446" w:name="_Toc448758544"/>
      <w:bookmarkStart w:id="1447" w:name="_Toc159950758"/>
      <w:bookmarkStart w:id="1448" w:name="_Toc448758444"/>
      <w:bookmarkStart w:id="1449" w:name="_Toc144974727"/>
      <w:bookmarkStart w:id="1450" w:name="_Toc152045757"/>
      <w:bookmarkStart w:id="1451" w:name="_Toc179632775"/>
      <w:bookmarkStart w:id="1452" w:name="_Toc152042536"/>
      <w:bookmarkStart w:id="1453" w:name="_Toc469660039"/>
      <w:bookmarkStart w:id="1454" w:name="_Toc442365636"/>
      <w:bookmarkStart w:id="1455" w:name="_Toc338944850"/>
      <w:r>
        <w:rPr>
          <w:rFonts w:eastAsia="黑体" w:cs="仿宋_GB2312"/>
          <w:color w:val="auto"/>
          <w:sz w:val="28"/>
          <w:szCs w:val="20"/>
          <w:highlight w:val="none"/>
        </w:rPr>
        <w:t>23. 索赔</w:t>
      </w:r>
      <w:bookmarkEnd w:id="1445"/>
      <w:bookmarkEnd w:id="1446"/>
      <w:bookmarkEnd w:id="1447"/>
      <w:bookmarkEnd w:id="1448"/>
      <w:bookmarkEnd w:id="1449"/>
      <w:bookmarkEnd w:id="1450"/>
      <w:bookmarkEnd w:id="1451"/>
      <w:bookmarkEnd w:id="1452"/>
      <w:bookmarkEnd w:id="1453"/>
      <w:bookmarkEnd w:id="1454"/>
      <w:bookmarkEnd w:id="1455"/>
    </w:p>
    <w:p w14:paraId="016EF85C">
      <w:pPr>
        <w:keepNext/>
        <w:keepLines/>
        <w:spacing w:line="400" w:lineRule="exact"/>
        <w:outlineLvl w:val="2"/>
        <w:rPr>
          <w:rFonts w:eastAsia="黑体"/>
          <w:color w:val="auto"/>
          <w:sz w:val="24"/>
          <w:szCs w:val="20"/>
          <w:highlight w:val="none"/>
        </w:rPr>
      </w:pPr>
      <w:bookmarkStart w:id="1456" w:name="_Toc179632776"/>
      <w:bookmarkStart w:id="1457" w:name="_Toc152042537"/>
      <w:bookmarkStart w:id="1458" w:name="_Toc342296409"/>
      <w:bookmarkStart w:id="1459" w:name="_Toc144974728"/>
      <w:bookmarkStart w:id="1460" w:name="_Toc159950759"/>
      <w:bookmarkStart w:id="1461" w:name="_Toc338944851"/>
      <w:bookmarkStart w:id="1462" w:name="_Toc152045758"/>
      <w:r>
        <w:rPr>
          <w:rFonts w:eastAsia="黑体"/>
          <w:color w:val="auto"/>
          <w:sz w:val="24"/>
          <w:szCs w:val="20"/>
          <w:highlight w:val="none"/>
        </w:rPr>
        <w:t>23.1 承包人索赔的提出</w:t>
      </w:r>
      <w:bookmarkEnd w:id="1456"/>
      <w:bookmarkEnd w:id="1457"/>
      <w:bookmarkEnd w:id="1458"/>
      <w:bookmarkEnd w:id="1459"/>
      <w:bookmarkEnd w:id="1460"/>
      <w:bookmarkEnd w:id="1461"/>
      <w:bookmarkEnd w:id="1462"/>
    </w:p>
    <w:p w14:paraId="193A8C6F">
      <w:pPr>
        <w:spacing w:line="400" w:lineRule="exact"/>
        <w:ind w:firstLine="420" w:firstLineChars="200"/>
        <w:rPr>
          <w:color w:val="auto"/>
          <w:highlight w:val="none"/>
        </w:rPr>
      </w:pPr>
      <w:r>
        <w:rPr>
          <w:color w:val="auto"/>
          <w:highlight w:val="none"/>
        </w:rPr>
        <w:t>根据合同约定，承包人认为有权得到追加付款和（或）延长工期的，应按以下程序向发包人提出索赔：</w:t>
      </w:r>
    </w:p>
    <w:p w14:paraId="762A3BD7">
      <w:pPr>
        <w:spacing w:line="400" w:lineRule="exact"/>
        <w:ind w:firstLine="359" w:firstLineChars="171"/>
        <w:rPr>
          <w:color w:val="auto"/>
          <w:highlight w:val="none"/>
        </w:rPr>
      </w:pPr>
      <w:r>
        <w:rPr>
          <w:color w:val="auto"/>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D469151">
      <w:pPr>
        <w:spacing w:line="400" w:lineRule="exact"/>
        <w:ind w:firstLine="359" w:firstLineChars="171"/>
        <w:rPr>
          <w:color w:val="auto"/>
          <w:highlight w:val="none"/>
        </w:rPr>
      </w:pPr>
      <w:r>
        <w:rPr>
          <w:color w:val="auto"/>
          <w:highlight w:val="none"/>
        </w:rPr>
        <w:t>（2）承包人应在发出索赔意向通知书后28天内，向监理人正式递交索赔通知书。索赔通知书应详细说明索赔理由以及要求追加的付款金额和（或）延长的工期，并附必要的记录和证明材料；</w:t>
      </w:r>
    </w:p>
    <w:p w14:paraId="2741A95E">
      <w:pPr>
        <w:spacing w:line="400" w:lineRule="exact"/>
        <w:ind w:firstLine="359" w:firstLineChars="171"/>
        <w:rPr>
          <w:color w:val="auto"/>
          <w:highlight w:val="none"/>
        </w:rPr>
      </w:pPr>
      <w:r>
        <w:rPr>
          <w:color w:val="auto"/>
          <w:highlight w:val="none"/>
        </w:rPr>
        <w:t>（3）索赔事件具有连续影响的，承包人应按合理时间间隔继续递交延续索赔通知，说明连续影响的实际情况和记录，列出累计的追加付款金额和（或）工期延长天数；</w:t>
      </w:r>
    </w:p>
    <w:p w14:paraId="1D0B45EE">
      <w:pPr>
        <w:spacing w:line="400" w:lineRule="exact"/>
        <w:ind w:firstLine="359" w:firstLineChars="171"/>
        <w:rPr>
          <w:color w:val="auto"/>
          <w:highlight w:val="none"/>
        </w:rPr>
      </w:pPr>
      <w:r>
        <w:rPr>
          <w:color w:val="auto"/>
          <w:highlight w:val="none"/>
        </w:rPr>
        <w:t>（4）在索赔事件影响结束后的28天内，承包人应向监理人递交最终索赔通知书，说明最终要求索赔的追加付款金额和延长的工期，并附必要的记录和证明材料。</w:t>
      </w:r>
    </w:p>
    <w:p w14:paraId="54867993">
      <w:pPr>
        <w:keepNext/>
        <w:keepLines/>
        <w:spacing w:line="400" w:lineRule="exact"/>
        <w:outlineLvl w:val="2"/>
        <w:rPr>
          <w:rFonts w:eastAsia="黑体"/>
          <w:color w:val="auto"/>
          <w:sz w:val="24"/>
          <w:szCs w:val="20"/>
          <w:highlight w:val="none"/>
        </w:rPr>
      </w:pPr>
      <w:bookmarkStart w:id="1463" w:name="_Toc342296410"/>
      <w:bookmarkStart w:id="1464" w:name="_Toc152042538"/>
      <w:bookmarkStart w:id="1465" w:name="_Toc144974729"/>
      <w:bookmarkStart w:id="1466" w:name="_Toc152045759"/>
      <w:bookmarkStart w:id="1467" w:name="_Toc159950760"/>
      <w:bookmarkStart w:id="1468" w:name="_Toc338944852"/>
      <w:bookmarkStart w:id="1469" w:name="_Toc179632777"/>
      <w:r>
        <w:rPr>
          <w:rFonts w:eastAsia="黑体"/>
          <w:color w:val="auto"/>
          <w:sz w:val="24"/>
          <w:szCs w:val="20"/>
          <w:highlight w:val="none"/>
        </w:rPr>
        <w:t>23.2 承包人索赔处理程序</w:t>
      </w:r>
      <w:bookmarkEnd w:id="1463"/>
      <w:bookmarkEnd w:id="1464"/>
      <w:bookmarkEnd w:id="1465"/>
      <w:bookmarkEnd w:id="1466"/>
      <w:bookmarkEnd w:id="1467"/>
      <w:bookmarkEnd w:id="1468"/>
      <w:bookmarkEnd w:id="1469"/>
    </w:p>
    <w:p w14:paraId="45F2EC7F">
      <w:pPr>
        <w:spacing w:line="400" w:lineRule="exact"/>
        <w:ind w:firstLine="359" w:firstLineChars="171"/>
        <w:rPr>
          <w:color w:val="auto"/>
          <w:highlight w:val="none"/>
        </w:rPr>
      </w:pPr>
      <w:r>
        <w:rPr>
          <w:color w:val="auto"/>
          <w:highlight w:val="none"/>
        </w:rPr>
        <w:t>（1）监理人收到承包人提交的索赔通知书后，应及时审查索赔通知书的内容、查验承包人的记录和证明材料，必要时监理人可要求承包人提交全部原始记录副本。</w:t>
      </w:r>
    </w:p>
    <w:p w14:paraId="136793CA">
      <w:pPr>
        <w:spacing w:line="400" w:lineRule="exact"/>
        <w:ind w:firstLine="359" w:firstLineChars="171"/>
        <w:rPr>
          <w:color w:val="auto"/>
          <w:highlight w:val="none"/>
        </w:rPr>
      </w:pPr>
      <w:r>
        <w:rPr>
          <w:color w:val="auto"/>
          <w:highlight w:val="none"/>
        </w:rPr>
        <w:t>（2）监理人应按第3.5款商定或确定追加的付款和（或）延长的工期，并在收到上述索赔通知书或有关索赔的进一步证明材料后的42天内，将索赔处理结果答复承包人。</w:t>
      </w:r>
    </w:p>
    <w:p w14:paraId="079D6316">
      <w:pPr>
        <w:spacing w:line="400" w:lineRule="exact"/>
        <w:ind w:firstLine="359" w:firstLineChars="171"/>
        <w:rPr>
          <w:color w:val="auto"/>
          <w:highlight w:val="none"/>
        </w:rPr>
      </w:pPr>
      <w:r>
        <w:rPr>
          <w:color w:val="auto"/>
          <w:highlight w:val="none"/>
        </w:rPr>
        <w:t>（3）承包人接受索赔处理结果的，发包人应在作出索赔处理结果答复后28天内完成赔付。承包人不接受索赔处理结果的，按第24条的约定办理。</w:t>
      </w:r>
    </w:p>
    <w:p w14:paraId="3BEEE709">
      <w:pPr>
        <w:keepNext/>
        <w:keepLines/>
        <w:spacing w:line="400" w:lineRule="exact"/>
        <w:outlineLvl w:val="2"/>
        <w:rPr>
          <w:rFonts w:eastAsia="黑体"/>
          <w:color w:val="auto"/>
          <w:sz w:val="24"/>
          <w:szCs w:val="20"/>
          <w:highlight w:val="none"/>
        </w:rPr>
      </w:pPr>
      <w:bookmarkStart w:id="1470" w:name="_Toc152045760"/>
      <w:bookmarkStart w:id="1471" w:name="_Toc338944853"/>
      <w:bookmarkStart w:id="1472" w:name="_Toc179632778"/>
      <w:bookmarkStart w:id="1473" w:name="_Toc152042539"/>
      <w:bookmarkStart w:id="1474" w:name="_Toc342296411"/>
      <w:bookmarkStart w:id="1475" w:name="_Toc159950761"/>
      <w:bookmarkStart w:id="1476" w:name="_Toc144974730"/>
      <w:r>
        <w:rPr>
          <w:rFonts w:eastAsia="黑体"/>
          <w:color w:val="auto"/>
          <w:sz w:val="24"/>
          <w:szCs w:val="20"/>
          <w:highlight w:val="none"/>
        </w:rPr>
        <w:t>23.3 承包人提出索赔的期限</w:t>
      </w:r>
      <w:bookmarkEnd w:id="1470"/>
      <w:bookmarkEnd w:id="1471"/>
      <w:bookmarkEnd w:id="1472"/>
      <w:bookmarkEnd w:id="1473"/>
      <w:bookmarkEnd w:id="1474"/>
      <w:bookmarkEnd w:id="1475"/>
      <w:bookmarkEnd w:id="1476"/>
    </w:p>
    <w:p w14:paraId="572205E8">
      <w:pPr>
        <w:spacing w:line="400" w:lineRule="exact"/>
        <w:ind w:firstLine="420" w:firstLineChars="200"/>
        <w:rPr>
          <w:color w:val="auto"/>
          <w:highlight w:val="none"/>
        </w:rPr>
      </w:pPr>
      <w:r>
        <w:rPr>
          <w:color w:val="auto"/>
          <w:highlight w:val="none"/>
        </w:rPr>
        <w:t>23.3.1 承包人按第17.5款的约定接受了竣工付款证书后，应被认为已无权再提出在合同工程接收证书颁发前所发生的任何索赔。</w:t>
      </w:r>
    </w:p>
    <w:p w14:paraId="4F49739E">
      <w:pPr>
        <w:spacing w:line="400" w:lineRule="exact"/>
        <w:ind w:firstLine="420" w:firstLineChars="200"/>
        <w:rPr>
          <w:color w:val="auto"/>
          <w:highlight w:val="none"/>
          <w:shd w:val="pct10" w:color="auto" w:fill="FFFFFF"/>
        </w:rPr>
      </w:pPr>
      <w:r>
        <w:rPr>
          <w:color w:val="auto"/>
          <w:highlight w:val="none"/>
        </w:rPr>
        <w:t xml:space="preserve">23.3.2 承包人按第17.6款的约定提交的最终结清申请单中，只限于提出工程接收证书颁发后发生的索赔。提出索赔的期限自接受最终结清证书时终止。 </w:t>
      </w:r>
    </w:p>
    <w:p w14:paraId="4FE5422C">
      <w:pPr>
        <w:keepNext/>
        <w:keepLines/>
        <w:spacing w:line="400" w:lineRule="exact"/>
        <w:outlineLvl w:val="2"/>
        <w:rPr>
          <w:rFonts w:eastAsia="黑体"/>
          <w:color w:val="auto"/>
          <w:sz w:val="24"/>
          <w:szCs w:val="20"/>
          <w:highlight w:val="none"/>
        </w:rPr>
      </w:pPr>
      <w:bookmarkStart w:id="1477" w:name="_Toc179632779"/>
      <w:bookmarkStart w:id="1478" w:name="_Toc338944854"/>
      <w:bookmarkStart w:id="1479" w:name="_Toc152045761"/>
      <w:bookmarkStart w:id="1480" w:name="_Toc152042540"/>
      <w:bookmarkStart w:id="1481" w:name="_Toc159950762"/>
      <w:bookmarkStart w:id="1482" w:name="_Toc342296412"/>
      <w:bookmarkStart w:id="1483" w:name="_Toc144974731"/>
      <w:r>
        <w:rPr>
          <w:rFonts w:eastAsia="黑体"/>
          <w:color w:val="auto"/>
          <w:sz w:val="24"/>
          <w:szCs w:val="20"/>
          <w:highlight w:val="none"/>
        </w:rPr>
        <w:t>23.4 发包人的索赔</w:t>
      </w:r>
      <w:bookmarkEnd w:id="1477"/>
      <w:bookmarkEnd w:id="1478"/>
      <w:bookmarkEnd w:id="1479"/>
      <w:bookmarkEnd w:id="1480"/>
      <w:bookmarkEnd w:id="1481"/>
      <w:bookmarkEnd w:id="1482"/>
      <w:bookmarkEnd w:id="1483"/>
    </w:p>
    <w:p w14:paraId="292880A8">
      <w:pPr>
        <w:spacing w:line="400" w:lineRule="exact"/>
        <w:ind w:firstLine="420" w:firstLineChars="200"/>
        <w:rPr>
          <w:color w:val="auto"/>
          <w:highlight w:val="none"/>
        </w:rPr>
      </w:pPr>
      <w:r>
        <w:rPr>
          <w:color w:val="auto"/>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11DC6B60">
      <w:pPr>
        <w:spacing w:line="400" w:lineRule="exact"/>
        <w:ind w:firstLine="420" w:firstLineChars="200"/>
        <w:rPr>
          <w:color w:val="auto"/>
          <w:highlight w:val="none"/>
        </w:rPr>
      </w:pPr>
      <w:r>
        <w:rPr>
          <w:color w:val="auto"/>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500FFA25">
      <w:pPr>
        <w:keepNext/>
        <w:keepLines/>
        <w:spacing w:line="400" w:lineRule="exact"/>
        <w:outlineLvl w:val="1"/>
        <w:rPr>
          <w:rFonts w:eastAsia="黑体" w:cs="仿宋_GB2312"/>
          <w:color w:val="auto"/>
          <w:sz w:val="28"/>
          <w:szCs w:val="20"/>
          <w:highlight w:val="none"/>
        </w:rPr>
      </w:pPr>
      <w:bookmarkStart w:id="1484" w:name="_Toc159950763"/>
      <w:bookmarkStart w:id="1485" w:name="_Toc442365637"/>
      <w:bookmarkStart w:id="1486" w:name="_Toc448758445"/>
      <w:bookmarkStart w:id="1487" w:name="_Toc469660040"/>
      <w:bookmarkStart w:id="1488" w:name="_Toc448758545"/>
      <w:bookmarkStart w:id="1489" w:name="_Toc342296413"/>
      <w:bookmarkStart w:id="1490" w:name="_Toc338944855"/>
      <w:r>
        <w:rPr>
          <w:rFonts w:eastAsia="黑体" w:cs="仿宋_GB2312"/>
          <w:color w:val="auto"/>
          <w:sz w:val="28"/>
          <w:szCs w:val="20"/>
          <w:highlight w:val="none"/>
        </w:rPr>
        <w:t>24. 争议的解决</w:t>
      </w:r>
      <w:bookmarkEnd w:id="1484"/>
      <w:bookmarkEnd w:id="1485"/>
      <w:bookmarkEnd w:id="1486"/>
      <w:bookmarkEnd w:id="1487"/>
      <w:bookmarkEnd w:id="1488"/>
      <w:bookmarkEnd w:id="1489"/>
      <w:bookmarkEnd w:id="1490"/>
    </w:p>
    <w:p w14:paraId="0FFC4718">
      <w:pPr>
        <w:keepNext/>
        <w:keepLines/>
        <w:spacing w:line="400" w:lineRule="exact"/>
        <w:outlineLvl w:val="2"/>
        <w:rPr>
          <w:rFonts w:eastAsia="黑体"/>
          <w:color w:val="auto"/>
          <w:sz w:val="24"/>
          <w:szCs w:val="20"/>
          <w:highlight w:val="none"/>
        </w:rPr>
      </w:pPr>
      <w:bookmarkStart w:id="1491" w:name="_Toc338944856"/>
      <w:bookmarkStart w:id="1492" w:name="_Toc342296414"/>
      <w:bookmarkStart w:id="1493" w:name="_Toc159950764"/>
      <w:r>
        <w:rPr>
          <w:rFonts w:eastAsia="黑体"/>
          <w:color w:val="auto"/>
          <w:sz w:val="24"/>
          <w:szCs w:val="20"/>
          <w:highlight w:val="none"/>
        </w:rPr>
        <w:t>24.1 争议的解决方式</w:t>
      </w:r>
      <w:bookmarkEnd w:id="1491"/>
      <w:bookmarkEnd w:id="1492"/>
      <w:bookmarkEnd w:id="1493"/>
    </w:p>
    <w:p w14:paraId="5C401B8A">
      <w:pPr>
        <w:spacing w:line="400" w:lineRule="exact"/>
        <w:ind w:firstLine="420" w:firstLineChars="200"/>
        <w:rPr>
          <w:color w:val="auto"/>
          <w:highlight w:val="none"/>
        </w:rPr>
      </w:pPr>
      <w:r>
        <w:rPr>
          <w:color w:val="auto"/>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226D6356">
      <w:pPr>
        <w:spacing w:line="400" w:lineRule="exact"/>
        <w:ind w:firstLine="420" w:firstLineChars="200"/>
        <w:rPr>
          <w:color w:val="auto"/>
          <w:highlight w:val="none"/>
        </w:rPr>
      </w:pPr>
      <w:r>
        <w:rPr>
          <w:color w:val="auto"/>
          <w:highlight w:val="none"/>
        </w:rPr>
        <w:t>（1）向约定的仲裁委员会申请仲裁；</w:t>
      </w:r>
    </w:p>
    <w:p w14:paraId="5988AACA">
      <w:pPr>
        <w:spacing w:line="400" w:lineRule="exact"/>
        <w:ind w:firstLine="420" w:firstLineChars="200"/>
        <w:rPr>
          <w:color w:val="auto"/>
          <w:highlight w:val="none"/>
        </w:rPr>
      </w:pPr>
      <w:r>
        <w:rPr>
          <w:color w:val="auto"/>
          <w:highlight w:val="none"/>
        </w:rPr>
        <w:t>（2）向有管辖权的人民法院提起诉讼。</w:t>
      </w:r>
    </w:p>
    <w:p w14:paraId="6B0CEB56">
      <w:pPr>
        <w:keepNext/>
        <w:keepLines/>
        <w:spacing w:line="400" w:lineRule="exact"/>
        <w:outlineLvl w:val="2"/>
        <w:rPr>
          <w:rFonts w:eastAsia="黑体"/>
          <w:color w:val="auto"/>
          <w:sz w:val="24"/>
          <w:szCs w:val="20"/>
          <w:highlight w:val="none"/>
        </w:rPr>
      </w:pPr>
      <w:bookmarkStart w:id="1494" w:name="_Toc342296415"/>
      <w:bookmarkStart w:id="1495" w:name="_Toc159950765"/>
      <w:bookmarkStart w:id="1496" w:name="_Toc338944857"/>
      <w:r>
        <w:rPr>
          <w:rFonts w:eastAsia="黑体"/>
          <w:color w:val="auto"/>
          <w:sz w:val="24"/>
          <w:szCs w:val="20"/>
          <w:highlight w:val="none"/>
        </w:rPr>
        <w:t>24.2 友好解决</w:t>
      </w:r>
      <w:bookmarkEnd w:id="1494"/>
      <w:bookmarkEnd w:id="1495"/>
      <w:bookmarkEnd w:id="1496"/>
    </w:p>
    <w:p w14:paraId="69AD27EB">
      <w:pPr>
        <w:spacing w:line="400" w:lineRule="exact"/>
        <w:ind w:firstLine="420" w:firstLineChars="200"/>
        <w:rPr>
          <w:color w:val="auto"/>
          <w:highlight w:val="none"/>
        </w:rPr>
      </w:pPr>
      <w:r>
        <w:rPr>
          <w:color w:val="auto"/>
          <w:highlight w:val="none"/>
        </w:rPr>
        <w:t>在提请争议评审、仲裁或者诉讼前，以及在争议评审、仲裁或诉讼过程中，发包人和承包人均可共同努力友好协商解决争议。</w:t>
      </w:r>
    </w:p>
    <w:p w14:paraId="32E14EF1">
      <w:pPr>
        <w:keepNext/>
        <w:keepLines/>
        <w:spacing w:line="400" w:lineRule="exact"/>
        <w:outlineLvl w:val="2"/>
        <w:rPr>
          <w:rFonts w:eastAsia="黑体"/>
          <w:color w:val="auto"/>
          <w:sz w:val="24"/>
          <w:szCs w:val="20"/>
          <w:highlight w:val="none"/>
        </w:rPr>
      </w:pPr>
      <w:bookmarkStart w:id="1497" w:name="_Toc342296416"/>
      <w:bookmarkStart w:id="1498" w:name="_Toc159950766"/>
      <w:bookmarkStart w:id="1499" w:name="_Toc338944858"/>
      <w:r>
        <w:rPr>
          <w:rFonts w:eastAsia="黑体"/>
          <w:color w:val="auto"/>
          <w:sz w:val="24"/>
          <w:szCs w:val="20"/>
          <w:highlight w:val="none"/>
        </w:rPr>
        <w:t>24.3 争议评审</w:t>
      </w:r>
      <w:bookmarkEnd w:id="1497"/>
      <w:bookmarkEnd w:id="1498"/>
      <w:bookmarkEnd w:id="1499"/>
    </w:p>
    <w:p w14:paraId="089E54F6">
      <w:pPr>
        <w:spacing w:line="400" w:lineRule="exact"/>
        <w:ind w:firstLine="420" w:firstLineChars="200"/>
        <w:rPr>
          <w:color w:val="auto"/>
          <w:highlight w:val="none"/>
        </w:rPr>
      </w:pPr>
      <w:r>
        <w:rPr>
          <w:color w:val="auto"/>
          <w:highlight w:val="none"/>
        </w:rPr>
        <w:t>24.3.1 采用争议评审的，发包人和承包人应在开工日后的28天内或在争议发生后，协商成立争议评审组。争议评审组由有合同管理和工程实践经验的专家组成。</w:t>
      </w:r>
    </w:p>
    <w:p w14:paraId="3D2E19F0">
      <w:pPr>
        <w:spacing w:line="400" w:lineRule="exact"/>
        <w:ind w:firstLine="420" w:firstLineChars="200"/>
        <w:rPr>
          <w:color w:val="auto"/>
          <w:highlight w:val="none"/>
        </w:rPr>
      </w:pPr>
      <w:r>
        <w:rPr>
          <w:color w:val="auto"/>
          <w:highlight w:val="none"/>
        </w:rPr>
        <w:t>24.3.2 合同双方的争议，应首先由申请人向争议评审组提交一份详细的评审申请报告，并附必要的文件、图纸和证明材料，申请人还应将上述报告的副本同时提交给被申请人和监理人。</w:t>
      </w:r>
    </w:p>
    <w:p w14:paraId="2CA5EB59">
      <w:pPr>
        <w:spacing w:line="400" w:lineRule="exact"/>
        <w:ind w:firstLine="420" w:firstLineChars="200"/>
        <w:rPr>
          <w:color w:val="auto"/>
          <w:highlight w:val="none"/>
        </w:rPr>
      </w:pPr>
      <w:r>
        <w:rPr>
          <w:color w:val="auto"/>
          <w:highlight w:val="none"/>
        </w:rPr>
        <w:t>24.3.3 被申请人在收到申请人评审申请报告副本后的28天内，向争议评审组提交一份答辩报告，并附证明材料。被申请人应将答辩报告的副本同时提交给申请人和监理人。</w:t>
      </w:r>
    </w:p>
    <w:p w14:paraId="74428308">
      <w:pPr>
        <w:spacing w:line="400" w:lineRule="exact"/>
        <w:ind w:firstLine="420" w:firstLineChars="200"/>
        <w:rPr>
          <w:color w:val="auto"/>
          <w:highlight w:val="none"/>
        </w:rPr>
      </w:pPr>
      <w:r>
        <w:rPr>
          <w:color w:val="auto"/>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36A9B19C">
      <w:pPr>
        <w:spacing w:line="400" w:lineRule="exact"/>
        <w:ind w:firstLine="420" w:firstLineChars="200"/>
        <w:rPr>
          <w:color w:val="auto"/>
          <w:highlight w:val="none"/>
        </w:rPr>
      </w:pPr>
      <w:r>
        <w:rPr>
          <w:color w:val="auto"/>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270F7023">
      <w:pPr>
        <w:spacing w:line="400" w:lineRule="exact"/>
        <w:ind w:firstLine="420" w:firstLineChars="200"/>
        <w:rPr>
          <w:color w:val="auto"/>
          <w:highlight w:val="none"/>
        </w:rPr>
      </w:pPr>
      <w:r>
        <w:rPr>
          <w:color w:val="auto"/>
          <w:highlight w:val="none"/>
        </w:rPr>
        <w:t>24.3.6 发包人和承包人接受评审意见的，由监理人根据评审意见拟定执行协议，经争议双方签字后作为合同的补充文件，并遵照执行。</w:t>
      </w:r>
    </w:p>
    <w:p w14:paraId="164DA69D">
      <w:pPr>
        <w:spacing w:line="400" w:lineRule="exact"/>
        <w:ind w:firstLine="420" w:firstLineChars="200"/>
        <w:rPr>
          <w:color w:val="auto"/>
          <w:highlight w:val="none"/>
        </w:rPr>
      </w:pPr>
      <w:r>
        <w:rPr>
          <w:color w:val="auto"/>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3BFD9BD8">
      <w:pPr>
        <w:rPr>
          <w:color w:val="auto"/>
          <w:highlight w:val="none"/>
        </w:rPr>
      </w:pPr>
    </w:p>
    <w:p w14:paraId="0B5079E6">
      <w:pPr>
        <w:rPr>
          <w:color w:val="auto"/>
          <w:highlight w:val="none"/>
        </w:rPr>
      </w:pPr>
    </w:p>
    <w:p w14:paraId="65291350">
      <w:pPr>
        <w:rPr>
          <w:color w:val="auto"/>
          <w:highlight w:val="none"/>
        </w:rPr>
        <w:sectPr>
          <w:headerReference r:id="rId12" w:type="default"/>
          <w:footerReference r:id="rId13" w:type="default"/>
          <w:pgSz w:w="11906" w:h="16838"/>
          <w:pgMar w:top="1440" w:right="1740" w:bottom="1440" w:left="1797" w:header="851" w:footer="992" w:gutter="0"/>
          <w:cols w:space="720" w:num="1"/>
          <w:docGrid w:linePitch="312" w:charSpace="0"/>
        </w:sectPr>
      </w:pPr>
    </w:p>
    <w:p w14:paraId="73D6BEA6">
      <w:pPr>
        <w:rPr>
          <w:color w:val="auto"/>
          <w:highlight w:val="none"/>
        </w:rPr>
      </w:pPr>
    </w:p>
    <w:p w14:paraId="105CD74D">
      <w:pPr>
        <w:jc w:val="center"/>
        <w:rPr>
          <w:b/>
          <w:color w:val="auto"/>
          <w:sz w:val="44"/>
          <w:szCs w:val="44"/>
          <w:highlight w:val="none"/>
        </w:rPr>
      </w:pPr>
    </w:p>
    <w:p w14:paraId="54BC5527">
      <w:pPr>
        <w:jc w:val="center"/>
        <w:rPr>
          <w:b/>
          <w:color w:val="auto"/>
          <w:sz w:val="44"/>
          <w:szCs w:val="44"/>
          <w:highlight w:val="none"/>
        </w:rPr>
      </w:pPr>
    </w:p>
    <w:p w14:paraId="581B8B23">
      <w:pPr>
        <w:jc w:val="center"/>
        <w:rPr>
          <w:b/>
          <w:color w:val="auto"/>
          <w:sz w:val="44"/>
          <w:szCs w:val="44"/>
          <w:highlight w:val="none"/>
        </w:rPr>
      </w:pPr>
    </w:p>
    <w:p w14:paraId="33B5B2FB">
      <w:pPr>
        <w:jc w:val="center"/>
        <w:rPr>
          <w:b/>
          <w:color w:val="auto"/>
          <w:sz w:val="44"/>
          <w:szCs w:val="44"/>
          <w:highlight w:val="none"/>
        </w:rPr>
      </w:pPr>
    </w:p>
    <w:p w14:paraId="5CA004EC">
      <w:pPr>
        <w:jc w:val="center"/>
        <w:rPr>
          <w:b/>
          <w:color w:val="auto"/>
          <w:sz w:val="44"/>
          <w:szCs w:val="44"/>
          <w:highlight w:val="none"/>
        </w:rPr>
      </w:pPr>
    </w:p>
    <w:p w14:paraId="01E9C55A">
      <w:pPr>
        <w:jc w:val="center"/>
        <w:rPr>
          <w:b/>
          <w:color w:val="auto"/>
          <w:sz w:val="44"/>
          <w:szCs w:val="44"/>
          <w:highlight w:val="none"/>
        </w:rPr>
      </w:pPr>
      <w:r>
        <w:rPr>
          <w:b/>
          <w:color w:val="auto"/>
          <w:sz w:val="44"/>
          <w:szCs w:val="44"/>
          <w:highlight w:val="none"/>
        </w:rPr>
        <w:t>第</w:t>
      </w:r>
      <w:r>
        <w:rPr>
          <w:rFonts w:hint="eastAsia"/>
          <w:b/>
          <w:color w:val="auto"/>
          <w:sz w:val="44"/>
          <w:szCs w:val="44"/>
          <w:highlight w:val="none"/>
        </w:rPr>
        <w:t xml:space="preserve">三节 </w:t>
      </w:r>
      <w:r>
        <w:rPr>
          <w:b/>
          <w:color w:val="auto"/>
          <w:sz w:val="44"/>
          <w:szCs w:val="44"/>
          <w:highlight w:val="none"/>
        </w:rPr>
        <w:t>合同</w:t>
      </w:r>
      <w:r>
        <w:rPr>
          <w:rFonts w:hint="eastAsia"/>
          <w:b/>
          <w:color w:val="auto"/>
          <w:sz w:val="44"/>
          <w:szCs w:val="44"/>
          <w:highlight w:val="none"/>
        </w:rPr>
        <w:t>条款专用部分</w:t>
      </w:r>
    </w:p>
    <w:p w14:paraId="0044CB97">
      <w:pPr>
        <w:jc w:val="center"/>
        <w:rPr>
          <w:b/>
          <w:color w:val="auto"/>
          <w:sz w:val="44"/>
          <w:szCs w:val="44"/>
          <w:highlight w:val="none"/>
        </w:rPr>
      </w:pPr>
    </w:p>
    <w:p w14:paraId="6A4314AE">
      <w:pPr>
        <w:jc w:val="center"/>
        <w:rPr>
          <w:rFonts w:ascii="宋体" w:hAnsi="宋体" w:cs="等线"/>
          <w:b/>
          <w:color w:val="auto"/>
          <w:highlight w:val="none"/>
        </w:rPr>
      </w:pPr>
      <w:r>
        <w:rPr>
          <w:color w:val="auto"/>
          <w:sz w:val="28"/>
          <w:highlight w:val="none"/>
        </w:rPr>
        <w:br w:type="page"/>
      </w:r>
      <w:r>
        <w:rPr>
          <w:rFonts w:hint="eastAsia" w:ascii="宋体" w:hAnsi="宋体" w:cs="等线"/>
          <w:b/>
          <w:color w:val="auto"/>
          <w:highlight w:val="none"/>
        </w:rPr>
        <w:t>第三节 合同条款专用部分</w:t>
      </w:r>
    </w:p>
    <w:p w14:paraId="2A7D4A39">
      <w:pPr>
        <w:rPr>
          <w:rFonts w:ascii="宋体" w:hAnsi="宋体" w:cs="等线"/>
          <w:color w:val="auto"/>
          <w:highlight w:val="none"/>
        </w:rPr>
      </w:pPr>
    </w:p>
    <w:p w14:paraId="23952F52">
      <w:pPr>
        <w:jc w:val="center"/>
        <w:rPr>
          <w:rFonts w:ascii="宋体" w:hAnsi="宋体" w:cs="等线"/>
          <w:b/>
          <w:color w:val="auto"/>
          <w:highlight w:val="none"/>
        </w:rPr>
      </w:pPr>
      <w:r>
        <w:rPr>
          <w:rFonts w:hint="eastAsia" w:ascii="宋体" w:hAnsi="宋体" w:cs="等线"/>
          <w:b/>
          <w:color w:val="auto"/>
          <w:highlight w:val="none"/>
        </w:rPr>
        <w:t>专用合同条款</w:t>
      </w:r>
    </w:p>
    <w:p w14:paraId="2D4522A0">
      <w:pPr>
        <w:keepNext/>
        <w:keepLines/>
        <w:spacing w:line="400" w:lineRule="exact"/>
        <w:outlineLvl w:val="1"/>
        <w:rPr>
          <w:rFonts w:ascii="宋体" w:hAnsi="宋体" w:cs="等线"/>
          <w:color w:val="auto"/>
          <w:sz w:val="24"/>
          <w:highlight w:val="none"/>
        </w:rPr>
      </w:pPr>
      <w:bookmarkStart w:id="1500" w:name="_Toc159950767"/>
      <w:bookmarkStart w:id="1501" w:name="_Toc16123"/>
      <w:bookmarkStart w:id="1502" w:name="_Toc13815"/>
      <w:bookmarkStart w:id="1503" w:name="_Toc38732148"/>
      <w:r>
        <w:rPr>
          <w:rFonts w:hint="eastAsia" w:ascii="宋体" w:hAnsi="宋体" w:cs="等线"/>
          <w:color w:val="auto"/>
          <w:sz w:val="24"/>
          <w:highlight w:val="none"/>
        </w:rPr>
        <w:t>1. 一般约定</w:t>
      </w:r>
      <w:bookmarkEnd w:id="1500"/>
      <w:bookmarkEnd w:id="1501"/>
      <w:bookmarkEnd w:id="1502"/>
      <w:bookmarkEnd w:id="1503"/>
    </w:p>
    <w:p w14:paraId="504E12B1">
      <w:pPr>
        <w:keepNext/>
        <w:keepLines/>
        <w:spacing w:line="400" w:lineRule="exact"/>
        <w:outlineLvl w:val="2"/>
        <w:rPr>
          <w:rFonts w:ascii="宋体" w:hAnsi="宋体" w:cs="等线"/>
          <w:color w:val="auto"/>
          <w:sz w:val="24"/>
          <w:highlight w:val="none"/>
        </w:rPr>
      </w:pPr>
      <w:bookmarkStart w:id="1504" w:name="_Toc38732149"/>
      <w:bookmarkStart w:id="1505" w:name="_Toc159950768"/>
      <w:bookmarkStart w:id="1506" w:name="_Toc17764"/>
      <w:r>
        <w:rPr>
          <w:rFonts w:hint="eastAsia" w:ascii="宋体" w:hAnsi="宋体" w:cs="等线"/>
          <w:color w:val="auto"/>
          <w:sz w:val="24"/>
          <w:highlight w:val="none"/>
        </w:rPr>
        <w:t>1.1 词语定义</w:t>
      </w:r>
      <w:bookmarkEnd w:id="1504"/>
      <w:bookmarkEnd w:id="1505"/>
      <w:bookmarkEnd w:id="1506"/>
    </w:p>
    <w:p w14:paraId="5E2FDD7A">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1.1.2合同当事人和人员</w:t>
      </w:r>
    </w:p>
    <w:p w14:paraId="6D506E9B">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1.1.2.2发包人：</w:t>
      </w:r>
      <w:r>
        <w:rPr>
          <w:rFonts w:hint="eastAsia" w:ascii="宋体" w:hAnsi="宋体" w:cs="等线"/>
          <w:color w:val="auto"/>
          <w:highlight w:val="none"/>
          <w:u w:val="single"/>
        </w:rPr>
        <w:t xml:space="preserve">     北京财贸职业学院                         </w:t>
      </w:r>
      <w:r>
        <w:rPr>
          <w:rFonts w:hint="eastAsia" w:ascii="宋体" w:hAnsi="宋体" w:cs="等线"/>
          <w:color w:val="auto"/>
          <w:highlight w:val="none"/>
        </w:rPr>
        <w:t>。</w:t>
      </w:r>
    </w:p>
    <w:p w14:paraId="41B00F9E">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1.1.2.4发包人代表：指发包人指定的派驻施工场地（现场）的全权代表。</w:t>
      </w:r>
    </w:p>
    <w:p w14:paraId="1A53FC0A">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姓    名：</w:t>
      </w:r>
      <w:r>
        <w:rPr>
          <w:rFonts w:hint="eastAsia" w:ascii="宋体" w:hAnsi="宋体" w:cs="等线"/>
          <w:color w:val="auto"/>
          <w:highlight w:val="none"/>
          <w:u w:val="single"/>
        </w:rPr>
        <w:t xml:space="preserve">      </w:t>
      </w:r>
      <w:r>
        <w:rPr>
          <w:rFonts w:ascii="宋体" w:hAnsi="宋体" w:cs="等线"/>
          <w:color w:val="auto"/>
          <w:highlight w:val="none"/>
          <w:u w:val="single"/>
        </w:rPr>
        <w:t xml:space="preserve">      </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22F8C4BB">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职    称：</w:t>
      </w:r>
      <w:r>
        <w:rPr>
          <w:rFonts w:hint="eastAsia" w:ascii="宋体" w:hAnsi="宋体" w:cs="等线"/>
          <w:color w:val="auto"/>
          <w:highlight w:val="none"/>
          <w:u w:val="single"/>
        </w:rPr>
        <w:t xml:space="preserve">      </w:t>
      </w:r>
      <w:r>
        <w:rPr>
          <w:rFonts w:ascii="宋体" w:hAnsi="宋体" w:cs="等线"/>
          <w:color w:val="auto"/>
          <w:highlight w:val="none"/>
          <w:u w:val="single"/>
        </w:rPr>
        <w:t xml:space="preserve">          </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3C9FFD25">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联系电话：</w:t>
      </w:r>
      <w:r>
        <w:rPr>
          <w:rFonts w:hint="eastAsia" w:ascii="宋体" w:hAnsi="宋体" w:cs="等线"/>
          <w:color w:val="auto"/>
          <w:highlight w:val="none"/>
          <w:u w:val="single"/>
        </w:rPr>
        <w:t xml:space="preserve">     </w:t>
      </w:r>
      <w:r>
        <w:rPr>
          <w:rFonts w:ascii="宋体" w:hAnsi="宋体" w:cs="等线"/>
          <w:color w:val="auto"/>
          <w:highlight w:val="none"/>
          <w:u w:val="single"/>
        </w:rPr>
        <w:t xml:space="preserve">                </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60BF4BA8">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电子信箱：</w:t>
      </w:r>
      <w:r>
        <w:rPr>
          <w:rFonts w:hint="eastAsia" w:ascii="宋体" w:hAnsi="宋体" w:cs="等线"/>
          <w:color w:val="auto"/>
          <w:highlight w:val="none"/>
          <w:u w:val="single"/>
        </w:rPr>
        <w:t xml:space="preserve">     </w:t>
      </w:r>
      <w:r>
        <w:rPr>
          <w:rFonts w:ascii="宋体" w:hAnsi="宋体" w:cs="等线"/>
          <w:color w:val="auto"/>
          <w:highlight w:val="none"/>
          <w:u w:val="single"/>
        </w:rPr>
        <w:t xml:space="preserve">                      </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25C6565B">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通信地址：</w:t>
      </w:r>
      <w:r>
        <w:rPr>
          <w:rFonts w:hint="eastAsia" w:ascii="宋体" w:hAnsi="宋体" w:cs="等线"/>
          <w:color w:val="auto"/>
          <w:highlight w:val="none"/>
          <w:u w:val="single"/>
        </w:rPr>
        <w:t xml:space="preserve">  </w:t>
      </w:r>
      <w:r>
        <w:rPr>
          <w:rFonts w:ascii="宋体" w:hAnsi="宋体" w:cs="等线"/>
          <w:color w:val="auto"/>
          <w:highlight w:val="none"/>
          <w:u w:val="single"/>
        </w:rPr>
        <w:t xml:space="preserve">                                     </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44EBB13B">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1.1.2.6监理人：</w:t>
      </w:r>
    </w:p>
    <w:p w14:paraId="20FB0BE9">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名    称：</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5A04BD90">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资质类别和等级：</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02E927F1">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联系电话：</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45ADE7DF">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电子信箱：</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3BA52D02">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通信地址：</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4ABC6BC9">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1.1.2.8 设计人：</w:t>
      </w:r>
    </w:p>
    <w:p w14:paraId="397FD17E">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名    称：</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77948F95">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资质类别和等级：</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19554BE8">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联系电话：</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784DB1A9">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电子信箱：</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57A58AF1">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通信地址：</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04D024C8">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1.1.2.9承包人：</w:t>
      </w:r>
    </w:p>
    <w:p w14:paraId="401FCF58">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承包人项目经理项目经理：</w:t>
      </w:r>
    </w:p>
    <w:p w14:paraId="1F622FC6">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姓    名：</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14CF7960">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身份证号：</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7670256C">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建造师执业资格等级：</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4758A05D">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建造师注册证书号：</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2E0CDAA4">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建造师执业印章号：</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3E2C8AAA">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安全生产考核合格证书号：</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4DD0615E">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联系电话：</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4E34232C">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电子信箱：</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41362886">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通信地址：</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55BD78D7">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承包人对项目经理的授权范围如下：</w:t>
      </w:r>
      <w:r>
        <w:rPr>
          <w:rFonts w:hint="eastAsia" w:ascii="宋体" w:hAnsi="宋体" w:cs="等线"/>
          <w:color w:val="auto"/>
          <w:highlight w:val="none"/>
          <w:u w:val="single"/>
        </w:rPr>
        <w:t xml:space="preserve">                             </w:t>
      </w:r>
      <w:r>
        <w:rPr>
          <w:rFonts w:hint="eastAsia" w:ascii="宋体" w:hAnsi="宋体" w:cs="等线"/>
          <w:color w:val="auto"/>
          <w:highlight w:val="none"/>
        </w:rPr>
        <w:t xml:space="preserve"> 。</w:t>
      </w:r>
    </w:p>
    <w:p w14:paraId="60D1B9FA">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关于项目经理每月在施工现场的时间要求：</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68D89EE8">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承包人未提交劳动合同，以及没有为项目经理缴纳社会保险证明的违约责任：</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59552A7B">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项目经理未经批准，擅自离开施工现场的违约责任：</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334BA8B8">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3.2.3 承包人擅自更换项目经理的违约责任：</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7894743B">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1.1.2.9专业分包人：指根据合同条款第15.8.1项的约定，由发包人和承包人以招标方式选择的分包人。</w:t>
      </w:r>
    </w:p>
    <w:p w14:paraId="723BF005">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1.1.2.10专项供应商：指根据合同条款第15.8.1项的约定，由发包人和承包人以招标方式选择的供应商。</w:t>
      </w:r>
    </w:p>
    <w:p w14:paraId="0073E1F0">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rPr>
        <w:t>1.1.2.11独立承包人：指与发包人直接订立工程承包合同，负责实施与工程有关的其他工作的当事人。</w:t>
      </w:r>
    </w:p>
    <w:p w14:paraId="78AF59E0">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1.1.3工程和设备</w:t>
      </w:r>
    </w:p>
    <w:p w14:paraId="7A17CE39">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1.1.3.2永久工程：指按合同约定建造并移交给发包人的工程，包括工程设备       。</w:t>
      </w:r>
    </w:p>
    <w:p w14:paraId="7E4F6301">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1.1.3.3临时工程：承包人为完成永久工程所修建的临时性工程，并在本工程竣工后或在发包人要求时，承包人需予以全部拆除的工程。包括临时性围挡、施工照明工程等    。</w:t>
      </w:r>
    </w:p>
    <w:p w14:paraId="469618C5">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1.1.3.4单位工程：指具有相对独立的设计文件，能够独立组织施工并能形成独立使用功能的永久工程的组成部分。</w:t>
      </w:r>
    </w:p>
    <w:p w14:paraId="07411DB4">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1.1.3.10永久占地：指为实施本合同工程而需要的一切永久占用的土地，包括道路两侧路权范围内的用地  。</w:t>
      </w:r>
    </w:p>
    <w:p w14:paraId="681D3796">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1.1.3.11临时占地：指为实施本合同工程而需要的一切临时占用的土地，包括施工所用的现场临时出入通道，以及生产(办公)、生活等临时设施用地等  。</w:t>
      </w:r>
    </w:p>
    <w:p w14:paraId="43EA7459">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1.1.4日期</w:t>
      </w:r>
    </w:p>
    <w:p w14:paraId="147E41AB">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rPr>
        <w:t>1.1.4.5缺陷责任期期限：</w:t>
      </w:r>
      <w:r>
        <w:rPr>
          <w:rFonts w:hint="eastAsia" w:ascii="宋体" w:hAnsi="宋体" w:cs="等线"/>
          <w:color w:val="auto"/>
          <w:highlight w:val="none"/>
          <w:u w:val="single"/>
        </w:rPr>
        <w:t xml:space="preserve">  24   </w:t>
      </w:r>
      <w:r>
        <w:rPr>
          <w:rFonts w:hint="eastAsia" w:ascii="宋体" w:hAnsi="宋体" w:cs="等线"/>
          <w:color w:val="auto"/>
          <w:highlight w:val="none"/>
        </w:rPr>
        <w:t>个月，涉及防水施工项目为</w:t>
      </w:r>
      <w:r>
        <w:rPr>
          <w:rFonts w:hint="eastAsia" w:ascii="宋体" w:hAnsi="宋体" w:cs="等线"/>
          <w:color w:val="auto"/>
          <w:highlight w:val="none"/>
          <w:u w:val="single"/>
        </w:rPr>
        <w:t xml:space="preserve">   5   </w:t>
      </w:r>
      <w:r>
        <w:rPr>
          <w:rFonts w:hint="eastAsia" w:ascii="宋体" w:hAnsi="宋体" w:cs="等线"/>
          <w:color w:val="auto"/>
          <w:highlight w:val="none"/>
        </w:rPr>
        <w:t>年。</w:t>
      </w:r>
    </w:p>
    <w:p w14:paraId="4AA9ED99">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1.1.4.8保修期：是根据现行有关法律规定，在合同条款第19.7款中约定的由承包人负责对合同约定的保修范围内发生的质量问题履行保修义务并对造成的损失承担赔偿责任的期限。</w:t>
      </w:r>
    </w:p>
    <w:p w14:paraId="740CF46D">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1.1.6其他</w:t>
      </w:r>
    </w:p>
    <w:p w14:paraId="3009DE61">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1.1.6.2材料：指构成或将构成永久工程组成部分的各类物品(工程设备除外)，包括合同中可能约定的承包人仅负责供应的材料。</w:t>
      </w:r>
    </w:p>
    <w:p w14:paraId="05A4EE8E">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1.1.6.3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236083B9">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1.1.6.4 除另有特别指明外，专用合同条款中使用的措辞“合同条款”指通用合同条款和（或）专用合同条款。</w:t>
      </w:r>
    </w:p>
    <w:p w14:paraId="48AA0448">
      <w:pPr>
        <w:keepNext/>
        <w:keepLines/>
        <w:spacing w:line="360" w:lineRule="auto"/>
        <w:outlineLvl w:val="2"/>
        <w:rPr>
          <w:rFonts w:ascii="宋体" w:hAnsi="宋体" w:cs="等线"/>
          <w:color w:val="auto"/>
          <w:sz w:val="24"/>
          <w:highlight w:val="none"/>
        </w:rPr>
      </w:pPr>
      <w:bookmarkStart w:id="1507" w:name="_Toc29917"/>
      <w:bookmarkStart w:id="1508" w:name="_Toc38732150"/>
      <w:bookmarkStart w:id="1509" w:name="_Toc159950769"/>
      <w:r>
        <w:rPr>
          <w:rFonts w:hint="eastAsia" w:ascii="宋体" w:hAnsi="宋体" w:cs="等线"/>
          <w:color w:val="auto"/>
          <w:sz w:val="24"/>
          <w:highlight w:val="none"/>
        </w:rPr>
        <w:t>1.4 合同文件的优先顺序</w:t>
      </w:r>
      <w:bookmarkEnd w:id="1507"/>
      <w:bookmarkEnd w:id="1508"/>
      <w:bookmarkEnd w:id="1509"/>
    </w:p>
    <w:p w14:paraId="3D732136">
      <w:pPr>
        <w:spacing w:line="360" w:lineRule="auto"/>
        <w:ind w:firstLine="482"/>
        <w:rPr>
          <w:rFonts w:ascii="宋体" w:hAnsi="宋体" w:cs="等线"/>
          <w:color w:val="auto"/>
          <w:highlight w:val="none"/>
        </w:rPr>
      </w:pPr>
      <w:r>
        <w:rPr>
          <w:rFonts w:hint="eastAsia" w:ascii="宋体" w:hAnsi="宋体" w:cs="等线"/>
          <w:color w:val="auto"/>
          <w:highlight w:val="none"/>
        </w:rPr>
        <w:t>合同文件的优先解释顺序如下：</w:t>
      </w:r>
    </w:p>
    <w:p w14:paraId="04CDF368">
      <w:pPr>
        <w:spacing w:line="360" w:lineRule="auto"/>
        <w:ind w:firstLine="482"/>
        <w:rPr>
          <w:rFonts w:ascii="宋体" w:hAnsi="宋体" w:cs="等线"/>
          <w:color w:val="auto"/>
          <w:highlight w:val="none"/>
        </w:rPr>
      </w:pPr>
      <w:r>
        <w:rPr>
          <w:rFonts w:hint="eastAsia" w:ascii="宋体" w:hAnsi="宋体" w:cs="等线"/>
          <w:color w:val="auto"/>
          <w:highlight w:val="none"/>
        </w:rPr>
        <w:t>（1）合同协议书；</w:t>
      </w:r>
    </w:p>
    <w:p w14:paraId="6BFF87A3">
      <w:pPr>
        <w:spacing w:line="360" w:lineRule="auto"/>
        <w:ind w:firstLine="482"/>
        <w:rPr>
          <w:rFonts w:ascii="宋体" w:hAnsi="宋体" w:cs="等线"/>
          <w:color w:val="auto"/>
          <w:highlight w:val="none"/>
        </w:rPr>
      </w:pPr>
      <w:r>
        <w:rPr>
          <w:rFonts w:hint="eastAsia" w:ascii="宋体" w:hAnsi="宋体" w:cs="等线"/>
          <w:color w:val="auto"/>
          <w:highlight w:val="none"/>
        </w:rPr>
        <w:t>（2）中标通知书；</w:t>
      </w:r>
    </w:p>
    <w:p w14:paraId="45037485">
      <w:pPr>
        <w:spacing w:line="360" w:lineRule="auto"/>
        <w:ind w:firstLine="482"/>
        <w:rPr>
          <w:rFonts w:ascii="宋体" w:hAnsi="宋体" w:cs="等线"/>
          <w:color w:val="auto"/>
          <w:highlight w:val="none"/>
        </w:rPr>
      </w:pPr>
      <w:r>
        <w:rPr>
          <w:rFonts w:hint="eastAsia" w:ascii="宋体" w:hAnsi="宋体" w:cs="等线"/>
          <w:color w:val="auto"/>
          <w:highlight w:val="none"/>
        </w:rPr>
        <w:t>（3）投标函及投标函附录；</w:t>
      </w:r>
    </w:p>
    <w:p w14:paraId="3099F958">
      <w:pPr>
        <w:spacing w:line="360" w:lineRule="auto"/>
        <w:ind w:firstLine="482"/>
        <w:rPr>
          <w:rFonts w:ascii="宋体" w:hAnsi="宋体" w:cs="等线"/>
          <w:color w:val="auto"/>
          <w:highlight w:val="none"/>
        </w:rPr>
      </w:pPr>
      <w:r>
        <w:rPr>
          <w:rFonts w:hint="eastAsia" w:ascii="宋体" w:hAnsi="宋体" w:cs="等线"/>
          <w:color w:val="auto"/>
          <w:highlight w:val="none"/>
        </w:rPr>
        <w:t>（4）专用合同条款；</w:t>
      </w:r>
    </w:p>
    <w:p w14:paraId="1DFF7572">
      <w:pPr>
        <w:spacing w:line="360" w:lineRule="auto"/>
        <w:ind w:firstLine="482"/>
        <w:rPr>
          <w:rFonts w:ascii="宋体" w:hAnsi="宋体" w:cs="等线"/>
          <w:color w:val="auto"/>
          <w:highlight w:val="none"/>
        </w:rPr>
      </w:pPr>
      <w:r>
        <w:rPr>
          <w:rFonts w:hint="eastAsia" w:ascii="宋体" w:hAnsi="宋体" w:cs="等线"/>
          <w:color w:val="auto"/>
          <w:highlight w:val="none"/>
        </w:rPr>
        <w:t>（5）通用合同条款；</w:t>
      </w:r>
    </w:p>
    <w:p w14:paraId="6C494D09">
      <w:pPr>
        <w:spacing w:line="360" w:lineRule="auto"/>
        <w:ind w:firstLine="482"/>
        <w:rPr>
          <w:rFonts w:ascii="宋体" w:hAnsi="宋体" w:cs="等线"/>
          <w:color w:val="auto"/>
          <w:highlight w:val="none"/>
        </w:rPr>
      </w:pPr>
      <w:r>
        <w:rPr>
          <w:rFonts w:hint="eastAsia" w:ascii="宋体" w:hAnsi="宋体" w:cs="等线"/>
          <w:color w:val="auto"/>
          <w:highlight w:val="none"/>
        </w:rPr>
        <w:t>（6）</w:t>
      </w:r>
      <w:r>
        <w:rPr>
          <w:rFonts w:hint="eastAsia" w:ascii="宋体" w:hAnsi="宋体" w:cs="等线"/>
          <w:color w:val="auto"/>
          <w:highlight w:val="none"/>
          <w:u w:val="single"/>
        </w:rPr>
        <w:t xml:space="preserve">已标价工程量清单    </w:t>
      </w:r>
      <w:r>
        <w:rPr>
          <w:rFonts w:hint="eastAsia" w:ascii="宋体" w:hAnsi="宋体" w:cs="等线"/>
          <w:color w:val="auto"/>
          <w:highlight w:val="none"/>
        </w:rPr>
        <w:t>；</w:t>
      </w:r>
    </w:p>
    <w:p w14:paraId="531D3C11">
      <w:pPr>
        <w:spacing w:line="360" w:lineRule="auto"/>
        <w:ind w:firstLine="482"/>
        <w:rPr>
          <w:rFonts w:ascii="宋体" w:hAnsi="宋体" w:cs="等线"/>
          <w:color w:val="auto"/>
          <w:highlight w:val="none"/>
        </w:rPr>
      </w:pPr>
      <w:r>
        <w:rPr>
          <w:rFonts w:hint="eastAsia" w:ascii="宋体" w:hAnsi="宋体" w:cs="等线"/>
          <w:color w:val="auto"/>
          <w:highlight w:val="none"/>
        </w:rPr>
        <w:t>（7）</w:t>
      </w:r>
      <w:r>
        <w:rPr>
          <w:rFonts w:hint="eastAsia" w:ascii="宋体" w:hAnsi="宋体" w:cs="等线"/>
          <w:color w:val="auto"/>
          <w:highlight w:val="none"/>
          <w:u w:val="single"/>
        </w:rPr>
        <w:t xml:space="preserve">技术标准和要求      </w:t>
      </w:r>
      <w:r>
        <w:rPr>
          <w:rFonts w:hint="eastAsia" w:ascii="宋体" w:hAnsi="宋体" w:cs="等线"/>
          <w:color w:val="auto"/>
          <w:highlight w:val="none"/>
        </w:rPr>
        <w:t>；</w:t>
      </w:r>
    </w:p>
    <w:p w14:paraId="2396444D">
      <w:pPr>
        <w:spacing w:line="360" w:lineRule="auto"/>
        <w:ind w:firstLine="482"/>
        <w:rPr>
          <w:rFonts w:ascii="宋体" w:hAnsi="宋体" w:cs="等线"/>
          <w:color w:val="auto"/>
          <w:highlight w:val="none"/>
        </w:rPr>
      </w:pPr>
      <w:r>
        <w:rPr>
          <w:rFonts w:hint="eastAsia" w:ascii="宋体" w:hAnsi="宋体" w:cs="等线"/>
          <w:color w:val="auto"/>
          <w:highlight w:val="none"/>
        </w:rPr>
        <w:t>（8）</w:t>
      </w:r>
      <w:r>
        <w:rPr>
          <w:rFonts w:hint="eastAsia" w:ascii="宋体" w:hAnsi="宋体" w:cs="等线"/>
          <w:color w:val="auto"/>
          <w:highlight w:val="none"/>
          <w:u w:val="single"/>
        </w:rPr>
        <w:t xml:space="preserve">施工组织设计        </w:t>
      </w:r>
      <w:r>
        <w:rPr>
          <w:rFonts w:hint="eastAsia" w:ascii="宋体" w:hAnsi="宋体" w:cs="等线"/>
          <w:color w:val="auto"/>
          <w:highlight w:val="none"/>
        </w:rPr>
        <w:t>。</w:t>
      </w:r>
    </w:p>
    <w:p w14:paraId="56C6F592">
      <w:pPr>
        <w:spacing w:line="360" w:lineRule="auto"/>
        <w:ind w:firstLine="480"/>
        <w:rPr>
          <w:rFonts w:ascii="宋体" w:hAnsi="宋体" w:cs="等线"/>
          <w:color w:val="auto"/>
          <w:highlight w:val="none"/>
        </w:rPr>
      </w:pPr>
      <w:r>
        <w:rPr>
          <w:rFonts w:hint="eastAsia" w:ascii="宋体" w:hAnsi="宋体" w:cs="等线"/>
          <w:color w:val="auto"/>
          <w:highlight w:val="none"/>
        </w:rPr>
        <w:t>（说明：（6）、（7）、（8）填空内容分别限于技术标准和要求、已标价工程量清单三者之一。）</w:t>
      </w:r>
    </w:p>
    <w:p w14:paraId="29C7B357">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合同协议书中约定采用总价合同形式的，除非合同另有约定，已标价工程量清单中的各项工程量对合同双方不具合同约束力。</w:t>
      </w:r>
    </w:p>
    <w:p w14:paraId="6D37C727">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图纸与技术标准和要求之间有矛盾或者不一致的，以其中要求较严格的标准为准。</w:t>
      </w:r>
    </w:p>
    <w:p w14:paraId="0FE00600">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合同双方在合同履行过程中签订的补充协议亦构成合同文件的组成部分，其解释顺序视其内容与其他合同文件的相互关系而定。</w:t>
      </w:r>
    </w:p>
    <w:p w14:paraId="2052F7F5">
      <w:pPr>
        <w:keepNext/>
        <w:keepLines/>
        <w:spacing w:line="360" w:lineRule="auto"/>
        <w:outlineLvl w:val="2"/>
        <w:rPr>
          <w:rFonts w:ascii="宋体" w:hAnsi="宋体" w:cs="等线"/>
          <w:color w:val="auto"/>
          <w:sz w:val="24"/>
          <w:highlight w:val="none"/>
        </w:rPr>
      </w:pPr>
      <w:bookmarkStart w:id="1510" w:name="_Toc38732151"/>
      <w:bookmarkStart w:id="1511" w:name="_Toc18405"/>
      <w:bookmarkStart w:id="1512" w:name="_Toc159950770"/>
      <w:r>
        <w:rPr>
          <w:rFonts w:hint="eastAsia" w:ascii="宋体" w:hAnsi="宋体" w:cs="等线"/>
          <w:color w:val="auto"/>
          <w:sz w:val="24"/>
          <w:highlight w:val="none"/>
        </w:rPr>
        <w:t>1.5 合同协议书</w:t>
      </w:r>
      <w:bookmarkEnd w:id="1510"/>
      <w:bookmarkEnd w:id="1511"/>
      <w:bookmarkEnd w:id="1512"/>
    </w:p>
    <w:p w14:paraId="29FF3032">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rPr>
        <w:t>合同生效的条件：</w:t>
      </w:r>
      <w:r>
        <w:rPr>
          <w:rFonts w:hint="eastAsia" w:ascii="宋体" w:hAnsi="宋体" w:cs="等线"/>
          <w:color w:val="auto"/>
          <w:highlight w:val="none"/>
          <w:u w:val="single"/>
        </w:rPr>
        <w:t xml:space="preserve"> 自发包人和承包人的法定代表人或其委托代理人在合同协议书上签字并盖单位章后</w:t>
      </w:r>
      <w:r>
        <w:rPr>
          <w:rFonts w:hint="eastAsia" w:ascii="宋体" w:hAnsi="宋体" w:cs="等线"/>
          <w:color w:val="auto"/>
          <w:highlight w:val="none"/>
        </w:rPr>
        <w:t>。</w:t>
      </w:r>
    </w:p>
    <w:p w14:paraId="3DE8BEDD">
      <w:pPr>
        <w:keepNext/>
        <w:keepLines/>
        <w:spacing w:line="360" w:lineRule="auto"/>
        <w:outlineLvl w:val="2"/>
        <w:rPr>
          <w:rFonts w:ascii="宋体" w:hAnsi="宋体" w:cs="等线"/>
          <w:color w:val="auto"/>
          <w:sz w:val="24"/>
          <w:highlight w:val="none"/>
        </w:rPr>
      </w:pPr>
      <w:bookmarkStart w:id="1513" w:name="_Toc159950771"/>
      <w:bookmarkStart w:id="1514" w:name="_Toc38732152"/>
      <w:bookmarkStart w:id="1515" w:name="_Toc31330"/>
      <w:r>
        <w:rPr>
          <w:rFonts w:hint="eastAsia" w:ascii="宋体" w:hAnsi="宋体" w:cs="等线"/>
          <w:color w:val="auto"/>
          <w:sz w:val="24"/>
          <w:highlight w:val="none"/>
        </w:rPr>
        <w:t>1.6 图纸和承包人文件</w:t>
      </w:r>
      <w:bookmarkEnd w:id="1513"/>
      <w:bookmarkEnd w:id="1514"/>
      <w:bookmarkEnd w:id="1515"/>
    </w:p>
    <w:p w14:paraId="24EEEFD1">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1.6.1图纸的提供（本项目不适用）</w:t>
      </w:r>
    </w:p>
    <w:p w14:paraId="7D72DBFF">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（1） 发包人按照合同条款本项的约定向承包人提供图纸。承包人需要增加图纸套数的，发包人应代为复制，复制费用由承包人承担。</w:t>
      </w:r>
    </w:p>
    <w:p w14:paraId="3A6EB2E2">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（2） 在监理人批准合同条款第10.1款约定的合同进度计划或者合同条款10.2款约定的合同进度计划修改后7天内,承包人应当根据合同进度计划和本项约定的图纸提供期限和数量，编制或者修改图纸供应计划并报送监理人，其中应当载明承包人对各区段最新版本图纸(包括合同条款第1.6.3项约定的图纸修改图)的最迟需求时间，监理人应当在收到图纸供应计划后7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致使发包人或者监理人未能在合理的时间内提供相应图纸或者承包人未按照图纸供应计划组织施工所造成的费用增加和（或）工期延误由承包人承担。</w:t>
      </w:r>
    </w:p>
    <w:p w14:paraId="43D15BA6">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（3）发包人提供图纸的期限：</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51B5B716">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（4）发包人提供图纸的数量：</w:t>
      </w:r>
      <w:r>
        <w:rPr>
          <w:rFonts w:hint="eastAsia" w:ascii="宋体" w:hAnsi="宋体" w:cs="等线"/>
          <w:color w:val="auto"/>
          <w:highlight w:val="none"/>
          <w:u w:val="single"/>
        </w:rPr>
        <w:t xml:space="preserve">      </w:t>
      </w:r>
      <w:r>
        <w:rPr>
          <w:rFonts w:ascii="宋体" w:hAnsi="宋体" w:cs="等线"/>
          <w:color w:val="auto"/>
          <w:highlight w:val="none"/>
          <w:u w:val="single"/>
        </w:rPr>
        <w:t>/</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433DA148">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1.6.2 承包人提供的文件</w:t>
      </w:r>
    </w:p>
    <w:p w14:paraId="2E611C47">
      <w:pPr>
        <w:spacing w:line="360" w:lineRule="auto"/>
        <w:ind w:firstLine="315" w:firstLineChars="150"/>
        <w:rPr>
          <w:rFonts w:ascii="宋体" w:hAnsi="宋体" w:cs="等线"/>
          <w:color w:val="auto"/>
          <w:highlight w:val="none"/>
          <w:u w:val="single"/>
        </w:rPr>
      </w:pPr>
      <w:r>
        <w:rPr>
          <w:rFonts w:hint="eastAsia" w:ascii="宋体" w:hAnsi="宋体" w:cs="等线"/>
          <w:color w:val="auto"/>
          <w:highlight w:val="none"/>
        </w:rPr>
        <w:t>（1）除专用合同条款第4.1.10(1)目约定的由承包人提供的设计文件外，本项约定的其他应由承包人提供的文件，包括必要的加工图和大样图，均不是合同计量与支付的依据文件。由承包人提供的文件范围：</w:t>
      </w:r>
      <w:r>
        <w:rPr>
          <w:rFonts w:hint="eastAsia" w:ascii="宋体" w:hAnsi="宋体" w:cs="等线"/>
          <w:color w:val="auto"/>
          <w:highlight w:val="none"/>
          <w:u w:val="single"/>
        </w:rPr>
        <w:t xml:space="preserve">A:承包人在开工前，图纸会审时可对施工图（如涉及）、工程量清单中的缺项、漏项、设计不明确等问题提出。B：根据本项目实际情况调整后的施工组织设计、分包计划、分包及材料设备招标采购计划等。承包人所提交的施工组织设计不能低于承包人在投标施工方案内所说明的所有工程内容和承诺的标准。因承包人提交的施工方案不能通过监理工程师审查而造成工期延误，承包人自行承担。C: 承包人应按照监理人同意的格式和详细程度，提交工程进度计划，并获得监理人的批准。该进度计划不得对随投标文件提交的施工组织设计中相应内容做出实质性变动。D:工程竣工图纸（如涉及），工程验收资料 </w:t>
      </w:r>
      <w:r>
        <w:rPr>
          <w:rFonts w:hint="eastAsia" w:ascii="宋体" w:hAnsi="宋体" w:cs="等线"/>
          <w:color w:val="auto"/>
          <w:highlight w:val="none"/>
        </w:rPr>
        <w:t>。</w:t>
      </w:r>
    </w:p>
    <w:p w14:paraId="5E869074">
      <w:pPr>
        <w:spacing w:line="360" w:lineRule="auto"/>
        <w:ind w:firstLine="315" w:firstLineChars="150"/>
        <w:rPr>
          <w:rFonts w:ascii="宋体" w:hAnsi="宋体" w:cs="等线"/>
          <w:color w:val="auto"/>
          <w:highlight w:val="none"/>
          <w:u w:val="single"/>
        </w:rPr>
      </w:pPr>
      <w:r>
        <w:rPr>
          <w:rFonts w:hint="eastAsia" w:ascii="宋体" w:hAnsi="宋体" w:cs="等线"/>
          <w:color w:val="auto"/>
          <w:highlight w:val="none"/>
        </w:rPr>
        <w:t>（2）承包人提供文件的期限：</w:t>
      </w:r>
      <w:r>
        <w:rPr>
          <w:rFonts w:hint="eastAsia" w:ascii="宋体" w:hAnsi="宋体" w:cs="等线"/>
          <w:color w:val="auto"/>
          <w:highlight w:val="none"/>
          <w:u w:val="single"/>
        </w:rPr>
        <w:t xml:space="preserve">  合同签订后10日内；竣工验收完成后10个日内</w:t>
      </w:r>
      <w:r>
        <w:rPr>
          <w:rFonts w:hint="eastAsia" w:ascii="宋体" w:hAnsi="宋体" w:cs="等线"/>
          <w:color w:val="auto"/>
          <w:highlight w:val="none"/>
        </w:rPr>
        <w:t>。</w:t>
      </w:r>
    </w:p>
    <w:p w14:paraId="6B60A8F9">
      <w:pPr>
        <w:spacing w:line="360" w:lineRule="auto"/>
        <w:ind w:firstLine="315" w:firstLineChars="150"/>
        <w:rPr>
          <w:rFonts w:ascii="宋体" w:hAnsi="宋体" w:cs="等线"/>
          <w:color w:val="auto"/>
          <w:highlight w:val="none"/>
          <w:u w:val="single"/>
        </w:rPr>
      </w:pPr>
      <w:r>
        <w:rPr>
          <w:rFonts w:hint="eastAsia" w:ascii="宋体" w:hAnsi="宋体" w:cs="等线"/>
          <w:color w:val="auto"/>
          <w:highlight w:val="none"/>
        </w:rPr>
        <w:t>（3）承包人提供文件的数量：</w:t>
      </w:r>
      <w:r>
        <w:rPr>
          <w:rFonts w:hint="eastAsia" w:ascii="宋体" w:hAnsi="宋体" w:cs="等线"/>
          <w:color w:val="auto"/>
          <w:highlight w:val="none"/>
          <w:u w:val="single"/>
        </w:rPr>
        <w:t xml:space="preserve">   一式三份  </w:t>
      </w:r>
      <w:r>
        <w:rPr>
          <w:rFonts w:hint="eastAsia" w:ascii="宋体" w:hAnsi="宋体" w:cs="等线"/>
          <w:color w:val="auto"/>
          <w:highlight w:val="none"/>
        </w:rPr>
        <w:t>。</w:t>
      </w:r>
    </w:p>
    <w:p w14:paraId="763F5BCE">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（4）监理人批复承包人提供文件的期限：</w:t>
      </w:r>
      <w:r>
        <w:rPr>
          <w:rFonts w:hint="eastAsia" w:ascii="宋体" w:hAnsi="宋体" w:cs="等线"/>
          <w:color w:val="auto"/>
          <w:highlight w:val="none"/>
          <w:u w:val="single"/>
        </w:rPr>
        <w:t xml:space="preserve">  收到承包人提供的文件后7日内   </w:t>
      </w:r>
      <w:r>
        <w:rPr>
          <w:rFonts w:hint="eastAsia" w:ascii="宋体" w:hAnsi="宋体" w:cs="等线"/>
          <w:color w:val="auto"/>
          <w:highlight w:val="none"/>
        </w:rPr>
        <w:t>。</w:t>
      </w:r>
    </w:p>
    <w:p w14:paraId="77B1D7B5">
      <w:pPr>
        <w:spacing w:line="360" w:lineRule="auto"/>
        <w:ind w:firstLine="315" w:firstLineChars="150"/>
        <w:rPr>
          <w:rFonts w:ascii="宋体" w:hAnsi="宋体" w:cs="等线"/>
          <w:color w:val="auto"/>
          <w:highlight w:val="none"/>
          <w:u w:val="single"/>
        </w:rPr>
      </w:pPr>
      <w:r>
        <w:rPr>
          <w:rFonts w:hint="eastAsia" w:ascii="宋体" w:hAnsi="宋体" w:cs="等线"/>
          <w:color w:val="auto"/>
          <w:highlight w:val="none"/>
        </w:rPr>
        <w:t>（5）其他约定：</w:t>
      </w:r>
      <w:r>
        <w:rPr>
          <w:rFonts w:hint="eastAsia" w:ascii="宋体" w:hAnsi="宋体" w:cs="等线"/>
          <w:color w:val="auto"/>
          <w:highlight w:val="none"/>
          <w:u w:val="single"/>
        </w:rPr>
        <w:t xml:space="preserve"> 承包人应当在合同履行期间，每月25日提供当月工程统计报表及下月计划报表，其相应费用已包含在合同价款中</w:t>
      </w:r>
      <w:r>
        <w:rPr>
          <w:rFonts w:hint="eastAsia" w:ascii="宋体" w:hAnsi="宋体" w:cs="等线"/>
          <w:color w:val="auto"/>
          <w:highlight w:val="none"/>
        </w:rPr>
        <w:t>。</w:t>
      </w:r>
    </w:p>
    <w:p w14:paraId="7CAD2DEA">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1.6.3 图纸的修改（本项目不适用）</w:t>
      </w:r>
    </w:p>
    <w:p w14:paraId="1AC77142">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监理人应当按照合同条款第1.6.1（2）目约定的有合同约束力的图纸供应计划，签发图纸修改图给承包人。</w:t>
      </w:r>
    </w:p>
    <w:p w14:paraId="70509F34">
      <w:pPr>
        <w:keepNext/>
        <w:keepLines/>
        <w:spacing w:line="360" w:lineRule="auto"/>
        <w:outlineLvl w:val="2"/>
        <w:rPr>
          <w:rFonts w:ascii="宋体" w:hAnsi="宋体" w:cs="等线"/>
          <w:color w:val="auto"/>
          <w:sz w:val="24"/>
          <w:highlight w:val="none"/>
        </w:rPr>
      </w:pPr>
      <w:bookmarkStart w:id="1516" w:name="_Toc12377"/>
      <w:bookmarkStart w:id="1517" w:name="_Toc159950772"/>
      <w:bookmarkStart w:id="1518" w:name="_Toc38732153"/>
      <w:r>
        <w:rPr>
          <w:rFonts w:hint="eastAsia" w:ascii="宋体" w:hAnsi="宋体" w:cs="等线"/>
          <w:color w:val="auto"/>
          <w:sz w:val="24"/>
          <w:highlight w:val="none"/>
        </w:rPr>
        <w:t>1.7 联 络</w:t>
      </w:r>
      <w:bookmarkEnd w:id="1516"/>
      <w:bookmarkEnd w:id="1517"/>
      <w:bookmarkEnd w:id="1518"/>
    </w:p>
    <w:p w14:paraId="5FF890DD">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1.7.2联络来往函件的送达和接收</w:t>
      </w:r>
    </w:p>
    <w:p w14:paraId="5DDA5B9B">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（1）联络来往信函的送达期限：合同约定了发出期限的，送达期限为合同约定的发出期限后的24小时内；合同约定了通知、提供或者报送期限的，通知、提供或者报送期限即为送达期限。</w:t>
      </w:r>
    </w:p>
    <w:p w14:paraId="1CF923AD">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（2）发包人指定的接收地点：</w:t>
      </w:r>
      <w:r>
        <w:rPr>
          <w:rFonts w:hint="eastAsia" w:ascii="宋体" w:hAnsi="宋体" w:cs="等线"/>
          <w:color w:val="auto"/>
          <w:highlight w:val="none"/>
          <w:u w:val="single"/>
        </w:rPr>
        <w:t xml:space="preserve"> 北京财贸职业学院 </w:t>
      </w:r>
      <w:r>
        <w:rPr>
          <w:rFonts w:ascii="宋体" w:hAnsi="宋体" w:cs="等线"/>
          <w:color w:val="auto"/>
          <w:highlight w:val="none"/>
          <w:u w:val="single"/>
        </w:rPr>
        <w:t xml:space="preserve">     </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1CDA5993">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（3）发包人指定的接收人为：</w:t>
      </w:r>
      <w:r>
        <w:rPr>
          <w:rFonts w:hint="eastAsia" w:ascii="宋体" w:hAnsi="宋体" w:cs="等线"/>
          <w:color w:val="auto"/>
          <w:highlight w:val="none"/>
          <w:u w:val="single"/>
        </w:rPr>
        <w:t xml:space="preserve">         </w:t>
      </w:r>
      <w:r>
        <w:rPr>
          <w:rFonts w:ascii="宋体" w:hAnsi="宋体" w:cs="等线"/>
          <w:color w:val="auto"/>
          <w:highlight w:val="none"/>
          <w:u w:val="single"/>
        </w:rPr>
        <w:t xml:space="preserve"> </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7FAB18F1">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（4）监理人指定的接收地点：</w:t>
      </w:r>
      <w:r>
        <w:rPr>
          <w:rFonts w:hint="eastAsia" w:ascii="宋体" w:hAnsi="宋体" w:cs="等线"/>
          <w:color w:val="auto"/>
          <w:highlight w:val="none"/>
          <w:u w:val="single"/>
        </w:rPr>
        <w:t xml:space="preserve">   按发包人要求  </w:t>
      </w:r>
      <w:r>
        <w:rPr>
          <w:rFonts w:hint="eastAsia" w:ascii="宋体" w:hAnsi="宋体" w:cs="等线"/>
          <w:color w:val="auto"/>
          <w:highlight w:val="none"/>
        </w:rPr>
        <w:t>。</w:t>
      </w:r>
    </w:p>
    <w:p w14:paraId="61E8CCC3">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（5）监理人指定的接收人为：</w:t>
      </w:r>
      <w:r>
        <w:rPr>
          <w:rFonts w:hint="eastAsia" w:ascii="宋体" w:hAnsi="宋体" w:cs="等线"/>
          <w:color w:val="auto"/>
          <w:highlight w:val="none"/>
          <w:u w:val="single"/>
        </w:rPr>
        <w:t xml:space="preserve">   按发包人要求  </w:t>
      </w:r>
      <w:r>
        <w:rPr>
          <w:rFonts w:hint="eastAsia" w:ascii="宋体" w:hAnsi="宋体" w:cs="等线"/>
          <w:color w:val="auto"/>
          <w:highlight w:val="none"/>
        </w:rPr>
        <w:t>。</w:t>
      </w:r>
    </w:p>
    <w:p w14:paraId="3B042E61">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6）承包人指定的接收人为合同协议书中载明的承包人项目经理本人或者项目经理的授权代表。承包人应在收到开工通知后7天内，按照合同条款第4.5.4项的约定，将授权代表其接收来往信函的项目经理的授权代表姓名和授权范围通知监理人。除合同另有约定外，承包人施工场地管理机构的办公地点即为承包人指定的接收地点。</w:t>
      </w:r>
    </w:p>
    <w:p w14:paraId="2A741B67">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7）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工作在指定的接收地点，指定接收人离开工作岗位而无法及时签收来往信函构成拒不签收。</w:t>
      </w:r>
    </w:p>
    <w:p w14:paraId="434C01EE">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8）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55F2D430">
      <w:pPr>
        <w:keepNext/>
        <w:keepLines/>
        <w:spacing w:line="400" w:lineRule="exact"/>
        <w:outlineLvl w:val="1"/>
        <w:rPr>
          <w:rFonts w:ascii="宋体" w:hAnsi="宋体" w:cs="等线"/>
          <w:color w:val="auto"/>
          <w:sz w:val="24"/>
          <w:highlight w:val="none"/>
        </w:rPr>
      </w:pPr>
      <w:bookmarkStart w:id="1519" w:name="_Toc18100"/>
      <w:bookmarkStart w:id="1520" w:name="_Toc30110"/>
      <w:bookmarkStart w:id="1521" w:name="_Toc159950773"/>
      <w:bookmarkStart w:id="1522" w:name="_Toc38732154"/>
      <w:r>
        <w:rPr>
          <w:rFonts w:hint="eastAsia" w:ascii="宋体" w:hAnsi="宋体" w:cs="等线"/>
          <w:color w:val="auto"/>
          <w:sz w:val="24"/>
          <w:highlight w:val="none"/>
        </w:rPr>
        <w:t>2. 发包人义务</w:t>
      </w:r>
      <w:bookmarkEnd w:id="1519"/>
      <w:bookmarkEnd w:id="1520"/>
      <w:bookmarkEnd w:id="1521"/>
      <w:bookmarkEnd w:id="1522"/>
    </w:p>
    <w:p w14:paraId="5FC30F46">
      <w:pPr>
        <w:keepNext/>
        <w:keepLines/>
        <w:spacing w:line="360" w:lineRule="auto"/>
        <w:outlineLvl w:val="2"/>
        <w:rPr>
          <w:rFonts w:ascii="宋体" w:hAnsi="宋体" w:cs="等线"/>
          <w:color w:val="auto"/>
          <w:sz w:val="24"/>
          <w:highlight w:val="none"/>
        </w:rPr>
      </w:pPr>
      <w:bookmarkStart w:id="1523" w:name="_Toc16900"/>
      <w:bookmarkStart w:id="1524" w:name="_Toc38732155"/>
      <w:bookmarkStart w:id="1525" w:name="_Toc159950774"/>
      <w:r>
        <w:rPr>
          <w:rFonts w:hint="eastAsia" w:ascii="宋体" w:hAnsi="宋体" w:cs="等线"/>
          <w:color w:val="auto"/>
          <w:sz w:val="24"/>
          <w:highlight w:val="none"/>
        </w:rPr>
        <w:t>2.3 提供施工场地</w:t>
      </w:r>
      <w:bookmarkEnd w:id="1523"/>
      <w:bookmarkEnd w:id="1524"/>
      <w:bookmarkEnd w:id="1525"/>
    </w:p>
    <w:p w14:paraId="592DE877">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施工场地应当在监理人发出的开工通知中载明的开工日期前</w:t>
      </w:r>
      <w:r>
        <w:rPr>
          <w:rFonts w:hint="eastAsia" w:ascii="宋体" w:hAnsi="宋体" w:cs="等线"/>
          <w:color w:val="auto"/>
          <w:highlight w:val="none"/>
          <w:u w:val="single"/>
        </w:rPr>
        <w:t xml:space="preserve">  7  </w:t>
      </w:r>
      <w:r>
        <w:rPr>
          <w:rFonts w:hint="eastAsia" w:ascii="宋体" w:hAnsi="宋体" w:cs="等线"/>
          <w:color w:val="auto"/>
          <w:highlight w:val="none"/>
        </w:rPr>
        <w:t>天具备施工条件并移交给承包人，具体施工条件在 “技术标准和要求”第一节“一般要求”中约定。发包人最迟应当在移交施工场地的同时向承包人提供施工场地内地下管线和地下设施等有关资料，并保证资料的真实、准确和完整。</w:t>
      </w:r>
    </w:p>
    <w:p w14:paraId="513BF69F">
      <w:pPr>
        <w:keepNext/>
        <w:keepLines/>
        <w:spacing w:line="360" w:lineRule="auto"/>
        <w:outlineLvl w:val="2"/>
        <w:rPr>
          <w:rFonts w:ascii="宋体" w:hAnsi="宋体" w:cs="等线"/>
          <w:color w:val="auto"/>
          <w:sz w:val="24"/>
          <w:highlight w:val="none"/>
        </w:rPr>
      </w:pPr>
      <w:bookmarkStart w:id="1526" w:name="_Toc38732156"/>
      <w:bookmarkStart w:id="1527" w:name="_Toc21280"/>
      <w:bookmarkStart w:id="1528" w:name="_Toc159950775"/>
      <w:r>
        <w:rPr>
          <w:rFonts w:hint="eastAsia" w:ascii="宋体" w:hAnsi="宋体" w:cs="等线"/>
          <w:color w:val="auto"/>
          <w:sz w:val="24"/>
          <w:highlight w:val="none"/>
        </w:rPr>
        <w:t>2.5 组织设计交底</w:t>
      </w:r>
      <w:bookmarkEnd w:id="1526"/>
      <w:bookmarkEnd w:id="1527"/>
      <w:bookmarkEnd w:id="1528"/>
    </w:p>
    <w:p w14:paraId="0470FFFE">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发包人应当在合同条款11.1.1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7E1958A9">
      <w:pPr>
        <w:keepNext/>
        <w:keepLines/>
        <w:spacing w:line="360" w:lineRule="auto"/>
        <w:outlineLvl w:val="2"/>
        <w:rPr>
          <w:rFonts w:ascii="宋体" w:hAnsi="宋体" w:cs="等线"/>
          <w:color w:val="auto"/>
          <w:sz w:val="24"/>
          <w:highlight w:val="none"/>
        </w:rPr>
      </w:pPr>
      <w:bookmarkStart w:id="1529" w:name="_Toc7188"/>
      <w:bookmarkStart w:id="1530" w:name="_Toc159950776"/>
      <w:bookmarkStart w:id="1531" w:name="_Toc38732157"/>
      <w:r>
        <w:rPr>
          <w:rFonts w:hint="eastAsia" w:ascii="宋体" w:hAnsi="宋体" w:cs="等线"/>
          <w:color w:val="auto"/>
          <w:sz w:val="24"/>
          <w:highlight w:val="none"/>
        </w:rPr>
        <w:t>2.8 其他义务</w:t>
      </w:r>
      <w:bookmarkEnd w:id="1529"/>
      <w:bookmarkEnd w:id="1530"/>
      <w:bookmarkEnd w:id="1531"/>
    </w:p>
    <w:p w14:paraId="2D6B3DBD">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向承包人提交对等的支付担保。在承包人按合同条款第4.2条向发包人递交符合合同约定的履约担保的同时，发包人应当按照金额和条件对等的原则和招标文件中规定的格式或者其他经过承包人事先认可的格式向承包人递交一份支付担保。支付担保的有效期应当自本合同生效之日起至发包人实际支付竣工付款之日止。如果发包人无法获得一份不带具体截止日期的担保，支付担保中应当有“变更工程竣工付款支付日期的，保证期间按照变更后的竣工付款支付日期做相应调整”或类似约定的条款。支付担保应在发包人付清竣工付款之日后28天内退还给发包人。承包人不承担发包人与支付担保有关的任何利息或其它类似的费用或者收益。支付担保是本合同的附件。</w:t>
      </w:r>
    </w:p>
    <w:p w14:paraId="062C3655">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（2）按有关规定及时办理工程质量监督手续。</w:t>
      </w:r>
    </w:p>
    <w:p w14:paraId="692D16F8">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（3）根据建设行政主管部门和（或）城市建设档案管理机构的规定，收集、整理、立卷、归档工程资料，并按规定时间向建设行政主管部门或者城市建设档案管理机构移交规定的工程档案。</w:t>
      </w:r>
    </w:p>
    <w:p w14:paraId="01D71BDD">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4）批准和确认：按合同约定应当由监理人或者发包人回复、批复、批准、确认或提出修改意见的承包人的要求、请求、申请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345492C0">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（5）发包人应当履行合同约定的其他义务以及下述义务：</w:t>
      </w:r>
    </w:p>
    <w:p w14:paraId="2B8EA2B3">
      <w:pPr>
        <w:spacing w:line="360" w:lineRule="auto"/>
        <w:ind w:firstLine="315" w:firstLineChars="150"/>
        <w:rPr>
          <w:rFonts w:ascii="宋体" w:hAnsi="宋体" w:cs="等线"/>
          <w:color w:val="auto"/>
          <w:highlight w:val="none"/>
          <w:u w:val="single"/>
        </w:rPr>
      </w:pPr>
      <w:r>
        <w:rPr>
          <w:rFonts w:hint="eastAsia" w:ascii="宋体" w:hAnsi="宋体" w:cs="等线"/>
          <w:color w:val="auto"/>
          <w:highlight w:val="none"/>
          <w:u w:val="single"/>
        </w:rPr>
        <w:t>（a）按有关规定及时办理工程质量监督手续。</w:t>
      </w:r>
    </w:p>
    <w:p w14:paraId="1A047A6E">
      <w:pPr>
        <w:spacing w:line="360" w:lineRule="auto"/>
        <w:ind w:firstLine="315" w:firstLineChars="150"/>
        <w:rPr>
          <w:rFonts w:ascii="宋体" w:hAnsi="宋体" w:cs="等线"/>
          <w:color w:val="auto"/>
          <w:highlight w:val="none"/>
        </w:rPr>
      </w:pPr>
      <w:r>
        <w:rPr>
          <w:rFonts w:hint="eastAsia" w:ascii="宋体" w:hAnsi="宋体" w:cs="等线"/>
          <w:color w:val="auto"/>
          <w:highlight w:val="none"/>
          <w:u w:val="single"/>
        </w:rPr>
        <w:t xml:space="preserve">（b）根据建设行政主管部门和（或）城市建设档案管理机构的规定，收集、整理、立卷、归档工程资料，并按规定时间向建设行政主管部门或者城市建设档案管理机构移交规定的工程档案  </w:t>
      </w:r>
      <w:r>
        <w:rPr>
          <w:rFonts w:hint="eastAsia" w:ascii="宋体" w:hAnsi="宋体" w:cs="等线"/>
          <w:color w:val="auto"/>
          <w:highlight w:val="none"/>
        </w:rPr>
        <w:t xml:space="preserve">。 </w:t>
      </w:r>
    </w:p>
    <w:p w14:paraId="38D999CA">
      <w:pPr>
        <w:keepNext/>
        <w:keepLines/>
        <w:spacing w:line="400" w:lineRule="exact"/>
        <w:outlineLvl w:val="1"/>
        <w:rPr>
          <w:rFonts w:ascii="宋体" w:hAnsi="宋体" w:cs="等线"/>
          <w:color w:val="auto"/>
          <w:sz w:val="24"/>
          <w:highlight w:val="none"/>
        </w:rPr>
      </w:pPr>
      <w:bookmarkStart w:id="1532" w:name="_Toc15025"/>
      <w:bookmarkStart w:id="1533" w:name="_Toc28374"/>
      <w:bookmarkStart w:id="1534" w:name="_Toc159950777"/>
      <w:bookmarkStart w:id="1535" w:name="_Toc38732158"/>
      <w:r>
        <w:rPr>
          <w:rFonts w:hint="eastAsia" w:ascii="宋体" w:hAnsi="宋体" w:cs="等线"/>
          <w:color w:val="auto"/>
          <w:sz w:val="24"/>
          <w:highlight w:val="none"/>
        </w:rPr>
        <w:t>3. 监理人</w:t>
      </w:r>
      <w:bookmarkEnd w:id="1532"/>
      <w:bookmarkEnd w:id="1533"/>
      <w:bookmarkEnd w:id="1534"/>
      <w:bookmarkEnd w:id="1535"/>
    </w:p>
    <w:p w14:paraId="0EEDAD55">
      <w:pPr>
        <w:keepNext/>
        <w:keepLines/>
        <w:spacing w:line="360" w:lineRule="auto"/>
        <w:outlineLvl w:val="2"/>
        <w:rPr>
          <w:rFonts w:ascii="宋体" w:hAnsi="宋体" w:cs="等线"/>
          <w:color w:val="auto"/>
          <w:sz w:val="24"/>
          <w:highlight w:val="none"/>
        </w:rPr>
      </w:pPr>
      <w:bookmarkStart w:id="1536" w:name="_Toc18020"/>
      <w:bookmarkStart w:id="1537" w:name="_Toc38732159"/>
      <w:bookmarkStart w:id="1538" w:name="_Toc159950778"/>
      <w:r>
        <w:rPr>
          <w:rFonts w:hint="eastAsia" w:ascii="宋体" w:hAnsi="宋体" w:cs="等线"/>
          <w:color w:val="auto"/>
          <w:sz w:val="24"/>
          <w:highlight w:val="none"/>
        </w:rPr>
        <w:t>3.1 监理人的职责和权力</w:t>
      </w:r>
      <w:bookmarkEnd w:id="1536"/>
      <w:bookmarkEnd w:id="1537"/>
      <w:bookmarkEnd w:id="1538"/>
    </w:p>
    <w:p w14:paraId="4F1F4C47">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3.1.1须经发包人批准行使的权力：</w:t>
      </w:r>
    </w:p>
    <w:p w14:paraId="7EBE14AF">
      <w:pPr>
        <w:spacing w:line="360" w:lineRule="auto"/>
        <w:rPr>
          <w:rFonts w:ascii="宋体" w:hAnsi="宋体" w:cs="等线"/>
          <w:color w:val="auto"/>
          <w:highlight w:val="none"/>
          <w:u w:val="single"/>
        </w:rPr>
      </w:pPr>
      <w:r>
        <w:rPr>
          <w:rFonts w:hint="eastAsia" w:ascii="宋体" w:hAnsi="宋体" w:cs="等线"/>
          <w:color w:val="auto"/>
          <w:highlight w:val="none"/>
          <w:u w:val="single"/>
        </w:rPr>
        <w:t>（1）发布开工令、停工令、复工令；</w:t>
      </w:r>
    </w:p>
    <w:p w14:paraId="5D2C760F">
      <w:pPr>
        <w:spacing w:line="360" w:lineRule="auto"/>
        <w:rPr>
          <w:rFonts w:ascii="宋体" w:hAnsi="宋体" w:cs="等线"/>
          <w:color w:val="auto"/>
          <w:highlight w:val="none"/>
          <w:u w:val="single"/>
        </w:rPr>
      </w:pPr>
      <w:r>
        <w:rPr>
          <w:rFonts w:hint="eastAsia" w:ascii="宋体" w:hAnsi="宋体" w:cs="等线"/>
          <w:color w:val="auto"/>
          <w:highlight w:val="none"/>
          <w:u w:val="single"/>
        </w:rPr>
        <w:t>（2）凡涉影响工程造价的调整及涉及施工工期的延长等变化，须经发包人审核批准；</w:t>
      </w:r>
    </w:p>
    <w:p w14:paraId="0DB9FA4A">
      <w:pPr>
        <w:spacing w:line="360" w:lineRule="auto"/>
        <w:rPr>
          <w:rFonts w:ascii="宋体" w:hAnsi="宋体" w:cs="等线"/>
          <w:color w:val="auto"/>
          <w:highlight w:val="none"/>
        </w:rPr>
      </w:pPr>
      <w:r>
        <w:rPr>
          <w:rFonts w:hint="eastAsia" w:ascii="宋体" w:hAnsi="宋体" w:cs="等线"/>
          <w:color w:val="auto"/>
          <w:highlight w:val="none"/>
          <w:u w:val="single"/>
        </w:rPr>
        <w:t>（3）对承包人合同规定的义务建议变更等。</w:t>
      </w:r>
    </w:p>
    <w:p w14:paraId="32C39E62">
      <w:pPr>
        <w:spacing w:line="360" w:lineRule="auto"/>
        <w:rPr>
          <w:rFonts w:ascii="宋体" w:hAnsi="宋体" w:cs="等线"/>
          <w:color w:val="auto"/>
          <w:highlight w:val="none"/>
        </w:rPr>
      </w:pPr>
      <w:r>
        <w:rPr>
          <w:rFonts w:hint="eastAsia" w:ascii="宋体" w:hAnsi="宋体" w:cs="等线"/>
          <w:color w:val="auto"/>
          <w:highlight w:val="none"/>
        </w:rPr>
        <w:t>不管通用合同条款第3.1.1项如何约定，监理人履行须经发包人批准行使的权力时，应当向承包人出示其行使该权力已经取得发包人批准的文件或者其他合法有效的证明。</w:t>
      </w:r>
    </w:p>
    <w:p w14:paraId="159FE39B">
      <w:pPr>
        <w:keepNext/>
        <w:keepLines/>
        <w:spacing w:line="360" w:lineRule="auto"/>
        <w:outlineLvl w:val="2"/>
        <w:rPr>
          <w:rFonts w:ascii="宋体" w:hAnsi="宋体" w:cs="等线"/>
          <w:color w:val="auto"/>
          <w:sz w:val="24"/>
          <w:highlight w:val="none"/>
        </w:rPr>
      </w:pPr>
      <w:bookmarkStart w:id="1539" w:name="_Toc159950779"/>
      <w:bookmarkStart w:id="1540" w:name="_Toc38732160"/>
      <w:bookmarkStart w:id="1541" w:name="_Toc1579"/>
      <w:r>
        <w:rPr>
          <w:rFonts w:hint="eastAsia" w:ascii="宋体" w:hAnsi="宋体" w:cs="等线"/>
          <w:color w:val="auto"/>
          <w:sz w:val="24"/>
          <w:highlight w:val="none"/>
        </w:rPr>
        <w:t>3.3 监理人员</w:t>
      </w:r>
      <w:bookmarkEnd w:id="1539"/>
      <w:bookmarkEnd w:id="1540"/>
      <w:bookmarkEnd w:id="1541"/>
    </w:p>
    <w:p w14:paraId="31EB6828">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3.3.4 总监理工程师不应将第3.5款约定应由总监理工程师作出确定的权力授权或者委托给其他监理人员。</w:t>
      </w:r>
    </w:p>
    <w:p w14:paraId="2F079EE0">
      <w:pPr>
        <w:keepNext/>
        <w:keepLines/>
        <w:spacing w:line="360" w:lineRule="auto"/>
        <w:outlineLvl w:val="2"/>
        <w:rPr>
          <w:rFonts w:ascii="宋体" w:hAnsi="宋体" w:cs="等线"/>
          <w:color w:val="auto"/>
          <w:sz w:val="24"/>
          <w:highlight w:val="none"/>
        </w:rPr>
      </w:pPr>
      <w:bookmarkStart w:id="1542" w:name="_Toc4530"/>
      <w:bookmarkStart w:id="1543" w:name="_Toc38732161"/>
      <w:bookmarkStart w:id="1544" w:name="_Toc159950780"/>
      <w:r>
        <w:rPr>
          <w:rFonts w:hint="eastAsia" w:ascii="宋体" w:hAnsi="宋体" w:cs="等线"/>
          <w:color w:val="auto"/>
          <w:sz w:val="24"/>
          <w:highlight w:val="none"/>
        </w:rPr>
        <w:t>3.4 监理人的指示</w:t>
      </w:r>
      <w:bookmarkEnd w:id="1542"/>
      <w:bookmarkEnd w:id="1543"/>
      <w:bookmarkEnd w:id="1544"/>
    </w:p>
    <w:p w14:paraId="5266B0C5">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3.4.4除通用合同条款已有的专门约定外，承包人只能从总监理工程师或按第3.3.1项授权的监理人员处取得指示，发包人应当通过监理人向承包人发出指示。</w:t>
      </w:r>
    </w:p>
    <w:p w14:paraId="489854A6">
      <w:pPr>
        <w:keepNext/>
        <w:keepLines/>
        <w:spacing w:line="360" w:lineRule="auto"/>
        <w:outlineLvl w:val="2"/>
        <w:rPr>
          <w:rFonts w:ascii="宋体" w:hAnsi="宋体" w:cs="等线"/>
          <w:color w:val="auto"/>
          <w:sz w:val="24"/>
          <w:highlight w:val="none"/>
        </w:rPr>
      </w:pPr>
      <w:bookmarkStart w:id="1545" w:name="_Toc29692"/>
      <w:bookmarkStart w:id="1546" w:name="_Toc159950781"/>
      <w:bookmarkStart w:id="1547" w:name="_Toc38732162"/>
      <w:r>
        <w:rPr>
          <w:rFonts w:hint="eastAsia" w:ascii="宋体" w:hAnsi="宋体" w:cs="等线"/>
          <w:color w:val="auto"/>
          <w:sz w:val="24"/>
          <w:highlight w:val="none"/>
        </w:rPr>
        <w:t>3.6 监理人的宽恕</w:t>
      </w:r>
      <w:bookmarkEnd w:id="1545"/>
      <w:bookmarkEnd w:id="1546"/>
      <w:bookmarkEnd w:id="1547"/>
    </w:p>
    <w:p w14:paraId="16F45167">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35E3A1E1">
      <w:pPr>
        <w:keepNext/>
        <w:keepLines/>
        <w:spacing w:line="400" w:lineRule="exact"/>
        <w:outlineLvl w:val="1"/>
        <w:rPr>
          <w:rFonts w:ascii="宋体" w:hAnsi="宋体" w:cs="等线"/>
          <w:color w:val="auto"/>
          <w:sz w:val="24"/>
          <w:highlight w:val="none"/>
        </w:rPr>
      </w:pPr>
      <w:bookmarkStart w:id="1548" w:name="_Toc20014"/>
      <w:bookmarkStart w:id="1549" w:name="_Toc159950782"/>
      <w:bookmarkStart w:id="1550" w:name="_Toc24205"/>
      <w:bookmarkStart w:id="1551" w:name="_Toc38732163"/>
      <w:r>
        <w:rPr>
          <w:rFonts w:hint="eastAsia" w:ascii="宋体" w:hAnsi="宋体" w:cs="等线"/>
          <w:color w:val="auto"/>
          <w:sz w:val="24"/>
          <w:highlight w:val="none"/>
        </w:rPr>
        <w:t>4. 承包人</w:t>
      </w:r>
      <w:bookmarkEnd w:id="1548"/>
      <w:bookmarkEnd w:id="1549"/>
      <w:bookmarkEnd w:id="1550"/>
      <w:bookmarkEnd w:id="1551"/>
    </w:p>
    <w:p w14:paraId="78C5F6D2">
      <w:pPr>
        <w:keepNext/>
        <w:keepLines/>
        <w:spacing w:line="360" w:lineRule="auto"/>
        <w:outlineLvl w:val="2"/>
        <w:rPr>
          <w:rFonts w:ascii="宋体" w:hAnsi="宋体" w:cs="等线"/>
          <w:color w:val="auto"/>
          <w:sz w:val="24"/>
          <w:highlight w:val="none"/>
        </w:rPr>
      </w:pPr>
      <w:bookmarkStart w:id="1552" w:name="_Toc19800"/>
      <w:bookmarkStart w:id="1553" w:name="_Toc159950783"/>
      <w:bookmarkStart w:id="1554" w:name="_Toc38732164"/>
      <w:r>
        <w:rPr>
          <w:rFonts w:hint="eastAsia" w:ascii="宋体" w:hAnsi="宋体" w:cs="等线"/>
          <w:color w:val="auto"/>
          <w:sz w:val="24"/>
          <w:highlight w:val="none"/>
        </w:rPr>
        <w:t>4.1 承包人的一般义务</w:t>
      </w:r>
      <w:bookmarkEnd w:id="1552"/>
      <w:bookmarkEnd w:id="1553"/>
      <w:bookmarkEnd w:id="1554"/>
    </w:p>
    <w:p w14:paraId="5D9ADE6F">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4.1.3除专用合同条款第5.2款约定由发包人提供的材料和工程设备和第6.2款约定由发包人提供的施工设备和临时设施外，承包人应负责提供为完成合同工作所需的劳务、材料、施工设备、工程设备和其他物品，并按合同约定负责临时设施的设计、建造、运行、维护、管理和拆除。</w:t>
      </w:r>
    </w:p>
    <w:p w14:paraId="195423D0">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4.1.8为他人提供方便</w:t>
      </w:r>
    </w:p>
    <w:p w14:paraId="4BEEB416">
      <w:pPr>
        <w:numPr>
          <w:ilvl w:val="0"/>
          <w:numId w:val="24"/>
        </w:numPr>
        <w:spacing w:line="360" w:lineRule="auto"/>
        <w:rPr>
          <w:rFonts w:ascii="宋体" w:hAnsi="宋体" w:cs="等线"/>
          <w:color w:val="auto"/>
          <w:highlight w:val="none"/>
          <w:u w:val="single"/>
        </w:rPr>
      </w:pPr>
      <w:r>
        <w:rPr>
          <w:rFonts w:hint="eastAsia" w:ascii="宋体" w:hAnsi="宋体" w:cs="等线"/>
          <w:color w:val="auto"/>
          <w:highlight w:val="none"/>
        </w:rPr>
        <w:t>（1）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r>
        <w:rPr>
          <w:rFonts w:hint="eastAsia" w:ascii="宋体" w:hAnsi="宋体" w:cs="等线"/>
          <w:color w:val="auto"/>
          <w:highlight w:val="none"/>
          <w:u w:val="single"/>
        </w:rPr>
        <w:t>1)</w:t>
      </w:r>
      <w:r>
        <w:rPr>
          <w:rFonts w:hint="eastAsia" w:ascii="宋体" w:hAnsi="宋体" w:cs="等线"/>
          <w:color w:val="auto"/>
          <w:highlight w:val="none"/>
          <w:u w:val="single"/>
        </w:rPr>
        <w:tab/>
      </w:r>
      <w:r>
        <w:rPr>
          <w:rFonts w:hint="eastAsia" w:ascii="宋体" w:hAnsi="宋体" w:cs="等线"/>
          <w:color w:val="auto"/>
          <w:highlight w:val="none"/>
          <w:u w:val="single"/>
        </w:rPr>
        <w:t>提供施工现场水源、电源及通道。</w:t>
      </w:r>
    </w:p>
    <w:p w14:paraId="1F7F7B73">
      <w:pPr>
        <w:numPr>
          <w:ilvl w:val="0"/>
          <w:numId w:val="24"/>
        </w:numPr>
        <w:spacing w:line="360" w:lineRule="auto"/>
        <w:rPr>
          <w:rFonts w:ascii="宋体" w:hAnsi="宋体" w:cs="等线"/>
          <w:color w:val="auto"/>
          <w:highlight w:val="none"/>
          <w:u w:val="single"/>
        </w:rPr>
      </w:pPr>
      <w:r>
        <w:rPr>
          <w:rFonts w:hint="eastAsia" w:ascii="宋体" w:hAnsi="宋体" w:cs="等线"/>
          <w:color w:val="auto"/>
          <w:highlight w:val="none"/>
          <w:u w:val="single"/>
        </w:rPr>
        <w:t>2)</w:t>
      </w:r>
      <w:r>
        <w:rPr>
          <w:rFonts w:hint="eastAsia" w:ascii="宋体" w:hAnsi="宋体" w:cs="等线"/>
          <w:color w:val="auto"/>
          <w:highlight w:val="none"/>
          <w:u w:val="single"/>
        </w:rPr>
        <w:tab/>
      </w:r>
      <w:r>
        <w:rPr>
          <w:rFonts w:hint="eastAsia" w:ascii="宋体" w:hAnsi="宋体" w:cs="等线"/>
          <w:color w:val="auto"/>
          <w:highlight w:val="none"/>
          <w:u w:val="single"/>
        </w:rPr>
        <w:t>提供用于施工及发包人现场检查的照明设备，包括照明线路、照明灯具，在正常施工时间内及发包人批准的抢工时间内保证照明系统处于正常使用状态。</w:t>
      </w:r>
    </w:p>
    <w:p w14:paraId="78AF9AE1">
      <w:pPr>
        <w:numPr>
          <w:ilvl w:val="0"/>
          <w:numId w:val="24"/>
        </w:numPr>
        <w:spacing w:line="360" w:lineRule="auto"/>
        <w:rPr>
          <w:rFonts w:ascii="宋体" w:hAnsi="宋体" w:cs="等线"/>
          <w:color w:val="auto"/>
          <w:highlight w:val="none"/>
          <w:u w:val="single"/>
        </w:rPr>
      </w:pPr>
      <w:r>
        <w:rPr>
          <w:rFonts w:hint="eastAsia" w:ascii="宋体" w:hAnsi="宋体" w:cs="等线"/>
          <w:color w:val="auto"/>
          <w:highlight w:val="none"/>
          <w:u w:val="single"/>
        </w:rPr>
        <w:t>3)</w:t>
      </w:r>
      <w:r>
        <w:rPr>
          <w:rFonts w:hint="eastAsia" w:ascii="宋体" w:hAnsi="宋体" w:cs="等线"/>
          <w:color w:val="auto"/>
          <w:highlight w:val="none"/>
          <w:u w:val="single"/>
        </w:rPr>
        <w:tab/>
      </w:r>
      <w:r>
        <w:rPr>
          <w:rFonts w:hint="eastAsia" w:ascii="宋体" w:hAnsi="宋体" w:cs="等线"/>
          <w:color w:val="auto"/>
          <w:highlight w:val="none"/>
          <w:u w:val="single"/>
        </w:rPr>
        <w:t>提供在约定计划工期内的临时工程或承包人在现场已存在的运输机械、设备等临时设施。如果根据工程实际进展情况，承包人需拆除现场已存在的临时设施时，承包人须征得发包人和监理人的认可后方可拆除。</w:t>
      </w:r>
    </w:p>
    <w:p w14:paraId="03D59B1C">
      <w:pPr>
        <w:numPr>
          <w:ilvl w:val="0"/>
          <w:numId w:val="24"/>
        </w:numPr>
        <w:spacing w:line="360" w:lineRule="auto"/>
        <w:rPr>
          <w:rFonts w:ascii="宋体" w:hAnsi="宋体" w:cs="等线"/>
          <w:color w:val="auto"/>
          <w:highlight w:val="none"/>
          <w:u w:val="single"/>
        </w:rPr>
      </w:pPr>
      <w:r>
        <w:rPr>
          <w:rFonts w:hint="eastAsia" w:ascii="宋体" w:hAnsi="宋体" w:cs="等线"/>
          <w:color w:val="auto"/>
          <w:highlight w:val="none"/>
          <w:u w:val="single"/>
        </w:rPr>
        <w:t>4)</w:t>
      </w:r>
      <w:r>
        <w:rPr>
          <w:rFonts w:hint="eastAsia" w:ascii="宋体" w:hAnsi="宋体" w:cs="等线"/>
          <w:color w:val="auto"/>
          <w:highlight w:val="none"/>
          <w:u w:val="single"/>
        </w:rPr>
        <w:tab/>
      </w:r>
      <w:r>
        <w:rPr>
          <w:rFonts w:hint="eastAsia" w:ascii="宋体" w:hAnsi="宋体" w:cs="等线"/>
          <w:color w:val="auto"/>
          <w:highlight w:val="none"/>
          <w:u w:val="single"/>
        </w:rPr>
        <w:t>为保证承包人和其他承包人的工作面不发生冲突，承包人应对其他承包人的工作场所及材料存放场所等的安排、布置负责协调。</w:t>
      </w:r>
    </w:p>
    <w:p w14:paraId="34AC2DE8">
      <w:pPr>
        <w:numPr>
          <w:ilvl w:val="0"/>
          <w:numId w:val="24"/>
        </w:numPr>
        <w:spacing w:line="360" w:lineRule="auto"/>
        <w:rPr>
          <w:rFonts w:ascii="宋体" w:hAnsi="宋体" w:cs="等线"/>
          <w:color w:val="auto"/>
          <w:highlight w:val="none"/>
          <w:u w:val="single"/>
        </w:rPr>
      </w:pPr>
      <w:r>
        <w:rPr>
          <w:rFonts w:hint="eastAsia" w:ascii="宋体" w:hAnsi="宋体" w:cs="等线"/>
          <w:color w:val="auto"/>
          <w:highlight w:val="none"/>
          <w:u w:val="single"/>
        </w:rPr>
        <w:t>5)</w:t>
      </w:r>
      <w:r>
        <w:rPr>
          <w:rFonts w:hint="eastAsia" w:ascii="宋体" w:hAnsi="宋体" w:cs="等线"/>
          <w:color w:val="auto"/>
          <w:highlight w:val="none"/>
          <w:u w:val="single"/>
        </w:rPr>
        <w:tab/>
      </w:r>
      <w:r>
        <w:rPr>
          <w:rFonts w:hint="eastAsia" w:ascii="宋体" w:hAnsi="宋体" w:cs="等线"/>
          <w:color w:val="auto"/>
          <w:highlight w:val="none"/>
          <w:u w:val="single"/>
        </w:rPr>
        <w:t>提供正常的临时照明和施工及调试运行所必需的设施。</w:t>
      </w:r>
    </w:p>
    <w:p w14:paraId="4C69E19E">
      <w:pPr>
        <w:numPr>
          <w:ilvl w:val="0"/>
          <w:numId w:val="24"/>
        </w:numPr>
        <w:spacing w:line="360" w:lineRule="auto"/>
        <w:rPr>
          <w:rFonts w:ascii="宋体" w:hAnsi="宋体" w:cs="等线"/>
          <w:color w:val="auto"/>
          <w:highlight w:val="none"/>
          <w:u w:val="single"/>
        </w:rPr>
      </w:pPr>
      <w:r>
        <w:rPr>
          <w:rFonts w:hint="eastAsia" w:ascii="宋体" w:hAnsi="宋体" w:cs="等线"/>
          <w:color w:val="auto"/>
          <w:highlight w:val="none"/>
          <w:u w:val="single"/>
        </w:rPr>
        <w:t>6)</w:t>
      </w:r>
      <w:r>
        <w:rPr>
          <w:rFonts w:hint="eastAsia" w:ascii="宋体" w:hAnsi="宋体" w:cs="等线"/>
          <w:color w:val="auto"/>
          <w:highlight w:val="none"/>
          <w:u w:val="single"/>
        </w:rPr>
        <w:tab/>
      </w:r>
      <w:r>
        <w:rPr>
          <w:rFonts w:hint="eastAsia" w:ascii="宋体" w:hAnsi="宋体" w:cs="等线"/>
          <w:color w:val="auto"/>
          <w:highlight w:val="none"/>
          <w:u w:val="single"/>
        </w:rPr>
        <w:t>负责清理现场垃圾（各独立承包人将其施工所产生的垃圾堆放至承包人指定的合理堆放点后）。</w:t>
      </w:r>
    </w:p>
    <w:p w14:paraId="1501370E">
      <w:pPr>
        <w:numPr>
          <w:ilvl w:val="0"/>
          <w:numId w:val="24"/>
        </w:numPr>
        <w:spacing w:line="360" w:lineRule="auto"/>
        <w:rPr>
          <w:rFonts w:ascii="宋体" w:hAnsi="宋体" w:cs="等线"/>
          <w:color w:val="auto"/>
          <w:highlight w:val="none"/>
          <w:u w:val="single"/>
        </w:rPr>
      </w:pPr>
      <w:r>
        <w:rPr>
          <w:rFonts w:hint="eastAsia" w:ascii="宋体" w:hAnsi="宋体" w:cs="等线"/>
          <w:color w:val="auto"/>
          <w:highlight w:val="none"/>
          <w:u w:val="single"/>
        </w:rPr>
        <w:t>7)</w:t>
      </w:r>
      <w:r>
        <w:rPr>
          <w:rFonts w:hint="eastAsia" w:ascii="宋体" w:hAnsi="宋体" w:cs="等线"/>
          <w:color w:val="auto"/>
          <w:highlight w:val="none"/>
          <w:u w:val="single"/>
        </w:rPr>
        <w:tab/>
      </w:r>
      <w:r>
        <w:rPr>
          <w:rFonts w:hint="eastAsia" w:ascii="宋体" w:hAnsi="宋体" w:cs="等线"/>
          <w:color w:val="auto"/>
          <w:highlight w:val="none"/>
          <w:u w:val="single"/>
        </w:rPr>
        <w:t>负责对承包工程施工进度计划的安排、协调和管理，确保总体工程进度。</w:t>
      </w:r>
    </w:p>
    <w:p w14:paraId="6AA9C097">
      <w:pPr>
        <w:numPr>
          <w:ilvl w:val="0"/>
          <w:numId w:val="24"/>
        </w:numPr>
        <w:spacing w:line="360" w:lineRule="auto"/>
        <w:rPr>
          <w:rFonts w:ascii="宋体" w:hAnsi="宋体" w:cs="等线"/>
          <w:color w:val="auto"/>
          <w:highlight w:val="none"/>
          <w:u w:val="single"/>
        </w:rPr>
      </w:pPr>
      <w:r>
        <w:rPr>
          <w:rFonts w:hint="eastAsia" w:ascii="宋体" w:hAnsi="宋体" w:cs="等线"/>
          <w:color w:val="auto"/>
          <w:highlight w:val="none"/>
          <w:u w:val="single"/>
        </w:rPr>
        <w:t>8)</w:t>
      </w:r>
      <w:r>
        <w:rPr>
          <w:rFonts w:hint="eastAsia" w:ascii="宋体" w:hAnsi="宋体" w:cs="等线"/>
          <w:color w:val="auto"/>
          <w:highlight w:val="none"/>
          <w:u w:val="single"/>
        </w:rPr>
        <w:tab/>
      </w:r>
      <w:r>
        <w:rPr>
          <w:rFonts w:hint="eastAsia" w:ascii="宋体" w:hAnsi="宋体" w:cs="等线"/>
          <w:color w:val="auto"/>
          <w:highlight w:val="none"/>
          <w:u w:val="single"/>
        </w:rPr>
        <w:t>负责对承包工程的质量进行监督、管理，确保总体工程质量。</w:t>
      </w:r>
    </w:p>
    <w:p w14:paraId="0D4E5D04">
      <w:pPr>
        <w:numPr>
          <w:ilvl w:val="0"/>
          <w:numId w:val="24"/>
        </w:numPr>
        <w:spacing w:line="360" w:lineRule="auto"/>
        <w:rPr>
          <w:rFonts w:ascii="宋体" w:hAnsi="宋体" w:cs="等线"/>
          <w:color w:val="auto"/>
          <w:highlight w:val="none"/>
          <w:u w:val="single"/>
        </w:rPr>
      </w:pPr>
      <w:r>
        <w:rPr>
          <w:rFonts w:hint="eastAsia" w:ascii="宋体" w:hAnsi="宋体" w:cs="等线"/>
          <w:color w:val="auto"/>
          <w:highlight w:val="none"/>
          <w:u w:val="single"/>
        </w:rPr>
        <w:t>9)</w:t>
      </w:r>
      <w:r>
        <w:rPr>
          <w:rFonts w:hint="eastAsia" w:ascii="宋体" w:hAnsi="宋体" w:cs="等线"/>
          <w:color w:val="auto"/>
          <w:highlight w:val="none"/>
          <w:u w:val="single"/>
        </w:rPr>
        <w:tab/>
      </w:r>
      <w:r>
        <w:rPr>
          <w:rFonts w:hint="eastAsia" w:ascii="宋体" w:hAnsi="宋体" w:cs="等线"/>
          <w:color w:val="auto"/>
          <w:highlight w:val="none"/>
          <w:u w:val="single"/>
        </w:rPr>
        <w:t>负责对承包工程的安全防护、文明施工进行监督、管理，确保总体工程安全，杜绝伤亡事故。如发生事故，及时按照相关规定进行全面救护、上报、处理和善后，尽最大可能降低事故损失。</w:t>
      </w:r>
    </w:p>
    <w:p w14:paraId="1253151C">
      <w:pPr>
        <w:numPr>
          <w:ilvl w:val="0"/>
          <w:numId w:val="24"/>
        </w:numPr>
        <w:spacing w:line="360" w:lineRule="auto"/>
        <w:rPr>
          <w:rFonts w:ascii="宋体" w:hAnsi="宋体" w:cs="等线"/>
          <w:color w:val="auto"/>
          <w:highlight w:val="none"/>
          <w:u w:val="single"/>
        </w:rPr>
      </w:pPr>
      <w:r>
        <w:rPr>
          <w:rFonts w:hint="eastAsia" w:ascii="宋体" w:hAnsi="宋体" w:cs="等线"/>
          <w:color w:val="auto"/>
          <w:highlight w:val="none"/>
          <w:u w:val="single"/>
        </w:rPr>
        <w:t xml:space="preserve">10) </w:t>
      </w:r>
      <w:r>
        <w:rPr>
          <w:rFonts w:hint="eastAsia" w:ascii="宋体" w:hAnsi="宋体" w:cs="等线"/>
          <w:color w:val="auto"/>
          <w:highlight w:val="none"/>
          <w:u w:val="single"/>
        </w:rPr>
        <w:tab/>
      </w:r>
      <w:r>
        <w:rPr>
          <w:rFonts w:hint="eastAsia" w:ascii="宋体" w:hAnsi="宋体" w:cs="等线"/>
          <w:color w:val="auto"/>
          <w:highlight w:val="none"/>
          <w:u w:val="single"/>
        </w:rPr>
        <w:t>对于政府有关部门发送发包人的有关本工程施工现场的任何意见及通知，其中涉及承包人的，承包人应承担相关责任和工作。</w:t>
      </w:r>
    </w:p>
    <w:p w14:paraId="185D7E8F">
      <w:pPr>
        <w:numPr>
          <w:ilvl w:val="0"/>
          <w:numId w:val="24"/>
        </w:numPr>
        <w:spacing w:line="360" w:lineRule="auto"/>
        <w:rPr>
          <w:rFonts w:ascii="宋体" w:hAnsi="宋体" w:cs="等线"/>
          <w:color w:val="auto"/>
          <w:highlight w:val="none"/>
          <w:u w:val="single"/>
        </w:rPr>
      </w:pPr>
      <w:r>
        <w:rPr>
          <w:rFonts w:hint="eastAsia" w:ascii="宋体" w:hAnsi="宋体" w:cs="等线"/>
          <w:color w:val="auto"/>
          <w:highlight w:val="none"/>
          <w:u w:val="single"/>
        </w:rPr>
        <w:t>11）需承包人办理的有关施工场地交通、环卫和施工噪声管理等手续：按北京市有关规定办理，承包人负责处理并承担费用。</w:t>
      </w:r>
    </w:p>
    <w:p w14:paraId="55CCEDF1">
      <w:pPr>
        <w:numPr>
          <w:ilvl w:val="0"/>
          <w:numId w:val="24"/>
        </w:numPr>
        <w:spacing w:line="360" w:lineRule="auto"/>
        <w:rPr>
          <w:rFonts w:ascii="宋体" w:hAnsi="宋体" w:cs="等线"/>
          <w:color w:val="auto"/>
          <w:highlight w:val="none"/>
        </w:rPr>
      </w:pPr>
      <w:r>
        <w:rPr>
          <w:rFonts w:hint="eastAsia" w:ascii="宋体" w:hAnsi="宋体" w:cs="等线"/>
          <w:color w:val="auto"/>
          <w:highlight w:val="none"/>
          <w:u w:val="single"/>
        </w:rPr>
        <w:t>12）施工场地清洁卫生的要求：对施工生产和生活垃圾应及时清运，承包人承担由此发生的费用。</w:t>
      </w:r>
    </w:p>
    <w:p w14:paraId="31D12705">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（2）承包人还应按监理人指示为独立承包人以外的他人在施工场地或者附近实施与合同工程有关的其他工作提供可能的条件，可能发生费用由监理人按第3.5款商定或者确定。</w:t>
      </w:r>
    </w:p>
    <w:p w14:paraId="3FD2B6F2">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 xml:space="preserve">4.1.10其他义务  </w:t>
      </w:r>
    </w:p>
    <w:p w14:paraId="11C12A5F">
      <w:pPr>
        <w:spacing w:line="360" w:lineRule="auto"/>
        <w:ind w:firstLine="315" w:firstLineChars="150"/>
        <w:rPr>
          <w:rFonts w:ascii="宋体" w:hAnsi="宋体" w:cs="等线"/>
          <w:color w:val="auto"/>
          <w:highlight w:val="none"/>
          <w:u w:val="single"/>
        </w:rPr>
      </w:pPr>
      <w:r>
        <w:rPr>
          <w:rFonts w:hint="eastAsia" w:ascii="宋体" w:hAnsi="宋体" w:cs="等线"/>
          <w:color w:val="auto"/>
          <w:highlight w:val="none"/>
        </w:rPr>
        <w:t>（1）根据发包人委托，在其设计资质等级和业务允许的范围内，完成施工图设计或与工程配套的设计，经监理人确认后使用，发包人承担由此发生的费用和合理利润。由承包人负责完成的设计文件属于合同条款第1.6.2项约定的承包人提供的文件，承包人应按照专用合同条款第1.6.2项约定的期限和数量提交，由此发生的费用被认为已经包括在承包人的签约合同价（投标总报价）中。由承包人承担的施工图设计或与工程配套的设计工作内容</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3A834ACA">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（2）承包人应履行合同约定的其他义务以及下述义务：</w:t>
      </w:r>
    </w:p>
    <w:p w14:paraId="59D8FDC6">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1)</w:t>
      </w:r>
      <w:r>
        <w:rPr>
          <w:rFonts w:hint="eastAsia" w:ascii="宋体" w:hAnsi="宋体" w:cs="等线"/>
          <w:color w:val="auto"/>
          <w:highlight w:val="none"/>
          <w:u w:val="single"/>
        </w:rPr>
        <w:tab/>
      </w:r>
      <w:r>
        <w:rPr>
          <w:rFonts w:hint="eastAsia" w:ascii="宋体" w:hAnsi="宋体" w:cs="等线"/>
          <w:color w:val="auto"/>
          <w:highlight w:val="none"/>
          <w:u w:val="single"/>
        </w:rPr>
        <w:t>承包人按投标文件指派的现场施工项目经理应具有相应技术资格和施工管理经验，项目经理应专职于本工程，不得兼职于其他工程或其他职务，每周在现场工作时间应不少于4个工作日。发包人有权提出更换发包人不满意的承包人施工项目经理和施工项目经理部主要管理人员和技术人员，项目经理和施工项目经理部主要管理人员和技术人员在工程施工过程中不得随意变更。未经发包人同意，承包人擅自更换项目经理的违约行为，应支付违约金10万元/人次；承包人擅自更换项目部其他人员的违约行为，应支付违约金2万元/人次，发包人保留与承包人终止合同及继续追加补偿的权利。</w:t>
      </w:r>
    </w:p>
    <w:p w14:paraId="748C7F53">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2)</w:t>
      </w:r>
      <w:r>
        <w:rPr>
          <w:rFonts w:hint="eastAsia" w:ascii="宋体" w:hAnsi="宋体" w:cs="等线"/>
          <w:color w:val="auto"/>
          <w:highlight w:val="none"/>
          <w:u w:val="single"/>
        </w:rPr>
        <w:tab/>
      </w:r>
      <w:r>
        <w:rPr>
          <w:rFonts w:hint="eastAsia" w:ascii="宋体" w:hAnsi="宋体" w:cs="等线"/>
          <w:color w:val="auto"/>
          <w:highlight w:val="none"/>
          <w:u w:val="single"/>
        </w:rPr>
        <w:t>承包人进场施工，必须两个月内完成所有的拆除工作。施工中如发现设计错误或严重不合理时，承包人应立即以书面形式通知监理人并经监理人报发包人。</w:t>
      </w:r>
    </w:p>
    <w:p w14:paraId="4CFD90A8">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3)</w:t>
      </w:r>
      <w:r>
        <w:rPr>
          <w:rFonts w:hint="eastAsia" w:ascii="宋体" w:hAnsi="宋体" w:cs="等线"/>
          <w:color w:val="auto"/>
          <w:highlight w:val="none"/>
          <w:u w:val="single"/>
        </w:rPr>
        <w:tab/>
      </w:r>
      <w:r>
        <w:rPr>
          <w:rFonts w:hint="eastAsia" w:ascii="宋体" w:hAnsi="宋体" w:cs="等线"/>
          <w:color w:val="auto"/>
          <w:highlight w:val="none"/>
          <w:u w:val="single"/>
        </w:rPr>
        <w:t>承包人应自觉遵守执行国家及北京市行业主管部门颁布实施的有关安全生产的法规、规章、制度、标准。</w:t>
      </w:r>
    </w:p>
    <w:p w14:paraId="36A36076">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4)</w:t>
      </w:r>
      <w:r>
        <w:rPr>
          <w:rFonts w:hint="eastAsia" w:ascii="宋体" w:hAnsi="宋体" w:cs="等线"/>
          <w:color w:val="auto"/>
          <w:highlight w:val="none"/>
          <w:u w:val="single"/>
        </w:rPr>
        <w:tab/>
      </w:r>
      <w:r>
        <w:rPr>
          <w:rFonts w:hint="eastAsia" w:ascii="宋体" w:hAnsi="宋体" w:cs="等线"/>
          <w:color w:val="auto"/>
          <w:highlight w:val="none"/>
          <w:u w:val="single"/>
        </w:rPr>
        <w:t>承包人应当服从发包人现行的施工现场统一管理的规定及有关安全生产法规、规章、制度、标准，严格执行发包人下达的各项安全指令，确保安全施工，并按合同有关条款加强自身管理，履行承包人责任。</w:t>
      </w:r>
    </w:p>
    <w:p w14:paraId="34B86A22">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5)</w:t>
      </w:r>
      <w:r>
        <w:rPr>
          <w:rFonts w:hint="eastAsia" w:ascii="宋体" w:hAnsi="宋体" w:cs="等线"/>
          <w:color w:val="auto"/>
          <w:highlight w:val="none"/>
          <w:u w:val="single"/>
        </w:rPr>
        <w:tab/>
      </w:r>
      <w:r>
        <w:rPr>
          <w:rFonts w:hint="eastAsia" w:ascii="宋体" w:hAnsi="宋体" w:cs="等线"/>
          <w:color w:val="auto"/>
          <w:highlight w:val="none"/>
          <w:u w:val="single"/>
        </w:rPr>
        <w:t>已竣工工程未交付发包人之前，承包人负责其保护工作。保护期间发生损坏的，由承包人予以修复并承担相应费用。</w:t>
      </w:r>
    </w:p>
    <w:p w14:paraId="21CC56F9">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6)</w:t>
      </w:r>
      <w:r>
        <w:rPr>
          <w:rFonts w:hint="eastAsia" w:ascii="宋体" w:hAnsi="宋体" w:cs="等线"/>
          <w:color w:val="auto"/>
          <w:highlight w:val="none"/>
          <w:u w:val="single"/>
        </w:rPr>
        <w:tab/>
      </w:r>
      <w:r>
        <w:rPr>
          <w:rFonts w:hint="eastAsia" w:ascii="宋体" w:hAnsi="宋体" w:cs="等线"/>
          <w:color w:val="auto"/>
          <w:highlight w:val="none"/>
          <w:u w:val="single"/>
        </w:rPr>
        <w:t>对竣工验收后保修期内发现的工程质量问题负责免费返修，对造成的间接损失负责全部赔偿。</w:t>
      </w:r>
    </w:p>
    <w:p w14:paraId="37313FE9">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7)</w:t>
      </w:r>
      <w:r>
        <w:rPr>
          <w:rFonts w:hint="eastAsia" w:ascii="宋体" w:hAnsi="宋体" w:cs="等线"/>
          <w:color w:val="auto"/>
          <w:highlight w:val="none"/>
          <w:u w:val="single"/>
        </w:rPr>
        <w:tab/>
      </w:r>
      <w:r>
        <w:rPr>
          <w:rFonts w:hint="eastAsia" w:ascii="宋体" w:hAnsi="宋体" w:cs="等线"/>
          <w:color w:val="auto"/>
          <w:highlight w:val="none"/>
          <w:u w:val="single"/>
        </w:rPr>
        <w:t>承包人应负责编制竣工资料并将竣工资料移交城建档案馆及学校档案馆。</w:t>
      </w:r>
    </w:p>
    <w:p w14:paraId="776DA2FC">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8)</w:t>
      </w:r>
      <w:r>
        <w:rPr>
          <w:rFonts w:hint="eastAsia" w:ascii="宋体" w:hAnsi="宋体" w:cs="等线"/>
          <w:color w:val="auto"/>
          <w:highlight w:val="none"/>
          <w:u w:val="single"/>
        </w:rPr>
        <w:tab/>
      </w:r>
      <w:r>
        <w:rPr>
          <w:rFonts w:hint="eastAsia" w:ascii="宋体" w:hAnsi="宋体" w:cs="等线"/>
          <w:color w:val="auto"/>
          <w:highlight w:val="none"/>
          <w:u w:val="single"/>
        </w:rPr>
        <w:t>成品保护：承包人应提供必要的人员、材料和设备用于整个工程的成品保护，包括对已完成的工程或工作的保护，防止任何已完工作遭受任何损坏或破坏。</w:t>
      </w:r>
    </w:p>
    <w:p w14:paraId="4412997A">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9)</w:t>
      </w:r>
      <w:r>
        <w:rPr>
          <w:rFonts w:hint="eastAsia" w:ascii="宋体" w:hAnsi="宋体" w:cs="等线"/>
          <w:color w:val="auto"/>
          <w:highlight w:val="none"/>
          <w:u w:val="single"/>
        </w:rPr>
        <w:tab/>
      </w:r>
      <w:r>
        <w:rPr>
          <w:rFonts w:hint="eastAsia" w:ascii="宋体" w:hAnsi="宋体" w:cs="等线"/>
          <w:color w:val="auto"/>
          <w:highlight w:val="none"/>
          <w:u w:val="single"/>
        </w:rPr>
        <w:t>对周边财产的保护：承包人不得非法侵占和妨害毗邻的财产、土地、街道、市政设施和他们下面的土壤和空间、他们的所有者、使用者或其他任何人，也不得在工程或工程任何部分的实施中采用可能会给这类财产、土地、街道、市政设施、树木和人员带来损害或伤害的的施工方法；承包人应保障发包人免于因工程实施对周边毗邻财产或人身等的损害或伤害而可能招致的索赔、罚款和其它法律责任。承包人因临时或永久工程施工需临时中断任何市政设施的总管或其它设施时，应首先从政府有关管理机构取得相关许可，承包人应周密计划和科学组织，保证此类中断的时间应尽可能短。在整个工程施工期间，承包人应负责保护所有的现有道路、步行道、踏步和在它们地下的可能的服务设施；承包人应自费对那些因受他控制的任何原因引起的对上述设施的损害或损坏进行修缮直至达到政府有关管理机构满意，并支付与此相关的任何费用和罚款；</w:t>
      </w:r>
    </w:p>
    <w:p w14:paraId="1896C7F2">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10)</w:t>
      </w:r>
      <w:r>
        <w:rPr>
          <w:rFonts w:hint="eastAsia" w:ascii="宋体" w:hAnsi="宋体" w:cs="等线"/>
          <w:color w:val="auto"/>
          <w:highlight w:val="none"/>
          <w:u w:val="single"/>
        </w:rPr>
        <w:tab/>
      </w:r>
      <w:r>
        <w:rPr>
          <w:rFonts w:hint="eastAsia" w:ascii="宋体" w:hAnsi="宋体" w:cs="等线"/>
          <w:color w:val="auto"/>
          <w:highlight w:val="none"/>
          <w:u w:val="single"/>
        </w:rPr>
        <w:t>竣工清理：在工程竣工后10日内，不管发包人是否已办妥政府有关机构所要求的一切必要的批准、备案手续以及是否已发布移交证书，承包人应安排专业队伍全面履行其合同责任和义务，包括：(a)从现场清除所有剩余材料、杂物、垃圾等等；(b)从现场拆除所有的临时建筑物和临时设施并恢复地面原状。</w:t>
      </w:r>
    </w:p>
    <w:p w14:paraId="6B815498">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11)</w:t>
      </w:r>
      <w:r>
        <w:rPr>
          <w:rFonts w:hint="eastAsia" w:ascii="宋体" w:hAnsi="宋体" w:cs="等线"/>
          <w:color w:val="auto"/>
          <w:highlight w:val="none"/>
          <w:u w:val="single"/>
        </w:rPr>
        <w:tab/>
      </w:r>
      <w:r>
        <w:rPr>
          <w:rFonts w:hint="eastAsia" w:ascii="宋体" w:hAnsi="宋体" w:cs="等线"/>
          <w:color w:val="auto"/>
          <w:highlight w:val="none"/>
          <w:u w:val="single"/>
        </w:rPr>
        <w:t xml:space="preserve">其他责任和义务：如果任何为本工程正常使用功能和设计使用寿命所必须的或为本工程适用的任何规范、规程或标准所要求的工作既未以文字形式明确约定为属于发包人或任何其他承包人的工作，也未在本合同中以文字形式明确提及，则此类工作应由作为承担本工程承包责任和义务的承包人的工作。承包人不得就此类潜在责任和义务向发包人提出任何费用和工期的索赔要求，且在任何情况下，承包人也不得就此提出有关其投标价格考虑不周、有缺或漏、计算错误等的补偿要求。 </w:t>
      </w:r>
    </w:p>
    <w:p w14:paraId="5B974893">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12)</w:t>
      </w:r>
      <w:r>
        <w:rPr>
          <w:rFonts w:hint="eastAsia" w:ascii="宋体" w:hAnsi="宋体" w:cs="等线"/>
          <w:color w:val="auto"/>
          <w:highlight w:val="none"/>
          <w:u w:val="single"/>
        </w:rPr>
        <w:tab/>
      </w:r>
      <w:r>
        <w:rPr>
          <w:rFonts w:hint="eastAsia" w:ascii="宋体" w:hAnsi="宋体" w:cs="等线"/>
          <w:color w:val="auto"/>
          <w:highlight w:val="none"/>
          <w:u w:val="single"/>
        </w:rPr>
        <w:t>承担施工安全保卫工作及非夜间施工照明的责任和要求：承包人应保证现场施工安全保卫工作和非夜间施工照明，以及场内、场内与场外接口处交通的通畅，符合国家及北京市的有关规定，以免除发包人人员、监理公司人员以及其他第三方人员在施工现场因承包人未完成本条之规定所造成的人员伤害损失和财产损失。</w:t>
      </w:r>
    </w:p>
    <w:p w14:paraId="55C804E5">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13)</w:t>
      </w:r>
      <w:r>
        <w:rPr>
          <w:rFonts w:hint="eastAsia" w:ascii="宋体" w:hAnsi="宋体" w:cs="等线"/>
          <w:color w:val="auto"/>
          <w:highlight w:val="none"/>
          <w:u w:val="single"/>
        </w:rPr>
        <w:tab/>
      </w:r>
      <w:r>
        <w:rPr>
          <w:rFonts w:hint="eastAsia" w:ascii="宋体" w:hAnsi="宋体" w:cs="等线"/>
          <w:color w:val="auto"/>
          <w:highlight w:val="none"/>
          <w:u w:val="single"/>
        </w:rPr>
        <w:t>需承包人办理的有关施工场地交通、环卫和施工噪音管理等手续：承包人应按照北京市有关施工场地交通、环卫、施工噪音管理等的要求，自己承担费用办理相关手续（如交通特别通行证、排污手续、降噪措施），并保证这些规定在施工中得到贯彻执行，以免除发包人因承包人未能完成上述工作所承担的费用支出（包括于政府部门罚款、工期延误期间的费用支出）和工期延误责任。承包人须主动协调同周围居民及有关单位的关系，以免造成窝工、停工、延误工期的现象发生。</w:t>
      </w:r>
    </w:p>
    <w:p w14:paraId="7570A8B1">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14)</w:t>
      </w:r>
      <w:r>
        <w:rPr>
          <w:rFonts w:hint="eastAsia" w:ascii="宋体" w:hAnsi="宋体" w:cs="等线"/>
          <w:color w:val="auto"/>
          <w:highlight w:val="none"/>
          <w:u w:val="single"/>
        </w:rPr>
        <w:tab/>
      </w:r>
      <w:r>
        <w:rPr>
          <w:rFonts w:hint="eastAsia" w:ascii="宋体" w:hAnsi="宋体" w:cs="等线"/>
          <w:color w:val="auto"/>
          <w:highlight w:val="none"/>
          <w:u w:val="single"/>
        </w:rPr>
        <w:t>施工场地清洁卫生的要求：保证施工现场清洁符合环境卫生以及消防、街道、防疫、园林、供电、交通、市政文物及安全管理等建设行政主管部门和相关部门的有关规定，应达到北京市文明工地标准。</w:t>
      </w:r>
    </w:p>
    <w:p w14:paraId="7E0496E4">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15)</w:t>
      </w:r>
      <w:r>
        <w:rPr>
          <w:rFonts w:hint="eastAsia" w:ascii="宋体" w:hAnsi="宋体" w:cs="等线"/>
          <w:color w:val="auto"/>
          <w:highlight w:val="none"/>
          <w:u w:val="single"/>
        </w:rPr>
        <w:tab/>
      </w:r>
      <w:r>
        <w:rPr>
          <w:rFonts w:hint="eastAsia" w:ascii="宋体" w:hAnsi="宋体" w:cs="等线"/>
          <w:color w:val="auto"/>
          <w:highlight w:val="none"/>
          <w:u w:val="single"/>
        </w:rPr>
        <w:t xml:space="preserve">由承包人负责施工现场的所有临时设施、临时道路、水、电、管线的修建安装和维护，室外管线工程施工时现场临时设施要服从施工需要进行滕让，保证施工的正常进行，并承担相应费用。施工区内临时设施、临时道路、水电管线安装和保养，施工现场内地下管线和临近建筑物、构筑物及临街交通要道、人行道的保护，费用由承包人负担。因承包人防护不利而发生事故，相关责任和费用由承包人承担。承包人施工完毕后，对所破坏的市政公共设施及道路应修复原貌，若承包人无力或未在规定的时间内修复，由发包人代为修复，费用由承包人承担。 </w:t>
      </w:r>
    </w:p>
    <w:p w14:paraId="111DAE21">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16)</w:t>
      </w:r>
      <w:r>
        <w:rPr>
          <w:rFonts w:hint="eastAsia" w:ascii="宋体" w:hAnsi="宋体" w:cs="等线"/>
          <w:color w:val="auto"/>
          <w:highlight w:val="none"/>
          <w:u w:val="single"/>
        </w:rPr>
        <w:tab/>
      </w:r>
      <w:r>
        <w:rPr>
          <w:rFonts w:hint="eastAsia" w:ascii="宋体" w:hAnsi="宋体" w:cs="等线"/>
          <w:color w:val="auto"/>
          <w:highlight w:val="none"/>
          <w:u w:val="single"/>
        </w:rPr>
        <w:t>对于承包人在施工过程中有需要发包人配合完成的工作，承包人应于施工总控制进度计划中明确表述或提前足够的时间通知发包人。</w:t>
      </w:r>
    </w:p>
    <w:p w14:paraId="3AADE0DC">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17)</w:t>
      </w:r>
      <w:r>
        <w:rPr>
          <w:rFonts w:hint="eastAsia" w:ascii="宋体" w:hAnsi="宋体" w:cs="等线"/>
          <w:color w:val="auto"/>
          <w:highlight w:val="none"/>
          <w:u w:val="single"/>
        </w:rPr>
        <w:tab/>
      </w:r>
      <w:r>
        <w:rPr>
          <w:rFonts w:hint="eastAsia" w:ascii="宋体" w:hAnsi="宋体" w:cs="等线"/>
          <w:color w:val="auto"/>
          <w:highlight w:val="none"/>
          <w:u w:val="single"/>
        </w:rPr>
        <w:t>承包人确认已充分考察了解施工现场的使用条件，承担办理施工临建设施相关的工作，并在投标报价中已考虑相关费用。特别提醒投标人，因施工场地狭小发生的租用临时用地的费用及相关交通费在投标时列入投标总价，结算时不予调整。</w:t>
      </w:r>
    </w:p>
    <w:p w14:paraId="3B982C97">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18)</w:t>
      </w:r>
      <w:r>
        <w:rPr>
          <w:rFonts w:hint="eastAsia" w:ascii="宋体" w:hAnsi="宋体" w:cs="等线"/>
          <w:color w:val="auto"/>
          <w:highlight w:val="none"/>
          <w:u w:val="single"/>
        </w:rPr>
        <w:tab/>
      </w:r>
      <w:r>
        <w:rPr>
          <w:rFonts w:hint="eastAsia" w:ascii="宋体" w:hAnsi="宋体" w:cs="等线"/>
          <w:color w:val="auto"/>
          <w:highlight w:val="none"/>
          <w:u w:val="single"/>
        </w:rPr>
        <w:t>与本工程无关的人员及设备材料均不得进入现场，发包人有权进行检查。</w:t>
      </w:r>
    </w:p>
    <w:p w14:paraId="57F3806F">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19）对于监理、发包人认定不合格的材料或设备，承包人必须在24小时内清理出场。</w:t>
      </w:r>
    </w:p>
    <w:p w14:paraId="33930B86">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20）乙方在施工范围内进行拆除工作时，需对现场所需拆除的材料及设备提前向甲方报备，涉及学校资产、可回收利用的资源，乙方应妥善保管，并应交由甲方进行处置，乙方不得擅自变卖。对于其余经甲方查看后不可回收，且不涉及学校资产的设备、物品等，乙方负责对其进行运输和消纳，并在报价中进行体现。拆除的数量作为结算拆除工程量，实际拆除的可回收材料较原资源不足的，需说明理由，否则应按实际损失金额赔偿。</w:t>
      </w:r>
    </w:p>
    <w:p w14:paraId="2B2DEE6B">
      <w:pPr>
        <w:snapToGrid w:val="0"/>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21）承包人应严格遵守北京财贸职业学院的有关规定。</w:t>
      </w:r>
    </w:p>
    <w:p w14:paraId="1C205770">
      <w:pPr>
        <w:spacing w:after="120"/>
        <w:rPr>
          <w:rFonts w:ascii="Cambria" w:hAnsi="Cambria"/>
          <w:b/>
          <w:color w:val="auto"/>
          <w:sz w:val="32"/>
          <w:szCs w:val="20"/>
          <w:highlight w:val="none"/>
        </w:rPr>
      </w:pPr>
    </w:p>
    <w:p w14:paraId="1FC731FD">
      <w:pPr>
        <w:keepNext/>
        <w:keepLines/>
        <w:spacing w:line="360" w:lineRule="auto"/>
        <w:outlineLvl w:val="2"/>
        <w:rPr>
          <w:rFonts w:ascii="宋体" w:hAnsi="宋体" w:cs="等线"/>
          <w:color w:val="auto"/>
          <w:sz w:val="24"/>
          <w:highlight w:val="none"/>
        </w:rPr>
      </w:pPr>
      <w:bookmarkStart w:id="1555" w:name="_Toc13254"/>
      <w:bookmarkStart w:id="1556" w:name="_Toc159950784"/>
      <w:bookmarkStart w:id="1557" w:name="_Toc38732165"/>
      <w:r>
        <w:rPr>
          <w:rFonts w:hint="eastAsia" w:ascii="宋体" w:hAnsi="宋体" w:cs="等线"/>
          <w:color w:val="auto"/>
          <w:sz w:val="24"/>
          <w:highlight w:val="none"/>
        </w:rPr>
        <w:t>4.2 履约担保</w:t>
      </w:r>
      <w:bookmarkEnd w:id="1555"/>
      <w:bookmarkEnd w:id="1556"/>
      <w:bookmarkEnd w:id="1557"/>
      <w:r>
        <w:rPr>
          <w:rFonts w:hint="eastAsia" w:ascii="宋体" w:hAnsi="宋体" w:cs="等线"/>
          <w:color w:val="auto"/>
          <w:sz w:val="24"/>
          <w:highlight w:val="none"/>
        </w:rPr>
        <w:t xml:space="preserve"> </w:t>
      </w:r>
    </w:p>
    <w:p w14:paraId="37D589A2">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4.2.1 履约担保的格式和金额</w:t>
      </w:r>
    </w:p>
    <w:p w14:paraId="160DD3B6">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hint="eastAsia" w:ascii="宋体" w:hAnsi="宋体" w:cs="等线"/>
          <w:color w:val="auto"/>
          <w:highlight w:val="none"/>
          <w:u w:val="single"/>
        </w:rPr>
        <w:t xml:space="preserve">          /        </w:t>
      </w:r>
      <w:r>
        <w:rPr>
          <w:rFonts w:hint="eastAsia" w:ascii="宋体" w:hAnsi="宋体" w:cs="等线"/>
          <w:color w:val="auto"/>
          <w:highlight w:val="none"/>
        </w:rPr>
        <w:t>。履约担保是本合同的附件。</w:t>
      </w:r>
    </w:p>
    <w:p w14:paraId="2B7FA803">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4.2.2 履约担保的有效期</w:t>
      </w:r>
    </w:p>
    <w:p w14:paraId="5B5D4C16">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253CCF65">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4.2.3 履约担保的退还</w:t>
      </w:r>
    </w:p>
    <w:p w14:paraId="28ED22A5">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履约担保应在监理人向承包人颁发（出具）工程接收证书之日后28天内退还给承包人。发包人不承担承包人与履约担保有关的任何利息或其它类似的费用或者收益。</w:t>
      </w:r>
    </w:p>
    <w:p w14:paraId="2C56DC53">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4.2.4 通知义务</w:t>
      </w:r>
    </w:p>
    <w:p w14:paraId="1B4F2177">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不管履约担保条款中如何约定，发包人根据担保条款提出索赔或兑现要求28天前，应通知承包人并说明导致此类索赔或兑现的违约性质或原因。相应地，不管专用合同条款2.8(1)目约定的支付担保条款中如何约定，承包人根据担保条款提出索赔或兑现要求28天前，也应通知发包人并说明导致此类索赔或兑现的违约性质或原因。但是，本项约定的通知不应理解为是在任何意义上寻求承包人或者发包人的同意。</w:t>
      </w:r>
    </w:p>
    <w:p w14:paraId="45C38661">
      <w:pPr>
        <w:keepNext/>
        <w:keepLines/>
        <w:spacing w:line="360" w:lineRule="auto"/>
        <w:outlineLvl w:val="2"/>
        <w:rPr>
          <w:rFonts w:ascii="宋体" w:hAnsi="宋体" w:cs="等线"/>
          <w:color w:val="auto"/>
          <w:sz w:val="24"/>
          <w:highlight w:val="none"/>
        </w:rPr>
      </w:pPr>
      <w:bookmarkStart w:id="1558" w:name="_Toc38732166"/>
      <w:bookmarkStart w:id="1559" w:name="_Toc159950785"/>
      <w:bookmarkStart w:id="1560" w:name="_Toc27947"/>
      <w:r>
        <w:rPr>
          <w:rFonts w:hint="eastAsia" w:ascii="宋体" w:hAnsi="宋体" w:cs="等线"/>
          <w:color w:val="auto"/>
          <w:sz w:val="24"/>
          <w:highlight w:val="none"/>
        </w:rPr>
        <w:t>4.3 分包</w:t>
      </w:r>
      <w:bookmarkEnd w:id="1558"/>
      <w:bookmarkEnd w:id="1559"/>
      <w:bookmarkEnd w:id="1560"/>
      <w:r>
        <w:rPr>
          <w:rFonts w:hint="eastAsia" w:ascii="宋体" w:hAnsi="宋体" w:cs="等线"/>
          <w:color w:val="auto"/>
          <w:sz w:val="24"/>
          <w:highlight w:val="none"/>
        </w:rPr>
        <w:t xml:space="preserve"> </w:t>
      </w:r>
    </w:p>
    <w:p w14:paraId="79072142">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4.3.2发包人同意承包人分包的非主体、非关键性工作见投标函附录。除通用合同条款第4.3款的约定外，分包还应遵循以下约定：</w:t>
      </w:r>
    </w:p>
    <w:p w14:paraId="2193E201">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1）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4152121C">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2）发包人在工程量清单中给定暂估价的专业工程，包括从暂列金额开支的专业工程，达到依法应当招标的规模标准的，以及虽未达到规定的规模标准但合同中约定采用分包方式或者招标方式实施的，应当按专用合同条款第15.8.1项的约定，由发包人和承包人以招标方式确定专业分包人。除项目审批部门有特别核准外，暂估价的专业工程的招标应当采用与施工总承包同样的招标方式。</w:t>
      </w:r>
    </w:p>
    <w:p w14:paraId="048D9C89">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（3）在相关分包合同签订并报送有关建设行政主管部门备案后7天内，承包人应当将一份副本提交给监理人，承包人应保障分包工作不得再次分包。</w:t>
      </w:r>
    </w:p>
    <w:p w14:paraId="47BAD783">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4）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65EA88B7">
      <w:pPr>
        <w:spacing w:line="360" w:lineRule="auto"/>
        <w:ind w:firstLine="315" w:firstLineChars="150"/>
        <w:rPr>
          <w:rFonts w:ascii="宋体" w:hAnsi="宋体" w:cs="等线"/>
          <w:color w:val="auto"/>
          <w:highlight w:val="none"/>
        </w:rPr>
      </w:pPr>
      <w:r>
        <w:rPr>
          <w:rFonts w:hint="eastAsia" w:ascii="宋体" w:hAnsi="宋体" w:cs="等线"/>
          <w:color w:val="auto"/>
          <w:highlight w:val="none"/>
        </w:rPr>
        <w:t>（5）未经发包人和监理人审批同意的分包工程和分包人，发包人有权拒绝验收分包工程和支付相应款项，由此引起的承包人费用增加和（或）延误的工期由承包人承担。</w:t>
      </w:r>
    </w:p>
    <w:p w14:paraId="718BC34C">
      <w:pPr>
        <w:keepNext/>
        <w:keepLines/>
        <w:spacing w:line="360" w:lineRule="auto"/>
        <w:outlineLvl w:val="2"/>
        <w:rPr>
          <w:rFonts w:ascii="宋体" w:hAnsi="宋体" w:cs="等线"/>
          <w:color w:val="auto"/>
          <w:sz w:val="24"/>
          <w:highlight w:val="none"/>
        </w:rPr>
      </w:pPr>
      <w:bookmarkStart w:id="1561" w:name="_Toc38732167"/>
      <w:bookmarkStart w:id="1562" w:name="_Toc29090"/>
      <w:bookmarkStart w:id="1563" w:name="_Toc159950786"/>
      <w:r>
        <w:rPr>
          <w:rFonts w:hint="eastAsia" w:ascii="宋体" w:hAnsi="宋体" w:cs="等线"/>
          <w:color w:val="auto"/>
          <w:sz w:val="24"/>
          <w:highlight w:val="none"/>
        </w:rPr>
        <w:t>4.5 承包人项目经理</w:t>
      </w:r>
      <w:bookmarkEnd w:id="1561"/>
      <w:bookmarkEnd w:id="1562"/>
      <w:bookmarkEnd w:id="1563"/>
    </w:p>
    <w:p w14:paraId="19D02D41">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4.5.1承包人项目经理必须与承包人投标时所承诺的人员一致，并在根据通用合同条款第11.1.1项确定的开工日期前到任。在监理人向承包人颁发（出具）工程接收证书前，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14:paraId="6264C6CA">
      <w:pPr>
        <w:keepNext/>
        <w:keepLines/>
        <w:spacing w:line="360" w:lineRule="auto"/>
        <w:outlineLvl w:val="2"/>
        <w:rPr>
          <w:rFonts w:ascii="宋体" w:hAnsi="宋体" w:cs="等线"/>
          <w:color w:val="auto"/>
          <w:sz w:val="24"/>
          <w:highlight w:val="none"/>
        </w:rPr>
      </w:pPr>
      <w:bookmarkStart w:id="1564" w:name="_Toc38732168"/>
      <w:bookmarkStart w:id="1565" w:name="_Toc11834"/>
      <w:bookmarkStart w:id="1566" w:name="_Toc159950787"/>
      <w:r>
        <w:rPr>
          <w:rFonts w:hint="eastAsia" w:ascii="宋体" w:hAnsi="宋体" w:cs="等线"/>
          <w:color w:val="auto"/>
          <w:sz w:val="24"/>
          <w:highlight w:val="none"/>
        </w:rPr>
        <w:t>4.11 不利物质条件</w:t>
      </w:r>
      <w:bookmarkEnd w:id="1564"/>
      <w:bookmarkEnd w:id="1565"/>
      <w:bookmarkEnd w:id="1566"/>
    </w:p>
    <w:p w14:paraId="4F2B2BB8">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rPr>
        <w:t>4.11.1不利物质条件的范围：</w:t>
      </w:r>
      <w:r>
        <w:rPr>
          <w:rFonts w:hint="eastAsia" w:ascii="宋体" w:hAnsi="宋体" w:cs="等线"/>
          <w:color w:val="auto"/>
          <w:highlight w:val="none"/>
          <w:u w:val="single"/>
        </w:rPr>
        <w:t xml:space="preserve">执行通用合同条款。 </w:t>
      </w:r>
    </w:p>
    <w:p w14:paraId="463900BE">
      <w:pPr>
        <w:keepNext/>
        <w:keepLines/>
        <w:spacing w:line="400" w:lineRule="exact"/>
        <w:outlineLvl w:val="1"/>
        <w:rPr>
          <w:rFonts w:ascii="宋体" w:hAnsi="宋体" w:cs="等线"/>
          <w:color w:val="auto"/>
          <w:sz w:val="24"/>
          <w:highlight w:val="none"/>
        </w:rPr>
      </w:pPr>
      <w:bookmarkStart w:id="1567" w:name="_Toc18089"/>
      <w:bookmarkStart w:id="1568" w:name="_Toc159950788"/>
      <w:bookmarkStart w:id="1569" w:name="_Toc38732169"/>
      <w:bookmarkStart w:id="1570" w:name="_Toc31848"/>
      <w:r>
        <w:rPr>
          <w:rFonts w:hint="eastAsia" w:ascii="宋体" w:hAnsi="宋体" w:cs="等线"/>
          <w:color w:val="auto"/>
          <w:sz w:val="24"/>
          <w:highlight w:val="none"/>
        </w:rPr>
        <w:t>5. 材料和工程设备</w:t>
      </w:r>
      <w:bookmarkEnd w:id="1567"/>
      <w:bookmarkEnd w:id="1568"/>
      <w:bookmarkEnd w:id="1569"/>
      <w:bookmarkEnd w:id="1570"/>
    </w:p>
    <w:p w14:paraId="13DE5D21">
      <w:pPr>
        <w:keepNext/>
        <w:keepLines/>
        <w:spacing w:line="400" w:lineRule="exact"/>
        <w:outlineLvl w:val="2"/>
        <w:rPr>
          <w:rFonts w:ascii="宋体" w:hAnsi="宋体" w:cs="等线"/>
          <w:color w:val="auto"/>
          <w:sz w:val="24"/>
          <w:highlight w:val="none"/>
        </w:rPr>
      </w:pPr>
      <w:bookmarkStart w:id="1571" w:name="_Toc20005"/>
      <w:bookmarkStart w:id="1572" w:name="_Toc38732170"/>
      <w:bookmarkStart w:id="1573" w:name="_Toc159950789"/>
      <w:r>
        <w:rPr>
          <w:rFonts w:hint="eastAsia" w:ascii="宋体" w:hAnsi="宋体" w:cs="等线"/>
          <w:color w:val="auto"/>
          <w:sz w:val="24"/>
          <w:highlight w:val="none"/>
        </w:rPr>
        <w:t>5.1 承包人提供的材料和工程设备</w:t>
      </w:r>
      <w:bookmarkEnd w:id="1571"/>
      <w:bookmarkEnd w:id="1572"/>
      <w:bookmarkEnd w:id="1573"/>
    </w:p>
    <w:p w14:paraId="54A7883D">
      <w:pPr>
        <w:spacing w:line="400" w:lineRule="exact"/>
        <w:ind w:firstLine="420" w:firstLineChars="200"/>
        <w:rPr>
          <w:rFonts w:ascii="宋体" w:hAnsi="宋体" w:cs="等线"/>
          <w:color w:val="auto"/>
          <w:highlight w:val="none"/>
        </w:rPr>
      </w:pPr>
      <w:r>
        <w:rPr>
          <w:rFonts w:hint="eastAsia" w:ascii="宋体" w:hAnsi="宋体" w:cs="等线"/>
          <w:color w:val="auto"/>
          <w:highlight w:val="none"/>
        </w:rPr>
        <w:t>5.1.1除专用合同条款第5.2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15.8.1项的约定，由发包人和承包人以招标方式确定专项供应商。承包人负责提供的主要材料和工程设备清单见合同附件二“承包人提供的材料和工程设备一览表”。</w:t>
      </w:r>
    </w:p>
    <w:p w14:paraId="3A22706A">
      <w:pPr>
        <w:spacing w:line="400" w:lineRule="exact"/>
        <w:ind w:firstLine="420" w:firstLineChars="200"/>
        <w:rPr>
          <w:rFonts w:ascii="宋体" w:hAnsi="宋体" w:cs="等线"/>
          <w:color w:val="auto"/>
          <w:highlight w:val="none"/>
        </w:rPr>
      </w:pPr>
      <w:r>
        <w:rPr>
          <w:rFonts w:hint="eastAsia" w:ascii="宋体" w:hAnsi="宋体" w:cs="等线"/>
          <w:color w:val="auto"/>
          <w:highlight w:val="none"/>
        </w:rPr>
        <w:t>5.1.2 承包人将由其提供的材料和工程设备的供货人及品种、规格、数量和供货时间等报送监理人审批的期限：</w:t>
      </w:r>
      <w:r>
        <w:rPr>
          <w:rFonts w:hint="eastAsia" w:ascii="宋体" w:hAnsi="宋体" w:cs="等线"/>
          <w:color w:val="auto"/>
          <w:highlight w:val="none"/>
          <w:u w:val="single"/>
        </w:rPr>
        <w:t>材料和工程设备采购前15日内。</w:t>
      </w:r>
    </w:p>
    <w:p w14:paraId="563F6DB2">
      <w:pPr>
        <w:keepNext/>
        <w:keepLines/>
        <w:spacing w:line="400" w:lineRule="exact"/>
        <w:outlineLvl w:val="2"/>
        <w:rPr>
          <w:rFonts w:ascii="宋体" w:hAnsi="宋体" w:cs="等线"/>
          <w:color w:val="auto"/>
          <w:sz w:val="24"/>
          <w:highlight w:val="none"/>
        </w:rPr>
      </w:pPr>
      <w:bookmarkStart w:id="1574" w:name="_Toc38732171"/>
      <w:bookmarkStart w:id="1575" w:name="_Toc159950790"/>
      <w:bookmarkStart w:id="1576" w:name="_Toc2372"/>
      <w:r>
        <w:rPr>
          <w:rFonts w:hint="eastAsia" w:ascii="宋体" w:hAnsi="宋体" w:cs="等线"/>
          <w:color w:val="auto"/>
          <w:sz w:val="24"/>
          <w:highlight w:val="none"/>
        </w:rPr>
        <w:t>5.2 发包人提供的材料和工程设备</w:t>
      </w:r>
      <w:bookmarkEnd w:id="1574"/>
      <w:bookmarkEnd w:id="1575"/>
      <w:bookmarkEnd w:id="1576"/>
    </w:p>
    <w:p w14:paraId="5A6021AD">
      <w:pPr>
        <w:spacing w:line="400" w:lineRule="exact"/>
        <w:ind w:firstLine="420" w:firstLineChars="200"/>
        <w:rPr>
          <w:rFonts w:ascii="宋体" w:hAnsi="宋体" w:cs="等线"/>
          <w:color w:val="auto"/>
          <w:highlight w:val="none"/>
        </w:rPr>
      </w:pPr>
      <w:r>
        <w:rPr>
          <w:rFonts w:hint="eastAsia" w:ascii="宋体" w:hAnsi="宋体" w:cs="等线"/>
          <w:color w:val="auto"/>
          <w:highlight w:val="none"/>
        </w:rPr>
        <w:t>5.2.1发包人负责提供的材料和工程设备的名称、规格、数量、价格、交货方式、交货地点和计划交货日期等见合同附件三“发包人提供的材料和工程设备一览表”。</w:t>
      </w:r>
    </w:p>
    <w:p w14:paraId="34F8C5C9">
      <w:pPr>
        <w:spacing w:line="400" w:lineRule="exact"/>
        <w:ind w:firstLine="420" w:firstLineChars="200"/>
        <w:rPr>
          <w:rFonts w:ascii="宋体" w:hAnsi="宋体" w:cs="等线"/>
          <w:color w:val="auto"/>
          <w:highlight w:val="none"/>
        </w:rPr>
      </w:pPr>
      <w:r>
        <w:rPr>
          <w:rFonts w:hint="eastAsia" w:ascii="宋体" w:hAnsi="宋体" w:cs="等线"/>
          <w:color w:val="auto"/>
          <w:highlight w:val="none"/>
        </w:rPr>
        <w:t xml:space="preserve">5.2.3由发包人提供的材料和工程设备验收后，由承包人负责接收、运输和保管。 </w:t>
      </w:r>
    </w:p>
    <w:p w14:paraId="46C884FD">
      <w:pPr>
        <w:keepNext/>
        <w:keepLines/>
        <w:spacing w:line="400" w:lineRule="exact"/>
        <w:outlineLvl w:val="1"/>
        <w:rPr>
          <w:rFonts w:ascii="宋体" w:hAnsi="宋体" w:cs="等线"/>
          <w:color w:val="auto"/>
          <w:sz w:val="24"/>
          <w:highlight w:val="none"/>
        </w:rPr>
      </w:pPr>
      <w:bookmarkStart w:id="1577" w:name="_Toc159950791"/>
      <w:bookmarkStart w:id="1578" w:name="_Toc16025"/>
      <w:bookmarkStart w:id="1579" w:name="_Toc38732172"/>
      <w:bookmarkStart w:id="1580" w:name="_Toc26520"/>
      <w:r>
        <w:rPr>
          <w:rFonts w:hint="eastAsia" w:ascii="宋体" w:hAnsi="宋体" w:cs="等线"/>
          <w:color w:val="auto"/>
          <w:sz w:val="24"/>
          <w:highlight w:val="none"/>
        </w:rPr>
        <w:t>6. 施工设备和临时设施</w:t>
      </w:r>
      <w:bookmarkEnd w:id="1577"/>
      <w:bookmarkEnd w:id="1578"/>
      <w:bookmarkEnd w:id="1579"/>
      <w:bookmarkEnd w:id="1580"/>
    </w:p>
    <w:p w14:paraId="15A2B701">
      <w:pPr>
        <w:keepNext/>
        <w:keepLines/>
        <w:spacing w:line="400" w:lineRule="exact"/>
        <w:outlineLvl w:val="2"/>
        <w:rPr>
          <w:rFonts w:ascii="宋体" w:hAnsi="宋体" w:cs="等线"/>
          <w:color w:val="auto"/>
          <w:sz w:val="24"/>
          <w:highlight w:val="none"/>
        </w:rPr>
      </w:pPr>
      <w:bookmarkStart w:id="1581" w:name="_Toc38732173"/>
      <w:bookmarkStart w:id="1582" w:name="_Toc159950792"/>
      <w:bookmarkStart w:id="1583" w:name="_Toc13802"/>
      <w:r>
        <w:rPr>
          <w:rFonts w:hint="eastAsia" w:ascii="宋体" w:hAnsi="宋体" w:cs="等线"/>
          <w:color w:val="auto"/>
          <w:sz w:val="24"/>
          <w:highlight w:val="none"/>
        </w:rPr>
        <w:t>6.1 承包人提供的施工设备和临时设施</w:t>
      </w:r>
      <w:bookmarkEnd w:id="1581"/>
      <w:bookmarkEnd w:id="1582"/>
      <w:bookmarkEnd w:id="1583"/>
    </w:p>
    <w:p w14:paraId="1E5353B8">
      <w:pPr>
        <w:spacing w:line="400" w:lineRule="exact"/>
        <w:ind w:firstLine="420" w:firstLineChars="200"/>
        <w:rPr>
          <w:rFonts w:ascii="宋体" w:hAnsi="宋体" w:cs="等线"/>
          <w:color w:val="auto"/>
          <w:highlight w:val="none"/>
          <w:u w:val="single"/>
        </w:rPr>
      </w:pPr>
      <w:r>
        <w:rPr>
          <w:rFonts w:hint="eastAsia" w:ascii="宋体" w:hAnsi="宋体" w:cs="等线"/>
          <w:color w:val="auto"/>
          <w:highlight w:val="none"/>
        </w:rPr>
        <w:t>6.1.2发包人承担修建临时设施的费用的范围：</w:t>
      </w:r>
      <w:r>
        <w:rPr>
          <w:rFonts w:hint="eastAsia" w:ascii="宋体" w:hAnsi="宋体" w:cs="等线"/>
          <w:color w:val="auto"/>
          <w:highlight w:val="none"/>
          <w:u w:val="single"/>
        </w:rPr>
        <w:t>无</w:t>
      </w:r>
    </w:p>
    <w:p w14:paraId="7DBF6FB7">
      <w:pPr>
        <w:spacing w:line="400" w:lineRule="exact"/>
        <w:ind w:firstLine="420" w:firstLineChars="200"/>
        <w:rPr>
          <w:rFonts w:ascii="宋体" w:hAnsi="宋体" w:cs="等线"/>
          <w:color w:val="auto"/>
          <w:highlight w:val="none"/>
          <w:u w:val="single"/>
        </w:rPr>
      </w:pPr>
      <w:r>
        <w:rPr>
          <w:rFonts w:hint="eastAsia" w:ascii="宋体" w:hAnsi="宋体" w:cs="等线"/>
          <w:color w:val="auto"/>
          <w:highlight w:val="none"/>
        </w:rPr>
        <w:t>需要发包人办理申请手续和承担相关费用的临时占地：</w:t>
      </w:r>
      <w:r>
        <w:rPr>
          <w:rFonts w:hint="eastAsia" w:ascii="宋体" w:hAnsi="宋体" w:cs="等线"/>
          <w:color w:val="auto"/>
          <w:highlight w:val="none"/>
          <w:u w:val="single"/>
        </w:rPr>
        <w:t>进场材料设备的检验检测费</w:t>
      </w:r>
      <w:r>
        <w:rPr>
          <w:rFonts w:hint="eastAsia" w:ascii="宋体" w:hAnsi="宋体" w:cs="等线"/>
          <w:color w:val="auto"/>
          <w:highlight w:val="none"/>
        </w:rPr>
        <w:t xml:space="preserve">。 </w:t>
      </w:r>
    </w:p>
    <w:p w14:paraId="342DB053">
      <w:pPr>
        <w:keepNext/>
        <w:keepLines/>
        <w:spacing w:line="400" w:lineRule="exact"/>
        <w:outlineLvl w:val="2"/>
        <w:rPr>
          <w:rFonts w:ascii="宋体" w:hAnsi="宋体" w:cs="等线"/>
          <w:color w:val="auto"/>
          <w:sz w:val="24"/>
          <w:highlight w:val="none"/>
        </w:rPr>
      </w:pPr>
      <w:bookmarkStart w:id="1584" w:name="_Toc159950793"/>
      <w:bookmarkStart w:id="1585" w:name="_Toc9263"/>
      <w:bookmarkStart w:id="1586" w:name="_Toc38732174"/>
      <w:r>
        <w:rPr>
          <w:rFonts w:hint="eastAsia" w:ascii="宋体" w:hAnsi="宋体" w:cs="等线"/>
          <w:color w:val="auto"/>
          <w:sz w:val="24"/>
          <w:highlight w:val="none"/>
        </w:rPr>
        <w:t>6.2 发包人提供的施工设备和临时设施</w:t>
      </w:r>
      <w:bookmarkEnd w:id="1584"/>
      <w:bookmarkEnd w:id="1585"/>
      <w:bookmarkEnd w:id="1586"/>
    </w:p>
    <w:p w14:paraId="57D228E8">
      <w:pPr>
        <w:spacing w:line="400" w:lineRule="exact"/>
        <w:ind w:firstLine="420" w:firstLineChars="200"/>
        <w:rPr>
          <w:rFonts w:ascii="宋体" w:hAnsi="宋体" w:cs="等线"/>
          <w:color w:val="auto"/>
          <w:highlight w:val="none"/>
        </w:rPr>
      </w:pPr>
      <w:r>
        <w:rPr>
          <w:rFonts w:hint="eastAsia" w:ascii="宋体" w:hAnsi="宋体" w:cs="等线"/>
          <w:color w:val="auto"/>
          <w:highlight w:val="none"/>
        </w:rPr>
        <w:t>发包人提供的施工设备和临时设施：</w:t>
      </w:r>
      <w:r>
        <w:rPr>
          <w:rFonts w:hint="eastAsia" w:ascii="宋体" w:hAnsi="宋体" w:cs="等线"/>
          <w:color w:val="auto"/>
          <w:highlight w:val="none"/>
          <w:u w:val="single"/>
        </w:rPr>
        <w:t>不提供</w:t>
      </w:r>
      <w:r>
        <w:rPr>
          <w:rFonts w:hint="eastAsia" w:ascii="宋体" w:hAnsi="宋体" w:cs="等线"/>
          <w:color w:val="auto"/>
          <w:highlight w:val="none"/>
        </w:rPr>
        <w:t>。</w:t>
      </w:r>
    </w:p>
    <w:p w14:paraId="3478346F">
      <w:pPr>
        <w:spacing w:line="400" w:lineRule="exact"/>
        <w:ind w:firstLine="420" w:firstLineChars="200"/>
        <w:rPr>
          <w:rFonts w:ascii="宋体" w:hAnsi="宋体" w:cs="等线"/>
          <w:color w:val="auto"/>
          <w:highlight w:val="none"/>
        </w:rPr>
      </w:pPr>
      <w:r>
        <w:rPr>
          <w:rFonts w:hint="eastAsia" w:ascii="宋体" w:hAnsi="宋体" w:cs="等线"/>
          <w:color w:val="auto"/>
          <w:highlight w:val="none"/>
        </w:rPr>
        <w:t>发包人提供的施工设备和临时设施的运行、维护、拆除、清运费用的承担人：</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02804C3D">
      <w:pPr>
        <w:keepNext/>
        <w:keepLines/>
        <w:spacing w:line="400" w:lineRule="exact"/>
        <w:outlineLvl w:val="2"/>
        <w:rPr>
          <w:rFonts w:ascii="宋体" w:hAnsi="宋体" w:cs="等线"/>
          <w:color w:val="auto"/>
          <w:sz w:val="24"/>
          <w:highlight w:val="none"/>
        </w:rPr>
      </w:pPr>
      <w:bookmarkStart w:id="1587" w:name="_Toc38732175"/>
      <w:bookmarkStart w:id="1588" w:name="_Toc159950794"/>
      <w:bookmarkStart w:id="1589" w:name="_Toc22245"/>
      <w:r>
        <w:rPr>
          <w:rFonts w:hint="eastAsia" w:ascii="宋体" w:hAnsi="宋体" w:cs="等线"/>
          <w:color w:val="auto"/>
          <w:sz w:val="24"/>
          <w:highlight w:val="none"/>
        </w:rPr>
        <w:t>6.4 施工设备和临时设施专用于合同工程</w:t>
      </w:r>
      <w:bookmarkEnd w:id="1587"/>
      <w:bookmarkEnd w:id="1588"/>
      <w:bookmarkEnd w:id="1589"/>
    </w:p>
    <w:p w14:paraId="0EF95F55">
      <w:pPr>
        <w:spacing w:line="400" w:lineRule="exact"/>
        <w:ind w:firstLine="420" w:firstLineChars="200"/>
        <w:rPr>
          <w:rFonts w:ascii="宋体" w:hAnsi="宋体" w:cs="等线"/>
          <w:color w:val="auto"/>
          <w:highlight w:val="none"/>
          <w:u w:val="single"/>
          <w:bdr w:val="single" w:color="auto" w:sz="4" w:space="0"/>
        </w:rPr>
      </w:pPr>
      <w:r>
        <w:rPr>
          <w:rFonts w:hint="eastAsia" w:ascii="宋体" w:hAnsi="宋体" w:cs="等线"/>
          <w:color w:val="auto"/>
          <w:highlight w:val="none"/>
        </w:rPr>
        <w:t>6.4.1除为专用合同条款第4.1.8项约定的其他独立承包人和监理人指示的他人提供条件外,承包人运入施工场地的所有施工设备以及在施工场地建设的临时设施仅限于用于合同工程。</w:t>
      </w:r>
    </w:p>
    <w:p w14:paraId="0FCB08F1">
      <w:pPr>
        <w:keepNext/>
        <w:keepLines/>
        <w:spacing w:line="400" w:lineRule="exact"/>
        <w:outlineLvl w:val="1"/>
        <w:rPr>
          <w:rFonts w:ascii="宋体" w:hAnsi="宋体" w:cs="等线"/>
          <w:color w:val="auto"/>
          <w:sz w:val="24"/>
          <w:highlight w:val="none"/>
        </w:rPr>
      </w:pPr>
      <w:bookmarkStart w:id="1590" w:name="_Toc159950795"/>
      <w:bookmarkStart w:id="1591" w:name="_Toc38732176"/>
      <w:bookmarkStart w:id="1592" w:name="_Toc27186"/>
      <w:bookmarkStart w:id="1593" w:name="_Toc6049"/>
      <w:r>
        <w:rPr>
          <w:rFonts w:hint="eastAsia" w:ascii="宋体" w:hAnsi="宋体" w:cs="等线"/>
          <w:color w:val="auto"/>
          <w:sz w:val="24"/>
          <w:highlight w:val="none"/>
        </w:rPr>
        <w:t>7. 交通运输</w:t>
      </w:r>
      <w:bookmarkEnd w:id="1590"/>
      <w:bookmarkEnd w:id="1591"/>
      <w:bookmarkEnd w:id="1592"/>
      <w:bookmarkEnd w:id="1593"/>
    </w:p>
    <w:p w14:paraId="7B22AD7C">
      <w:pPr>
        <w:keepNext/>
        <w:keepLines/>
        <w:spacing w:line="400" w:lineRule="exact"/>
        <w:outlineLvl w:val="2"/>
        <w:rPr>
          <w:rFonts w:ascii="宋体" w:hAnsi="宋体" w:cs="等线"/>
          <w:color w:val="auto"/>
          <w:sz w:val="24"/>
          <w:highlight w:val="none"/>
        </w:rPr>
      </w:pPr>
      <w:bookmarkStart w:id="1594" w:name="_Toc38732177"/>
      <w:bookmarkStart w:id="1595" w:name="_Toc159950796"/>
      <w:bookmarkStart w:id="1596" w:name="_Toc5760"/>
      <w:r>
        <w:rPr>
          <w:rFonts w:hint="eastAsia" w:ascii="宋体" w:hAnsi="宋体" w:cs="等线"/>
          <w:color w:val="auto"/>
          <w:sz w:val="24"/>
          <w:highlight w:val="none"/>
        </w:rPr>
        <w:t>7.1 道路通行权和场外设施</w:t>
      </w:r>
      <w:bookmarkEnd w:id="1594"/>
      <w:bookmarkEnd w:id="1595"/>
      <w:bookmarkEnd w:id="1596"/>
    </w:p>
    <w:p w14:paraId="7C666721">
      <w:pPr>
        <w:spacing w:line="400" w:lineRule="exact"/>
        <w:ind w:firstLine="420" w:firstLineChars="200"/>
        <w:rPr>
          <w:rFonts w:ascii="宋体" w:hAnsi="宋体" w:cs="等线"/>
          <w:color w:val="auto"/>
          <w:highlight w:val="none"/>
          <w:u w:val="single"/>
        </w:rPr>
      </w:pPr>
      <w:r>
        <w:rPr>
          <w:rFonts w:hint="eastAsia" w:ascii="宋体" w:hAnsi="宋体" w:cs="等线"/>
          <w:color w:val="auto"/>
          <w:highlight w:val="none"/>
        </w:rPr>
        <w:t>取得道路通行权、场外设施修建权的办理人:</w:t>
      </w:r>
      <w:r>
        <w:rPr>
          <w:rFonts w:hint="eastAsia" w:ascii="宋体" w:hAnsi="宋体" w:cs="等线"/>
          <w:color w:val="auto"/>
          <w:highlight w:val="none"/>
          <w:u w:val="single"/>
        </w:rPr>
        <w:t>承包人</w:t>
      </w:r>
      <w:r>
        <w:rPr>
          <w:rFonts w:hint="eastAsia" w:ascii="宋体" w:hAnsi="宋体" w:cs="等线"/>
          <w:color w:val="auto"/>
          <w:highlight w:val="none"/>
        </w:rPr>
        <w:t>，其相关费用由发包人承担。</w:t>
      </w:r>
    </w:p>
    <w:p w14:paraId="7F8F4B34">
      <w:pPr>
        <w:keepNext/>
        <w:keepLines/>
        <w:spacing w:line="400" w:lineRule="exact"/>
        <w:outlineLvl w:val="2"/>
        <w:rPr>
          <w:rFonts w:ascii="宋体" w:hAnsi="宋体" w:cs="等线"/>
          <w:color w:val="auto"/>
          <w:sz w:val="24"/>
          <w:highlight w:val="none"/>
        </w:rPr>
      </w:pPr>
      <w:bookmarkStart w:id="1597" w:name="_Toc13211"/>
      <w:bookmarkStart w:id="1598" w:name="_Toc38732178"/>
      <w:bookmarkStart w:id="1599" w:name="_Toc159950797"/>
      <w:r>
        <w:rPr>
          <w:rFonts w:hint="eastAsia" w:ascii="宋体" w:hAnsi="宋体" w:cs="等线"/>
          <w:color w:val="auto"/>
          <w:sz w:val="24"/>
          <w:highlight w:val="none"/>
        </w:rPr>
        <w:t>7.2 场内施工道路</w:t>
      </w:r>
      <w:bookmarkEnd w:id="1597"/>
      <w:bookmarkEnd w:id="1598"/>
      <w:bookmarkEnd w:id="1599"/>
    </w:p>
    <w:p w14:paraId="37451196">
      <w:pPr>
        <w:spacing w:line="400" w:lineRule="exact"/>
        <w:ind w:firstLine="420" w:firstLineChars="200"/>
        <w:rPr>
          <w:rFonts w:ascii="宋体" w:hAnsi="宋体" w:cs="等线"/>
          <w:color w:val="auto"/>
          <w:highlight w:val="none"/>
        </w:rPr>
      </w:pPr>
      <w:r>
        <w:rPr>
          <w:rFonts w:hint="eastAsia" w:ascii="宋体" w:hAnsi="宋体" w:cs="等线"/>
          <w:color w:val="auto"/>
          <w:highlight w:val="none"/>
        </w:rPr>
        <w:t>7.2.1施工所需的场内临时道路和交通设施的修建、维护、养护和管理人：</w:t>
      </w:r>
      <w:r>
        <w:rPr>
          <w:rFonts w:hint="eastAsia" w:ascii="宋体" w:hAnsi="宋体" w:cs="等线"/>
          <w:color w:val="auto"/>
          <w:highlight w:val="none"/>
          <w:u w:val="single"/>
        </w:rPr>
        <w:t>承包人</w:t>
      </w:r>
      <w:r>
        <w:rPr>
          <w:rFonts w:hint="eastAsia" w:ascii="宋体" w:hAnsi="宋体" w:cs="等线"/>
          <w:color w:val="auto"/>
          <w:highlight w:val="none"/>
        </w:rPr>
        <w:t>，相关费用由</w:t>
      </w:r>
      <w:r>
        <w:rPr>
          <w:rFonts w:hint="eastAsia" w:ascii="宋体" w:hAnsi="宋体" w:cs="等线"/>
          <w:color w:val="auto"/>
          <w:highlight w:val="none"/>
          <w:u w:val="single"/>
        </w:rPr>
        <w:t>承包人</w:t>
      </w:r>
      <w:r>
        <w:rPr>
          <w:rFonts w:hint="eastAsia" w:ascii="宋体" w:hAnsi="宋体" w:cs="等线"/>
          <w:color w:val="auto"/>
          <w:highlight w:val="none"/>
        </w:rPr>
        <w:t>承担。</w:t>
      </w:r>
    </w:p>
    <w:p w14:paraId="6FC07F88">
      <w:pPr>
        <w:spacing w:line="400" w:lineRule="exact"/>
        <w:ind w:firstLine="420" w:firstLineChars="200"/>
        <w:rPr>
          <w:rFonts w:ascii="宋体" w:hAnsi="宋体" w:cs="等线"/>
          <w:color w:val="auto"/>
          <w:highlight w:val="none"/>
          <w:u w:val="single"/>
        </w:rPr>
      </w:pPr>
      <w:r>
        <w:rPr>
          <w:rFonts w:hint="eastAsia" w:ascii="宋体" w:hAnsi="宋体" w:cs="等线"/>
          <w:color w:val="auto"/>
          <w:highlight w:val="none"/>
        </w:rPr>
        <w:t>7.2.2发包人和监理人有权无偿使用承包人修建的临时道路和交通设施，不需要交纳任何费用。</w:t>
      </w:r>
    </w:p>
    <w:p w14:paraId="46E96EA8">
      <w:pPr>
        <w:keepNext/>
        <w:keepLines/>
        <w:spacing w:line="400" w:lineRule="exact"/>
        <w:outlineLvl w:val="2"/>
        <w:rPr>
          <w:rFonts w:ascii="宋体" w:hAnsi="宋体" w:cs="等线"/>
          <w:color w:val="auto"/>
          <w:sz w:val="24"/>
          <w:highlight w:val="none"/>
        </w:rPr>
      </w:pPr>
      <w:bookmarkStart w:id="1600" w:name="_Toc14416"/>
      <w:bookmarkStart w:id="1601" w:name="_Toc159950798"/>
      <w:bookmarkStart w:id="1602" w:name="_Toc38732179"/>
      <w:r>
        <w:rPr>
          <w:rFonts w:hint="eastAsia" w:ascii="宋体" w:hAnsi="宋体" w:cs="等线"/>
          <w:color w:val="auto"/>
          <w:sz w:val="24"/>
          <w:highlight w:val="none"/>
        </w:rPr>
        <w:t>7.4 超大件和超重件的运输</w:t>
      </w:r>
      <w:bookmarkEnd w:id="1600"/>
      <w:bookmarkEnd w:id="1601"/>
      <w:bookmarkEnd w:id="1602"/>
    </w:p>
    <w:p w14:paraId="0446EC64">
      <w:pPr>
        <w:spacing w:line="400" w:lineRule="exact"/>
        <w:ind w:firstLine="420" w:firstLineChars="200"/>
        <w:rPr>
          <w:rFonts w:ascii="宋体" w:hAnsi="宋体" w:cs="等线"/>
          <w:color w:val="auto"/>
          <w:highlight w:val="none"/>
        </w:rPr>
      </w:pPr>
      <w:r>
        <w:rPr>
          <w:rFonts w:hint="eastAsia" w:ascii="宋体" w:hAnsi="宋体" w:cs="等线"/>
          <w:color w:val="auto"/>
          <w:highlight w:val="none"/>
        </w:rPr>
        <w:t>运输超大件或超重件所需的道路和桥梁临时加固改造等费用的承担人：</w:t>
      </w:r>
      <w:r>
        <w:rPr>
          <w:rFonts w:hint="eastAsia" w:ascii="宋体" w:hAnsi="宋体" w:cs="等线"/>
          <w:color w:val="auto"/>
          <w:highlight w:val="none"/>
          <w:u w:val="single"/>
        </w:rPr>
        <w:t>承包人承担</w:t>
      </w:r>
      <w:r>
        <w:rPr>
          <w:rFonts w:hint="eastAsia" w:ascii="宋体" w:hAnsi="宋体" w:cs="等线"/>
          <w:color w:val="auto"/>
          <w:highlight w:val="none"/>
        </w:rPr>
        <w:t>。（如保留：“该费用计入投标总价中”建议在招标文件中明确）</w:t>
      </w:r>
    </w:p>
    <w:p w14:paraId="2FE76523">
      <w:pPr>
        <w:keepNext/>
        <w:keepLines/>
        <w:spacing w:line="400" w:lineRule="exact"/>
        <w:outlineLvl w:val="1"/>
        <w:rPr>
          <w:rFonts w:ascii="宋体" w:hAnsi="宋体" w:cs="等线"/>
          <w:color w:val="auto"/>
          <w:sz w:val="24"/>
          <w:highlight w:val="none"/>
        </w:rPr>
      </w:pPr>
      <w:bookmarkStart w:id="1603" w:name="_Toc159950799"/>
      <w:bookmarkStart w:id="1604" w:name="_Toc23183"/>
      <w:bookmarkStart w:id="1605" w:name="_Toc7830"/>
      <w:bookmarkStart w:id="1606" w:name="_Toc38732180"/>
      <w:r>
        <w:rPr>
          <w:rFonts w:hint="eastAsia" w:ascii="宋体" w:hAnsi="宋体" w:cs="等线"/>
          <w:color w:val="auto"/>
          <w:sz w:val="24"/>
          <w:highlight w:val="none"/>
        </w:rPr>
        <w:t>8. 测量放线</w:t>
      </w:r>
      <w:bookmarkEnd w:id="1603"/>
      <w:bookmarkEnd w:id="1604"/>
      <w:bookmarkEnd w:id="1605"/>
      <w:bookmarkEnd w:id="1606"/>
    </w:p>
    <w:p w14:paraId="5B1FBB04">
      <w:pPr>
        <w:keepNext/>
        <w:keepLines/>
        <w:spacing w:line="400" w:lineRule="exact"/>
        <w:outlineLvl w:val="2"/>
        <w:rPr>
          <w:rFonts w:ascii="宋体" w:hAnsi="宋体" w:cs="等线"/>
          <w:color w:val="auto"/>
          <w:sz w:val="24"/>
          <w:highlight w:val="none"/>
        </w:rPr>
      </w:pPr>
      <w:bookmarkStart w:id="1607" w:name="_Toc21868"/>
      <w:bookmarkStart w:id="1608" w:name="_Toc38732181"/>
      <w:bookmarkStart w:id="1609" w:name="_Toc159950800"/>
      <w:r>
        <w:rPr>
          <w:rFonts w:hint="eastAsia" w:ascii="宋体" w:hAnsi="宋体" w:cs="等线"/>
          <w:color w:val="auto"/>
          <w:sz w:val="24"/>
          <w:highlight w:val="none"/>
        </w:rPr>
        <w:t>8.1 施工控制网</w:t>
      </w:r>
      <w:bookmarkEnd w:id="1607"/>
      <w:bookmarkEnd w:id="1608"/>
      <w:bookmarkEnd w:id="1609"/>
    </w:p>
    <w:p w14:paraId="6B567758">
      <w:pPr>
        <w:spacing w:line="400" w:lineRule="exact"/>
        <w:ind w:firstLine="420" w:firstLineChars="200"/>
        <w:rPr>
          <w:rFonts w:ascii="宋体" w:hAnsi="宋体" w:cs="等线"/>
          <w:color w:val="auto"/>
          <w:highlight w:val="none"/>
          <w:u w:val="single"/>
        </w:rPr>
      </w:pPr>
      <w:r>
        <w:rPr>
          <w:rFonts w:hint="eastAsia" w:ascii="宋体" w:hAnsi="宋体" w:cs="等线"/>
          <w:color w:val="auto"/>
          <w:highlight w:val="none"/>
        </w:rPr>
        <w:t>8.1.1发包人通过监理人提供测量基准点、基准线和水准点及其书面资料的期限：</w:t>
      </w:r>
      <w:r>
        <w:rPr>
          <w:rFonts w:hint="eastAsia" w:ascii="宋体" w:hAnsi="宋体" w:cs="等线"/>
          <w:color w:val="auto"/>
          <w:highlight w:val="none"/>
          <w:u w:val="single"/>
        </w:rPr>
        <w:t xml:space="preserve"> 合同签订后7日内 （如有）</w:t>
      </w:r>
      <w:r>
        <w:rPr>
          <w:rFonts w:hint="eastAsia" w:ascii="宋体" w:hAnsi="宋体" w:cs="等线"/>
          <w:color w:val="auto"/>
          <w:highlight w:val="none"/>
        </w:rPr>
        <w:t xml:space="preserve">。 </w:t>
      </w:r>
    </w:p>
    <w:p w14:paraId="6F2D6493">
      <w:pPr>
        <w:spacing w:line="400" w:lineRule="exact"/>
        <w:ind w:firstLine="420" w:firstLineChars="200"/>
        <w:rPr>
          <w:rFonts w:ascii="宋体" w:hAnsi="宋体" w:cs="等线"/>
          <w:color w:val="auto"/>
          <w:highlight w:val="none"/>
          <w:u w:val="single"/>
        </w:rPr>
      </w:pPr>
      <w:r>
        <w:rPr>
          <w:rFonts w:hint="eastAsia" w:ascii="宋体" w:hAnsi="宋体" w:cs="等线"/>
          <w:color w:val="auto"/>
          <w:highlight w:val="none"/>
        </w:rPr>
        <w:t>承包人测设施工控制网的要求：</w:t>
      </w:r>
      <w:r>
        <w:rPr>
          <w:rFonts w:hint="eastAsia" w:ascii="宋体" w:hAnsi="宋体" w:cs="等线"/>
          <w:color w:val="auto"/>
          <w:highlight w:val="none"/>
          <w:u w:val="single"/>
        </w:rPr>
        <w:t xml:space="preserve">由承包人依据监理人提供的测量基准点、基准线和水准点以及国家的工程测量技术规范和合同要求的工程精度，测设自己的施工控制网  </w:t>
      </w:r>
      <w:r>
        <w:rPr>
          <w:rFonts w:hint="eastAsia" w:ascii="宋体" w:hAnsi="宋体" w:cs="等线"/>
          <w:color w:val="auto"/>
          <w:highlight w:val="none"/>
        </w:rPr>
        <w:t xml:space="preserve">。 </w:t>
      </w:r>
    </w:p>
    <w:p w14:paraId="3B78541D">
      <w:pPr>
        <w:spacing w:line="400" w:lineRule="exact"/>
        <w:ind w:firstLine="420" w:firstLineChars="200"/>
        <w:rPr>
          <w:rFonts w:ascii="宋体" w:hAnsi="宋体" w:cs="等线"/>
          <w:color w:val="auto"/>
          <w:highlight w:val="none"/>
          <w:u w:val="single"/>
        </w:rPr>
      </w:pPr>
      <w:r>
        <w:rPr>
          <w:rFonts w:hint="eastAsia" w:ascii="宋体" w:hAnsi="宋体" w:cs="等线"/>
          <w:color w:val="auto"/>
          <w:highlight w:val="none"/>
        </w:rPr>
        <w:t>承包人将施工控制网资料报送监理人审批的期限：</w:t>
      </w:r>
      <w:r>
        <w:rPr>
          <w:rFonts w:hint="eastAsia" w:ascii="宋体" w:hAnsi="宋体" w:cs="等线"/>
          <w:color w:val="auto"/>
          <w:highlight w:val="none"/>
          <w:u w:val="single"/>
        </w:rPr>
        <w:t>在收到监理人按照通用合同条款第11.1.1项发出的开工通知后7日内</w:t>
      </w:r>
      <w:r>
        <w:rPr>
          <w:rFonts w:hint="eastAsia" w:ascii="宋体" w:hAnsi="宋体" w:cs="等线"/>
          <w:color w:val="auto"/>
          <w:highlight w:val="none"/>
        </w:rPr>
        <w:t xml:space="preserve">。 </w:t>
      </w:r>
    </w:p>
    <w:p w14:paraId="123FA7FE">
      <w:pPr>
        <w:keepNext/>
        <w:keepLines/>
        <w:spacing w:line="400" w:lineRule="exact"/>
        <w:outlineLvl w:val="1"/>
        <w:rPr>
          <w:rFonts w:ascii="宋体" w:hAnsi="宋体" w:cs="等线"/>
          <w:color w:val="auto"/>
          <w:sz w:val="24"/>
          <w:highlight w:val="none"/>
        </w:rPr>
      </w:pPr>
      <w:bookmarkStart w:id="1610" w:name="_Toc38732182"/>
      <w:bookmarkStart w:id="1611" w:name="_Toc29383"/>
      <w:bookmarkStart w:id="1612" w:name="_Toc10233"/>
      <w:bookmarkStart w:id="1613" w:name="_Toc159950801"/>
      <w:r>
        <w:rPr>
          <w:rFonts w:hint="eastAsia" w:ascii="宋体" w:hAnsi="宋体" w:cs="等线"/>
          <w:color w:val="auto"/>
          <w:sz w:val="24"/>
          <w:highlight w:val="none"/>
        </w:rPr>
        <w:t>9. 施工安全、治安保卫和环境保护</w:t>
      </w:r>
      <w:bookmarkEnd w:id="1610"/>
      <w:bookmarkEnd w:id="1611"/>
      <w:bookmarkEnd w:id="1612"/>
      <w:bookmarkEnd w:id="1613"/>
    </w:p>
    <w:p w14:paraId="2F1C6B61">
      <w:pPr>
        <w:keepNext/>
        <w:keepLines/>
        <w:spacing w:line="400" w:lineRule="exact"/>
        <w:outlineLvl w:val="2"/>
        <w:rPr>
          <w:rFonts w:ascii="宋体" w:hAnsi="宋体" w:cs="等线"/>
          <w:color w:val="auto"/>
          <w:sz w:val="24"/>
          <w:highlight w:val="none"/>
        </w:rPr>
      </w:pPr>
      <w:bookmarkStart w:id="1614" w:name="_Toc38732183"/>
      <w:bookmarkStart w:id="1615" w:name="_Toc28437"/>
      <w:bookmarkStart w:id="1616" w:name="_Toc159950802"/>
      <w:r>
        <w:rPr>
          <w:rFonts w:hint="eastAsia" w:ascii="宋体" w:hAnsi="宋体" w:cs="等线"/>
          <w:color w:val="auto"/>
          <w:sz w:val="24"/>
          <w:highlight w:val="none"/>
        </w:rPr>
        <w:t>9.2 承包人的施工安全责任</w:t>
      </w:r>
      <w:bookmarkEnd w:id="1614"/>
      <w:bookmarkEnd w:id="1615"/>
      <w:bookmarkEnd w:id="1616"/>
    </w:p>
    <w:p w14:paraId="7050333D">
      <w:pPr>
        <w:spacing w:after="120" w:line="400" w:lineRule="exact"/>
        <w:ind w:left="420" w:leftChars="200"/>
        <w:rPr>
          <w:rFonts w:ascii="宋体" w:hAnsi="宋体" w:cs="等线"/>
          <w:color w:val="auto"/>
          <w:sz w:val="24"/>
          <w:szCs w:val="20"/>
          <w:highlight w:val="none"/>
        </w:rPr>
      </w:pPr>
      <w:r>
        <w:rPr>
          <w:rFonts w:hint="eastAsia" w:ascii="宋体" w:hAnsi="宋体" w:cs="等线"/>
          <w:color w:val="auto"/>
          <w:sz w:val="24"/>
          <w:szCs w:val="20"/>
          <w:highlight w:val="none"/>
        </w:rPr>
        <w:t>9.2.1承包人向监理人报送施工安全措施计划的期限：</w:t>
      </w:r>
      <w:r>
        <w:rPr>
          <w:rFonts w:hint="eastAsia" w:ascii="宋体" w:hAnsi="宋体" w:cs="等线"/>
          <w:color w:val="auto"/>
          <w:sz w:val="24"/>
          <w:szCs w:val="20"/>
          <w:highlight w:val="none"/>
          <w:u w:val="single"/>
        </w:rPr>
        <w:t>在收到监理人按照通用合同条款第11.1.1项发出的开工通知后7日内</w:t>
      </w:r>
      <w:r>
        <w:rPr>
          <w:rFonts w:hint="eastAsia" w:ascii="宋体" w:hAnsi="宋体" w:cs="等线"/>
          <w:color w:val="auto"/>
          <w:sz w:val="24"/>
          <w:szCs w:val="20"/>
          <w:highlight w:val="none"/>
        </w:rPr>
        <w:t>。</w:t>
      </w:r>
    </w:p>
    <w:p w14:paraId="4FCAA48B">
      <w:pPr>
        <w:spacing w:after="120" w:line="400" w:lineRule="exact"/>
        <w:ind w:left="420" w:leftChars="200"/>
        <w:rPr>
          <w:rFonts w:ascii="宋体" w:hAnsi="宋体" w:cs="等线"/>
          <w:color w:val="auto"/>
          <w:sz w:val="24"/>
          <w:szCs w:val="20"/>
          <w:highlight w:val="none"/>
        </w:rPr>
      </w:pPr>
      <w:r>
        <w:rPr>
          <w:rFonts w:hint="eastAsia" w:ascii="宋体" w:hAnsi="宋体" w:cs="等线"/>
          <w:color w:val="auto"/>
          <w:sz w:val="24"/>
          <w:szCs w:val="20"/>
          <w:highlight w:val="none"/>
        </w:rPr>
        <w:t>监理人收到承包人报送的施工安全措施计划后应当在</w:t>
      </w:r>
      <w:r>
        <w:rPr>
          <w:rFonts w:hint="eastAsia" w:ascii="宋体" w:hAnsi="宋体" w:cs="等线"/>
          <w:color w:val="auto"/>
          <w:sz w:val="24"/>
          <w:szCs w:val="20"/>
          <w:highlight w:val="none"/>
          <w:u w:val="single"/>
        </w:rPr>
        <w:t>7</w:t>
      </w:r>
      <w:r>
        <w:rPr>
          <w:rFonts w:hint="eastAsia" w:ascii="宋体" w:hAnsi="宋体" w:cs="等线"/>
          <w:color w:val="auto"/>
          <w:sz w:val="24"/>
          <w:szCs w:val="20"/>
          <w:highlight w:val="none"/>
        </w:rPr>
        <w:t>天内给予批复。</w:t>
      </w:r>
    </w:p>
    <w:p w14:paraId="2C174C3A">
      <w:pPr>
        <w:spacing w:line="400" w:lineRule="exact"/>
        <w:ind w:firstLine="420" w:firstLineChars="200"/>
        <w:rPr>
          <w:rFonts w:ascii="宋体" w:hAnsi="宋体" w:cs="等线"/>
          <w:color w:val="auto"/>
          <w:highlight w:val="none"/>
        </w:rPr>
      </w:pPr>
      <w:r>
        <w:rPr>
          <w:rFonts w:hint="eastAsia" w:ascii="宋体" w:hAnsi="宋体" w:cs="等线"/>
          <w:color w:val="auto"/>
          <w:highlight w:val="none"/>
        </w:rPr>
        <w:t>9.2.2 承包人应签署《施工安全协议书》（第七节），并严格按照第七节《施工安全协议书》中内容执行。</w:t>
      </w:r>
    </w:p>
    <w:p w14:paraId="14D41DD9">
      <w:pPr>
        <w:spacing w:after="120" w:line="400" w:lineRule="exact"/>
        <w:ind w:left="420" w:leftChars="200"/>
        <w:rPr>
          <w:rFonts w:ascii="宋体" w:hAnsi="宋体" w:cs="等线"/>
          <w:color w:val="auto"/>
          <w:sz w:val="24"/>
          <w:szCs w:val="20"/>
          <w:highlight w:val="none"/>
        </w:rPr>
      </w:pPr>
      <w:r>
        <w:rPr>
          <w:rFonts w:hint="eastAsia" w:ascii="宋体" w:hAnsi="宋体" w:cs="等线"/>
          <w:color w:val="auto"/>
          <w:sz w:val="24"/>
          <w:szCs w:val="20"/>
          <w:highlight w:val="none"/>
        </w:rPr>
        <w:t>9.2.3施工场安全事件紧急预案的编制责任人：</w:t>
      </w:r>
      <w:r>
        <w:rPr>
          <w:rFonts w:hint="eastAsia" w:ascii="宋体" w:hAnsi="宋体" w:cs="等线"/>
          <w:color w:val="auto"/>
          <w:sz w:val="24"/>
          <w:szCs w:val="20"/>
          <w:highlight w:val="none"/>
          <w:u w:val="single"/>
        </w:rPr>
        <w:t>承包人</w:t>
      </w:r>
      <w:r>
        <w:rPr>
          <w:rFonts w:hint="eastAsia" w:ascii="宋体" w:hAnsi="宋体" w:cs="等线"/>
          <w:color w:val="auto"/>
          <w:sz w:val="24"/>
          <w:szCs w:val="20"/>
          <w:highlight w:val="none"/>
        </w:rPr>
        <w:t>。</w:t>
      </w:r>
    </w:p>
    <w:p w14:paraId="2889B9F7">
      <w:pPr>
        <w:keepNext/>
        <w:keepLines/>
        <w:spacing w:line="400" w:lineRule="exact"/>
        <w:outlineLvl w:val="2"/>
        <w:rPr>
          <w:rFonts w:ascii="宋体" w:hAnsi="宋体" w:cs="等线"/>
          <w:color w:val="auto"/>
          <w:sz w:val="24"/>
          <w:highlight w:val="none"/>
        </w:rPr>
      </w:pPr>
      <w:bookmarkStart w:id="1617" w:name="_Toc38732184"/>
      <w:bookmarkStart w:id="1618" w:name="_Toc159950803"/>
      <w:bookmarkStart w:id="1619" w:name="_Toc1257"/>
      <w:r>
        <w:rPr>
          <w:rFonts w:hint="eastAsia" w:ascii="宋体" w:hAnsi="宋体" w:cs="等线"/>
          <w:color w:val="auto"/>
          <w:sz w:val="24"/>
          <w:highlight w:val="none"/>
        </w:rPr>
        <w:t>9.3 治安保卫</w:t>
      </w:r>
      <w:bookmarkEnd w:id="1617"/>
      <w:bookmarkEnd w:id="1618"/>
      <w:bookmarkEnd w:id="1619"/>
    </w:p>
    <w:p w14:paraId="46B0120B">
      <w:pPr>
        <w:spacing w:after="120" w:line="400" w:lineRule="exact"/>
        <w:ind w:firstLine="480" w:firstLineChars="200"/>
        <w:rPr>
          <w:rFonts w:ascii="宋体" w:hAnsi="宋体" w:cs="等线"/>
          <w:color w:val="auto"/>
          <w:sz w:val="24"/>
          <w:szCs w:val="20"/>
          <w:highlight w:val="none"/>
        </w:rPr>
      </w:pPr>
      <w:r>
        <w:rPr>
          <w:rFonts w:hint="eastAsia" w:ascii="宋体" w:hAnsi="宋体" w:cs="等线"/>
          <w:color w:val="auto"/>
          <w:sz w:val="24"/>
          <w:szCs w:val="20"/>
          <w:highlight w:val="none"/>
        </w:rPr>
        <w:t>9.3.1承包人应当负责统一管理施工场地的治安保卫事项，履行合同工程的治安保卫职责。</w:t>
      </w:r>
    </w:p>
    <w:p w14:paraId="6BB11D9D">
      <w:pPr>
        <w:spacing w:after="120" w:line="400" w:lineRule="exact"/>
        <w:ind w:left="420" w:leftChars="200"/>
        <w:rPr>
          <w:rFonts w:ascii="宋体" w:hAnsi="宋体" w:cs="等线"/>
          <w:color w:val="auto"/>
          <w:sz w:val="24"/>
          <w:szCs w:val="20"/>
          <w:highlight w:val="none"/>
        </w:rPr>
      </w:pPr>
      <w:r>
        <w:rPr>
          <w:rFonts w:hint="eastAsia" w:ascii="宋体" w:hAnsi="宋体" w:cs="等线"/>
          <w:color w:val="auto"/>
          <w:sz w:val="24"/>
          <w:szCs w:val="20"/>
          <w:highlight w:val="none"/>
        </w:rPr>
        <w:t>9.3.3施工场地治安管理计划和突发治安事件紧急预案的编制责任人：</w:t>
      </w:r>
      <w:r>
        <w:rPr>
          <w:rFonts w:hint="eastAsia" w:ascii="宋体" w:hAnsi="宋体" w:cs="等线"/>
          <w:color w:val="auto"/>
          <w:sz w:val="24"/>
          <w:szCs w:val="20"/>
          <w:highlight w:val="none"/>
          <w:u w:val="single"/>
        </w:rPr>
        <w:t>承包人</w:t>
      </w:r>
      <w:r>
        <w:rPr>
          <w:rFonts w:hint="eastAsia" w:ascii="宋体" w:hAnsi="宋体" w:cs="等线"/>
          <w:color w:val="auto"/>
          <w:sz w:val="24"/>
          <w:szCs w:val="20"/>
          <w:highlight w:val="none"/>
        </w:rPr>
        <w:t>。</w:t>
      </w:r>
    </w:p>
    <w:p w14:paraId="04CA0647">
      <w:pPr>
        <w:keepNext/>
        <w:keepLines/>
        <w:spacing w:line="400" w:lineRule="exact"/>
        <w:outlineLvl w:val="2"/>
        <w:rPr>
          <w:rFonts w:ascii="宋体" w:hAnsi="宋体" w:cs="等线"/>
          <w:color w:val="auto"/>
          <w:sz w:val="24"/>
          <w:highlight w:val="none"/>
        </w:rPr>
      </w:pPr>
      <w:bookmarkStart w:id="1620" w:name="_Toc19368"/>
      <w:bookmarkStart w:id="1621" w:name="_Toc159950804"/>
      <w:bookmarkStart w:id="1622" w:name="_Toc38732185"/>
      <w:r>
        <w:rPr>
          <w:rFonts w:hint="eastAsia" w:ascii="宋体" w:hAnsi="宋体" w:cs="等线"/>
          <w:color w:val="auto"/>
          <w:sz w:val="24"/>
          <w:highlight w:val="none"/>
        </w:rPr>
        <w:t>9.4 环境保护</w:t>
      </w:r>
      <w:bookmarkEnd w:id="1620"/>
      <w:bookmarkEnd w:id="1621"/>
      <w:bookmarkEnd w:id="1622"/>
    </w:p>
    <w:p w14:paraId="555F772E">
      <w:pPr>
        <w:spacing w:after="120" w:line="400" w:lineRule="exact"/>
        <w:ind w:left="420" w:leftChars="200"/>
        <w:rPr>
          <w:rFonts w:ascii="宋体" w:hAnsi="宋体" w:cs="等线"/>
          <w:color w:val="auto"/>
          <w:sz w:val="24"/>
          <w:szCs w:val="20"/>
          <w:highlight w:val="none"/>
        </w:rPr>
      </w:pPr>
      <w:r>
        <w:rPr>
          <w:rFonts w:hint="eastAsia" w:ascii="宋体" w:hAnsi="宋体" w:cs="等线"/>
          <w:color w:val="auto"/>
          <w:sz w:val="24"/>
          <w:szCs w:val="20"/>
          <w:highlight w:val="none"/>
        </w:rPr>
        <w:t>9.4.2施工环保措施计划报送监理人审批的时间：</w:t>
      </w:r>
      <w:r>
        <w:rPr>
          <w:rFonts w:hint="eastAsia" w:ascii="宋体" w:hAnsi="宋体" w:cs="等线"/>
          <w:color w:val="auto"/>
          <w:sz w:val="24"/>
          <w:szCs w:val="20"/>
          <w:highlight w:val="none"/>
          <w:u w:val="single"/>
        </w:rPr>
        <w:t>在收到监理人按照通用合同条款第11.1.1项发出的开工通知后7日内</w:t>
      </w:r>
      <w:r>
        <w:rPr>
          <w:rFonts w:hint="eastAsia" w:ascii="宋体" w:hAnsi="宋体" w:cs="等线"/>
          <w:color w:val="auto"/>
          <w:sz w:val="24"/>
          <w:szCs w:val="20"/>
          <w:highlight w:val="none"/>
        </w:rPr>
        <w:t>。</w:t>
      </w:r>
    </w:p>
    <w:p w14:paraId="4A6C120D">
      <w:pPr>
        <w:spacing w:after="120" w:line="400" w:lineRule="exact"/>
        <w:ind w:left="420" w:leftChars="200"/>
        <w:rPr>
          <w:rFonts w:ascii="宋体" w:hAnsi="宋体" w:cs="等线"/>
          <w:color w:val="auto"/>
          <w:sz w:val="24"/>
          <w:szCs w:val="20"/>
          <w:highlight w:val="none"/>
        </w:rPr>
      </w:pPr>
      <w:r>
        <w:rPr>
          <w:rFonts w:hint="eastAsia" w:ascii="宋体" w:hAnsi="宋体" w:cs="等线"/>
          <w:color w:val="auto"/>
          <w:sz w:val="24"/>
          <w:szCs w:val="20"/>
          <w:highlight w:val="none"/>
        </w:rPr>
        <w:t>监理人收到承包人报送的施工环保措施计划后应当在</w:t>
      </w:r>
      <w:r>
        <w:rPr>
          <w:rFonts w:hint="eastAsia" w:ascii="宋体" w:hAnsi="宋体" w:cs="等线"/>
          <w:color w:val="auto"/>
          <w:sz w:val="24"/>
          <w:szCs w:val="20"/>
          <w:highlight w:val="none"/>
          <w:u w:val="single"/>
        </w:rPr>
        <w:t>7</w:t>
      </w:r>
      <w:r>
        <w:rPr>
          <w:rFonts w:hint="eastAsia" w:ascii="宋体" w:hAnsi="宋体" w:cs="等线"/>
          <w:color w:val="auto"/>
          <w:sz w:val="24"/>
          <w:szCs w:val="20"/>
          <w:highlight w:val="none"/>
        </w:rPr>
        <w:t>天内给予批复。</w:t>
      </w:r>
    </w:p>
    <w:p w14:paraId="2EFD5D9B">
      <w:pPr>
        <w:keepNext/>
        <w:keepLines/>
        <w:spacing w:line="400" w:lineRule="exact"/>
        <w:outlineLvl w:val="1"/>
        <w:rPr>
          <w:rFonts w:ascii="宋体" w:hAnsi="宋体" w:cs="等线"/>
          <w:color w:val="auto"/>
          <w:sz w:val="24"/>
          <w:highlight w:val="none"/>
        </w:rPr>
      </w:pPr>
      <w:bookmarkStart w:id="1623" w:name="_Toc16808"/>
      <w:bookmarkStart w:id="1624" w:name="_Toc38732186"/>
      <w:bookmarkStart w:id="1625" w:name="_Toc28746"/>
      <w:bookmarkStart w:id="1626" w:name="_Toc159950805"/>
      <w:r>
        <w:rPr>
          <w:rFonts w:hint="eastAsia" w:ascii="宋体" w:hAnsi="宋体" w:cs="等线"/>
          <w:color w:val="auto"/>
          <w:sz w:val="24"/>
          <w:highlight w:val="none"/>
        </w:rPr>
        <w:t>10. 进度计划</w:t>
      </w:r>
      <w:bookmarkEnd w:id="1623"/>
      <w:bookmarkEnd w:id="1624"/>
      <w:bookmarkEnd w:id="1625"/>
      <w:bookmarkEnd w:id="1626"/>
    </w:p>
    <w:p w14:paraId="48FCD7D4">
      <w:pPr>
        <w:keepNext/>
        <w:keepLines/>
        <w:spacing w:line="360" w:lineRule="auto"/>
        <w:outlineLvl w:val="2"/>
        <w:rPr>
          <w:rFonts w:ascii="宋体" w:hAnsi="宋体" w:cs="等线"/>
          <w:color w:val="auto"/>
          <w:sz w:val="24"/>
          <w:highlight w:val="none"/>
        </w:rPr>
      </w:pPr>
      <w:bookmarkStart w:id="1627" w:name="_Toc38732187"/>
      <w:bookmarkStart w:id="1628" w:name="_Toc159950806"/>
      <w:bookmarkStart w:id="1629" w:name="_Toc6178"/>
      <w:r>
        <w:rPr>
          <w:rFonts w:hint="eastAsia" w:ascii="宋体" w:hAnsi="宋体" w:cs="等线"/>
          <w:color w:val="auto"/>
          <w:sz w:val="24"/>
          <w:highlight w:val="none"/>
        </w:rPr>
        <w:t>10.1 合同进度计划</w:t>
      </w:r>
      <w:bookmarkEnd w:id="1627"/>
      <w:bookmarkEnd w:id="1628"/>
      <w:bookmarkEnd w:id="1629"/>
    </w:p>
    <w:p w14:paraId="26F0B5A9">
      <w:pPr>
        <w:spacing w:after="120" w:line="360" w:lineRule="auto"/>
        <w:ind w:firstLine="480" w:firstLineChars="200"/>
        <w:rPr>
          <w:rFonts w:ascii="宋体" w:hAnsi="宋体" w:cs="等线"/>
          <w:color w:val="auto"/>
          <w:sz w:val="24"/>
          <w:szCs w:val="20"/>
          <w:highlight w:val="none"/>
        </w:rPr>
      </w:pPr>
      <w:r>
        <w:rPr>
          <w:rFonts w:hint="eastAsia" w:ascii="宋体" w:hAnsi="宋体" w:cs="等线"/>
          <w:color w:val="auto"/>
          <w:sz w:val="24"/>
          <w:szCs w:val="20"/>
          <w:highlight w:val="none"/>
        </w:rPr>
        <w:t>（1）承包人应当在收到监理人按照通用合同条款第11.1.1项发出的开工通知后7天内，编制详细的施工进度计划和施工方案说明并报送监理人。承包人编制施工进度计划和施工方案说明的内容：</w:t>
      </w:r>
      <w:r>
        <w:rPr>
          <w:rFonts w:hint="eastAsia" w:ascii="宋体" w:hAnsi="宋体" w:cs="等线"/>
          <w:color w:val="auto"/>
          <w:sz w:val="24"/>
          <w:szCs w:val="20"/>
          <w:highlight w:val="none"/>
          <w:u w:val="single"/>
        </w:rPr>
        <w:t>承包人应按投标阶段承诺的总进度计划关键线路目标，以及施工顺序和方法要点，向监理人提交更准确更详细的施工进度计划和施工方案</w:t>
      </w:r>
      <w:r>
        <w:rPr>
          <w:rFonts w:hint="eastAsia" w:ascii="宋体" w:hAnsi="宋体" w:cs="等线"/>
          <w:color w:val="auto"/>
          <w:sz w:val="24"/>
          <w:szCs w:val="20"/>
          <w:highlight w:val="none"/>
        </w:rPr>
        <w:t>， 施工进度计划中还应载明要求发包人组织设计人进行阶段性工程设计交底的时间。</w:t>
      </w:r>
    </w:p>
    <w:p w14:paraId="7B75DF78">
      <w:pPr>
        <w:spacing w:after="120" w:line="360" w:lineRule="auto"/>
        <w:ind w:firstLine="480" w:firstLineChars="200"/>
        <w:rPr>
          <w:rFonts w:ascii="宋体" w:hAnsi="宋体" w:cs="等线"/>
          <w:color w:val="auto"/>
          <w:sz w:val="24"/>
          <w:szCs w:val="20"/>
          <w:highlight w:val="none"/>
        </w:rPr>
      </w:pPr>
      <w:r>
        <w:rPr>
          <w:rFonts w:hint="eastAsia" w:ascii="宋体" w:hAnsi="宋体" w:cs="等线"/>
          <w:color w:val="auto"/>
          <w:sz w:val="24"/>
          <w:szCs w:val="20"/>
          <w:highlight w:val="none"/>
        </w:rPr>
        <w:t>（2）监理人批复或对施工进度计划和施工方案说明提出修改意见的期限：自监理人收到承包人报送的相关进度计划和施工方案说明后14天内。</w:t>
      </w:r>
    </w:p>
    <w:p w14:paraId="740AFEF1">
      <w:pPr>
        <w:spacing w:after="120" w:line="360" w:lineRule="auto"/>
        <w:ind w:left="420" w:leftChars="200"/>
        <w:rPr>
          <w:rFonts w:ascii="宋体" w:hAnsi="宋体" w:cs="等线"/>
          <w:color w:val="auto"/>
          <w:sz w:val="24"/>
          <w:szCs w:val="20"/>
          <w:highlight w:val="none"/>
        </w:rPr>
      </w:pPr>
      <w:r>
        <w:rPr>
          <w:rFonts w:hint="eastAsia" w:ascii="宋体" w:hAnsi="宋体" w:cs="等线"/>
          <w:color w:val="auto"/>
          <w:sz w:val="24"/>
          <w:szCs w:val="20"/>
          <w:highlight w:val="none"/>
        </w:rPr>
        <w:t>（3）承包人编制分阶段或分项施工进度计划和施工方案说明的内容：</w:t>
      </w:r>
      <w:r>
        <w:rPr>
          <w:rFonts w:hint="eastAsia" w:ascii="宋体" w:hAnsi="宋体" w:cs="等线"/>
          <w:color w:val="auto"/>
          <w:sz w:val="24"/>
          <w:szCs w:val="20"/>
          <w:highlight w:val="none"/>
          <w:u w:val="single"/>
        </w:rPr>
        <w:t xml:space="preserve">       /     </w:t>
      </w:r>
      <w:r>
        <w:rPr>
          <w:rFonts w:hint="eastAsia" w:ascii="宋体" w:hAnsi="宋体" w:cs="等线"/>
          <w:color w:val="auto"/>
          <w:sz w:val="24"/>
          <w:szCs w:val="20"/>
          <w:highlight w:val="none"/>
        </w:rPr>
        <w:t>。</w:t>
      </w:r>
    </w:p>
    <w:p w14:paraId="64E36998">
      <w:pPr>
        <w:spacing w:after="120" w:line="360" w:lineRule="auto"/>
        <w:ind w:left="420" w:leftChars="200" w:firstLine="240" w:firstLineChars="100"/>
        <w:rPr>
          <w:rFonts w:ascii="宋体" w:hAnsi="宋体" w:cs="等线"/>
          <w:color w:val="auto"/>
          <w:sz w:val="24"/>
          <w:szCs w:val="20"/>
          <w:highlight w:val="none"/>
        </w:rPr>
      </w:pPr>
      <w:r>
        <w:rPr>
          <w:rFonts w:hint="eastAsia" w:ascii="宋体" w:hAnsi="宋体" w:cs="等线"/>
          <w:color w:val="auto"/>
          <w:sz w:val="24"/>
          <w:szCs w:val="20"/>
          <w:highlight w:val="none"/>
        </w:rPr>
        <w:t>承包人报送分阶段或分项施工进度计划和施工方案说明的期限：</w:t>
      </w:r>
      <w:r>
        <w:rPr>
          <w:rFonts w:hint="eastAsia" w:ascii="宋体" w:hAnsi="宋体" w:cs="等线"/>
          <w:color w:val="auto"/>
          <w:sz w:val="24"/>
          <w:szCs w:val="20"/>
          <w:highlight w:val="none"/>
          <w:u w:val="single"/>
        </w:rPr>
        <w:t xml:space="preserve">          /     </w:t>
      </w:r>
      <w:r>
        <w:rPr>
          <w:rFonts w:hint="eastAsia" w:ascii="宋体" w:hAnsi="宋体" w:cs="等线"/>
          <w:color w:val="auto"/>
          <w:sz w:val="24"/>
          <w:szCs w:val="20"/>
          <w:highlight w:val="none"/>
        </w:rPr>
        <w:t>。</w:t>
      </w:r>
    </w:p>
    <w:p w14:paraId="0356EAC7">
      <w:pPr>
        <w:spacing w:after="120" w:line="360" w:lineRule="auto"/>
        <w:ind w:firstLine="480" w:firstLineChars="200"/>
        <w:rPr>
          <w:rFonts w:ascii="宋体" w:hAnsi="宋体" w:cs="等线"/>
          <w:color w:val="auto"/>
          <w:sz w:val="24"/>
          <w:szCs w:val="20"/>
          <w:highlight w:val="none"/>
        </w:rPr>
      </w:pPr>
      <w:r>
        <w:rPr>
          <w:rFonts w:hint="eastAsia" w:ascii="宋体" w:hAnsi="宋体" w:cs="等线"/>
          <w:color w:val="auto"/>
          <w:sz w:val="24"/>
          <w:szCs w:val="20"/>
          <w:highlight w:val="none"/>
        </w:rPr>
        <w:t>（4）群体工程中单位工程分期进行施工的，承包人应按照发包人提供图纸及有关资料的时间，按单位工程编制进度计划和施工方案说明。群体工程中有关进度计划和施工方案说明的要求：</w:t>
      </w:r>
      <w:r>
        <w:rPr>
          <w:rFonts w:hint="eastAsia" w:ascii="宋体" w:hAnsi="宋体" w:cs="等线"/>
          <w:color w:val="auto"/>
          <w:sz w:val="24"/>
          <w:szCs w:val="20"/>
          <w:highlight w:val="none"/>
          <w:u w:val="single"/>
        </w:rPr>
        <w:t xml:space="preserve">                            /    </w:t>
      </w:r>
      <w:r>
        <w:rPr>
          <w:rFonts w:hint="eastAsia" w:ascii="宋体" w:hAnsi="宋体" w:cs="等线"/>
          <w:color w:val="auto"/>
          <w:sz w:val="24"/>
          <w:szCs w:val="20"/>
          <w:highlight w:val="none"/>
        </w:rPr>
        <w:t>。</w:t>
      </w:r>
    </w:p>
    <w:p w14:paraId="38797FC1">
      <w:pPr>
        <w:keepNext/>
        <w:keepLines/>
        <w:spacing w:line="360" w:lineRule="auto"/>
        <w:outlineLvl w:val="2"/>
        <w:rPr>
          <w:rFonts w:ascii="宋体" w:hAnsi="宋体" w:cs="等线"/>
          <w:color w:val="auto"/>
          <w:sz w:val="24"/>
          <w:highlight w:val="none"/>
        </w:rPr>
      </w:pPr>
      <w:bookmarkStart w:id="1630" w:name="_Toc159950807"/>
      <w:bookmarkStart w:id="1631" w:name="_Toc38732188"/>
      <w:bookmarkStart w:id="1632" w:name="_Toc26034"/>
      <w:r>
        <w:rPr>
          <w:rFonts w:hint="eastAsia" w:ascii="宋体" w:hAnsi="宋体" w:cs="等线"/>
          <w:color w:val="auto"/>
          <w:sz w:val="24"/>
          <w:highlight w:val="none"/>
        </w:rPr>
        <w:t>10.2 合同进度计划的修订</w:t>
      </w:r>
      <w:bookmarkEnd w:id="1630"/>
      <w:bookmarkEnd w:id="1631"/>
      <w:bookmarkEnd w:id="1632"/>
    </w:p>
    <w:p w14:paraId="2826D014">
      <w:pPr>
        <w:spacing w:after="120" w:line="360" w:lineRule="auto"/>
        <w:ind w:left="420" w:leftChars="200"/>
        <w:rPr>
          <w:rFonts w:ascii="宋体" w:hAnsi="宋体" w:cs="等线"/>
          <w:color w:val="auto"/>
          <w:sz w:val="24"/>
          <w:szCs w:val="20"/>
          <w:highlight w:val="none"/>
        </w:rPr>
      </w:pPr>
      <w:r>
        <w:rPr>
          <w:rFonts w:hint="eastAsia" w:ascii="宋体" w:hAnsi="宋体" w:cs="等线"/>
          <w:color w:val="auto"/>
          <w:sz w:val="24"/>
          <w:szCs w:val="20"/>
          <w:highlight w:val="none"/>
        </w:rPr>
        <w:t>（1）承包人报送修订合同进度计划申请报告和相关资料的期限：</w:t>
      </w:r>
      <w:r>
        <w:rPr>
          <w:rFonts w:hint="eastAsia" w:ascii="宋体" w:hAnsi="宋体" w:cs="等线"/>
          <w:color w:val="auto"/>
          <w:sz w:val="24"/>
          <w:szCs w:val="20"/>
          <w:highlight w:val="none"/>
          <w:u w:val="single"/>
        </w:rPr>
        <w:t xml:space="preserve"> 合同签订后7日内</w:t>
      </w:r>
      <w:r>
        <w:rPr>
          <w:rFonts w:hint="eastAsia" w:ascii="宋体" w:hAnsi="宋体" w:cs="等线"/>
          <w:color w:val="auto"/>
          <w:sz w:val="24"/>
          <w:szCs w:val="20"/>
          <w:highlight w:val="none"/>
        </w:rPr>
        <w:t>。</w:t>
      </w:r>
    </w:p>
    <w:p w14:paraId="7409553F">
      <w:pPr>
        <w:spacing w:after="120" w:line="360" w:lineRule="auto"/>
        <w:ind w:left="420" w:leftChars="200"/>
        <w:rPr>
          <w:rFonts w:ascii="宋体" w:hAnsi="宋体" w:cs="等线"/>
          <w:color w:val="auto"/>
          <w:sz w:val="24"/>
          <w:szCs w:val="20"/>
          <w:highlight w:val="none"/>
        </w:rPr>
      </w:pPr>
      <w:r>
        <w:rPr>
          <w:rFonts w:hint="eastAsia" w:ascii="宋体" w:hAnsi="宋体" w:cs="等线"/>
          <w:color w:val="auto"/>
          <w:sz w:val="24"/>
          <w:szCs w:val="20"/>
          <w:highlight w:val="none"/>
        </w:rPr>
        <w:t>（2）监理人批复修订合同进度计划申请报告的期限：</w:t>
      </w:r>
      <w:r>
        <w:rPr>
          <w:rFonts w:hint="eastAsia" w:ascii="宋体" w:hAnsi="宋体" w:cs="等线"/>
          <w:color w:val="auto"/>
          <w:sz w:val="24"/>
          <w:szCs w:val="20"/>
          <w:highlight w:val="none"/>
          <w:u w:val="single"/>
        </w:rPr>
        <w:t xml:space="preserve"> 收到承包人报送的修订合同进度计划申请报告和相关资料后7日内</w:t>
      </w:r>
      <w:r>
        <w:rPr>
          <w:rFonts w:hint="eastAsia" w:ascii="宋体" w:hAnsi="宋体" w:cs="等线"/>
          <w:color w:val="auto"/>
          <w:sz w:val="24"/>
          <w:szCs w:val="20"/>
          <w:highlight w:val="none"/>
        </w:rPr>
        <w:t>。</w:t>
      </w:r>
    </w:p>
    <w:p w14:paraId="251844C1">
      <w:pPr>
        <w:spacing w:after="120" w:line="360" w:lineRule="auto"/>
        <w:ind w:left="420" w:leftChars="200"/>
        <w:rPr>
          <w:rFonts w:ascii="宋体" w:hAnsi="宋体" w:cs="等线"/>
          <w:color w:val="auto"/>
          <w:sz w:val="24"/>
          <w:szCs w:val="20"/>
          <w:highlight w:val="none"/>
          <w:u w:val="single"/>
        </w:rPr>
      </w:pPr>
      <w:r>
        <w:rPr>
          <w:rFonts w:hint="eastAsia" w:ascii="宋体" w:hAnsi="宋体" w:cs="等线"/>
          <w:color w:val="auto"/>
          <w:sz w:val="24"/>
          <w:szCs w:val="20"/>
          <w:highlight w:val="none"/>
        </w:rPr>
        <w:t>（3）监理人批复修订合同进度计划的期限：</w:t>
      </w:r>
      <w:r>
        <w:rPr>
          <w:rFonts w:hint="eastAsia" w:ascii="宋体" w:hAnsi="宋体" w:cs="等线"/>
          <w:color w:val="auto"/>
          <w:sz w:val="24"/>
          <w:szCs w:val="20"/>
          <w:highlight w:val="none"/>
          <w:u w:val="single"/>
        </w:rPr>
        <w:t>收到承包人报送的修订合同进度计划和相关资料后7日内</w:t>
      </w:r>
      <w:r>
        <w:rPr>
          <w:rFonts w:hint="eastAsia" w:ascii="宋体" w:hAnsi="宋体" w:cs="等线"/>
          <w:color w:val="auto"/>
          <w:sz w:val="24"/>
          <w:szCs w:val="20"/>
          <w:highlight w:val="none"/>
        </w:rPr>
        <w:t>。</w:t>
      </w:r>
    </w:p>
    <w:p w14:paraId="2F126520">
      <w:pPr>
        <w:keepNext/>
        <w:keepLines/>
        <w:spacing w:line="400" w:lineRule="exact"/>
        <w:outlineLvl w:val="1"/>
        <w:rPr>
          <w:rFonts w:ascii="宋体" w:hAnsi="宋体" w:cs="等线"/>
          <w:color w:val="auto"/>
          <w:sz w:val="24"/>
          <w:highlight w:val="none"/>
        </w:rPr>
      </w:pPr>
      <w:bookmarkStart w:id="1633" w:name="_Toc24300"/>
      <w:bookmarkStart w:id="1634" w:name="_Toc38732189"/>
      <w:bookmarkStart w:id="1635" w:name="_Toc159950808"/>
      <w:bookmarkStart w:id="1636" w:name="_Toc12382"/>
      <w:r>
        <w:rPr>
          <w:rFonts w:hint="eastAsia" w:ascii="宋体" w:hAnsi="宋体" w:cs="等线"/>
          <w:color w:val="auto"/>
          <w:sz w:val="24"/>
          <w:highlight w:val="none"/>
        </w:rPr>
        <w:t>11. 开工和竣工</w:t>
      </w:r>
      <w:bookmarkEnd w:id="1633"/>
      <w:bookmarkEnd w:id="1634"/>
      <w:bookmarkEnd w:id="1635"/>
      <w:bookmarkEnd w:id="1636"/>
    </w:p>
    <w:p w14:paraId="6FBE3B43">
      <w:pPr>
        <w:keepNext/>
        <w:keepLines/>
        <w:spacing w:line="360" w:lineRule="auto"/>
        <w:outlineLvl w:val="2"/>
        <w:rPr>
          <w:rFonts w:ascii="宋体" w:hAnsi="宋体" w:cs="等线"/>
          <w:color w:val="auto"/>
          <w:sz w:val="24"/>
          <w:highlight w:val="none"/>
        </w:rPr>
      </w:pPr>
      <w:bookmarkStart w:id="1637" w:name="_Toc38732190"/>
      <w:bookmarkStart w:id="1638" w:name="_Toc159950809"/>
      <w:bookmarkStart w:id="1639" w:name="_Toc26471"/>
      <w:r>
        <w:rPr>
          <w:rFonts w:hint="eastAsia" w:ascii="宋体" w:hAnsi="宋体" w:cs="等线"/>
          <w:color w:val="auto"/>
          <w:sz w:val="24"/>
          <w:highlight w:val="none"/>
        </w:rPr>
        <w:t>11.3 发包人的工期延误</w:t>
      </w:r>
      <w:bookmarkEnd w:id="1637"/>
      <w:bookmarkEnd w:id="1638"/>
      <w:bookmarkEnd w:id="1639"/>
    </w:p>
    <w:p w14:paraId="6FF473D8">
      <w:pPr>
        <w:spacing w:after="120" w:line="360" w:lineRule="auto"/>
        <w:ind w:firstLine="480" w:firstLineChars="200"/>
        <w:rPr>
          <w:rFonts w:ascii="宋体" w:hAnsi="宋体" w:cs="等线"/>
          <w:color w:val="auto"/>
          <w:sz w:val="24"/>
          <w:szCs w:val="20"/>
          <w:highlight w:val="none"/>
        </w:rPr>
      </w:pPr>
      <w:r>
        <w:rPr>
          <w:rFonts w:hint="eastAsia" w:ascii="宋体" w:hAnsi="宋体" w:cs="等线"/>
          <w:color w:val="auto"/>
          <w:sz w:val="24"/>
          <w:szCs w:val="20"/>
          <w:highlight w:val="none"/>
        </w:rPr>
        <w:t>(7) 因发包人原因不能按照监理人发出的开工通知中载明的开工日期开工。除发包人原因延期开工外，发包人造成工期延误的其他原因还包括：</w:t>
      </w:r>
      <w:r>
        <w:rPr>
          <w:rFonts w:hint="eastAsia" w:ascii="宋体" w:hAnsi="宋体" w:cs="等线"/>
          <w:color w:val="auto"/>
          <w:sz w:val="24"/>
          <w:szCs w:val="20"/>
          <w:highlight w:val="none"/>
          <w:u w:val="single"/>
        </w:rPr>
        <w:t>发包人和承包人双方共同认为必须延长工期的(以书面文件为准)</w:t>
      </w:r>
      <w:r>
        <w:rPr>
          <w:rFonts w:hint="eastAsia" w:ascii="宋体" w:hAnsi="宋体" w:cs="等线"/>
          <w:color w:val="auto"/>
          <w:sz w:val="24"/>
          <w:szCs w:val="20"/>
          <w:highlight w:val="none"/>
        </w:rPr>
        <w:t>等延误承包人关键线路工作的情况。</w:t>
      </w:r>
    </w:p>
    <w:p w14:paraId="100D2513">
      <w:pPr>
        <w:keepNext/>
        <w:keepLines/>
        <w:spacing w:line="360" w:lineRule="auto"/>
        <w:outlineLvl w:val="2"/>
        <w:rPr>
          <w:rFonts w:ascii="宋体" w:hAnsi="宋体" w:cs="等线"/>
          <w:color w:val="auto"/>
          <w:sz w:val="24"/>
          <w:highlight w:val="none"/>
        </w:rPr>
      </w:pPr>
      <w:bookmarkStart w:id="1640" w:name="_Toc22507"/>
      <w:bookmarkStart w:id="1641" w:name="_Toc38732191"/>
      <w:bookmarkStart w:id="1642" w:name="_Toc159950810"/>
      <w:r>
        <w:rPr>
          <w:rFonts w:hint="eastAsia" w:ascii="宋体" w:hAnsi="宋体" w:cs="等线"/>
          <w:color w:val="auto"/>
          <w:sz w:val="24"/>
          <w:highlight w:val="none"/>
        </w:rPr>
        <w:t>11.4 异常恶劣的气候条件</w:t>
      </w:r>
      <w:bookmarkEnd w:id="1640"/>
      <w:bookmarkEnd w:id="1641"/>
      <w:bookmarkEnd w:id="1642"/>
    </w:p>
    <w:p w14:paraId="63540A44">
      <w:pPr>
        <w:spacing w:after="120" w:line="360" w:lineRule="auto"/>
        <w:ind w:left="420" w:leftChars="200"/>
        <w:rPr>
          <w:rFonts w:ascii="宋体" w:hAnsi="宋体" w:cs="等线"/>
          <w:color w:val="auto"/>
          <w:sz w:val="24"/>
          <w:szCs w:val="20"/>
          <w:highlight w:val="none"/>
          <w:u w:val="single"/>
        </w:rPr>
      </w:pPr>
      <w:r>
        <w:rPr>
          <w:rFonts w:hint="eastAsia" w:ascii="宋体" w:hAnsi="宋体" w:cs="等线"/>
          <w:color w:val="auto"/>
          <w:sz w:val="24"/>
          <w:szCs w:val="20"/>
          <w:highlight w:val="none"/>
        </w:rPr>
        <w:t>异常恶劣的气候条件的范围和标准：</w:t>
      </w:r>
      <w:r>
        <w:rPr>
          <w:rFonts w:hint="eastAsia" w:ascii="宋体" w:hAnsi="宋体" w:cs="等线"/>
          <w:color w:val="auto"/>
          <w:sz w:val="24"/>
          <w:szCs w:val="20"/>
          <w:highlight w:val="none"/>
          <w:u w:val="single"/>
        </w:rPr>
        <w:t>暴雨橙色预警信号、大风黄色预警信号、沙尘暴橙色预警信号。由于恶劣的气候条件导致工期延误的，承包人有权要求发包人延长工期，但不增加费用 。</w:t>
      </w:r>
    </w:p>
    <w:p w14:paraId="2A1AADAB">
      <w:pPr>
        <w:keepNext/>
        <w:keepLines/>
        <w:spacing w:line="360" w:lineRule="auto"/>
        <w:outlineLvl w:val="2"/>
        <w:rPr>
          <w:rFonts w:ascii="宋体" w:hAnsi="宋体" w:cs="等线"/>
          <w:color w:val="auto"/>
          <w:sz w:val="24"/>
          <w:highlight w:val="none"/>
        </w:rPr>
      </w:pPr>
      <w:bookmarkStart w:id="1643" w:name="_Toc38732192"/>
      <w:bookmarkStart w:id="1644" w:name="_Toc19764"/>
      <w:bookmarkStart w:id="1645" w:name="_Toc159950811"/>
      <w:r>
        <w:rPr>
          <w:rFonts w:hint="eastAsia" w:ascii="宋体" w:hAnsi="宋体" w:cs="等线"/>
          <w:color w:val="auto"/>
          <w:sz w:val="24"/>
          <w:highlight w:val="none"/>
        </w:rPr>
        <w:t>11.5 承包人的工期延误</w:t>
      </w:r>
      <w:bookmarkEnd w:id="1643"/>
      <w:bookmarkEnd w:id="1644"/>
      <w:bookmarkEnd w:id="1645"/>
    </w:p>
    <w:p w14:paraId="5C85403A">
      <w:pPr>
        <w:spacing w:after="120" w:line="360" w:lineRule="auto"/>
        <w:ind w:firstLine="480" w:firstLineChars="200"/>
        <w:rPr>
          <w:rFonts w:ascii="宋体" w:hAnsi="宋体" w:cs="等线"/>
          <w:color w:val="auto"/>
          <w:sz w:val="24"/>
          <w:szCs w:val="20"/>
          <w:highlight w:val="none"/>
        </w:rPr>
      </w:pPr>
      <w:r>
        <w:rPr>
          <w:rFonts w:hint="eastAsia" w:ascii="宋体" w:hAnsi="宋体" w:cs="等线"/>
          <w:color w:val="auto"/>
          <w:sz w:val="24"/>
          <w:szCs w:val="20"/>
          <w:highlight w:val="none"/>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7EFDD95E">
      <w:pPr>
        <w:spacing w:after="120" w:line="360" w:lineRule="auto"/>
        <w:ind w:left="420" w:leftChars="200"/>
        <w:rPr>
          <w:rFonts w:ascii="宋体" w:hAnsi="宋体" w:cs="等线"/>
          <w:color w:val="auto"/>
          <w:sz w:val="24"/>
          <w:szCs w:val="20"/>
          <w:highlight w:val="none"/>
        </w:rPr>
      </w:pPr>
      <w:r>
        <w:rPr>
          <w:rFonts w:hint="eastAsia" w:ascii="宋体" w:hAnsi="宋体" w:cs="等线"/>
          <w:color w:val="auto"/>
          <w:sz w:val="24"/>
          <w:szCs w:val="20"/>
          <w:highlight w:val="none"/>
        </w:rPr>
        <w:t>逾期竣工违约金的计算标准：</w:t>
      </w:r>
      <w:r>
        <w:rPr>
          <w:rFonts w:hint="eastAsia" w:ascii="宋体" w:hAnsi="宋体" w:cs="等线"/>
          <w:color w:val="auto"/>
          <w:sz w:val="24"/>
          <w:szCs w:val="20"/>
          <w:highlight w:val="none"/>
          <w:u w:val="single"/>
        </w:rPr>
        <w:t>合同额的</w:t>
      </w:r>
      <w:r>
        <w:rPr>
          <w:rFonts w:ascii="宋体" w:hAnsi="宋体" w:cs="等线"/>
          <w:color w:val="auto"/>
          <w:sz w:val="24"/>
          <w:szCs w:val="20"/>
          <w:highlight w:val="none"/>
          <w:u w:val="single"/>
        </w:rPr>
        <w:t>千分</w:t>
      </w:r>
      <w:r>
        <w:rPr>
          <w:rFonts w:hint="eastAsia" w:ascii="宋体" w:hAnsi="宋体" w:cs="等线"/>
          <w:color w:val="auto"/>
          <w:sz w:val="24"/>
          <w:szCs w:val="20"/>
          <w:highlight w:val="none"/>
          <w:u w:val="single"/>
        </w:rPr>
        <w:t>之二/天</w:t>
      </w:r>
      <w:r>
        <w:rPr>
          <w:rFonts w:hint="eastAsia" w:ascii="宋体" w:hAnsi="宋体" w:cs="等线"/>
          <w:color w:val="auto"/>
          <w:sz w:val="24"/>
          <w:szCs w:val="20"/>
          <w:highlight w:val="none"/>
        </w:rPr>
        <w:t>。</w:t>
      </w:r>
    </w:p>
    <w:p w14:paraId="6B88E55B">
      <w:pPr>
        <w:spacing w:after="120" w:line="360" w:lineRule="auto"/>
        <w:ind w:left="420" w:leftChars="200"/>
        <w:rPr>
          <w:rFonts w:ascii="宋体" w:hAnsi="宋体" w:cs="等线"/>
          <w:color w:val="auto"/>
          <w:sz w:val="24"/>
          <w:szCs w:val="20"/>
          <w:highlight w:val="none"/>
        </w:rPr>
      </w:pPr>
      <w:r>
        <w:rPr>
          <w:rFonts w:hint="eastAsia" w:ascii="宋体" w:hAnsi="宋体" w:cs="等线"/>
          <w:color w:val="auto"/>
          <w:sz w:val="24"/>
          <w:szCs w:val="20"/>
          <w:highlight w:val="none"/>
        </w:rPr>
        <w:t>逾期竣工违约金的计算方法：</w:t>
      </w:r>
      <w:r>
        <w:rPr>
          <w:rFonts w:hint="eastAsia" w:ascii="宋体" w:hAnsi="宋体" w:cs="等线"/>
          <w:color w:val="auto"/>
          <w:sz w:val="24"/>
          <w:szCs w:val="20"/>
          <w:highlight w:val="none"/>
          <w:u w:val="single"/>
        </w:rPr>
        <w:t>每延误一天，承包人应当向发包人赔偿合同额的千分之二元/天整，不足一天按一天计</w:t>
      </w:r>
      <w:r>
        <w:rPr>
          <w:rFonts w:hint="eastAsia" w:ascii="宋体" w:hAnsi="宋体" w:cs="等线"/>
          <w:color w:val="auto"/>
          <w:sz w:val="24"/>
          <w:szCs w:val="20"/>
          <w:highlight w:val="none"/>
        </w:rPr>
        <w:t>。</w:t>
      </w:r>
    </w:p>
    <w:p w14:paraId="3E3E913B">
      <w:pPr>
        <w:spacing w:after="120" w:line="360" w:lineRule="auto"/>
        <w:ind w:left="420" w:leftChars="200"/>
        <w:rPr>
          <w:rFonts w:ascii="宋体" w:hAnsi="宋体" w:cs="等线"/>
          <w:color w:val="auto"/>
          <w:sz w:val="24"/>
          <w:szCs w:val="20"/>
          <w:highlight w:val="none"/>
        </w:rPr>
      </w:pPr>
      <w:r>
        <w:rPr>
          <w:rFonts w:hint="eastAsia" w:ascii="宋体" w:hAnsi="宋体" w:cs="等线"/>
          <w:color w:val="auto"/>
          <w:sz w:val="24"/>
          <w:szCs w:val="20"/>
          <w:highlight w:val="none"/>
        </w:rPr>
        <w:t>逾期竣工违约金最高限额：</w:t>
      </w:r>
      <w:r>
        <w:rPr>
          <w:rFonts w:hint="eastAsia" w:ascii="宋体" w:hAnsi="宋体" w:cs="等线"/>
          <w:color w:val="auto"/>
          <w:sz w:val="24"/>
          <w:szCs w:val="20"/>
          <w:highlight w:val="none"/>
          <w:u w:val="single"/>
        </w:rPr>
        <w:t>总额不超过合同结算价的百分之三</w:t>
      </w:r>
      <w:r>
        <w:rPr>
          <w:rFonts w:hint="eastAsia" w:ascii="宋体" w:hAnsi="宋体" w:cs="等线"/>
          <w:color w:val="auto"/>
          <w:sz w:val="24"/>
          <w:szCs w:val="20"/>
          <w:highlight w:val="none"/>
        </w:rPr>
        <w:t>。</w:t>
      </w:r>
    </w:p>
    <w:p w14:paraId="01565DFA">
      <w:pPr>
        <w:keepNext/>
        <w:keepLines/>
        <w:spacing w:line="360" w:lineRule="auto"/>
        <w:outlineLvl w:val="2"/>
        <w:rPr>
          <w:rFonts w:ascii="宋体" w:hAnsi="宋体" w:cs="等线"/>
          <w:color w:val="auto"/>
          <w:sz w:val="24"/>
          <w:highlight w:val="none"/>
        </w:rPr>
      </w:pPr>
      <w:bookmarkStart w:id="1646" w:name="_Toc159950812"/>
      <w:bookmarkStart w:id="1647" w:name="_Toc16842"/>
      <w:bookmarkStart w:id="1648" w:name="_Toc38732193"/>
      <w:r>
        <w:rPr>
          <w:rFonts w:hint="eastAsia" w:ascii="宋体" w:hAnsi="宋体" w:cs="等线"/>
          <w:color w:val="auto"/>
          <w:sz w:val="24"/>
          <w:highlight w:val="none"/>
        </w:rPr>
        <w:t>11.6 工期提前</w:t>
      </w:r>
      <w:bookmarkEnd w:id="1646"/>
      <w:bookmarkEnd w:id="1647"/>
      <w:bookmarkEnd w:id="1648"/>
    </w:p>
    <w:p w14:paraId="695FF59E">
      <w:pPr>
        <w:spacing w:after="120" w:line="360" w:lineRule="auto"/>
        <w:ind w:left="420" w:leftChars="200"/>
        <w:rPr>
          <w:rFonts w:ascii="宋体" w:hAnsi="宋体" w:cs="等线"/>
          <w:color w:val="auto"/>
          <w:sz w:val="24"/>
          <w:szCs w:val="20"/>
          <w:highlight w:val="none"/>
        </w:rPr>
      </w:pPr>
      <w:r>
        <w:rPr>
          <w:rFonts w:hint="eastAsia" w:ascii="宋体" w:hAnsi="宋体" w:cs="等线"/>
          <w:color w:val="auto"/>
          <w:sz w:val="24"/>
          <w:szCs w:val="20"/>
          <w:highlight w:val="none"/>
        </w:rPr>
        <w:t>提前竣工的奖励办法：</w:t>
      </w:r>
      <w:r>
        <w:rPr>
          <w:rFonts w:hint="eastAsia" w:ascii="宋体" w:hAnsi="宋体" w:cs="等线"/>
          <w:color w:val="auto"/>
          <w:sz w:val="24"/>
          <w:szCs w:val="20"/>
          <w:highlight w:val="none"/>
          <w:u w:val="single"/>
        </w:rPr>
        <w:t xml:space="preserve">                    /                        </w:t>
      </w:r>
      <w:r>
        <w:rPr>
          <w:rFonts w:hint="eastAsia" w:ascii="宋体" w:hAnsi="宋体" w:cs="等线"/>
          <w:color w:val="auto"/>
          <w:sz w:val="24"/>
          <w:szCs w:val="20"/>
          <w:highlight w:val="none"/>
        </w:rPr>
        <w:t>。</w:t>
      </w:r>
    </w:p>
    <w:p w14:paraId="215E9847">
      <w:pPr>
        <w:keepNext/>
        <w:keepLines/>
        <w:spacing w:line="400" w:lineRule="exact"/>
        <w:outlineLvl w:val="1"/>
        <w:rPr>
          <w:rFonts w:ascii="宋体" w:hAnsi="宋体" w:cs="等线"/>
          <w:color w:val="auto"/>
          <w:sz w:val="24"/>
          <w:highlight w:val="none"/>
        </w:rPr>
      </w:pPr>
      <w:bookmarkStart w:id="1649" w:name="_Toc159950813"/>
      <w:bookmarkStart w:id="1650" w:name="_Toc38732194"/>
      <w:bookmarkStart w:id="1651" w:name="_Toc11240"/>
      <w:bookmarkStart w:id="1652" w:name="_Toc7475"/>
      <w:r>
        <w:rPr>
          <w:rFonts w:hint="eastAsia" w:ascii="宋体" w:hAnsi="宋体" w:cs="等线"/>
          <w:color w:val="auto"/>
          <w:sz w:val="24"/>
          <w:highlight w:val="none"/>
        </w:rPr>
        <w:t>12. 暂停施工</w:t>
      </w:r>
      <w:bookmarkEnd w:id="1649"/>
      <w:bookmarkEnd w:id="1650"/>
      <w:bookmarkEnd w:id="1651"/>
      <w:bookmarkEnd w:id="1652"/>
    </w:p>
    <w:p w14:paraId="45048D9F">
      <w:pPr>
        <w:keepNext/>
        <w:keepLines/>
        <w:spacing w:line="360" w:lineRule="auto"/>
        <w:outlineLvl w:val="2"/>
        <w:rPr>
          <w:rFonts w:ascii="宋体" w:hAnsi="宋体" w:cs="等线"/>
          <w:color w:val="auto"/>
          <w:sz w:val="24"/>
          <w:highlight w:val="none"/>
        </w:rPr>
      </w:pPr>
      <w:bookmarkStart w:id="1653" w:name="_Toc1626"/>
      <w:bookmarkStart w:id="1654" w:name="_Toc38732195"/>
      <w:bookmarkStart w:id="1655" w:name="_Toc159950814"/>
      <w:r>
        <w:rPr>
          <w:rFonts w:hint="eastAsia" w:ascii="宋体" w:hAnsi="宋体" w:cs="等线"/>
          <w:color w:val="auto"/>
          <w:sz w:val="24"/>
          <w:highlight w:val="none"/>
        </w:rPr>
        <w:t>12.1 承包人暂停施工的责任</w:t>
      </w:r>
      <w:bookmarkEnd w:id="1653"/>
      <w:bookmarkEnd w:id="1654"/>
      <w:bookmarkEnd w:id="1655"/>
    </w:p>
    <w:p w14:paraId="5AB9DE95">
      <w:pPr>
        <w:spacing w:after="120" w:line="360" w:lineRule="auto"/>
        <w:ind w:left="420" w:leftChars="200"/>
        <w:rPr>
          <w:rFonts w:ascii="宋体" w:hAnsi="宋体" w:cs="等线"/>
          <w:color w:val="auto"/>
          <w:sz w:val="24"/>
          <w:szCs w:val="20"/>
          <w:highlight w:val="none"/>
        </w:rPr>
      </w:pPr>
      <w:r>
        <w:rPr>
          <w:rFonts w:hint="eastAsia" w:ascii="宋体" w:hAnsi="宋体" w:cs="等线"/>
          <w:color w:val="auto"/>
          <w:sz w:val="24"/>
          <w:szCs w:val="20"/>
          <w:highlight w:val="none"/>
        </w:rPr>
        <w:t xml:space="preserve">（5）承包人承担暂停施工责任的其他情形： </w:t>
      </w:r>
      <w:r>
        <w:rPr>
          <w:rFonts w:hint="eastAsia" w:ascii="宋体" w:hAnsi="宋体" w:cs="等线"/>
          <w:color w:val="auto"/>
          <w:sz w:val="24"/>
          <w:szCs w:val="20"/>
          <w:highlight w:val="none"/>
          <w:u w:val="single"/>
        </w:rPr>
        <w:t xml:space="preserve">       /                   </w:t>
      </w:r>
      <w:r>
        <w:rPr>
          <w:rFonts w:hint="eastAsia" w:ascii="宋体" w:hAnsi="宋体" w:cs="等线"/>
          <w:color w:val="auto"/>
          <w:sz w:val="24"/>
          <w:szCs w:val="20"/>
          <w:highlight w:val="none"/>
        </w:rPr>
        <w:t>。</w:t>
      </w:r>
    </w:p>
    <w:p w14:paraId="279CE175">
      <w:pPr>
        <w:keepNext/>
        <w:keepLines/>
        <w:spacing w:line="360" w:lineRule="auto"/>
        <w:outlineLvl w:val="2"/>
        <w:rPr>
          <w:rFonts w:ascii="宋体" w:hAnsi="宋体" w:cs="等线"/>
          <w:color w:val="auto"/>
          <w:sz w:val="24"/>
          <w:highlight w:val="none"/>
        </w:rPr>
      </w:pPr>
      <w:bookmarkStart w:id="1656" w:name="_Toc38732196"/>
      <w:bookmarkStart w:id="1657" w:name="_Toc6993"/>
      <w:bookmarkStart w:id="1658" w:name="_Toc159950815"/>
      <w:r>
        <w:rPr>
          <w:rFonts w:hint="eastAsia" w:ascii="宋体" w:hAnsi="宋体" w:cs="等线"/>
          <w:color w:val="auto"/>
          <w:sz w:val="24"/>
          <w:highlight w:val="none"/>
        </w:rPr>
        <w:t>12.4 暂停施工后的复工</w:t>
      </w:r>
      <w:bookmarkEnd w:id="1656"/>
      <w:bookmarkEnd w:id="1657"/>
      <w:bookmarkEnd w:id="1658"/>
    </w:p>
    <w:p w14:paraId="48820B7D">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12.4.3 根据通用合同条款第12.4.1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3FFF86EA">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12.4.4 暂停施工持续56天以上，按合同约定由承包人提供的材料和工程设备，由于暂停施工原因导致承包人在暂停施工前已经订购但被暂停运至施工现场的，发包人应按照承包人订购合同的约定支付相应的订购款项。</w:t>
      </w:r>
    </w:p>
    <w:p w14:paraId="48E783F1">
      <w:pPr>
        <w:keepNext/>
        <w:keepLines/>
        <w:spacing w:line="400" w:lineRule="exact"/>
        <w:outlineLvl w:val="1"/>
        <w:rPr>
          <w:rFonts w:ascii="宋体" w:hAnsi="宋体" w:cs="等线"/>
          <w:color w:val="auto"/>
          <w:sz w:val="24"/>
          <w:highlight w:val="none"/>
        </w:rPr>
      </w:pPr>
      <w:bookmarkStart w:id="1659" w:name="_Toc25464"/>
      <w:bookmarkStart w:id="1660" w:name="_Toc17610"/>
      <w:bookmarkStart w:id="1661" w:name="_Toc159950816"/>
      <w:bookmarkStart w:id="1662" w:name="_Toc38732197"/>
      <w:r>
        <w:rPr>
          <w:rFonts w:hint="eastAsia" w:ascii="宋体" w:hAnsi="宋体" w:cs="等线"/>
          <w:color w:val="auto"/>
          <w:sz w:val="24"/>
          <w:highlight w:val="none"/>
        </w:rPr>
        <w:t>13. 工程质量</w:t>
      </w:r>
      <w:bookmarkEnd w:id="1659"/>
      <w:bookmarkEnd w:id="1660"/>
      <w:bookmarkEnd w:id="1661"/>
      <w:bookmarkEnd w:id="1662"/>
    </w:p>
    <w:p w14:paraId="74BD9295">
      <w:pPr>
        <w:keepNext/>
        <w:keepLines/>
        <w:spacing w:line="360" w:lineRule="auto"/>
        <w:outlineLvl w:val="2"/>
        <w:rPr>
          <w:rFonts w:ascii="宋体" w:hAnsi="宋体" w:cs="等线"/>
          <w:color w:val="auto"/>
          <w:sz w:val="24"/>
          <w:highlight w:val="none"/>
        </w:rPr>
      </w:pPr>
      <w:bookmarkStart w:id="1663" w:name="_Toc38732198"/>
      <w:bookmarkStart w:id="1664" w:name="_Toc23057"/>
      <w:bookmarkStart w:id="1665" w:name="_Toc159950817"/>
      <w:r>
        <w:rPr>
          <w:rFonts w:hint="eastAsia" w:ascii="宋体" w:hAnsi="宋体" w:cs="等线"/>
          <w:color w:val="auto"/>
          <w:sz w:val="24"/>
          <w:highlight w:val="none"/>
        </w:rPr>
        <w:t>13.2 承包人的质量管理</w:t>
      </w:r>
      <w:bookmarkEnd w:id="1663"/>
      <w:bookmarkEnd w:id="1664"/>
      <w:bookmarkEnd w:id="1665"/>
    </w:p>
    <w:p w14:paraId="27AD5CC2">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13.2.1承包人向监理人提交工程质量保证措施文件的期限：</w:t>
      </w:r>
      <w:r>
        <w:rPr>
          <w:rFonts w:hint="eastAsia" w:ascii="宋体" w:hAnsi="宋体" w:cs="等线"/>
          <w:color w:val="auto"/>
          <w:highlight w:val="none"/>
          <w:u w:val="single"/>
        </w:rPr>
        <w:t xml:space="preserve">合同签订后7日内 </w:t>
      </w:r>
      <w:r>
        <w:rPr>
          <w:rFonts w:hint="eastAsia" w:ascii="宋体" w:hAnsi="宋体" w:cs="等线"/>
          <w:color w:val="auto"/>
          <w:highlight w:val="none"/>
        </w:rPr>
        <w:t>。</w:t>
      </w:r>
    </w:p>
    <w:p w14:paraId="40CC576B">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监理人审批工程质量保证措施文件的期限：</w:t>
      </w:r>
      <w:r>
        <w:rPr>
          <w:rFonts w:hint="eastAsia" w:ascii="宋体" w:hAnsi="宋体" w:cs="等线"/>
          <w:color w:val="auto"/>
          <w:highlight w:val="none"/>
          <w:u w:val="single"/>
        </w:rPr>
        <w:t>收到承包人提交的工程质量保证措施文件7日内</w:t>
      </w:r>
      <w:r>
        <w:rPr>
          <w:rFonts w:hint="eastAsia" w:ascii="宋体" w:hAnsi="宋体" w:cs="等线"/>
          <w:color w:val="auto"/>
          <w:highlight w:val="none"/>
        </w:rPr>
        <w:t>。</w:t>
      </w:r>
    </w:p>
    <w:p w14:paraId="7A426EA5">
      <w:pPr>
        <w:keepNext/>
        <w:keepLines/>
        <w:spacing w:line="360" w:lineRule="auto"/>
        <w:outlineLvl w:val="2"/>
        <w:rPr>
          <w:rFonts w:ascii="宋体" w:hAnsi="宋体" w:cs="等线"/>
          <w:color w:val="auto"/>
          <w:sz w:val="24"/>
          <w:highlight w:val="none"/>
        </w:rPr>
      </w:pPr>
      <w:bookmarkStart w:id="1666" w:name="_Toc159950818"/>
      <w:bookmarkStart w:id="1667" w:name="_Toc38732199"/>
      <w:bookmarkStart w:id="1668" w:name="_Toc7306"/>
      <w:r>
        <w:rPr>
          <w:rFonts w:hint="eastAsia" w:ascii="宋体" w:hAnsi="宋体" w:cs="等线"/>
          <w:color w:val="auto"/>
          <w:sz w:val="24"/>
          <w:highlight w:val="none"/>
        </w:rPr>
        <w:t>13.3 承包人的质量检查</w:t>
      </w:r>
      <w:bookmarkEnd w:id="1666"/>
      <w:bookmarkEnd w:id="1667"/>
      <w:bookmarkEnd w:id="1668"/>
    </w:p>
    <w:p w14:paraId="619BBAC8">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承包人向监理人报送工程质量报表的期限：</w:t>
      </w:r>
      <w:r>
        <w:rPr>
          <w:rFonts w:hint="eastAsia" w:ascii="宋体" w:hAnsi="宋体" w:cs="等线"/>
          <w:color w:val="auto"/>
          <w:highlight w:val="none"/>
          <w:u w:val="single"/>
        </w:rPr>
        <w:t>需监理人查验前48小时</w:t>
      </w:r>
      <w:r>
        <w:rPr>
          <w:rFonts w:hint="eastAsia" w:ascii="宋体" w:hAnsi="宋体" w:cs="等线"/>
          <w:color w:val="auto"/>
          <w:highlight w:val="none"/>
        </w:rPr>
        <w:t>。</w:t>
      </w:r>
    </w:p>
    <w:p w14:paraId="2E597AD3">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承包人向监理人报送工程质量报表的要求：</w:t>
      </w:r>
      <w:r>
        <w:rPr>
          <w:rFonts w:hint="eastAsia" w:ascii="宋体" w:hAnsi="宋体" w:cs="等线"/>
          <w:color w:val="auto"/>
          <w:highlight w:val="none"/>
          <w:u w:val="single"/>
        </w:rPr>
        <w:t>表中至少包含：各方责任主体质量行为情况、第三方监测质量行为情况；重要部位、关键工序工程质量存在的主要问题及整改情况；材料进场验收及原材料试验情况</w:t>
      </w:r>
      <w:r>
        <w:rPr>
          <w:rFonts w:hint="eastAsia" w:ascii="宋体" w:hAnsi="宋体" w:cs="等线"/>
          <w:color w:val="auto"/>
          <w:highlight w:val="none"/>
        </w:rPr>
        <w:t>。</w:t>
      </w:r>
    </w:p>
    <w:p w14:paraId="39C9C745">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监理人审查工程质量报表的期限：</w:t>
      </w:r>
      <w:r>
        <w:rPr>
          <w:rFonts w:hint="eastAsia" w:ascii="宋体" w:hAnsi="宋体" w:cs="等线"/>
          <w:color w:val="auto"/>
          <w:highlight w:val="none"/>
          <w:u w:val="single"/>
        </w:rPr>
        <w:t>收到工程质量报表后5日内</w:t>
      </w:r>
      <w:r>
        <w:rPr>
          <w:rFonts w:hint="eastAsia" w:ascii="宋体" w:hAnsi="宋体" w:cs="等线"/>
          <w:color w:val="auto"/>
          <w:highlight w:val="none"/>
        </w:rPr>
        <w:t>。</w:t>
      </w:r>
    </w:p>
    <w:p w14:paraId="0CEE7B02">
      <w:pPr>
        <w:keepNext/>
        <w:keepLines/>
        <w:spacing w:line="360" w:lineRule="auto"/>
        <w:outlineLvl w:val="2"/>
        <w:rPr>
          <w:rFonts w:ascii="宋体" w:hAnsi="宋体" w:cs="等线"/>
          <w:color w:val="auto"/>
          <w:sz w:val="24"/>
          <w:highlight w:val="none"/>
        </w:rPr>
      </w:pPr>
      <w:bookmarkStart w:id="1669" w:name="_Toc38732200"/>
      <w:bookmarkStart w:id="1670" w:name="_Toc159950819"/>
      <w:bookmarkStart w:id="1671" w:name="_Toc26623"/>
      <w:r>
        <w:rPr>
          <w:rFonts w:hint="eastAsia" w:ascii="宋体" w:hAnsi="宋体" w:cs="等线"/>
          <w:color w:val="auto"/>
          <w:sz w:val="24"/>
          <w:highlight w:val="none"/>
        </w:rPr>
        <w:t>13.4 监理人的质量检查</w:t>
      </w:r>
      <w:bookmarkEnd w:id="1669"/>
      <w:bookmarkEnd w:id="1670"/>
      <w:bookmarkEnd w:id="1671"/>
    </w:p>
    <w:p w14:paraId="33F1C682">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承包人应当为监理人的检查和检验提供方便，监理人可以进行察看和查阅施工原始记录的其他地方包括：</w:t>
      </w:r>
      <w:r>
        <w:rPr>
          <w:rFonts w:hint="eastAsia" w:ascii="宋体" w:hAnsi="宋体" w:cs="等线"/>
          <w:color w:val="auto"/>
          <w:highlight w:val="none"/>
          <w:u w:val="single"/>
        </w:rPr>
        <w:t>施工场地、承包人的现场试验场所、承包人的预制构件制作车间、承包人门窗制作车间等重要材料设备制作场地</w:t>
      </w:r>
      <w:r>
        <w:rPr>
          <w:rFonts w:hint="eastAsia" w:ascii="宋体" w:hAnsi="宋体" w:cs="等线"/>
          <w:color w:val="auto"/>
          <w:highlight w:val="none"/>
        </w:rPr>
        <w:t>。</w:t>
      </w:r>
    </w:p>
    <w:p w14:paraId="5D592757">
      <w:pPr>
        <w:keepNext/>
        <w:keepLines/>
        <w:spacing w:line="360" w:lineRule="auto"/>
        <w:outlineLvl w:val="2"/>
        <w:rPr>
          <w:rFonts w:ascii="宋体" w:hAnsi="宋体" w:cs="等线"/>
          <w:color w:val="auto"/>
          <w:sz w:val="24"/>
          <w:highlight w:val="none"/>
        </w:rPr>
      </w:pPr>
      <w:bookmarkStart w:id="1672" w:name="_Toc38732201"/>
      <w:bookmarkStart w:id="1673" w:name="_Toc31732"/>
      <w:bookmarkStart w:id="1674" w:name="_Toc159950820"/>
      <w:r>
        <w:rPr>
          <w:rFonts w:hint="eastAsia" w:ascii="宋体" w:hAnsi="宋体" w:cs="等线"/>
          <w:color w:val="auto"/>
          <w:sz w:val="24"/>
          <w:highlight w:val="none"/>
        </w:rPr>
        <w:t>13.5 工程隐蔽部位覆盖前的检查</w:t>
      </w:r>
      <w:bookmarkEnd w:id="1672"/>
      <w:bookmarkEnd w:id="1673"/>
      <w:bookmarkEnd w:id="1674"/>
    </w:p>
    <w:p w14:paraId="404724B3">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13.5.1 监理人对工程隐蔽部位进行检查的期限：</w:t>
      </w:r>
      <w:r>
        <w:rPr>
          <w:rFonts w:hint="eastAsia" w:ascii="宋体" w:hAnsi="宋体" w:cs="等线"/>
          <w:color w:val="auto"/>
          <w:highlight w:val="none"/>
          <w:u w:val="single"/>
        </w:rPr>
        <w:t>收到承包人的检查通知后12小时内</w:t>
      </w:r>
      <w:r>
        <w:rPr>
          <w:rFonts w:hint="eastAsia" w:ascii="宋体" w:hAnsi="宋体" w:cs="等线"/>
          <w:color w:val="auto"/>
          <w:highlight w:val="none"/>
        </w:rPr>
        <w:t>。</w:t>
      </w:r>
    </w:p>
    <w:p w14:paraId="0457B6AE">
      <w:pPr>
        <w:keepNext/>
        <w:keepLines/>
        <w:spacing w:line="360" w:lineRule="auto"/>
        <w:outlineLvl w:val="2"/>
        <w:rPr>
          <w:rFonts w:ascii="宋体" w:hAnsi="宋体" w:cs="等线"/>
          <w:color w:val="auto"/>
          <w:sz w:val="24"/>
          <w:highlight w:val="none"/>
        </w:rPr>
      </w:pPr>
      <w:bookmarkStart w:id="1675" w:name="_Toc38732202"/>
      <w:bookmarkStart w:id="1676" w:name="_Toc4170"/>
      <w:bookmarkStart w:id="1677" w:name="_Toc159950821"/>
      <w:r>
        <w:rPr>
          <w:rFonts w:hint="eastAsia" w:ascii="宋体" w:hAnsi="宋体" w:cs="等线"/>
          <w:color w:val="auto"/>
          <w:sz w:val="24"/>
          <w:highlight w:val="none"/>
        </w:rPr>
        <w:t>13.7 质量争议</w:t>
      </w:r>
      <w:bookmarkEnd w:id="1675"/>
      <w:bookmarkEnd w:id="1676"/>
      <w:bookmarkEnd w:id="1677"/>
    </w:p>
    <w:p w14:paraId="3407E7E9">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发包人和承包人对工程质量有争议的，除可按合同条款第24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2E58A00D">
      <w:pPr>
        <w:keepNext/>
        <w:keepLines/>
        <w:spacing w:line="400" w:lineRule="exact"/>
        <w:outlineLvl w:val="1"/>
        <w:rPr>
          <w:rFonts w:ascii="宋体" w:hAnsi="宋体" w:cs="等线"/>
          <w:color w:val="auto"/>
          <w:sz w:val="24"/>
          <w:highlight w:val="none"/>
        </w:rPr>
      </w:pPr>
      <w:bookmarkStart w:id="1678" w:name="_Toc25582"/>
      <w:bookmarkStart w:id="1679" w:name="_Toc159950822"/>
      <w:bookmarkStart w:id="1680" w:name="_Toc38732203"/>
      <w:bookmarkStart w:id="1681" w:name="_Toc2323"/>
      <w:r>
        <w:rPr>
          <w:rFonts w:hint="eastAsia" w:ascii="宋体" w:hAnsi="宋体" w:cs="等线"/>
          <w:color w:val="auto"/>
          <w:sz w:val="24"/>
          <w:highlight w:val="none"/>
        </w:rPr>
        <w:t>15. 变更</w:t>
      </w:r>
      <w:bookmarkEnd w:id="1678"/>
      <w:bookmarkEnd w:id="1679"/>
      <w:bookmarkEnd w:id="1680"/>
      <w:bookmarkEnd w:id="1681"/>
    </w:p>
    <w:p w14:paraId="1900D45D">
      <w:pPr>
        <w:keepNext/>
        <w:keepLines/>
        <w:spacing w:line="360" w:lineRule="auto"/>
        <w:outlineLvl w:val="2"/>
        <w:rPr>
          <w:rFonts w:ascii="宋体" w:hAnsi="宋体" w:cs="等线"/>
          <w:color w:val="auto"/>
          <w:sz w:val="24"/>
          <w:highlight w:val="none"/>
        </w:rPr>
      </w:pPr>
      <w:bookmarkStart w:id="1682" w:name="_Toc159950823"/>
      <w:bookmarkStart w:id="1683" w:name="_Toc18951"/>
      <w:bookmarkStart w:id="1684" w:name="_Toc38732204"/>
      <w:r>
        <w:rPr>
          <w:rFonts w:hint="eastAsia" w:ascii="宋体" w:hAnsi="宋体" w:cs="等线"/>
          <w:color w:val="auto"/>
          <w:sz w:val="24"/>
          <w:highlight w:val="none"/>
        </w:rPr>
        <w:t>15.1 变更的范围和内容</w:t>
      </w:r>
      <w:bookmarkEnd w:id="1682"/>
      <w:bookmarkEnd w:id="1683"/>
      <w:bookmarkEnd w:id="1684"/>
    </w:p>
    <w:p w14:paraId="4FDFABC2">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应当进行变更的其他情形：</w:t>
      </w:r>
      <w:r>
        <w:rPr>
          <w:rFonts w:hint="eastAsia" w:ascii="宋体" w:hAnsi="宋体" w:cs="等线"/>
          <w:color w:val="auto"/>
          <w:highlight w:val="none"/>
          <w:u w:val="single"/>
        </w:rPr>
        <w:t>清单范围之外的工作内容</w:t>
      </w:r>
      <w:r>
        <w:rPr>
          <w:rFonts w:hint="eastAsia" w:ascii="宋体" w:hAnsi="宋体" w:cs="等线"/>
          <w:color w:val="auto"/>
          <w:highlight w:val="none"/>
        </w:rPr>
        <w:t>。</w:t>
      </w:r>
    </w:p>
    <w:p w14:paraId="52CCFF40">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发包人违背通用合同条款15.1（1）目的约定，将被取消的合同中的工作转由发包人或其他人实施的，承包人可向监理人发出通知，要求发包人采取有效措施纠正违约行为，发包人在监理人收到承包人通知后28天内仍不纠正违约行为的，应当赔偿承包人损失（包括合理的利润）并承担由此引起的其他责任。承包人应当按通用合同条款第23.1.1（1）目的约定，在上述28天期限到期后的28天内，向监理人递交索赔意向通知书,并按通用合同条款第23.1.1（2）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1D6928EC">
      <w:pPr>
        <w:keepNext/>
        <w:keepLines/>
        <w:spacing w:line="360" w:lineRule="auto"/>
        <w:outlineLvl w:val="2"/>
        <w:rPr>
          <w:rFonts w:ascii="宋体" w:hAnsi="宋体" w:cs="等线"/>
          <w:color w:val="auto"/>
          <w:sz w:val="24"/>
          <w:highlight w:val="none"/>
        </w:rPr>
      </w:pPr>
      <w:bookmarkStart w:id="1685" w:name="_Toc24370"/>
      <w:bookmarkStart w:id="1686" w:name="_Toc38732205"/>
      <w:bookmarkStart w:id="1687" w:name="_Toc159950824"/>
      <w:r>
        <w:rPr>
          <w:rFonts w:hint="eastAsia" w:ascii="宋体" w:hAnsi="宋体" w:cs="等线"/>
          <w:color w:val="auto"/>
          <w:sz w:val="24"/>
          <w:highlight w:val="none"/>
        </w:rPr>
        <w:t>15.3 变更程序</w:t>
      </w:r>
      <w:bookmarkEnd w:id="1685"/>
      <w:bookmarkEnd w:id="1686"/>
      <w:bookmarkEnd w:id="1687"/>
    </w:p>
    <w:p w14:paraId="6653A413">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15.3.2 变更估价</w:t>
      </w:r>
    </w:p>
    <w:p w14:paraId="31CA4B8A">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（1）承包人提交变更报价书的期限：</w:t>
      </w:r>
      <w:r>
        <w:rPr>
          <w:rFonts w:hint="eastAsia" w:ascii="宋体" w:hAnsi="宋体" w:cs="等线"/>
          <w:color w:val="auto"/>
          <w:highlight w:val="none"/>
          <w:u w:val="single"/>
        </w:rPr>
        <w:t>承包人收到变更指示或变更意向书后7日内</w:t>
      </w:r>
      <w:r>
        <w:rPr>
          <w:rFonts w:hint="eastAsia" w:ascii="宋体" w:hAnsi="宋体" w:cs="等线"/>
          <w:color w:val="auto"/>
          <w:highlight w:val="none"/>
        </w:rPr>
        <w:t>。</w:t>
      </w:r>
    </w:p>
    <w:p w14:paraId="38C0B06B">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（3）监理人商定或确定变更价格的期限：</w:t>
      </w:r>
      <w:r>
        <w:rPr>
          <w:rFonts w:hint="eastAsia" w:ascii="宋体" w:hAnsi="宋体" w:cs="等线"/>
          <w:color w:val="auto"/>
          <w:highlight w:val="none"/>
          <w:u w:val="single"/>
        </w:rPr>
        <w:t>监理人收到承包人变更报价书后7日内</w:t>
      </w:r>
      <w:r>
        <w:rPr>
          <w:rFonts w:hint="eastAsia" w:ascii="宋体" w:hAnsi="宋体" w:cs="等线"/>
          <w:color w:val="auto"/>
          <w:highlight w:val="none"/>
        </w:rPr>
        <w:t>。</w:t>
      </w:r>
    </w:p>
    <w:p w14:paraId="533CD70E">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（4）收到变更指示后，如承包人未在规定的期限内提交变更报价书的，监理人可自行决定是否调整合同价款以及如果监理人决定调整合同价款时，相应调整的具体金额。</w:t>
      </w:r>
    </w:p>
    <w:p w14:paraId="60131A49">
      <w:pPr>
        <w:keepNext/>
        <w:keepLines/>
        <w:spacing w:line="360" w:lineRule="auto"/>
        <w:outlineLvl w:val="2"/>
        <w:rPr>
          <w:rFonts w:ascii="宋体" w:hAnsi="宋体" w:cs="等线"/>
          <w:color w:val="auto"/>
          <w:sz w:val="24"/>
          <w:highlight w:val="none"/>
        </w:rPr>
      </w:pPr>
      <w:bookmarkStart w:id="1688" w:name="_Toc18892"/>
      <w:bookmarkStart w:id="1689" w:name="_Toc159950825"/>
      <w:bookmarkStart w:id="1690" w:name="_Toc38732206"/>
      <w:r>
        <w:rPr>
          <w:rFonts w:hint="eastAsia" w:ascii="宋体" w:hAnsi="宋体" w:cs="等线"/>
          <w:color w:val="auto"/>
          <w:sz w:val="24"/>
          <w:highlight w:val="none"/>
        </w:rPr>
        <w:t>15.4 变更的估价原则</w:t>
      </w:r>
      <w:bookmarkEnd w:id="1688"/>
      <w:bookmarkEnd w:id="1689"/>
      <w:bookmarkEnd w:id="1690"/>
    </w:p>
    <w:p w14:paraId="57E4596E">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15.4.5 合同协议书约定采用单价合同形式时，因非承包人原因引起已标价工程量清单中列明的工程量发生增减，且单个子目工程量变化幅度在</w:t>
      </w:r>
      <w:r>
        <w:rPr>
          <w:rFonts w:hint="eastAsia" w:ascii="宋体" w:hAnsi="宋体" w:cs="等线"/>
          <w:color w:val="auto"/>
          <w:highlight w:val="none"/>
          <w:u w:val="single"/>
        </w:rPr>
        <w:t xml:space="preserve">   /   </w:t>
      </w:r>
      <w:r>
        <w:rPr>
          <w:rFonts w:hint="eastAsia" w:ascii="宋体" w:hAnsi="宋体" w:cs="等线"/>
          <w:color w:val="auto"/>
          <w:highlight w:val="none"/>
        </w:rPr>
        <w:t>%以内（含）时，应执行已标价工程量清单中列明的该子目的单价；单个子目工程量变化幅度在</w:t>
      </w:r>
      <w:r>
        <w:rPr>
          <w:rFonts w:hint="eastAsia" w:ascii="宋体" w:hAnsi="宋体" w:cs="等线"/>
          <w:color w:val="auto"/>
          <w:highlight w:val="none"/>
          <w:u w:val="single"/>
        </w:rPr>
        <w:t xml:space="preserve">   /   </w:t>
      </w:r>
      <w:r>
        <w:rPr>
          <w:rFonts w:hint="eastAsia" w:ascii="宋体" w:hAnsi="宋体" w:cs="等线"/>
          <w:color w:val="auto"/>
          <w:highlight w:val="none"/>
        </w:rPr>
        <w:t>%以外（不含），且导致分部分项工程费总额变化幅度超过</w:t>
      </w:r>
      <w:r>
        <w:rPr>
          <w:rFonts w:hint="eastAsia" w:ascii="宋体" w:hAnsi="宋体" w:cs="等线"/>
          <w:color w:val="auto"/>
          <w:highlight w:val="none"/>
          <w:u w:val="single"/>
        </w:rPr>
        <w:t xml:space="preserve">    /    </w:t>
      </w:r>
      <w:r>
        <w:rPr>
          <w:rFonts w:hint="eastAsia" w:ascii="宋体" w:hAnsi="宋体" w:cs="等线"/>
          <w:color w:val="auto"/>
          <w:highlight w:val="none"/>
        </w:rPr>
        <w:t>%时，由承包人提出并由监理人按第3.5款商定或确定新的单价，该子目按修正后的新的单价计价。</w:t>
      </w:r>
    </w:p>
    <w:p w14:paraId="6E47B4EA">
      <w:pPr>
        <w:spacing w:line="360" w:lineRule="auto"/>
        <w:ind w:firstLine="525" w:firstLineChars="250"/>
        <w:rPr>
          <w:rFonts w:ascii="宋体" w:hAnsi="宋体" w:cs="等线"/>
          <w:color w:val="auto"/>
          <w:highlight w:val="none"/>
          <w:u w:val="single"/>
        </w:rPr>
      </w:pPr>
      <w:r>
        <w:rPr>
          <w:rFonts w:hint="eastAsia" w:ascii="宋体" w:hAnsi="宋体" w:cs="等线"/>
          <w:color w:val="auto"/>
          <w:highlight w:val="none"/>
        </w:rPr>
        <w:t>5.4.6 因变更引起价格调整的其他处理方式：</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4FF45AAF">
      <w:pPr>
        <w:keepNext/>
        <w:keepLines/>
        <w:spacing w:line="360" w:lineRule="auto"/>
        <w:outlineLvl w:val="2"/>
        <w:rPr>
          <w:rFonts w:ascii="宋体" w:hAnsi="宋体" w:cs="等线"/>
          <w:color w:val="auto"/>
          <w:sz w:val="24"/>
          <w:highlight w:val="none"/>
        </w:rPr>
      </w:pPr>
      <w:bookmarkStart w:id="1691" w:name="_Toc13595"/>
      <w:bookmarkStart w:id="1692" w:name="_Toc38732207"/>
      <w:bookmarkStart w:id="1693" w:name="_Toc159950826"/>
      <w:r>
        <w:rPr>
          <w:rFonts w:hint="eastAsia" w:ascii="宋体" w:hAnsi="宋体" w:cs="等线"/>
          <w:color w:val="auto"/>
          <w:sz w:val="24"/>
          <w:highlight w:val="none"/>
        </w:rPr>
        <w:t>15.5 承包人的合理化建议</w:t>
      </w:r>
      <w:bookmarkEnd w:id="1691"/>
      <w:bookmarkEnd w:id="1692"/>
      <w:bookmarkEnd w:id="1693"/>
    </w:p>
    <w:p w14:paraId="6C47D825">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15.5.2对承包人提出合理化建议的奖励方法：</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1B3BE4DA">
      <w:pPr>
        <w:keepNext/>
        <w:keepLines/>
        <w:spacing w:line="360" w:lineRule="auto"/>
        <w:outlineLvl w:val="2"/>
        <w:rPr>
          <w:rFonts w:ascii="宋体" w:hAnsi="宋体" w:cs="等线"/>
          <w:color w:val="auto"/>
          <w:sz w:val="24"/>
          <w:highlight w:val="none"/>
        </w:rPr>
      </w:pPr>
      <w:bookmarkStart w:id="1694" w:name="_Toc159950827"/>
      <w:bookmarkStart w:id="1695" w:name="_Toc38732208"/>
      <w:bookmarkStart w:id="1696" w:name="_Toc13702"/>
      <w:r>
        <w:rPr>
          <w:rFonts w:hint="eastAsia" w:ascii="宋体" w:hAnsi="宋体" w:cs="等线"/>
          <w:color w:val="auto"/>
          <w:sz w:val="24"/>
          <w:highlight w:val="none"/>
        </w:rPr>
        <w:t>15.8 暂估价</w:t>
      </w:r>
      <w:bookmarkEnd w:id="1694"/>
      <w:bookmarkEnd w:id="1695"/>
      <w:bookmarkEnd w:id="1696"/>
    </w:p>
    <w:p w14:paraId="63C737C4">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15.8.1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6CB3395C">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（1）在任何招标工作启动前，承包人应当提前至少</w:t>
      </w:r>
      <w:r>
        <w:rPr>
          <w:rFonts w:hint="eastAsia" w:ascii="宋体" w:hAnsi="宋体" w:cs="等线"/>
          <w:color w:val="auto"/>
          <w:highlight w:val="none"/>
          <w:u w:val="single"/>
        </w:rPr>
        <w:t xml:space="preserve"> 7 </w:t>
      </w:r>
      <w:r>
        <w:rPr>
          <w:rFonts w:hint="eastAsia" w:ascii="宋体" w:hAnsi="宋体" w:cs="等线"/>
          <w:color w:val="auto"/>
          <w:highlight w:val="none"/>
        </w:rPr>
        <w:t>天编制招标工作计划并通过监理人报请发包人审批，招标工作计划应当包括招标工作的时间安排、拟采用的招标方式、拟采用的资格审查方法、主要招标过程文件的编制内容、对投标人的资格条件要求、评标标准和方法、评标委员会组成、是否编制招标控制价和（或）标底以及招标控制价和（或）标底编制原则，发包人应当在监理人收到承包人报送的招标工作计划后</w:t>
      </w:r>
      <w:r>
        <w:rPr>
          <w:rFonts w:hint="eastAsia" w:ascii="宋体" w:hAnsi="宋体" w:cs="等线"/>
          <w:color w:val="auto"/>
          <w:highlight w:val="none"/>
          <w:u w:val="single"/>
        </w:rPr>
        <w:t xml:space="preserve"> 3 </w:t>
      </w:r>
      <w:r>
        <w:rPr>
          <w:rFonts w:hint="eastAsia" w:ascii="宋体" w:hAnsi="宋体" w:cs="等线"/>
          <w:color w:val="auto"/>
          <w:highlight w:val="none"/>
        </w:rPr>
        <w:t>天内给予批准或者提出修改意见。承包人应当严格按照经过发包人批准的招标工作计划开展招标工作。</w:t>
      </w:r>
    </w:p>
    <w:p w14:paraId="32AC727D">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（2）承包人应当在发出招标公告（或者资格预审公告或者投标邀请书）、资格预审文件和招标文件前至少</w:t>
      </w:r>
      <w:r>
        <w:rPr>
          <w:rFonts w:hint="eastAsia" w:ascii="宋体" w:hAnsi="宋体" w:cs="等线"/>
          <w:color w:val="auto"/>
          <w:highlight w:val="none"/>
          <w:u w:val="single"/>
        </w:rPr>
        <w:t xml:space="preserve"> 7 </w:t>
      </w:r>
      <w:r>
        <w:rPr>
          <w:rFonts w:hint="eastAsia" w:ascii="宋体" w:hAnsi="宋体" w:cs="等线"/>
          <w:color w:val="auto"/>
          <w:highlight w:val="none"/>
        </w:rPr>
        <w:t>天，分别将相关文件通过监理人报请发包人审批，发包人应当在监理人收到承包人报送的相关文件后</w:t>
      </w:r>
      <w:r>
        <w:rPr>
          <w:rFonts w:hint="eastAsia" w:ascii="宋体" w:hAnsi="宋体" w:cs="等线"/>
          <w:color w:val="auto"/>
          <w:highlight w:val="none"/>
          <w:u w:val="single"/>
        </w:rPr>
        <w:t xml:space="preserve"> 3 </w:t>
      </w:r>
      <w:r>
        <w:rPr>
          <w:rFonts w:hint="eastAsia" w:ascii="宋体" w:hAnsi="宋体" w:cs="等线"/>
          <w:color w:val="auto"/>
          <w:highlight w:val="none"/>
        </w:rPr>
        <w:t>天内给予批准或者提出修改意见，经发包人批准的相关文件，由承包人负责誊清整理并准备出开展实际招标工作所需要的份数，通过监理人报发包人核查并加盖发包人印章，发包人在相关文件上加盖印章只表明相关文件经过发包人审核批准。最终发出的文件应当分别报送一份给发包人和监理人备查。</w:t>
      </w:r>
    </w:p>
    <w:p w14:paraId="1CB0E6D3">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（3）如果发、承包任何一方委派评标代表，评标委员会应当由七人以上单数构成。除发包人或者承包人自愿放弃委派评标代表的权利外，招标人评标代表应当分别由发包人和承包人等额委派。</w:t>
      </w:r>
    </w:p>
    <w:p w14:paraId="4993F615">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4）设有标底的，承包人应当在开标前提前48小时将标底报发包人审核认可，发包人应当在收到承包人报送的标底后24小时内给予批准或者提出修改意见。承包人和发包人应当共同制定标底保密措施，不得提前泄露标底。标底的最终审核和决定权属于发包人。</w:t>
      </w:r>
    </w:p>
    <w:p w14:paraId="4C545DC4">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5）设有招标控制价的，承包人应当在招标文件发出前提前7天将招标控制价报发包人审核认可，发包人应当在收到承包人报送的招标控制价后72小时内给予认可或者提出修改意见。招标控制价的最终审核和决定权属于发包人，未经发包人认可，承包人不得发出招标文件。</w:t>
      </w:r>
    </w:p>
    <w:p w14:paraId="5B9E15BF">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6）承包人在收到相关招标项目评标委员会提交的评标报告后，应当在24小时内通过监理人转报发包人核查，发包人应当在监理人收到承包人报送的评标报告后48小时内核查完毕，评标报告经过发包人核查认可后，承包人才可以开始后续程序，依法确定中标人并发出中标通知书。</w:t>
      </w:r>
    </w:p>
    <w:p w14:paraId="5AB52FA7">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（7）承包人与专业分包人或者专项供应商订立合同前</w:t>
      </w:r>
      <w:r>
        <w:rPr>
          <w:rFonts w:hint="eastAsia" w:ascii="宋体" w:hAnsi="宋体" w:cs="等线"/>
          <w:color w:val="auto"/>
          <w:highlight w:val="none"/>
          <w:u w:val="single"/>
        </w:rPr>
        <w:t xml:space="preserve"> 10 </w:t>
      </w:r>
      <w:r>
        <w:rPr>
          <w:rFonts w:hint="eastAsia" w:ascii="宋体" w:hAnsi="宋体" w:cs="等线"/>
          <w:color w:val="auto"/>
          <w:highlight w:val="none"/>
        </w:rPr>
        <w:t>天，应当将准备用于正式签订的合同文件通过监理人报发包人审核，发包人应当在监理人收到相关文件后</w:t>
      </w:r>
      <w:r>
        <w:rPr>
          <w:rFonts w:hint="eastAsia" w:ascii="宋体" w:hAnsi="宋体" w:cs="等线"/>
          <w:color w:val="auto"/>
          <w:highlight w:val="none"/>
          <w:u w:val="single"/>
        </w:rPr>
        <w:t xml:space="preserve"> 7 </w:t>
      </w:r>
      <w:r>
        <w:rPr>
          <w:rFonts w:hint="eastAsia" w:ascii="宋体" w:hAnsi="宋体" w:cs="等线"/>
          <w:color w:val="auto"/>
          <w:highlight w:val="none"/>
        </w:rPr>
        <w:t>天内给予批准或者提出修改意见，承包人应当按照发包人批准的合同文件签订相关合同，合同订立后</w:t>
      </w:r>
      <w:r>
        <w:rPr>
          <w:rFonts w:hint="eastAsia" w:ascii="宋体" w:hAnsi="宋体" w:cs="等线"/>
          <w:color w:val="auto"/>
          <w:highlight w:val="none"/>
          <w:u w:val="single"/>
        </w:rPr>
        <w:t xml:space="preserve">  7 </w:t>
      </w:r>
      <w:r>
        <w:rPr>
          <w:rFonts w:hint="eastAsia" w:ascii="宋体" w:hAnsi="宋体" w:cs="等线"/>
          <w:color w:val="auto"/>
          <w:highlight w:val="none"/>
        </w:rPr>
        <w:t>天内，承包人应当将其中的两份副本报送监理人，其中一份由监理人报发包人留存。</w:t>
      </w:r>
    </w:p>
    <w:p w14:paraId="73F20FC1">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（8）发包人对承包人报送文件进行审批或提出的修改意见应当合理，并符合现行有关法律法规的规定。</w:t>
      </w:r>
    </w:p>
    <w:p w14:paraId="28534325">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9）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1D43A8CD">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15.8.3发包人在工程量清单中给定暂估价的专业工程不属于依法必须招标的范围或者未达到依法必须招标的规模标准的，其最终价格的估价人为：</w:t>
      </w:r>
      <w:r>
        <w:rPr>
          <w:rFonts w:hint="eastAsia" w:ascii="宋体" w:hAnsi="宋体" w:cs="等线"/>
          <w:color w:val="auto"/>
          <w:highlight w:val="none"/>
          <w:u w:val="single"/>
        </w:rPr>
        <w:t>发包人</w:t>
      </w:r>
      <w:r>
        <w:rPr>
          <w:rFonts w:hint="eastAsia" w:ascii="宋体" w:hAnsi="宋体" w:cs="等线"/>
          <w:color w:val="auto"/>
          <w:highlight w:val="none"/>
        </w:rPr>
        <w:t>或者按照下列约定：</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47AF8974">
      <w:pPr>
        <w:keepNext/>
        <w:keepLines/>
        <w:spacing w:line="400" w:lineRule="exact"/>
        <w:outlineLvl w:val="1"/>
        <w:rPr>
          <w:rFonts w:ascii="宋体" w:hAnsi="宋体" w:cs="等线"/>
          <w:color w:val="auto"/>
          <w:sz w:val="24"/>
          <w:highlight w:val="none"/>
        </w:rPr>
      </w:pPr>
      <w:bookmarkStart w:id="1697" w:name="_Toc25133"/>
      <w:bookmarkStart w:id="1698" w:name="_Toc19770"/>
      <w:bookmarkStart w:id="1699" w:name="_Toc159950828"/>
      <w:bookmarkStart w:id="1700" w:name="_Toc38732209"/>
      <w:r>
        <w:rPr>
          <w:rFonts w:hint="eastAsia" w:ascii="宋体" w:hAnsi="宋体" w:cs="等线"/>
          <w:color w:val="auto"/>
          <w:sz w:val="24"/>
          <w:highlight w:val="none"/>
        </w:rPr>
        <w:t>16. 价格调整</w:t>
      </w:r>
      <w:bookmarkEnd w:id="1697"/>
      <w:bookmarkEnd w:id="1698"/>
      <w:bookmarkEnd w:id="1699"/>
      <w:bookmarkEnd w:id="1700"/>
    </w:p>
    <w:p w14:paraId="3438FDD5">
      <w:pPr>
        <w:keepNext/>
        <w:keepLines/>
        <w:spacing w:line="360" w:lineRule="auto"/>
        <w:outlineLvl w:val="2"/>
        <w:rPr>
          <w:rFonts w:ascii="宋体" w:hAnsi="宋体" w:cs="等线"/>
          <w:color w:val="auto"/>
          <w:sz w:val="24"/>
          <w:highlight w:val="none"/>
        </w:rPr>
      </w:pPr>
      <w:bookmarkStart w:id="1701" w:name="_Toc13235"/>
      <w:bookmarkStart w:id="1702" w:name="_Toc38732210"/>
      <w:bookmarkStart w:id="1703" w:name="_Toc159950829"/>
      <w:r>
        <w:rPr>
          <w:rFonts w:hint="eastAsia" w:ascii="宋体" w:hAnsi="宋体" w:cs="等线"/>
          <w:color w:val="auto"/>
          <w:sz w:val="24"/>
          <w:highlight w:val="none"/>
        </w:rPr>
        <w:t>16.1 物价波动引起的价格调整</w:t>
      </w:r>
      <w:bookmarkEnd w:id="1701"/>
      <w:bookmarkEnd w:id="1702"/>
      <w:bookmarkEnd w:id="1703"/>
    </w:p>
    <w:p w14:paraId="096EB44A">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物价波动引起的价格调整方法：</w:t>
      </w:r>
      <w:r>
        <w:rPr>
          <w:rFonts w:hint="eastAsia" w:ascii="宋体" w:hAnsi="宋体" w:cs="等线"/>
          <w:color w:val="auto"/>
          <w:highlight w:val="none"/>
          <w:u w:val="single"/>
        </w:rPr>
        <w:t>采用造价信息调整价格差额，具体约定如下</w:t>
      </w:r>
      <w:r>
        <w:rPr>
          <w:rFonts w:hint="eastAsia" w:ascii="宋体" w:hAnsi="宋体" w:cs="等线"/>
          <w:color w:val="auto"/>
          <w:highlight w:val="none"/>
        </w:rPr>
        <w:t>。</w:t>
      </w:r>
    </w:p>
    <w:p w14:paraId="7707418A">
      <w:pPr>
        <w:spacing w:line="360" w:lineRule="auto"/>
        <w:ind w:firstLine="422" w:firstLineChars="200"/>
        <w:rPr>
          <w:rFonts w:ascii="宋体" w:hAnsi="宋体" w:cs="等线"/>
          <w:b/>
          <w:color w:val="auto"/>
          <w:highlight w:val="none"/>
          <w:u w:val="single"/>
        </w:rPr>
      </w:pPr>
      <w:r>
        <w:rPr>
          <w:rFonts w:hint="eastAsia" w:ascii="宋体" w:hAnsi="宋体" w:cs="等线"/>
          <w:b/>
          <w:color w:val="auto"/>
          <w:highlight w:val="none"/>
          <w:u w:val="single"/>
        </w:rPr>
        <w:t>（1）风险范围：</w:t>
      </w:r>
    </w:p>
    <w:p w14:paraId="6C6A2FFC">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本工程人工、预拌混凝土、钢筋、木材、电线、电缆市场价格的涨落在±6%（含±6%）以内的风险，以及其他材料和机械使用费价格变化的全部风险。</w:t>
      </w:r>
    </w:p>
    <w:p w14:paraId="40BFC345">
      <w:pPr>
        <w:spacing w:line="360" w:lineRule="auto"/>
        <w:ind w:firstLine="422" w:firstLineChars="200"/>
        <w:rPr>
          <w:rFonts w:ascii="宋体" w:hAnsi="宋体" w:cs="等线"/>
          <w:b/>
          <w:color w:val="auto"/>
          <w:highlight w:val="none"/>
          <w:u w:val="single"/>
        </w:rPr>
      </w:pPr>
      <w:r>
        <w:rPr>
          <w:rFonts w:hint="eastAsia" w:ascii="宋体" w:hAnsi="宋体" w:cs="等线"/>
          <w:b/>
          <w:color w:val="auto"/>
          <w:highlight w:val="none"/>
          <w:u w:val="single"/>
        </w:rPr>
        <w:t>(2）市场价格变化幅度确定的原则：</w:t>
      </w:r>
    </w:p>
    <w:p w14:paraId="17B2F720">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a）以本市建设工程造价管理机构施工当期发布的《河北工程造价信息》中的市场信息价格 （以下简称造价信息价格）为依据，造价信息价格中有上、下限的，以下限为准，造价信息价格中没有的，按发包人、承包人共同确认的市场价格为准；</w:t>
      </w:r>
    </w:p>
    <w:p w14:paraId="47BF3DEC">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b) 当投标报价时的单价低于投标报价期对应的造价信息价格时，按施工期对应的造价信息价格与投标报价期对应的造价信息价格计算其变化幅度；当投标报价时的单价高于投标报价期对应的造价信息价格时，按施工期对应的造价信息价格与投标报价时的价格计算其变化幅度。</w:t>
      </w:r>
    </w:p>
    <w:p w14:paraId="0EB76286">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变化幅度的确定：</w:t>
      </w:r>
    </w:p>
    <w:p w14:paraId="2C4B75B7">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当报价≤基价时，变化幅度=（施工期价-基价）/基价。</w:t>
      </w:r>
    </w:p>
    <w:p w14:paraId="65EFA872">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当报价＞基价时，变化幅度=（施工期价-报价）/报价。</w:t>
      </w:r>
    </w:p>
    <w:p w14:paraId="361E1BBE">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注：以下关于“基价、施工期价、报价”的定义仅适用于本工程</w:t>
      </w:r>
    </w:p>
    <w:p w14:paraId="3C1B2B4E">
      <w:pPr>
        <w:spacing w:line="360" w:lineRule="auto"/>
        <w:ind w:firstLine="422" w:firstLineChars="200"/>
        <w:rPr>
          <w:rFonts w:ascii="宋体" w:hAnsi="宋体" w:cs="等线"/>
          <w:color w:val="auto"/>
          <w:highlight w:val="none"/>
          <w:u w:val="single"/>
        </w:rPr>
      </w:pPr>
      <w:r>
        <w:rPr>
          <w:rFonts w:hint="eastAsia" w:ascii="宋体" w:hAnsi="宋体" w:cs="等线"/>
          <w:b/>
          <w:color w:val="auto"/>
          <w:highlight w:val="none"/>
          <w:u w:val="single"/>
        </w:rPr>
        <w:t>基价</w:t>
      </w:r>
      <w:r>
        <w:rPr>
          <w:rFonts w:hint="eastAsia" w:ascii="宋体" w:hAnsi="宋体" w:cs="等线"/>
          <w:color w:val="auto"/>
          <w:highlight w:val="none"/>
          <w:u w:val="single"/>
        </w:rPr>
        <w:t>：指开标之日前一月的河北市建设工程造价管理机构发布的《河北工程造价信息》中的市场信息价格。</w:t>
      </w:r>
    </w:p>
    <w:p w14:paraId="79591CA9">
      <w:pPr>
        <w:spacing w:line="360" w:lineRule="auto"/>
        <w:ind w:firstLine="422" w:firstLineChars="200"/>
        <w:rPr>
          <w:rFonts w:ascii="宋体" w:hAnsi="宋体" w:cs="等线"/>
          <w:color w:val="auto"/>
          <w:highlight w:val="none"/>
        </w:rPr>
      </w:pPr>
      <w:r>
        <w:rPr>
          <w:rFonts w:hint="eastAsia" w:ascii="宋体" w:hAnsi="宋体" w:cs="等线"/>
          <w:b/>
          <w:color w:val="auto"/>
          <w:highlight w:val="none"/>
          <w:u w:val="single"/>
        </w:rPr>
        <w:t>报价</w:t>
      </w:r>
      <w:r>
        <w:rPr>
          <w:rFonts w:hint="eastAsia" w:ascii="宋体" w:hAnsi="宋体" w:cs="等线"/>
          <w:color w:val="auto"/>
          <w:highlight w:val="none"/>
          <w:u w:val="single"/>
        </w:rPr>
        <w:t>：指投标人的投标文件中“工程量清单综合单价分析表”中的报价。</w:t>
      </w:r>
    </w:p>
    <w:p w14:paraId="6AAD6A9D">
      <w:pPr>
        <w:spacing w:line="360" w:lineRule="auto"/>
        <w:ind w:firstLine="422" w:firstLineChars="200"/>
        <w:rPr>
          <w:rFonts w:ascii="宋体" w:hAnsi="宋体" w:cs="等线"/>
          <w:color w:val="auto"/>
          <w:highlight w:val="none"/>
          <w:u w:val="single"/>
        </w:rPr>
      </w:pPr>
      <w:r>
        <w:rPr>
          <w:rFonts w:hint="eastAsia" w:ascii="宋体" w:hAnsi="宋体" w:cs="等线"/>
          <w:b/>
          <w:color w:val="auto"/>
          <w:highlight w:val="none"/>
          <w:u w:val="single"/>
        </w:rPr>
        <w:t>(3) 各项合同风险范围之外物价波动引起的价格调整方法</w:t>
      </w:r>
    </w:p>
    <w:p w14:paraId="19E0068B">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a）</w:t>
      </w:r>
      <w:r>
        <w:rPr>
          <w:rFonts w:hint="eastAsia" w:ascii="宋体" w:hAnsi="宋体" w:cs="等线"/>
          <w:b/>
          <w:color w:val="auto"/>
          <w:highlight w:val="none"/>
          <w:u w:val="single"/>
        </w:rPr>
        <w:t>人工、预拌混凝土、钢筋、木材、电线、电缆</w:t>
      </w:r>
      <w:r>
        <w:rPr>
          <w:rFonts w:hint="eastAsia" w:ascii="宋体" w:hAnsi="宋体" w:cs="等线"/>
          <w:color w:val="auto"/>
          <w:highlight w:val="none"/>
          <w:u w:val="single"/>
        </w:rPr>
        <w:t>价格的变化幅度大于±6%（含±6%）时，应当计算超过部分的价差，其价差由发包人承担或受益，差价仅计取税金。</w:t>
      </w:r>
    </w:p>
    <w:p w14:paraId="4267BF7D">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b) 如合同规定的调整情况发生，承包人应当于每月15日将调整原因、金额以书面形式通知发包人及监理人，经监理人、发包人确认调整金额后将其作为追加合同价款，与工程进度同期同比例支付；发包人收到承包人通知后14天内未予确认也未提出异议的，视为已经同意该项调整。 （建议明确如材料价格变化大于-6%时，由发包人或发包人责成承包人计算调金额）</w:t>
      </w:r>
    </w:p>
    <w:p w14:paraId="2129F2B5">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c）当合同规定的调整合同价款的调整情况发生后，承包人未在规定的时间内通知发包人、监理人，或者未在规定的时间内提出调整报告，发包人可以根据有关资料，决定是否调整和调整的金额，并经监理人书面通知承包人。</w:t>
      </w:r>
    </w:p>
    <w:p w14:paraId="6150CA7E">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d）工程量按调整期内完成的相应工程量计算。</w:t>
      </w:r>
    </w:p>
    <w:p w14:paraId="73751B36">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其他约定：</w:t>
      </w:r>
    </w:p>
    <w:p w14:paraId="6EA1E5D8">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1)在发、承包双方履行合同过程中，当国家的法律、法规、规章及政策发生变化，国家或省级、行业建设主管部门或其授权的工程造价管理机构据此发布工程造价调整文件，工程价款应当进行调整。</w:t>
      </w:r>
    </w:p>
    <w:p w14:paraId="53FB79CB">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2)当施工中施工图纸(含设计变更)与工程量清单项目特征描述不一致时，发、承包双方按实际施工的项目特征重新确定综合单价。</w:t>
      </w:r>
    </w:p>
    <w:p w14:paraId="717C30FE">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3）因地质条件引起施工工艺的改变，按照新工艺进行调整。</w:t>
      </w:r>
    </w:p>
    <w:p w14:paraId="44706EB8">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u w:val="single"/>
        </w:rPr>
        <w:t>4）发包人不接受承包人基于任何工作子目单价在投标时的组价不当（包括但不限于工作子目对应的工作内容理解的偏差、工料机消耗量水平的确定、生产要素市场价格的判断、取费等）或任何其他差错而主张的任何损失或索赔。</w:t>
      </w:r>
    </w:p>
    <w:p w14:paraId="285458CB">
      <w:pPr>
        <w:keepNext/>
        <w:keepLines/>
        <w:spacing w:line="400" w:lineRule="exact"/>
        <w:outlineLvl w:val="1"/>
        <w:rPr>
          <w:rFonts w:ascii="宋体" w:hAnsi="宋体" w:cs="等线"/>
          <w:color w:val="auto"/>
          <w:sz w:val="24"/>
          <w:highlight w:val="none"/>
        </w:rPr>
      </w:pPr>
      <w:bookmarkStart w:id="1704" w:name="_Toc38732211"/>
      <w:bookmarkStart w:id="1705" w:name="_Toc25561"/>
      <w:bookmarkStart w:id="1706" w:name="_Toc21789"/>
      <w:bookmarkStart w:id="1707" w:name="_Toc159950830"/>
      <w:r>
        <w:rPr>
          <w:rFonts w:hint="eastAsia" w:ascii="宋体" w:hAnsi="宋体" w:cs="等线"/>
          <w:color w:val="auto"/>
          <w:sz w:val="24"/>
          <w:highlight w:val="none"/>
        </w:rPr>
        <w:t>17. 计量与支付</w:t>
      </w:r>
      <w:bookmarkEnd w:id="1704"/>
      <w:bookmarkEnd w:id="1705"/>
      <w:bookmarkEnd w:id="1706"/>
      <w:bookmarkEnd w:id="1707"/>
    </w:p>
    <w:p w14:paraId="46DF3651">
      <w:pPr>
        <w:keepNext/>
        <w:keepLines/>
        <w:spacing w:line="360" w:lineRule="auto"/>
        <w:outlineLvl w:val="2"/>
        <w:rPr>
          <w:rFonts w:ascii="宋体" w:hAnsi="宋体" w:cs="等线"/>
          <w:color w:val="auto"/>
          <w:sz w:val="24"/>
          <w:highlight w:val="none"/>
        </w:rPr>
      </w:pPr>
      <w:bookmarkStart w:id="1708" w:name="_Toc38732212"/>
      <w:bookmarkStart w:id="1709" w:name="_Toc6558"/>
      <w:bookmarkStart w:id="1710" w:name="_Toc159950831"/>
      <w:r>
        <w:rPr>
          <w:rFonts w:hint="eastAsia" w:ascii="宋体" w:hAnsi="宋体" w:cs="等线"/>
          <w:color w:val="auto"/>
          <w:sz w:val="24"/>
          <w:highlight w:val="none"/>
        </w:rPr>
        <w:t>17.1 计量</w:t>
      </w:r>
      <w:bookmarkEnd w:id="1708"/>
      <w:bookmarkEnd w:id="1709"/>
      <w:bookmarkEnd w:id="1710"/>
    </w:p>
    <w:p w14:paraId="7C33A1B5">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17.1.2 计量方法</w:t>
      </w:r>
    </w:p>
    <w:p w14:paraId="63CF8640">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工程量计算规则执行国家标准《建设工程工程量清单计价规范》（GB50500）或其适用的修订版本。除合同另有约定外，承包人实际完成的工程量按约定的工程量计算规则和有合同约束力的图纸进行计量。</w:t>
      </w:r>
    </w:p>
    <w:p w14:paraId="2B5E3BDD">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17.1.3 计量周期</w:t>
      </w:r>
    </w:p>
    <w:p w14:paraId="592B555D">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（1）本合同的计量周期为月，每月</w:t>
      </w:r>
      <w:r>
        <w:rPr>
          <w:rFonts w:hint="eastAsia" w:ascii="宋体" w:hAnsi="宋体" w:cs="等线"/>
          <w:color w:val="auto"/>
          <w:highlight w:val="none"/>
          <w:u w:val="single"/>
        </w:rPr>
        <w:t xml:space="preserve"> 25 </w:t>
      </w:r>
      <w:r>
        <w:rPr>
          <w:rFonts w:hint="eastAsia" w:ascii="宋体" w:hAnsi="宋体" w:cs="等线"/>
          <w:color w:val="auto"/>
          <w:highlight w:val="none"/>
        </w:rPr>
        <w:t>日为当月计量截止日期（不含当日）和下月计量起始日期（含当日）。</w:t>
      </w:r>
    </w:p>
    <w:p w14:paraId="6E76C6F2">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（2）本合同</w:t>
      </w:r>
      <w:r>
        <w:rPr>
          <w:rFonts w:hint="eastAsia" w:ascii="宋体" w:hAnsi="宋体" w:cs="等线"/>
          <w:color w:val="auto"/>
          <w:highlight w:val="none"/>
          <w:u w:val="single"/>
        </w:rPr>
        <w:t xml:space="preserve"> 执行 </w:t>
      </w:r>
      <w:r>
        <w:rPr>
          <w:rFonts w:hint="eastAsia" w:ascii="宋体" w:hAnsi="宋体" w:cs="等线"/>
          <w:color w:val="auto"/>
          <w:highlight w:val="none"/>
        </w:rPr>
        <w:t>（执行（采用单价合同形式时）/不执行（采用总价合同形式时））通用合同条款本项约定的单价子目计量。总价子目计量方法按专用合同条款第17.1.5项总价子目的计量--</w:t>
      </w:r>
      <w:r>
        <w:rPr>
          <w:rFonts w:hint="eastAsia" w:ascii="宋体" w:hAnsi="宋体" w:cs="等线"/>
          <w:color w:val="auto"/>
          <w:highlight w:val="none"/>
          <w:u w:val="single"/>
        </w:rPr>
        <w:t>按实际完成工程量计量</w:t>
      </w:r>
      <w:r>
        <w:rPr>
          <w:rFonts w:hint="eastAsia" w:ascii="宋体" w:hAnsi="宋体" w:cs="等线"/>
          <w:color w:val="auto"/>
          <w:highlight w:val="none"/>
        </w:rPr>
        <w:t>（支付分解报告/按实际完成工程量计量）。</w:t>
      </w:r>
    </w:p>
    <w:p w14:paraId="5DBB1CE9">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17.1.5 总价子目的计量—支付分解报告</w:t>
      </w:r>
    </w:p>
    <w:p w14:paraId="6E50FF2B">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总价子目按照有合同约束力的支付分解表支付。承包人应根据合同条款第10条约定的合同进度计划和总价子目的总价构成、费用性质、计划发生时间和相应工作量等因素对各个总价子目的总价按月进行分解，形成支付分解报告。承包人应当在收到经过监理人批复的合同进度计划后7天内，将支付分解报告以及形成支付分解报告的分项计量和总价分解等支持性资料报监理人审批，监理人应当在收到承包人报送的支付分解报告后7天内给予批复或提出修改意见，经监理人批准的支付分解报告为有合同约束力的支付分解表。支付分解表应根据合同条款第10.2款约定的修订合同进度计划进行修正，修正的程序和期限应当依照本项上述约定，经修正的支付分解表为有合同约束力的支付分解表。</w:t>
      </w:r>
    </w:p>
    <w:p w14:paraId="3459FD5F">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（1）总价子目的价格调整方法：</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7B59FCF3">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（2）列入每月进度付款申请单中各总价子目的价值为有合同约束力的支付分解表中对应月份的总价子目总价值。</w:t>
      </w:r>
    </w:p>
    <w:p w14:paraId="4649F581">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（3）监理人根据有合同约束力的支付分解表复核列入每月进度付款申请单中的总价子目的总价值。</w:t>
      </w:r>
    </w:p>
    <w:p w14:paraId="1E5C4030">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（4）除按照第15条约定的变更外，在竣工结算时总价子目的工程量不应当重新计量，签约合同价所基于的工程量即是用于竣工结算的最终工程量。</w:t>
      </w:r>
    </w:p>
    <w:p w14:paraId="5417419C">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17.1.5 总价子目的计量--按实际完成工程量计量</w:t>
      </w:r>
    </w:p>
    <w:p w14:paraId="1B3CE527">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（1）总价子目的价格调整方法：</w:t>
      </w:r>
      <w:r>
        <w:rPr>
          <w:rFonts w:hint="eastAsia" w:ascii="宋体" w:hAnsi="宋体" w:cs="等线"/>
          <w:color w:val="auto"/>
          <w:highlight w:val="none"/>
          <w:u w:val="single"/>
        </w:rPr>
        <w:t>因非承包人原因引起已标价工程量清单中某个子目工程量变化，且承包人或监理人认为该变化引起相关措施项目发生变化的，承包人或监理人要求承包人针对措施项目的变化提交施工调整方案及价格调整报告，监理人批准后确定需调整的措施项目价款</w:t>
      </w:r>
      <w:r>
        <w:rPr>
          <w:rFonts w:hint="eastAsia" w:ascii="宋体" w:hAnsi="宋体" w:cs="等线"/>
          <w:color w:val="auto"/>
          <w:highlight w:val="none"/>
        </w:rPr>
        <w:t>。总价子目的计量和支付应以总价为基础，对承包人实际完成的工程量进行计量，是进行工程目标管理和控制进度款支付的依据。</w:t>
      </w:r>
    </w:p>
    <w:p w14:paraId="0A2FB6BA">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2）承包人在专用合同条款第17.1.3（1）目约定的每月计量截止日期后，对已完成的分部分项工程和单价措施项目的子目，按照专用合同条款第17.1.2项约定的计量方法进行计量，对已完成的总价措施项目的相关子目，按其总价构成、费用性质和实际发生比例进行计量，向监理人提交进度付款申请单、已完成工程量报表和有关计量资料。</w:t>
      </w:r>
    </w:p>
    <w:p w14:paraId="6381C1D4">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3）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03F5CE11">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（4）监理人应在收到承包人提交的工程量报表后的7天内进行复核，监理人未在约定时间内复核的，承包人提交的工程量报表中的工程量视为承包人实际完成的工程量，据此计算工程价款。</w:t>
      </w:r>
    </w:p>
    <w:p w14:paraId="07EF12CF">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（5）除按照第15条约定的变更外，在竣工结算时总价子目的工程量不应当重新计量，签约合同价所基于的工程量即是用于竣工结算的最终工程量。</w:t>
      </w:r>
    </w:p>
    <w:p w14:paraId="79B13E40">
      <w:pPr>
        <w:keepNext/>
        <w:keepLines/>
        <w:spacing w:line="360" w:lineRule="auto"/>
        <w:outlineLvl w:val="2"/>
        <w:rPr>
          <w:rFonts w:ascii="宋体" w:hAnsi="宋体" w:cs="等线"/>
          <w:color w:val="auto"/>
          <w:sz w:val="24"/>
          <w:highlight w:val="none"/>
        </w:rPr>
      </w:pPr>
      <w:bookmarkStart w:id="1711" w:name="_Toc159950832"/>
      <w:bookmarkStart w:id="1712" w:name="_Toc20943"/>
      <w:bookmarkStart w:id="1713" w:name="_Toc38732213"/>
      <w:r>
        <w:rPr>
          <w:rFonts w:hint="eastAsia" w:ascii="宋体" w:hAnsi="宋体" w:cs="等线"/>
          <w:color w:val="auto"/>
          <w:sz w:val="24"/>
          <w:highlight w:val="none"/>
        </w:rPr>
        <w:t>17.2 预付款</w:t>
      </w:r>
      <w:bookmarkEnd w:id="1711"/>
      <w:bookmarkEnd w:id="1712"/>
      <w:bookmarkEnd w:id="1713"/>
    </w:p>
    <w:p w14:paraId="1FAE2027">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17.2.1 预付款</w:t>
      </w:r>
    </w:p>
    <w:p w14:paraId="17342035">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（1）预付款额度</w:t>
      </w:r>
    </w:p>
    <w:p w14:paraId="45C45FA1">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预付款额度：合同额扣除暂列金（含税）后的</w:t>
      </w:r>
      <w:r>
        <w:rPr>
          <w:rFonts w:ascii="宋体" w:hAnsi="宋体" w:cs="等线"/>
          <w:color w:val="auto"/>
          <w:highlight w:val="none"/>
          <w:u w:val="single"/>
        </w:rPr>
        <w:t>30</w:t>
      </w:r>
      <w:r>
        <w:rPr>
          <w:rFonts w:hint="eastAsia" w:ascii="宋体" w:hAnsi="宋体" w:cs="等线"/>
          <w:color w:val="auto"/>
          <w:highlight w:val="none"/>
          <w:u w:val="single"/>
        </w:rPr>
        <w:t>%</w:t>
      </w:r>
    </w:p>
    <w:p w14:paraId="199588AE">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 xml:space="preserve">其中包含： </w:t>
      </w:r>
    </w:p>
    <w:p w14:paraId="18A94DA3">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安全文明施工费用预付额度：100%，其余按照施工进度支付。</w:t>
      </w:r>
    </w:p>
    <w:p w14:paraId="32141233">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 xml:space="preserve">其他预付款额度： 农民工工伤保险费额度100%    </w:t>
      </w:r>
    </w:p>
    <w:p w14:paraId="470AF9E8">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预付款预付办法：</w:t>
      </w:r>
      <w:r>
        <w:rPr>
          <w:rFonts w:hint="eastAsia" w:ascii="宋体" w:hAnsi="宋体" w:cs="等线"/>
          <w:color w:val="auto"/>
          <w:highlight w:val="none"/>
          <w:u w:val="single"/>
        </w:rPr>
        <w:t>发包人一次性向承包人支付预付款</w:t>
      </w:r>
      <w:r>
        <w:rPr>
          <w:rFonts w:hint="eastAsia" w:ascii="宋体" w:hAnsi="宋体" w:cs="等线"/>
          <w:color w:val="auto"/>
          <w:highlight w:val="none"/>
        </w:rPr>
        <w:t xml:space="preserve">。                           </w:t>
      </w:r>
    </w:p>
    <w:p w14:paraId="0B2208C9">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预付款的支付时间：</w:t>
      </w:r>
      <w:r>
        <w:rPr>
          <w:rFonts w:hint="eastAsia" w:ascii="宋体" w:hAnsi="宋体" w:cs="等线"/>
          <w:color w:val="auto"/>
          <w:highlight w:val="none"/>
          <w:u w:val="single"/>
        </w:rPr>
        <w:t>合同签订后，不迟于约定的开工日期前7日内</w:t>
      </w:r>
      <w:r>
        <w:rPr>
          <w:rFonts w:hint="eastAsia" w:ascii="宋体" w:hAnsi="宋体" w:cs="等线"/>
          <w:color w:val="auto"/>
          <w:highlight w:val="none"/>
        </w:rPr>
        <w:t>。</w:t>
      </w:r>
    </w:p>
    <w:p w14:paraId="33B7AFC8">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17.2.2 预付款保函</w:t>
      </w:r>
    </w:p>
    <w:p w14:paraId="28DF5E4E">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rPr>
        <w:t>预付款保函的金额与预付款金额相同。预付款保函的提交时间：</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1C31973A">
      <w:pPr>
        <w:keepNext/>
        <w:keepLines/>
        <w:spacing w:line="360" w:lineRule="auto"/>
        <w:outlineLvl w:val="2"/>
        <w:rPr>
          <w:rFonts w:ascii="宋体" w:hAnsi="宋体" w:cs="等线"/>
          <w:color w:val="auto"/>
          <w:sz w:val="24"/>
          <w:highlight w:val="none"/>
        </w:rPr>
      </w:pPr>
      <w:bookmarkStart w:id="1714" w:name="_Toc159950833"/>
      <w:bookmarkStart w:id="1715" w:name="_Toc22612"/>
      <w:bookmarkStart w:id="1716" w:name="_Toc38732214"/>
      <w:r>
        <w:rPr>
          <w:rFonts w:hint="eastAsia" w:ascii="宋体" w:hAnsi="宋体" w:cs="等线"/>
          <w:color w:val="auto"/>
          <w:sz w:val="24"/>
          <w:highlight w:val="none"/>
        </w:rPr>
        <w:t>17.3 工程进度付款</w:t>
      </w:r>
      <w:bookmarkEnd w:id="1714"/>
      <w:bookmarkEnd w:id="1715"/>
      <w:bookmarkEnd w:id="1716"/>
    </w:p>
    <w:p w14:paraId="35834B16">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17.3.2进度付款申请单</w:t>
      </w:r>
    </w:p>
    <w:p w14:paraId="08E45B9E">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进度付款申请单的份数：</w:t>
      </w:r>
      <w:r>
        <w:rPr>
          <w:rFonts w:hint="eastAsia" w:ascii="宋体" w:hAnsi="宋体" w:cs="等线"/>
          <w:color w:val="auto"/>
          <w:highlight w:val="none"/>
          <w:u w:val="single"/>
        </w:rPr>
        <w:t>/</w:t>
      </w:r>
      <w:r>
        <w:rPr>
          <w:rFonts w:hint="eastAsia" w:ascii="宋体" w:hAnsi="宋体" w:cs="等线"/>
          <w:color w:val="auto"/>
          <w:highlight w:val="none"/>
        </w:rPr>
        <w:t>。</w:t>
      </w:r>
    </w:p>
    <w:p w14:paraId="3B9B80F5">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rPr>
        <w:t>进度付款申请单的内容：</w:t>
      </w:r>
      <w:r>
        <w:rPr>
          <w:rFonts w:hint="eastAsia" w:ascii="宋体" w:hAnsi="宋体" w:cs="等线"/>
          <w:color w:val="auto"/>
          <w:highlight w:val="none"/>
          <w:u w:val="single"/>
        </w:rPr>
        <w:t>/</w:t>
      </w:r>
      <w:r>
        <w:rPr>
          <w:rFonts w:hint="eastAsia" w:ascii="宋体" w:hAnsi="宋体" w:cs="等线"/>
          <w:color w:val="auto"/>
          <w:highlight w:val="none"/>
        </w:rPr>
        <w:t xml:space="preserve">。 </w:t>
      </w:r>
    </w:p>
    <w:p w14:paraId="57AF188F">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17.3.3进度付款证书和支付时间：</w:t>
      </w:r>
      <w:r>
        <w:rPr>
          <w:rFonts w:hint="eastAsia" w:ascii="宋体" w:hAnsi="宋体" w:cs="等线"/>
          <w:color w:val="auto"/>
          <w:highlight w:val="none"/>
          <w:u w:val="single"/>
        </w:rPr>
        <w:t>/。</w:t>
      </w:r>
    </w:p>
    <w:p w14:paraId="734E12D1">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逾期付款违约金的计算标准为：</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1534D935">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rPr>
        <w:t>逾期付款违约金的计算方法为：</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277D94B5">
      <w:pPr>
        <w:spacing w:line="360" w:lineRule="auto"/>
        <w:ind w:firstLine="420" w:firstLineChars="200"/>
        <w:rPr>
          <w:rFonts w:ascii="宋体" w:hAnsi="宋体" w:cs="等线"/>
          <w:color w:val="auto"/>
          <w:szCs w:val="21"/>
          <w:highlight w:val="none"/>
        </w:rPr>
      </w:pPr>
      <w:r>
        <w:rPr>
          <w:rFonts w:hint="eastAsia" w:ascii="宋体" w:hAnsi="宋体" w:cs="等线"/>
          <w:color w:val="auto"/>
          <w:highlight w:val="none"/>
        </w:rPr>
        <w:t>（4）进度付款涉及政府性资金的支付方法：</w:t>
      </w:r>
      <w:r>
        <w:rPr>
          <w:rFonts w:hint="eastAsia" w:ascii="宋体" w:hAnsi="宋体" w:cs="等线"/>
          <w:color w:val="auto"/>
          <w:highlight w:val="none"/>
          <w:u w:val="single"/>
        </w:rPr>
        <w:t>执行财政部国库集中支付的相关规定：由于项目建设资金属于财政性资金，付款时间必须遵循本项目财政拨款到校时间为准，工程款（包括工程预付款、工程进度款、工程结算款、工程质保金等）支付时间受建设资金到位时限的限制，项目发包人按照上述约定及流程办理工程款支付审核应视为项目发包人按合同约定支付工程款，履行了工程款支付义务。</w:t>
      </w:r>
    </w:p>
    <w:p w14:paraId="17BE9E0D">
      <w:pPr>
        <w:spacing w:line="360" w:lineRule="auto"/>
        <w:ind w:firstLine="420" w:firstLineChars="200"/>
        <w:rPr>
          <w:rFonts w:ascii="宋体" w:hAnsi="宋体" w:cs="等线"/>
          <w:color w:val="auto"/>
          <w:szCs w:val="21"/>
          <w:highlight w:val="none"/>
        </w:rPr>
      </w:pPr>
      <w:r>
        <w:rPr>
          <w:rFonts w:ascii="宋体" w:hAnsi="宋体" w:cs="等线"/>
          <w:color w:val="auto"/>
          <w:szCs w:val="21"/>
          <w:highlight w:val="none"/>
        </w:rPr>
        <w:t>工程进度款支付比例：</w:t>
      </w:r>
      <w:r>
        <w:rPr>
          <w:rFonts w:hint="eastAsia" w:ascii="宋体" w:hAnsi="宋体" w:cs="等线"/>
          <w:color w:val="auto"/>
          <w:szCs w:val="21"/>
          <w:highlight w:val="none"/>
          <w:u w:val="single"/>
        </w:rPr>
        <w:t>工程竣工验收合格后14日内，支付至竣工验收前合同价款总额的</w:t>
      </w:r>
      <w:r>
        <w:rPr>
          <w:rFonts w:ascii="宋体" w:hAnsi="宋体" w:cs="等线"/>
          <w:color w:val="auto"/>
          <w:szCs w:val="21"/>
          <w:highlight w:val="none"/>
          <w:u w:val="single"/>
        </w:rPr>
        <w:t>85</w:t>
      </w:r>
      <w:r>
        <w:rPr>
          <w:rFonts w:hint="eastAsia" w:ascii="宋体" w:hAnsi="宋体" w:cs="等线"/>
          <w:color w:val="auto"/>
          <w:szCs w:val="21"/>
          <w:highlight w:val="none"/>
          <w:u w:val="single"/>
        </w:rPr>
        <w:t>%后停止支付；审计单位审计后14日内，支付至工程价款结算总额的100%。工程竣工结算后，承包人需向甲方支付工程结算价款总额3%的作为工程质量保证金。</w:t>
      </w:r>
    </w:p>
    <w:p w14:paraId="48CDCA34">
      <w:pPr>
        <w:spacing w:line="360" w:lineRule="auto"/>
        <w:ind w:firstLine="420" w:firstLineChars="200"/>
        <w:rPr>
          <w:rFonts w:ascii="宋体" w:hAnsi="宋体" w:cs="等线"/>
          <w:color w:val="auto"/>
          <w:szCs w:val="21"/>
          <w:highlight w:val="none"/>
        </w:rPr>
      </w:pPr>
      <w:r>
        <w:rPr>
          <w:rFonts w:ascii="宋体" w:hAnsi="宋体" w:cs="等线"/>
          <w:color w:val="auto"/>
          <w:szCs w:val="21"/>
          <w:highlight w:val="none"/>
        </w:rPr>
        <w:t>(</w:t>
      </w:r>
      <w:r>
        <w:rPr>
          <w:rFonts w:hint="eastAsia" w:ascii="宋体" w:hAnsi="宋体" w:cs="等线"/>
          <w:color w:val="auto"/>
          <w:szCs w:val="21"/>
          <w:highlight w:val="none"/>
        </w:rPr>
        <w:t>1</w:t>
      </w:r>
      <w:r>
        <w:rPr>
          <w:rFonts w:ascii="宋体" w:hAnsi="宋体" w:cs="等线"/>
          <w:color w:val="auto"/>
          <w:szCs w:val="21"/>
          <w:highlight w:val="none"/>
        </w:rPr>
        <w:t>) 鉴于本工程是财政资金项目，应遵从相关财务管理规定。施工单位编制结算书，经监理单位、建设单位等各方审核后，最终结算依据建设单位委托第三方中介审计咨询单位审计报告结果意见。</w:t>
      </w:r>
    </w:p>
    <w:p w14:paraId="19D31172">
      <w:pPr>
        <w:spacing w:line="360" w:lineRule="auto"/>
        <w:ind w:firstLine="420" w:firstLineChars="200"/>
        <w:rPr>
          <w:rFonts w:ascii="宋体" w:hAnsi="宋体" w:cs="等线"/>
          <w:color w:val="auto"/>
          <w:szCs w:val="21"/>
          <w:highlight w:val="none"/>
        </w:rPr>
      </w:pPr>
      <w:r>
        <w:rPr>
          <w:rFonts w:hint="eastAsia" w:ascii="宋体" w:hAnsi="宋体" w:cs="等线"/>
          <w:color w:val="auto"/>
          <w:szCs w:val="21"/>
          <w:highlight w:val="none"/>
        </w:rPr>
        <w:t>17.3.5 临时付款证书</w:t>
      </w:r>
    </w:p>
    <w:p w14:paraId="5151131C">
      <w:pPr>
        <w:spacing w:line="360" w:lineRule="auto"/>
        <w:ind w:firstLine="420" w:firstLineChars="200"/>
        <w:rPr>
          <w:rFonts w:ascii="宋体" w:hAnsi="宋体" w:cs="等线"/>
          <w:color w:val="auto"/>
          <w:highlight w:val="none"/>
        </w:rPr>
      </w:pPr>
      <w:r>
        <w:rPr>
          <w:rFonts w:hint="eastAsia" w:ascii="宋体" w:hAnsi="宋体" w:cs="等线"/>
          <w:color w:val="auto"/>
          <w:szCs w:val="21"/>
          <w:highlight w:val="none"/>
        </w:rPr>
        <w:t>在合同约定的期限内，承包人和监理人无法对当期已完工程量和按合同约定应当支付的其他款项达成一致的，监理人应当在收到承包人报送的进度付款申请单等文件后14天内，就承包人没有异议的金额准备一</w:t>
      </w:r>
      <w:r>
        <w:rPr>
          <w:rFonts w:hint="eastAsia" w:ascii="宋体" w:hAnsi="宋体" w:cs="等线"/>
          <w:color w:val="auto"/>
          <w:highlight w:val="none"/>
        </w:rPr>
        <w:t>个临时付款证书，报送发包人审查。临时付款证书中应当说明承包人有异议部分的金额及其原因，经发包人签认后，由监理人向承包人出具临时付款证书。发包人应当在监理人收到进度付款申请单后28天内，将临时付款证书中确定的应付金额支付给承包人。发包人和监理人均不得以任何理由延期支付工程进度付款。</w:t>
      </w:r>
    </w:p>
    <w:p w14:paraId="2E570B10">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对临时付款证书中列明的承包人有异议部分的金额，承包人应当按照监理人要求，提交进一步的支持性文件和（或）与监理人做进一步共同复核工作，经监理人进一步审核并认可的应付金额，应当按通用合同条款第17.3.4项的约定纳入到下一期进度付款证书中。经过进一步努力，承包人仍有异议的，按合同条款第24条的约定办理。</w:t>
      </w:r>
    </w:p>
    <w:p w14:paraId="5C50423F">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有异议款项中经监理人进一步审核后认可的或者经过合同条款第24条约定的争议解决方式确定的应付金额，其应付之日为引发异议的进度付款证书的应付之日，承包人有权得到按专用合同条款17.3.3（2）目约定计算的逾期付款违约金。</w:t>
      </w:r>
    </w:p>
    <w:p w14:paraId="0E0A5823">
      <w:pPr>
        <w:keepNext/>
        <w:keepLines/>
        <w:spacing w:line="360" w:lineRule="auto"/>
        <w:outlineLvl w:val="2"/>
        <w:rPr>
          <w:rFonts w:ascii="宋体" w:hAnsi="宋体" w:cs="等线"/>
          <w:color w:val="auto"/>
          <w:sz w:val="24"/>
          <w:highlight w:val="none"/>
        </w:rPr>
      </w:pPr>
      <w:bookmarkStart w:id="1717" w:name="_Toc38732215"/>
      <w:bookmarkStart w:id="1718" w:name="_Toc159950834"/>
      <w:bookmarkStart w:id="1719" w:name="_Toc14058"/>
      <w:r>
        <w:rPr>
          <w:rFonts w:hint="eastAsia" w:ascii="宋体" w:hAnsi="宋体" w:cs="等线"/>
          <w:color w:val="auto"/>
          <w:sz w:val="24"/>
          <w:highlight w:val="none"/>
        </w:rPr>
        <w:t>17.4 质量保证金</w:t>
      </w:r>
      <w:bookmarkEnd w:id="1717"/>
      <w:bookmarkEnd w:id="1718"/>
      <w:bookmarkEnd w:id="1719"/>
    </w:p>
    <w:p w14:paraId="3DE3E3BF">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17.4.1质量保证金处理</w:t>
      </w:r>
    </w:p>
    <w:p w14:paraId="6AA4F698">
      <w:pPr>
        <w:spacing w:line="360" w:lineRule="auto"/>
        <w:ind w:firstLine="420" w:firstLineChars="200"/>
        <w:rPr>
          <w:rFonts w:ascii="宋体" w:hAnsi="宋体" w:cs="等线"/>
          <w:color w:val="auto"/>
          <w:highlight w:val="none"/>
        </w:rPr>
      </w:pPr>
      <w:bookmarkStart w:id="1720" w:name="_Toc1643"/>
      <w:bookmarkStart w:id="1721" w:name="_Toc38732216"/>
      <w:r>
        <w:rPr>
          <w:rFonts w:hint="eastAsia" w:ascii="宋体" w:hAnsi="宋体" w:cs="等线"/>
          <w:color w:val="auto"/>
          <w:highlight w:val="none"/>
        </w:rPr>
        <w:t>（3）质量保证金形式：</w:t>
      </w:r>
      <w:r>
        <w:rPr>
          <w:rFonts w:hint="eastAsia" w:ascii="宋体" w:hAnsi="宋体" w:cs="等线"/>
          <w:color w:val="auto"/>
          <w:highlight w:val="none"/>
          <w:u w:val="single"/>
        </w:rPr>
        <w:t>现金转账。</w:t>
      </w:r>
      <w:r>
        <w:rPr>
          <w:rFonts w:hint="eastAsia" w:ascii="宋体" w:hAnsi="宋体" w:cs="等线"/>
          <w:color w:val="auto"/>
          <w:highlight w:val="none"/>
        </w:rPr>
        <w:t xml:space="preserve">       </w:t>
      </w:r>
    </w:p>
    <w:p w14:paraId="559507C0">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经发包人审核，项目验收完成后，承包人向发包人支付审核工程款的3%作为质量保证金，质保期满2年后，工程无质量问题，双方无其他争议，发包人无息返还质量保证金。</w:t>
      </w:r>
    </w:p>
    <w:p w14:paraId="5157251E">
      <w:pPr>
        <w:keepNext/>
        <w:keepLines/>
        <w:spacing w:line="360" w:lineRule="auto"/>
        <w:outlineLvl w:val="2"/>
        <w:rPr>
          <w:rFonts w:ascii="宋体" w:hAnsi="宋体" w:cs="等线"/>
          <w:color w:val="auto"/>
          <w:sz w:val="24"/>
          <w:highlight w:val="none"/>
        </w:rPr>
      </w:pPr>
      <w:bookmarkStart w:id="1722" w:name="_Toc159950835"/>
      <w:r>
        <w:rPr>
          <w:rFonts w:hint="eastAsia" w:ascii="宋体" w:hAnsi="宋体" w:cs="等线"/>
          <w:color w:val="auto"/>
          <w:sz w:val="24"/>
          <w:highlight w:val="none"/>
        </w:rPr>
        <w:t>17.5 竣工结算</w:t>
      </w:r>
      <w:bookmarkEnd w:id="1720"/>
      <w:bookmarkEnd w:id="1721"/>
      <w:bookmarkEnd w:id="1722"/>
    </w:p>
    <w:p w14:paraId="1737DDF9">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17.5.1竣工付款申请单</w:t>
      </w:r>
    </w:p>
    <w:p w14:paraId="554B466A">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rPr>
        <w:t>承包人提交竣工付款申请单的份数：</w:t>
      </w:r>
      <w:r>
        <w:rPr>
          <w:rFonts w:hint="eastAsia" w:ascii="宋体" w:hAnsi="宋体" w:cs="等线"/>
          <w:color w:val="auto"/>
          <w:highlight w:val="none"/>
          <w:u w:val="single"/>
        </w:rPr>
        <w:t>一式五份</w:t>
      </w:r>
      <w:r>
        <w:rPr>
          <w:rFonts w:hint="eastAsia" w:ascii="宋体" w:hAnsi="宋体" w:cs="等线"/>
          <w:color w:val="auto"/>
          <w:highlight w:val="none"/>
        </w:rPr>
        <w:t>。</w:t>
      </w:r>
    </w:p>
    <w:p w14:paraId="43D929BF">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rPr>
        <w:t>承包人提交竣工付款申请单的期限：</w:t>
      </w:r>
      <w:r>
        <w:rPr>
          <w:rFonts w:hint="eastAsia" w:ascii="宋体" w:hAnsi="宋体" w:cs="等线"/>
          <w:color w:val="auto"/>
          <w:highlight w:val="none"/>
          <w:u w:val="single"/>
        </w:rPr>
        <w:t>工程竣工后28日内提交结算报告及完整的结算资料。</w:t>
      </w:r>
    </w:p>
    <w:p w14:paraId="7D236B09">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竣工付款申请单的内容：</w:t>
      </w:r>
      <w:r>
        <w:rPr>
          <w:rFonts w:hint="eastAsia" w:ascii="宋体" w:hAnsi="宋体" w:cs="等线"/>
          <w:color w:val="auto"/>
          <w:highlight w:val="none"/>
          <w:u w:val="single"/>
        </w:rPr>
        <w:t>按照发包人规定的格式和内容填写，应包括但不限于竣工结算合同总价、已支付的工程价款、应扣回的预付款、应扣留的质量保证金、应支付的竣工付款金额、工程变更、工程洽商、现场签证等</w:t>
      </w:r>
      <w:r>
        <w:rPr>
          <w:rFonts w:hint="eastAsia" w:ascii="宋体" w:hAnsi="宋体" w:cs="等线"/>
          <w:color w:val="auto"/>
          <w:highlight w:val="none"/>
        </w:rPr>
        <w:t>。</w:t>
      </w:r>
    </w:p>
    <w:p w14:paraId="52CE32A0">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 xml:space="preserve">承包人未按本项约定的期限和内容提交竣工付款申请单或者未按通用合同条款第17.5.1（2)目约定提交修正后的竣工付款申请单，经监理人催促后14天内仍未提交或者没有明确答复的，监理人和发包人有权根据已有资料进行审查，审查确定的竣工结算合同总价和竣工付款金额视同是经承包人认可的工程竣工结算合同总价和竣工付款金额。   </w:t>
      </w:r>
    </w:p>
    <w:p w14:paraId="4B7915CA">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不管通用合同条款17.5.2项如何约定，发包人和承包人应当在监理人颁发（出具）工程接收证书后56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7F45D546">
      <w:pPr>
        <w:keepNext/>
        <w:keepLines/>
        <w:spacing w:line="360" w:lineRule="auto"/>
        <w:outlineLvl w:val="2"/>
        <w:rPr>
          <w:rFonts w:ascii="宋体" w:hAnsi="宋体" w:cs="等线"/>
          <w:color w:val="auto"/>
          <w:sz w:val="24"/>
          <w:highlight w:val="none"/>
        </w:rPr>
      </w:pPr>
      <w:bookmarkStart w:id="1723" w:name="_Toc38732217"/>
      <w:bookmarkStart w:id="1724" w:name="_Toc20753"/>
      <w:bookmarkStart w:id="1725" w:name="_Toc159950836"/>
      <w:r>
        <w:rPr>
          <w:rFonts w:hint="eastAsia" w:ascii="宋体" w:hAnsi="宋体" w:cs="等线"/>
          <w:color w:val="auto"/>
          <w:sz w:val="24"/>
          <w:highlight w:val="none"/>
        </w:rPr>
        <w:t>17.6 最终结清</w:t>
      </w:r>
      <w:bookmarkEnd w:id="1723"/>
      <w:bookmarkEnd w:id="1724"/>
      <w:bookmarkEnd w:id="1725"/>
    </w:p>
    <w:p w14:paraId="3513D80A">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17.6.1最终结清申请单</w:t>
      </w:r>
    </w:p>
    <w:p w14:paraId="5553C9FA">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rPr>
        <w:t>承包人提交最终结清申请单的份数：</w:t>
      </w:r>
      <w:r>
        <w:rPr>
          <w:rFonts w:hint="eastAsia" w:ascii="宋体" w:hAnsi="宋体" w:cs="等线"/>
          <w:color w:val="auto"/>
          <w:highlight w:val="none"/>
          <w:u w:val="single"/>
        </w:rPr>
        <w:t>一式五份</w:t>
      </w:r>
      <w:r>
        <w:rPr>
          <w:rFonts w:hint="eastAsia" w:ascii="宋体" w:hAnsi="宋体" w:cs="等线"/>
          <w:color w:val="auto"/>
          <w:highlight w:val="none"/>
        </w:rPr>
        <w:t>。</w:t>
      </w:r>
    </w:p>
    <w:p w14:paraId="0A786D91">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承包人提交最终结清申请单的期限：</w:t>
      </w:r>
      <w:r>
        <w:rPr>
          <w:rFonts w:hint="eastAsia" w:ascii="宋体" w:hAnsi="宋体" w:cs="等线"/>
          <w:color w:val="auto"/>
          <w:highlight w:val="none"/>
          <w:u w:val="single"/>
        </w:rPr>
        <w:t>在缺陷责任期终止证书颁发后28日内</w:t>
      </w:r>
      <w:r>
        <w:rPr>
          <w:rFonts w:hint="eastAsia" w:ascii="宋体" w:hAnsi="宋体" w:cs="等线"/>
          <w:color w:val="auto"/>
          <w:highlight w:val="none"/>
        </w:rPr>
        <w:t>。</w:t>
      </w:r>
    </w:p>
    <w:p w14:paraId="490FFCD0">
      <w:pPr>
        <w:keepNext/>
        <w:keepLines/>
        <w:spacing w:line="400" w:lineRule="exact"/>
        <w:outlineLvl w:val="1"/>
        <w:rPr>
          <w:rFonts w:ascii="宋体" w:hAnsi="宋体" w:cs="等线"/>
          <w:color w:val="auto"/>
          <w:sz w:val="24"/>
          <w:highlight w:val="none"/>
        </w:rPr>
      </w:pPr>
      <w:bookmarkStart w:id="1726" w:name="_Toc159950837"/>
      <w:bookmarkStart w:id="1727" w:name="_Toc29798"/>
      <w:bookmarkStart w:id="1728" w:name="_Toc38732218"/>
      <w:bookmarkStart w:id="1729" w:name="_Toc5328"/>
      <w:r>
        <w:rPr>
          <w:rFonts w:hint="eastAsia" w:ascii="宋体" w:hAnsi="宋体" w:cs="等线"/>
          <w:color w:val="auto"/>
          <w:sz w:val="24"/>
          <w:highlight w:val="none"/>
        </w:rPr>
        <w:t>18. 竣工验收</w:t>
      </w:r>
      <w:bookmarkEnd w:id="1726"/>
      <w:bookmarkEnd w:id="1727"/>
      <w:bookmarkEnd w:id="1728"/>
      <w:bookmarkEnd w:id="1729"/>
    </w:p>
    <w:p w14:paraId="056286B1">
      <w:pPr>
        <w:keepNext/>
        <w:keepLines/>
        <w:spacing w:line="360" w:lineRule="auto"/>
        <w:outlineLvl w:val="2"/>
        <w:rPr>
          <w:rFonts w:ascii="宋体" w:hAnsi="宋体" w:cs="等线"/>
          <w:color w:val="auto"/>
          <w:sz w:val="24"/>
          <w:highlight w:val="none"/>
        </w:rPr>
      </w:pPr>
      <w:bookmarkStart w:id="1730" w:name="_Toc159950838"/>
      <w:bookmarkStart w:id="1731" w:name="_Toc12525"/>
      <w:bookmarkStart w:id="1732" w:name="_Toc38732219"/>
      <w:r>
        <w:rPr>
          <w:rFonts w:hint="eastAsia" w:ascii="宋体" w:hAnsi="宋体" w:cs="等线"/>
          <w:color w:val="auto"/>
          <w:sz w:val="24"/>
          <w:highlight w:val="none"/>
        </w:rPr>
        <w:t>18.2 竣工验收申请报告</w:t>
      </w:r>
      <w:bookmarkEnd w:id="1730"/>
      <w:bookmarkEnd w:id="1731"/>
      <w:bookmarkEnd w:id="1732"/>
    </w:p>
    <w:p w14:paraId="2FD5E096">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（2）承包人负责整理和提交的竣工验收资料应当符合工程所在地建设行政主管部门和（或）城市建设档案管理机构有关施工资料的要求，具体内容包括：</w:t>
      </w:r>
      <w:r>
        <w:rPr>
          <w:rFonts w:hint="eastAsia" w:ascii="宋体" w:hAnsi="宋体" w:cs="等线"/>
          <w:color w:val="auto"/>
          <w:highlight w:val="none"/>
          <w:u w:val="single"/>
        </w:rPr>
        <w:t>除监理人同意列入缺陷责任期内完成的尾工（甩项）工程和缺陷修补工作外，合同范围内的全部单位工程以及有关工作，包括合同要求的试验，试运行以及检验和验收均已完成，并符合合同要求；已按合同约定的内容和份数备齐了符合要求的竣工资料；已按监理人的要求编制了在缺陷责任期内完成的尾工（甩项）工程和缺陷修补工作清单以及相应施工计划；监理人要求在竣工验收前应完成的其他工作；监理人要求提交的竣工验收资料清单；由监理人确认的工程相关项目管理系统电子版竣工验收资料。归档要求及范围详见发包方要求。</w:t>
      </w:r>
    </w:p>
    <w:p w14:paraId="3B159B61">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竣工验收资料的份数：</w:t>
      </w:r>
      <w:r>
        <w:rPr>
          <w:rFonts w:hint="eastAsia" w:ascii="宋体" w:hAnsi="宋体" w:cs="等线"/>
          <w:color w:val="auto"/>
          <w:highlight w:val="none"/>
          <w:u w:val="single"/>
        </w:rPr>
        <w:t>6套竣工图及2套工程档案资料。</w:t>
      </w:r>
    </w:p>
    <w:p w14:paraId="46F6BD9E">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竣工验收资料的费用支付方式：</w:t>
      </w:r>
      <w:r>
        <w:rPr>
          <w:rFonts w:hint="eastAsia" w:ascii="宋体" w:hAnsi="宋体" w:cs="等线"/>
          <w:color w:val="auto"/>
          <w:highlight w:val="none"/>
          <w:u w:val="single"/>
        </w:rPr>
        <w:t>已包含在合同价款中，由承包人承担。</w:t>
      </w:r>
    </w:p>
    <w:p w14:paraId="02D52706">
      <w:pPr>
        <w:keepNext/>
        <w:keepLines/>
        <w:spacing w:line="360" w:lineRule="auto"/>
        <w:outlineLvl w:val="2"/>
        <w:rPr>
          <w:rFonts w:ascii="宋体" w:hAnsi="宋体" w:cs="等线"/>
          <w:color w:val="auto"/>
          <w:sz w:val="24"/>
          <w:highlight w:val="none"/>
        </w:rPr>
      </w:pPr>
      <w:bookmarkStart w:id="1733" w:name="_Toc159950839"/>
      <w:bookmarkStart w:id="1734" w:name="_Toc28472"/>
      <w:bookmarkStart w:id="1735" w:name="_Toc38732220"/>
      <w:r>
        <w:rPr>
          <w:rFonts w:hint="eastAsia" w:ascii="宋体" w:hAnsi="宋体" w:cs="等线"/>
          <w:color w:val="auto"/>
          <w:sz w:val="24"/>
          <w:highlight w:val="none"/>
        </w:rPr>
        <w:t>18.3 验 收</w:t>
      </w:r>
      <w:bookmarkEnd w:id="1733"/>
      <w:bookmarkEnd w:id="1734"/>
      <w:bookmarkEnd w:id="1735"/>
    </w:p>
    <w:p w14:paraId="4646D5BD">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18.3.5经验收合格的工程, 实际竣工日期为承包人按照第18.2款提交竣工验收申请报告或按照本款重新提交竣工验收申请报告的日期（以两者中时间在后者为准）。</w:t>
      </w:r>
    </w:p>
    <w:p w14:paraId="26829539">
      <w:pPr>
        <w:keepNext/>
        <w:keepLines/>
        <w:spacing w:line="360" w:lineRule="auto"/>
        <w:outlineLvl w:val="2"/>
        <w:rPr>
          <w:rFonts w:ascii="宋体" w:hAnsi="宋体" w:cs="等线"/>
          <w:color w:val="auto"/>
          <w:sz w:val="24"/>
          <w:highlight w:val="none"/>
        </w:rPr>
      </w:pPr>
      <w:bookmarkStart w:id="1736" w:name="_Toc25187"/>
      <w:bookmarkStart w:id="1737" w:name="_Toc38732221"/>
      <w:bookmarkStart w:id="1738" w:name="_Toc159950840"/>
      <w:r>
        <w:rPr>
          <w:rFonts w:hint="eastAsia" w:ascii="宋体" w:hAnsi="宋体" w:cs="等线"/>
          <w:color w:val="auto"/>
          <w:sz w:val="24"/>
          <w:highlight w:val="none"/>
        </w:rPr>
        <w:t>18.5 施工期运行</w:t>
      </w:r>
      <w:bookmarkEnd w:id="1736"/>
      <w:bookmarkEnd w:id="1737"/>
      <w:bookmarkEnd w:id="1738"/>
    </w:p>
    <w:p w14:paraId="7AA362DA">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rPr>
        <w:t>18.5.1需要施工期运行的单位工程或设备安装工程：</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69143968">
      <w:pPr>
        <w:keepNext/>
        <w:keepLines/>
        <w:spacing w:line="360" w:lineRule="auto"/>
        <w:outlineLvl w:val="2"/>
        <w:rPr>
          <w:rFonts w:ascii="宋体" w:hAnsi="宋体" w:cs="等线"/>
          <w:color w:val="auto"/>
          <w:sz w:val="24"/>
          <w:highlight w:val="none"/>
        </w:rPr>
      </w:pPr>
      <w:bookmarkStart w:id="1739" w:name="_Toc3306"/>
      <w:bookmarkStart w:id="1740" w:name="_Toc38732222"/>
      <w:bookmarkStart w:id="1741" w:name="_Toc159950841"/>
      <w:r>
        <w:rPr>
          <w:rFonts w:hint="eastAsia" w:ascii="宋体" w:hAnsi="宋体" w:cs="等线"/>
          <w:color w:val="auto"/>
          <w:sz w:val="24"/>
          <w:highlight w:val="none"/>
        </w:rPr>
        <w:t>18.6 试运行</w:t>
      </w:r>
      <w:bookmarkEnd w:id="1739"/>
      <w:bookmarkEnd w:id="1740"/>
      <w:bookmarkEnd w:id="1741"/>
    </w:p>
    <w:p w14:paraId="47EB407E">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18.6.1工程及工程设备试运行的组织与费用承担</w:t>
      </w:r>
    </w:p>
    <w:p w14:paraId="27160954">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（1）工程设备安装具备单机无负荷试运行条件，由承包人组织试运行，费用由承包人承担。</w:t>
      </w:r>
    </w:p>
    <w:p w14:paraId="1370900B">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（2） 工程设备安装具备无负荷联动试运行条件，由发包人组织试运行，费用由发包人承担。</w:t>
      </w:r>
    </w:p>
    <w:p w14:paraId="6052B622">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（3）投料试运行应在工程竣工验收后由发包人负责，如发包人要求在工程竣工验收前进行或需要承包人配合时，应征得承包人同意，另行签订补充协议。</w:t>
      </w:r>
    </w:p>
    <w:p w14:paraId="602222C5">
      <w:pPr>
        <w:keepNext/>
        <w:keepLines/>
        <w:spacing w:line="360" w:lineRule="auto"/>
        <w:outlineLvl w:val="2"/>
        <w:rPr>
          <w:rFonts w:ascii="宋体" w:hAnsi="宋体" w:cs="等线"/>
          <w:color w:val="auto"/>
          <w:sz w:val="24"/>
          <w:highlight w:val="none"/>
        </w:rPr>
      </w:pPr>
      <w:bookmarkStart w:id="1742" w:name="_Toc38732223"/>
      <w:bookmarkStart w:id="1743" w:name="_Toc5810"/>
      <w:bookmarkStart w:id="1744" w:name="_Toc159950842"/>
      <w:r>
        <w:rPr>
          <w:rFonts w:hint="eastAsia" w:ascii="宋体" w:hAnsi="宋体" w:cs="等线"/>
          <w:color w:val="auto"/>
          <w:sz w:val="24"/>
          <w:highlight w:val="none"/>
        </w:rPr>
        <w:t>18.7 竣工清场</w:t>
      </w:r>
      <w:bookmarkEnd w:id="1742"/>
      <w:bookmarkEnd w:id="1743"/>
      <w:bookmarkEnd w:id="1744"/>
    </w:p>
    <w:p w14:paraId="189CD967">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18.7.1监理人颁发（出具）工程接收证书后，承包人负责按照通用合同条款本项约定的要求对施工场地进行清理并承担相关费用，直至监理人检验合格为止。</w:t>
      </w:r>
    </w:p>
    <w:p w14:paraId="544D053B">
      <w:pPr>
        <w:keepNext/>
        <w:keepLines/>
        <w:spacing w:line="360" w:lineRule="auto"/>
        <w:outlineLvl w:val="2"/>
        <w:rPr>
          <w:rFonts w:ascii="宋体" w:hAnsi="宋体" w:cs="等线"/>
          <w:color w:val="auto"/>
          <w:sz w:val="24"/>
          <w:highlight w:val="none"/>
        </w:rPr>
      </w:pPr>
      <w:bookmarkStart w:id="1745" w:name="_Toc159950843"/>
      <w:bookmarkStart w:id="1746" w:name="_Toc23795"/>
      <w:bookmarkStart w:id="1747" w:name="_Toc38732224"/>
      <w:r>
        <w:rPr>
          <w:rFonts w:hint="eastAsia" w:ascii="宋体" w:hAnsi="宋体" w:cs="等线"/>
          <w:color w:val="auto"/>
          <w:sz w:val="24"/>
          <w:highlight w:val="none"/>
        </w:rPr>
        <w:t>18.8 施工队伍的撤离</w:t>
      </w:r>
      <w:bookmarkEnd w:id="1745"/>
      <w:bookmarkEnd w:id="1746"/>
      <w:bookmarkEnd w:id="1747"/>
    </w:p>
    <w:p w14:paraId="29CE86D8">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承包人按照通用合同条款第18.8款约定撤离施工场地（现场）时，监理人和承包人应当办理永久工程和施工场地移交手续，移交手续以书面方式出具，并分别经过发包人、监理人和承包人的签认。但是，监理人和发包人未按专用合同条款17.5.1项约定的期限办清竣工结算和竣工付款的，本工程不得交付使用，发包人和监理人也无权要求承包人按合同约定的期限撤离施工场地（现场）和办理工程移交手续。</w:t>
      </w:r>
    </w:p>
    <w:p w14:paraId="7317E136">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rPr>
        <w:t>缺陷责任期满时，承包人可以继续在施工场地保留的人员和施工设备以及最终撤离的期限：</w:t>
      </w:r>
      <w:r>
        <w:rPr>
          <w:rFonts w:hint="eastAsia" w:ascii="宋体" w:hAnsi="宋体" w:cs="等线"/>
          <w:color w:val="auto"/>
          <w:highlight w:val="none"/>
          <w:u w:val="singl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r>
        <w:rPr>
          <w:rFonts w:hint="eastAsia" w:ascii="宋体" w:hAnsi="宋体" w:cs="等线"/>
          <w:color w:val="auto"/>
          <w:highlight w:val="none"/>
        </w:rPr>
        <w:t>。</w:t>
      </w:r>
    </w:p>
    <w:p w14:paraId="7627BF2A">
      <w:pPr>
        <w:keepNext/>
        <w:keepLines/>
        <w:spacing w:line="360" w:lineRule="auto"/>
        <w:outlineLvl w:val="2"/>
        <w:rPr>
          <w:rFonts w:ascii="宋体" w:hAnsi="宋体" w:cs="等线"/>
          <w:color w:val="auto"/>
          <w:sz w:val="24"/>
          <w:highlight w:val="none"/>
        </w:rPr>
      </w:pPr>
      <w:bookmarkStart w:id="1748" w:name="_Toc159950844"/>
      <w:bookmarkStart w:id="1749" w:name="_Toc8270"/>
      <w:bookmarkStart w:id="1750" w:name="_Toc38732225"/>
      <w:r>
        <w:rPr>
          <w:rFonts w:hint="eastAsia" w:ascii="宋体" w:hAnsi="宋体" w:cs="等线"/>
          <w:color w:val="auto"/>
          <w:sz w:val="24"/>
          <w:highlight w:val="none"/>
        </w:rPr>
        <w:t>18.9 中间验收</w:t>
      </w:r>
      <w:bookmarkEnd w:id="1748"/>
      <w:bookmarkEnd w:id="1749"/>
      <w:bookmarkEnd w:id="1750"/>
    </w:p>
    <w:p w14:paraId="6DDD937C">
      <w:pPr>
        <w:spacing w:line="360" w:lineRule="auto"/>
        <w:ind w:firstLine="525" w:firstLineChars="250"/>
        <w:rPr>
          <w:rFonts w:ascii="宋体" w:hAnsi="宋体" w:cs="等线"/>
          <w:color w:val="auto"/>
          <w:highlight w:val="none"/>
        </w:rPr>
      </w:pPr>
      <w:r>
        <w:rPr>
          <w:rFonts w:hint="eastAsia" w:ascii="宋体" w:hAnsi="宋体" w:cs="等线"/>
          <w:color w:val="auto"/>
          <w:highlight w:val="none"/>
        </w:rPr>
        <w:t>本工程需要进行中间验收的部位如下：</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686FE52B">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当工程进度达到本款约定的中间验收部位时，承包人应当进行自检，并在中间验收前48小时以书面形式通知监理人验收。书面通知应包括中间验收的内容、验收时间和地点。承包人应当准备验收记录。只有监理人验收合格并在验收记录上签字后，承包人方可继续施工。验收不合格的，承包人在</w:t>
      </w:r>
      <w:r>
        <w:rPr>
          <w:rFonts w:hint="eastAsia" w:ascii="宋体" w:hAnsi="宋体" w:cs="等线"/>
          <w:color w:val="auto"/>
          <w:highlight w:val="none"/>
          <w:u w:val="single"/>
        </w:rPr>
        <w:t xml:space="preserve">      /      </w:t>
      </w:r>
      <w:r>
        <w:rPr>
          <w:rFonts w:hint="eastAsia" w:ascii="宋体" w:hAnsi="宋体" w:cs="等线"/>
          <w:color w:val="auto"/>
          <w:highlight w:val="none"/>
        </w:rPr>
        <w:t>期限内进行修改后重新验收。</w:t>
      </w:r>
    </w:p>
    <w:p w14:paraId="27B79CD5">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监理人不能按时进行验收的，应在验收前24小时以书面形式向承包人提出延期要求，延期不能超过48小时。监理人未能按本款约定的时限提出延期要求，又未按期进行验收的，承包人可自行组织验收，监理人必须认同验收记录。</w:t>
      </w:r>
    </w:p>
    <w:p w14:paraId="4A0854AC">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经监理人验收后工程质量符合约定的验收标准，但验收24小时后监理人仍不在验收记录上签字的，视为监理人已经认可验收记录，承包人可继续施工。</w:t>
      </w:r>
    </w:p>
    <w:p w14:paraId="3CA5144A">
      <w:pPr>
        <w:keepNext/>
        <w:keepLines/>
        <w:spacing w:line="400" w:lineRule="exact"/>
        <w:outlineLvl w:val="1"/>
        <w:rPr>
          <w:rFonts w:ascii="宋体" w:hAnsi="宋体" w:cs="等线"/>
          <w:color w:val="auto"/>
          <w:sz w:val="24"/>
          <w:highlight w:val="none"/>
        </w:rPr>
      </w:pPr>
      <w:bookmarkStart w:id="1751" w:name="_Toc38732226"/>
      <w:bookmarkStart w:id="1752" w:name="_Toc8626"/>
      <w:bookmarkStart w:id="1753" w:name="_Toc4373"/>
      <w:bookmarkStart w:id="1754" w:name="_Toc159950845"/>
      <w:r>
        <w:rPr>
          <w:rFonts w:hint="eastAsia" w:ascii="宋体" w:hAnsi="宋体" w:cs="等线"/>
          <w:color w:val="auto"/>
          <w:sz w:val="24"/>
          <w:highlight w:val="none"/>
        </w:rPr>
        <w:t>19. 缺陷责任与保修责任</w:t>
      </w:r>
      <w:bookmarkEnd w:id="1751"/>
      <w:bookmarkEnd w:id="1752"/>
      <w:bookmarkEnd w:id="1753"/>
      <w:bookmarkEnd w:id="1754"/>
    </w:p>
    <w:p w14:paraId="24083180">
      <w:pPr>
        <w:keepNext/>
        <w:keepLines/>
        <w:spacing w:line="360" w:lineRule="auto"/>
        <w:outlineLvl w:val="2"/>
        <w:rPr>
          <w:rFonts w:ascii="宋体" w:hAnsi="宋体" w:cs="等线"/>
          <w:color w:val="auto"/>
          <w:sz w:val="24"/>
          <w:highlight w:val="none"/>
        </w:rPr>
      </w:pPr>
      <w:bookmarkStart w:id="1755" w:name="_Toc38732227"/>
      <w:bookmarkStart w:id="1756" w:name="_Toc159950846"/>
      <w:bookmarkStart w:id="1757" w:name="_Toc22186"/>
      <w:r>
        <w:rPr>
          <w:rFonts w:hint="eastAsia" w:ascii="宋体" w:hAnsi="宋体" w:cs="等线"/>
          <w:color w:val="auto"/>
          <w:sz w:val="24"/>
          <w:highlight w:val="none"/>
        </w:rPr>
        <w:t>19.7 保修责任</w:t>
      </w:r>
      <w:bookmarkEnd w:id="1755"/>
      <w:bookmarkEnd w:id="1756"/>
      <w:bookmarkEnd w:id="1757"/>
    </w:p>
    <w:p w14:paraId="695FD470">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（1）工程质量保修范围：</w:t>
      </w:r>
      <w:r>
        <w:rPr>
          <w:rFonts w:hint="eastAsia" w:ascii="宋体" w:hAnsi="宋体" w:cs="等线"/>
          <w:color w:val="auto"/>
          <w:highlight w:val="none"/>
          <w:u w:val="single"/>
        </w:rPr>
        <w:t>由施工单位负责实施的所有项目</w:t>
      </w:r>
      <w:r>
        <w:rPr>
          <w:rFonts w:hint="eastAsia" w:ascii="宋体" w:hAnsi="宋体" w:cs="等线"/>
          <w:color w:val="auto"/>
          <w:highlight w:val="none"/>
        </w:rPr>
        <w:t>。</w:t>
      </w:r>
    </w:p>
    <w:p w14:paraId="1C65BDD5">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（2）工程质量保修期限：</w:t>
      </w:r>
      <w:r>
        <w:rPr>
          <w:rFonts w:hint="eastAsia" w:ascii="宋体" w:hAnsi="宋体" w:cs="等线"/>
          <w:color w:val="auto"/>
          <w:highlight w:val="none"/>
          <w:u w:val="single"/>
        </w:rPr>
        <w:t>根据《建设工程质量管理条例》的规定，供热与供冷系统，为两个采暖期、供冷期；电气管线、给排水管道、设备安装和装修工程为两年；其他工程的保修期限为两年。建设工程的保修期，自竣工验收合格之日起计算</w:t>
      </w:r>
      <w:r>
        <w:rPr>
          <w:rFonts w:hint="eastAsia" w:ascii="宋体" w:hAnsi="宋体" w:cs="等线"/>
          <w:color w:val="auto"/>
          <w:highlight w:val="none"/>
        </w:rPr>
        <w:t>。</w:t>
      </w:r>
    </w:p>
    <w:p w14:paraId="06305280">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（3）工程质量保修责任：</w:t>
      </w:r>
      <w:r>
        <w:rPr>
          <w:rFonts w:hint="eastAsia" w:ascii="宋体" w:hAnsi="宋体" w:cs="等线"/>
          <w:color w:val="auto"/>
          <w:highlight w:val="none"/>
          <w:u w:val="single"/>
        </w:rPr>
        <w:t>缺陷责任期内，由承包人原因造成的缺陷，承包人应负责维修，并承担鉴定及维修费用。并承担鉴定及维修费用。如承包人不维修也不承担费用，发包人可扣除保证金，并由承包人承担违约责任，保证金不足以支付维修费用的，承包人仍应承担全部差额。承包人维修并承担相应费用后，不免除对工程的一般损失赔偿责任</w:t>
      </w:r>
      <w:r>
        <w:rPr>
          <w:rFonts w:hint="eastAsia" w:ascii="宋体" w:hAnsi="宋体" w:cs="等线"/>
          <w:color w:val="auto"/>
          <w:highlight w:val="none"/>
        </w:rPr>
        <w:t>。</w:t>
      </w:r>
    </w:p>
    <w:p w14:paraId="06D99BDF">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质量保修书是竣工验收申请报告的组成内容。承包人应当按照有关法律法规规定和合同所附的格式出具质量保修书，质量保修书的主要内容应当与本款上述约定内容一致。承包人在递交合同条款第18.2款约定的竣工验收报告的同时，将质量保修书一并报送监理人。</w:t>
      </w:r>
    </w:p>
    <w:p w14:paraId="653D634C">
      <w:pPr>
        <w:keepNext/>
        <w:keepLines/>
        <w:spacing w:line="400" w:lineRule="exact"/>
        <w:outlineLvl w:val="1"/>
        <w:rPr>
          <w:rFonts w:ascii="宋体" w:hAnsi="宋体" w:cs="等线"/>
          <w:color w:val="auto"/>
          <w:sz w:val="24"/>
          <w:highlight w:val="none"/>
        </w:rPr>
      </w:pPr>
      <w:bookmarkStart w:id="1758" w:name="_Toc38732228"/>
      <w:bookmarkStart w:id="1759" w:name="_Toc9439"/>
      <w:bookmarkStart w:id="1760" w:name="_Toc159950847"/>
      <w:bookmarkStart w:id="1761" w:name="_Toc10339"/>
      <w:r>
        <w:rPr>
          <w:rFonts w:hint="eastAsia" w:ascii="宋体" w:hAnsi="宋体" w:cs="等线"/>
          <w:color w:val="auto"/>
          <w:sz w:val="24"/>
          <w:highlight w:val="none"/>
        </w:rPr>
        <w:t>20. 保险 （本项目不适用）</w:t>
      </w:r>
      <w:bookmarkEnd w:id="1758"/>
      <w:bookmarkEnd w:id="1759"/>
      <w:bookmarkEnd w:id="1760"/>
      <w:bookmarkEnd w:id="1761"/>
    </w:p>
    <w:p w14:paraId="7F1737AB">
      <w:pPr>
        <w:keepNext/>
        <w:keepLines/>
        <w:spacing w:line="360" w:lineRule="auto"/>
        <w:outlineLvl w:val="2"/>
        <w:rPr>
          <w:rFonts w:ascii="宋体" w:hAnsi="宋体" w:cs="等线"/>
          <w:color w:val="auto"/>
          <w:sz w:val="24"/>
          <w:highlight w:val="none"/>
        </w:rPr>
      </w:pPr>
      <w:bookmarkStart w:id="1762" w:name="_Toc159950848"/>
      <w:bookmarkStart w:id="1763" w:name="_Toc26968"/>
      <w:bookmarkStart w:id="1764" w:name="_Toc38732229"/>
      <w:r>
        <w:rPr>
          <w:rFonts w:hint="eastAsia" w:ascii="宋体" w:hAnsi="宋体" w:cs="等线"/>
          <w:color w:val="auto"/>
          <w:sz w:val="24"/>
          <w:highlight w:val="none"/>
        </w:rPr>
        <w:t>20.1 工程保险</w:t>
      </w:r>
      <w:bookmarkEnd w:id="1762"/>
      <w:bookmarkEnd w:id="1763"/>
      <w:bookmarkEnd w:id="1764"/>
    </w:p>
    <w:p w14:paraId="38BF8BE4">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本工程</w:t>
      </w:r>
      <w:r>
        <w:rPr>
          <w:rFonts w:hint="eastAsia" w:ascii="宋体" w:hAnsi="宋体" w:cs="等线"/>
          <w:color w:val="auto"/>
          <w:highlight w:val="none"/>
          <w:u w:val="single"/>
        </w:rPr>
        <w:t xml:space="preserve">         </w:t>
      </w:r>
      <w:r>
        <w:rPr>
          <w:rFonts w:hint="eastAsia" w:ascii="宋体" w:hAnsi="宋体" w:cs="等线"/>
          <w:color w:val="auto"/>
          <w:highlight w:val="none"/>
        </w:rPr>
        <w:t>(投保/不投保)工程保险。投保工程保险时，险种为：</w:t>
      </w:r>
      <w:r>
        <w:rPr>
          <w:rFonts w:hint="eastAsia" w:ascii="宋体" w:hAnsi="宋体" w:cs="等线"/>
          <w:color w:val="auto"/>
          <w:highlight w:val="none"/>
          <w:u w:val="single"/>
        </w:rPr>
        <w:t xml:space="preserve">                 </w:t>
      </w:r>
      <w:r>
        <w:rPr>
          <w:rFonts w:hint="eastAsia" w:ascii="宋体" w:hAnsi="宋体" w:cs="等线"/>
          <w:color w:val="auto"/>
          <w:highlight w:val="none"/>
        </w:rPr>
        <w:t>，并符合以下约定。</w:t>
      </w:r>
    </w:p>
    <w:p w14:paraId="27666B8B">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（1）投保人：</w:t>
      </w:r>
      <w:r>
        <w:rPr>
          <w:rFonts w:hint="eastAsia" w:ascii="宋体" w:hAnsi="宋体" w:cs="等线"/>
          <w:color w:val="auto"/>
          <w:highlight w:val="none"/>
          <w:u w:val="single"/>
        </w:rPr>
        <w:t xml:space="preserve">                      </w:t>
      </w:r>
      <w:r>
        <w:rPr>
          <w:rFonts w:ascii="宋体" w:hAnsi="宋体" w:cs="等线"/>
          <w:color w:val="auto"/>
          <w:highlight w:val="none"/>
          <w:u w:val="single"/>
        </w:rPr>
        <w:t xml:space="preserve">      </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1F387270">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（2）投保内容：</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538AFC57">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（3）保险费率：由投保人与合同双方同意的保险人商定。</w:t>
      </w:r>
    </w:p>
    <w:p w14:paraId="15FF84A7">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（4）保险金额：</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0690B57E">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rPr>
        <w:t>（5）保险期限：</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788F4670">
      <w:pPr>
        <w:keepNext/>
        <w:keepLines/>
        <w:spacing w:line="360" w:lineRule="auto"/>
        <w:outlineLvl w:val="2"/>
        <w:rPr>
          <w:rFonts w:ascii="宋体" w:hAnsi="宋体" w:cs="等线"/>
          <w:color w:val="auto"/>
          <w:sz w:val="24"/>
          <w:highlight w:val="none"/>
        </w:rPr>
      </w:pPr>
      <w:bookmarkStart w:id="1765" w:name="_Toc10961"/>
      <w:bookmarkStart w:id="1766" w:name="_Toc38732230"/>
      <w:bookmarkStart w:id="1767" w:name="_Toc159950849"/>
      <w:r>
        <w:rPr>
          <w:rFonts w:hint="eastAsia" w:ascii="宋体" w:hAnsi="宋体" w:cs="等线"/>
          <w:color w:val="auto"/>
          <w:sz w:val="24"/>
          <w:highlight w:val="none"/>
        </w:rPr>
        <w:t>20.4 第三者责任险</w:t>
      </w:r>
      <w:bookmarkEnd w:id="1765"/>
      <w:bookmarkEnd w:id="1766"/>
      <w:bookmarkEnd w:id="1767"/>
    </w:p>
    <w:p w14:paraId="2B8E2236">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20.4.2保险金额：</w:t>
      </w:r>
      <w:r>
        <w:rPr>
          <w:rFonts w:hint="eastAsia" w:ascii="宋体" w:hAnsi="宋体" w:cs="等线"/>
          <w:color w:val="auto"/>
          <w:highlight w:val="none"/>
          <w:u w:val="single"/>
        </w:rPr>
        <w:t xml:space="preserve">                         </w:t>
      </w:r>
      <w:r>
        <w:rPr>
          <w:rFonts w:hint="eastAsia" w:ascii="宋体" w:hAnsi="宋体" w:cs="等线"/>
          <w:color w:val="auto"/>
          <w:highlight w:val="none"/>
        </w:rPr>
        <w:t>，保险费率由承包人与发包人同意的保险人商定，相关保险费由</w:t>
      </w:r>
      <w:r>
        <w:rPr>
          <w:rFonts w:hint="eastAsia" w:ascii="宋体" w:hAnsi="宋体" w:cs="等线"/>
          <w:color w:val="auto"/>
          <w:highlight w:val="none"/>
          <w:u w:val="single"/>
        </w:rPr>
        <w:t xml:space="preserve">             </w:t>
      </w:r>
      <w:r>
        <w:rPr>
          <w:rFonts w:hint="eastAsia" w:ascii="宋体" w:hAnsi="宋体" w:cs="等线"/>
          <w:color w:val="auto"/>
          <w:highlight w:val="none"/>
        </w:rPr>
        <w:t>承担。</w:t>
      </w:r>
    </w:p>
    <w:p w14:paraId="06C33E46">
      <w:pPr>
        <w:keepNext/>
        <w:keepLines/>
        <w:spacing w:line="360" w:lineRule="auto"/>
        <w:outlineLvl w:val="2"/>
        <w:rPr>
          <w:rFonts w:ascii="宋体" w:hAnsi="宋体" w:cs="等线"/>
          <w:color w:val="auto"/>
          <w:sz w:val="24"/>
          <w:highlight w:val="none"/>
        </w:rPr>
      </w:pPr>
      <w:bookmarkStart w:id="1768" w:name="_Toc159950850"/>
      <w:bookmarkStart w:id="1769" w:name="_Toc38732231"/>
      <w:bookmarkStart w:id="1770" w:name="_Toc9512"/>
      <w:r>
        <w:rPr>
          <w:rFonts w:hint="eastAsia" w:ascii="宋体" w:hAnsi="宋体" w:cs="等线"/>
          <w:color w:val="auto"/>
          <w:sz w:val="24"/>
          <w:highlight w:val="none"/>
        </w:rPr>
        <w:t>20.5 其他保险</w:t>
      </w:r>
      <w:bookmarkEnd w:id="1768"/>
      <w:bookmarkEnd w:id="1769"/>
      <w:bookmarkEnd w:id="1770"/>
    </w:p>
    <w:p w14:paraId="0B38AFF1">
      <w:pPr>
        <w:spacing w:line="360" w:lineRule="auto"/>
        <w:ind w:firstLine="420" w:firstLineChars="200"/>
        <w:rPr>
          <w:rFonts w:ascii="宋体" w:hAnsi="宋体" w:cs="等线"/>
          <w:color w:val="auto"/>
          <w:highlight w:val="none"/>
          <w:u w:val="single"/>
        </w:rPr>
      </w:pPr>
      <w:r>
        <w:rPr>
          <w:rFonts w:hint="eastAsia" w:ascii="宋体" w:hAnsi="宋体" w:cs="等线"/>
          <w:color w:val="auto"/>
          <w:highlight w:val="none"/>
        </w:rPr>
        <w:t>承包人应为其施工设备、进场材料和工程设备等办理的保险：</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18C25FFC">
      <w:pPr>
        <w:keepNext/>
        <w:keepLines/>
        <w:spacing w:line="360" w:lineRule="auto"/>
        <w:outlineLvl w:val="2"/>
        <w:rPr>
          <w:rFonts w:ascii="宋体" w:hAnsi="宋体" w:cs="等线"/>
          <w:color w:val="auto"/>
          <w:sz w:val="24"/>
          <w:highlight w:val="none"/>
        </w:rPr>
      </w:pPr>
      <w:bookmarkStart w:id="1771" w:name="_Toc30601"/>
      <w:bookmarkStart w:id="1772" w:name="_Toc159950851"/>
      <w:bookmarkStart w:id="1773" w:name="_Toc38732232"/>
      <w:r>
        <w:rPr>
          <w:rFonts w:hint="eastAsia" w:ascii="宋体" w:hAnsi="宋体" w:cs="等线"/>
          <w:color w:val="auto"/>
          <w:sz w:val="24"/>
          <w:highlight w:val="none"/>
        </w:rPr>
        <w:t>20.6 对各项保险的一般要求</w:t>
      </w:r>
      <w:bookmarkEnd w:id="1771"/>
      <w:bookmarkEnd w:id="1772"/>
      <w:bookmarkEnd w:id="1773"/>
    </w:p>
    <w:p w14:paraId="73E8F932">
      <w:pPr>
        <w:spacing w:line="360" w:lineRule="auto"/>
        <w:rPr>
          <w:rFonts w:ascii="宋体" w:hAnsi="宋体" w:cs="等线"/>
          <w:color w:val="auto"/>
          <w:highlight w:val="none"/>
        </w:rPr>
      </w:pPr>
      <w:r>
        <w:rPr>
          <w:rFonts w:hint="eastAsia" w:ascii="宋体" w:hAnsi="宋体" w:cs="等线"/>
          <w:color w:val="auto"/>
          <w:highlight w:val="none"/>
        </w:rPr>
        <w:t>20.6.1保险凭证</w:t>
      </w:r>
    </w:p>
    <w:p w14:paraId="4BACEB46">
      <w:pPr>
        <w:spacing w:line="360" w:lineRule="auto"/>
        <w:ind w:firstLine="525"/>
        <w:rPr>
          <w:rFonts w:ascii="宋体" w:hAnsi="宋体" w:cs="等线"/>
          <w:color w:val="auto"/>
          <w:highlight w:val="none"/>
          <w:u w:val="single"/>
        </w:rPr>
      </w:pPr>
      <w:r>
        <w:rPr>
          <w:rFonts w:hint="eastAsia" w:ascii="宋体" w:hAnsi="宋体" w:cs="等线"/>
          <w:color w:val="auto"/>
          <w:highlight w:val="none"/>
        </w:rPr>
        <w:t>承包人向发包人提交各项保险生效的证据和保险单副本的期限：</w:t>
      </w:r>
      <w:r>
        <w:rPr>
          <w:rFonts w:hint="eastAsia" w:ascii="宋体" w:hAnsi="宋体" w:cs="等线"/>
          <w:color w:val="auto"/>
          <w:highlight w:val="none"/>
          <w:u w:val="single"/>
        </w:rPr>
        <w:t xml:space="preserve">                 </w:t>
      </w:r>
      <w:r>
        <w:rPr>
          <w:rFonts w:ascii="宋体" w:hAnsi="宋体" w:cs="等线"/>
          <w:color w:val="auto"/>
          <w:highlight w:val="none"/>
          <w:u w:val="single"/>
        </w:rPr>
        <w:t xml:space="preserve">          </w:t>
      </w:r>
      <w:r>
        <w:rPr>
          <w:rFonts w:hint="eastAsia" w:ascii="宋体" w:hAnsi="宋体" w:cs="等线"/>
          <w:color w:val="auto"/>
          <w:highlight w:val="none"/>
          <w:u w:val="single"/>
        </w:rPr>
        <w:t xml:space="preserve"> </w:t>
      </w:r>
      <w:r>
        <w:rPr>
          <w:rFonts w:hint="eastAsia" w:ascii="宋体" w:hAnsi="宋体" w:cs="等线"/>
          <w:color w:val="auto"/>
          <w:highlight w:val="none"/>
        </w:rPr>
        <w:t>。</w:t>
      </w:r>
    </w:p>
    <w:p w14:paraId="43CABCDD">
      <w:pPr>
        <w:spacing w:line="360" w:lineRule="auto"/>
        <w:rPr>
          <w:rFonts w:ascii="宋体" w:hAnsi="宋体" w:cs="等线"/>
          <w:color w:val="auto"/>
          <w:highlight w:val="none"/>
        </w:rPr>
      </w:pPr>
      <w:r>
        <w:rPr>
          <w:rFonts w:hint="eastAsia" w:ascii="宋体" w:hAnsi="宋体" w:cs="等线"/>
          <w:color w:val="auto"/>
          <w:highlight w:val="none"/>
        </w:rPr>
        <w:t>20.6.4保险金不足的补偿</w:t>
      </w:r>
    </w:p>
    <w:p w14:paraId="53BC3B5B">
      <w:pPr>
        <w:spacing w:line="360" w:lineRule="auto"/>
        <w:ind w:firstLine="525"/>
        <w:rPr>
          <w:rFonts w:ascii="宋体" w:hAnsi="宋体" w:cs="等线"/>
          <w:color w:val="auto"/>
          <w:highlight w:val="none"/>
          <w:u w:val="single"/>
        </w:rPr>
      </w:pPr>
      <w:r>
        <w:rPr>
          <w:rFonts w:hint="eastAsia" w:ascii="宋体" w:hAnsi="宋体" w:cs="等线"/>
          <w:color w:val="auto"/>
          <w:highlight w:val="none"/>
        </w:rPr>
        <w:t>保险金不足以补偿损失时，承包人和发包人负责补偿的责任分摊：</w:t>
      </w:r>
      <w:r>
        <w:rPr>
          <w:rFonts w:hint="eastAsia" w:ascii="宋体" w:hAnsi="宋体" w:cs="等线"/>
          <w:color w:val="auto"/>
          <w:highlight w:val="none"/>
          <w:u w:val="single"/>
        </w:rPr>
        <w:t xml:space="preserve">                   </w:t>
      </w:r>
      <w:r>
        <w:rPr>
          <w:rFonts w:ascii="宋体" w:hAnsi="宋体" w:cs="等线"/>
          <w:color w:val="auto"/>
          <w:highlight w:val="none"/>
          <w:u w:val="single"/>
        </w:rPr>
        <w:t xml:space="preserve">         </w:t>
      </w:r>
      <w:r>
        <w:rPr>
          <w:rFonts w:hint="eastAsia" w:ascii="宋体" w:hAnsi="宋体" w:cs="等线"/>
          <w:color w:val="auto"/>
          <w:highlight w:val="none"/>
        </w:rPr>
        <w:t>。</w:t>
      </w:r>
    </w:p>
    <w:p w14:paraId="773E006D">
      <w:pPr>
        <w:keepNext/>
        <w:keepLines/>
        <w:spacing w:line="400" w:lineRule="exact"/>
        <w:outlineLvl w:val="1"/>
        <w:rPr>
          <w:rFonts w:ascii="宋体" w:hAnsi="宋体" w:cs="等线"/>
          <w:color w:val="auto"/>
          <w:sz w:val="24"/>
          <w:highlight w:val="none"/>
        </w:rPr>
      </w:pPr>
      <w:bookmarkStart w:id="1774" w:name="_Toc159950852"/>
      <w:bookmarkStart w:id="1775" w:name="_Toc9795"/>
      <w:bookmarkStart w:id="1776" w:name="_Toc808"/>
      <w:bookmarkStart w:id="1777" w:name="_Toc38732233"/>
      <w:r>
        <w:rPr>
          <w:rFonts w:hint="eastAsia" w:ascii="宋体" w:hAnsi="宋体" w:cs="等线"/>
          <w:color w:val="auto"/>
          <w:sz w:val="24"/>
          <w:highlight w:val="none"/>
        </w:rPr>
        <w:t>21. 不可抗力</w:t>
      </w:r>
      <w:bookmarkEnd w:id="1774"/>
      <w:bookmarkEnd w:id="1775"/>
      <w:bookmarkEnd w:id="1776"/>
      <w:bookmarkEnd w:id="1777"/>
    </w:p>
    <w:p w14:paraId="20A344CB">
      <w:pPr>
        <w:keepNext/>
        <w:keepLines/>
        <w:spacing w:line="360" w:lineRule="auto"/>
        <w:outlineLvl w:val="2"/>
        <w:rPr>
          <w:rFonts w:ascii="宋体" w:hAnsi="宋体" w:cs="等线"/>
          <w:color w:val="auto"/>
          <w:sz w:val="24"/>
          <w:highlight w:val="none"/>
        </w:rPr>
      </w:pPr>
      <w:bookmarkStart w:id="1778" w:name="_Toc17208"/>
      <w:bookmarkStart w:id="1779" w:name="_Toc159950853"/>
      <w:bookmarkStart w:id="1780" w:name="_Toc38732234"/>
      <w:r>
        <w:rPr>
          <w:rFonts w:hint="eastAsia" w:ascii="宋体" w:hAnsi="宋体" w:cs="等线"/>
          <w:color w:val="auto"/>
          <w:sz w:val="24"/>
          <w:highlight w:val="none"/>
        </w:rPr>
        <w:t>21.1 不可抗力的确认</w:t>
      </w:r>
      <w:bookmarkEnd w:id="1778"/>
      <w:bookmarkEnd w:id="1779"/>
      <w:bookmarkEnd w:id="1780"/>
    </w:p>
    <w:p w14:paraId="3292E881">
      <w:pPr>
        <w:spacing w:line="360" w:lineRule="auto"/>
        <w:ind w:firstLine="525"/>
        <w:rPr>
          <w:rFonts w:ascii="宋体" w:hAnsi="宋体" w:cs="等线"/>
          <w:color w:val="auto"/>
          <w:highlight w:val="none"/>
        </w:rPr>
      </w:pPr>
      <w:r>
        <w:rPr>
          <w:rFonts w:hint="eastAsia" w:ascii="宋体" w:hAnsi="宋体" w:cs="等线"/>
          <w:color w:val="auto"/>
          <w:highlight w:val="none"/>
        </w:rPr>
        <w:t>21.1.1通用合同条款第21.1.1项约定的不可抗力以外的其他情形：</w:t>
      </w:r>
      <w:r>
        <w:rPr>
          <w:rFonts w:hint="eastAsia" w:ascii="宋体" w:hAnsi="宋体" w:cs="等线"/>
          <w:color w:val="auto"/>
          <w:highlight w:val="none"/>
          <w:u w:val="single"/>
        </w:rPr>
        <w:t xml:space="preserve">        /   </w:t>
      </w:r>
      <w:r>
        <w:rPr>
          <w:rFonts w:hint="eastAsia" w:ascii="宋体" w:hAnsi="宋体" w:cs="等线"/>
          <w:color w:val="auto"/>
          <w:highlight w:val="none"/>
        </w:rPr>
        <w:t>。</w:t>
      </w:r>
    </w:p>
    <w:p w14:paraId="48EE5EA6">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不可抗力的等级范围约定：</w:t>
      </w:r>
      <w:r>
        <w:rPr>
          <w:rFonts w:hint="eastAsia" w:ascii="宋体" w:hAnsi="宋体" w:cs="等线"/>
          <w:color w:val="auto"/>
          <w:highlight w:val="none"/>
          <w:u w:val="single"/>
        </w:rPr>
        <w:t>烈度7度（不含7度）以上地震，10级以上（不含10级）台风，日雨量60mm以上暴雨（以国家县（市）级以上气象局（台）、地震局（台）等专门机构公布为准），以及县市级以上政府公告不允许在本场地施工的时段</w:t>
      </w:r>
      <w:r>
        <w:rPr>
          <w:rFonts w:hint="eastAsia" w:ascii="宋体" w:hAnsi="宋体" w:cs="等线"/>
          <w:color w:val="auto"/>
          <w:highlight w:val="none"/>
        </w:rPr>
        <w:t>。</w:t>
      </w:r>
    </w:p>
    <w:p w14:paraId="7BB1F293">
      <w:pPr>
        <w:keepNext/>
        <w:keepLines/>
        <w:spacing w:line="360" w:lineRule="auto"/>
        <w:outlineLvl w:val="2"/>
        <w:rPr>
          <w:rFonts w:ascii="宋体" w:hAnsi="宋体" w:cs="等线"/>
          <w:color w:val="auto"/>
          <w:sz w:val="24"/>
          <w:highlight w:val="none"/>
        </w:rPr>
      </w:pPr>
      <w:bookmarkStart w:id="1781" w:name="_Toc159950854"/>
      <w:bookmarkStart w:id="1782" w:name="_Toc22704"/>
      <w:bookmarkStart w:id="1783" w:name="_Toc38732235"/>
      <w:r>
        <w:rPr>
          <w:rFonts w:hint="eastAsia" w:ascii="宋体" w:hAnsi="宋体" w:cs="等线"/>
          <w:color w:val="auto"/>
          <w:sz w:val="24"/>
          <w:highlight w:val="none"/>
        </w:rPr>
        <w:t>21.3 不可抗力后果及其处理</w:t>
      </w:r>
      <w:bookmarkEnd w:id="1781"/>
      <w:bookmarkEnd w:id="1782"/>
      <w:bookmarkEnd w:id="1783"/>
    </w:p>
    <w:p w14:paraId="74B3DD4C">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21.3.1不可抗力造成损害的责任</w:t>
      </w:r>
    </w:p>
    <w:p w14:paraId="333D9C07">
      <w:pPr>
        <w:spacing w:line="360" w:lineRule="auto"/>
        <w:ind w:firstLine="420" w:firstLineChars="200"/>
        <w:rPr>
          <w:rFonts w:ascii="宋体" w:hAnsi="宋体" w:cs="等线"/>
          <w:color w:val="auto"/>
          <w:highlight w:val="none"/>
        </w:rPr>
      </w:pPr>
      <w:r>
        <w:rPr>
          <w:rFonts w:hint="eastAsia" w:ascii="宋体" w:hAnsi="宋体" w:cs="等线"/>
          <w:color w:val="auto"/>
          <w:highlight w:val="none"/>
        </w:rPr>
        <w:t xml:space="preserve">不可抗力导致的人员伤亡、财产损失、费用增加和（或）工期延误等后果，由合同双方按通用合同条款第21.3.1项约定的原则承担。                                                                      </w:t>
      </w:r>
    </w:p>
    <w:p w14:paraId="5D979647">
      <w:pPr>
        <w:keepNext/>
        <w:keepLines/>
        <w:spacing w:line="400" w:lineRule="exact"/>
        <w:outlineLvl w:val="1"/>
        <w:rPr>
          <w:rFonts w:ascii="宋体" w:hAnsi="宋体" w:cs="等线"/>
          <w:color w:val="auto"/>
          <w:sz w:val="24"/>
          <w:highlight w:val="none"/>
        </w:rPr>
      </w:pPr>
      <w:bookmarkStart w:id="1784" w:name="_Toc159950855"/>
      <w:bookmarkStart w:id="1785" w:name="_Toc32180"/>
      <w:bookmarkStart w:id="1786" w:name="_Toc38732236"/>
      <w:bookmarkStart w:id="1787" w:name="_Toc23549"/>
      <w:r>
        <w:rPr>
          <w:rFonts w:hint="eastAsia" w:ascii="宋体" w:hAnsi="宋体" w:cs="等线"/>
          <w:color w:val="auto"/>
          <w:sz w:val="24"/>
          <w:highlight w:val="none"/>
        </w:rPr>
        <w:t>24. 争议的解决</w:t>
      </w:r>
      <w:bookmarkEnd w:id="1784"/>
      <w:bookmarkEnd w:id="1785"/>
      <w:bookmarkEnd w:id="1786"/>
      <w:bookmarkEnd w:id="1787"/>
    </w:p>
    <w:p w14:paraId="1B6D048D">
      <w:pPr>
        <w:keepNext/>
        <w:keepLines/>
        <w:spacing w:line="360" w:lineRule="auto"/>
        <w:outlineLvl w:val="2"/>
        <w:rPr>
          <w:rFonts w:ascii="宋体" w:hAnsi="宋体" w:cs="等线"/>
          <w:color w:val="auto"/>
          <w:sz w:val="24"/>
          <w:highlight w:val="none"/>
        </w:rPr>
      </w:pPr>
      <w:bookmarkStart w:id="1788" w:name="_Toc30954"/>
      <w:bookmarkStart w:id="1789" w:name="_Toc159950856"/>
      <w:bookmarkStart w:id="1790" w:name="_Toc38732237"/>
      <w:r>
        <w:rPr>
          <w:rFonts w:hint="eastAsia" w:ascii="宋体" w:hAnsi="宋体" w:cs="等线"/>
          <w:color w:val="auto"/>
          <w:sz w:val="24"/>
          <w:highlight w:val="none"/>
        </w:rPr>
        <w:t>24.1 争议的解决方式</w:t>
      </w:r>
      <w:bookmarkEnd w:id="1788"/>
      <w:bookmarkEnd w:id="1789"/>
      <w:bookmarkEnd w:id="1790"/>
    </w:p>
    <w:p w14:paraId="40545822">
      <w:pPr>
        <w:spacing w:line="360" w:lineRule="auto"/>
        <w:ind w:firstLine="525"/>
        <w:rPr>
          <w:rFonts w:ascii="宋体" w:hAnsi="宋体" w:cs="等线"/>
          <w:color w:val="auto"/>
          <w:highlight w:val="none"/>
        </w:rPr>
      </w:pPr>
      <w:r>
        <w:rPr>
          <w:rFonts w:hint="eastAsia" w:ascii="宋体" w:hAnsi="宋体" w:cs="等线"/>
          <w:color w:val="auto"/>
          <w:highlight w:val="none"/>
        </w:rPr>
        <w:t>因本合同引起的或与本合同有关的任何争议，合同双方友好协商不成、不愿提请争议组评审或者不愿接受争议评审组意见的，选择下列第</w:t>
      </w:r>
      <w:r>
        <w:rPr>
          <w:rFonts w:hint="eastAsia" w:ascii="宋体" w:hAnsi="宋体" w:cs="等线"/>
          <w:color w:val="auto"/>
          <w:highlight w:val="none"/>
          <w:u w:val="single"/>
        </w:rPr>
        <w:t xml:space="preserve"> 贰 </w:t>
      </w:r>
      <w:r>
        <w:rPr>
          <w:rFonts w:hint="eastAsia" w:ascii="宋体" w:hAnsi="宋体" w:cs="等线"/>
          <w:color w:val="auto"/>
          <w:highlight w:val="none"/>
        </w:rPr>
        <w:t>种方式解决：</w:t>
      </w:r>
    </w:p>
    <w:p w14:paraId="7EC5F20E">
      <w:pPr>
        <w:spacing w:line="360" w:lineRule="auto"/>
        <w:ind w:firstLine="525"/>
        <w:rPr>
          <w:rFonts w:ascii="宋体" w:hAnsi="宋体" w:cs="等线"/>
          <w:color w:val="auto"/>
          <w:highlight w:val="none"/>
        </w:rPr>
      </w:pPr>
      <w:r>
        <w:rPr>
          <w:rFonts w:hint="eastAsia" w:ascii="宋体" w:hAnsi="宋体" w:cs="等线"/>
          <w:color w:val="auto"/>
          <w:highlight w:val="none"/>
          <w:u w:val="single"/>
        </w:rPr>
        <w:t>（壹）</w:t>
      </w:r>
      <w:r>
        <w:rPr>
          <w:rFonts w:hint="eastAsia" w:ascii="宋体" w:hAnsi="宋体" w:cs="等线"/>
          <w:color w:val="auto"/>
          <w:highlight w:val="none"/>
        </w:rPr>
        <w:t>提请</w:t>
      </w:r>
      <w:r>
        <w:rPr>
          <w:rFonts w:hint="eastAsia" w:ascii="宋体" w:hAnsi="宋体" w:cs="等线"/>
          <w:color w:val="auto"/>
          <w:highlight w:val="none"/>
          <w:u w:val="single"/>
        </w:rPr>
        <w:t xml:space="preserve"> 北京</w:t>
      </w:r>
      <w:r>
        <w:rPr>
          <w:rFonts w:hint="eastAsia" w:ascii="宋体" w:hAnsi="宋体" w:cs="等线"/>
          <w:color w:val="auto"/>
          <w:highlight w:val="none"/>
        </w:rPr>
        <w:t>仲裁委员会按照该会仲裁规则进行仲裁，仲裁裁决是终局的，对合同双方均有约束力。</w:t>
      </w:r>
    </w:p>
    <w:p w14:paraId="0AE3FDE6">
      <w:pPr>
        <w:spacing w:line="360" w:lineRule="auto"/>
        <w:ind w:firstLine="525"/>
        <w:rPr>
          <w:rFonts w:ascii="宋体" w:hAnsi="宋体" w:cs="等线"/>
          <w:color w:val="auto"/>
          <w:highlight w:val="none"/>
        </w:rPr>
      </w:pPr>
      <w:r>
        <w:rPr>
          <w:rFonts w:hint="eastAsia" w:ascii="宋体" w:hAnsi="宋体" w:cs="等线"/>
          <w:color w:val="auto"/>
          <w:highlight w:val="none"/>
          <w:u w:val="single"/>
        </w:rPr>
        <w:t>（贰）</w:t>
      </w:r>
      <w:r>
        <w:rPr>
          <w:rFonts w:hint="eastAsia" w:ascii="宋体" w:hAnsi="宋体" w:cs="等线"/>
          <w:color w:val="auto"/>
          <w:highlight w:val="none"/>
        </w:rPr>
        <w:t>向通州区人民法院提起诉讼。</w:t>
      </w:r>
    </w:p>
    <w:p w14:paraId="679008F0">
      <w:pPr>
        <w:keepNext/>
        <w:keepLines/>
        <w:spacing w:line="360" w:lineRule="auto"/>
        <w:outlineLvl w:val="2"/>
        <w:rPr>
          <w:rFonts w:ascii="宋体" w:hAnsi="宋体" w:cs="等线"/>
          <w:color w:val="auto"/>
          <w:sz w:val="24"/>
          <w:highlight w:val="none"/>
        </w:rPr>
      </w:pPr>
      <w:bookmarkStart w:id="1791" w:name="_Toc6100"/>
      <w:bookmarkStart w:id="1792" w:name="_Toc38732238"/>
      <w:bookmarkStart w:id="1793" w:name="_Toc159950857"/>
      <w:r>
        <w:rPr>
          <w:rFonts w:hint="eastAsia" w:ascii="宋体" w:hAnsi="宋体" w:cs="等线"/>
          <w:color w:val="auto"/>
          <w:sz w:val="24"/>
          <w:highlight w:val="none"/>
        </w:rPr>
        <w:t>24.3 争议评审</w:t>
      </w:r>
      <w:bookmarkEnd w:id="1791"/>
      <w:bookmarkEnd w:id="1792"/>
      <w:bookmarkEnd w:id="1793"/>
    </w:p>
    <w:p w14:paraId="1BB3DBB9">
      <w:pPr>
        <w:spacing w:line="360" w:lineRule="auto"/>
        <w:ind w:firstLine="525"/>
        <w:rPr>
          <w:rFonts w:ascii="宋体" w:hAnsi="宋体" w:cs="等线"/>
          <w:color w:val="auto"/>
          <w:highlight w:val="none"/>
        </w:rPr>
      </w:pPr>
      <w:r>
        <w:rPr>
          <w:rFonts w:hint="eastAsia" w:ascii="宋体" w:hAnsi="宋体" w:cs="等线"/>
          <w:color w:val="auto"/>
          <w:highlight w:val="none"/>
        </w:rPr>
        <w:t>24.3.4争议评审组邀请合同双方代表人和有关人员举行调查会的期限：</w:t>
      </w:r>
      <w:r>
        <w:rPr>
          <w:rFonts w:hint="eastAsia" w:ascii="宋体" w:hAnsi="宋体" w:cs="等线"/>
          <w:color w:val="auto"/>
          <w:highlight w:val="none"/>
          <w:u w:val="single"/>
        </w:rPr>
        <w:t>14日内</w:t>
      </w:r>
      <w:r>
        <w:rPr>
          <w:rFonts w:hint="eastAsia" w:ascii="宋体" w:hAnsi="宋体" w:cs="等线"/>
          <w:color w:val="auto"/>
          <w:highlight w:val="none"/>
        </w:rPr>
        <w:t>。</w:t>
      </w:r>
    </w:p>
    <w:p w14:paraId="5E00F756">
      <w:pPr>
        <w:spacing w:line="360" w:lineRule="auto"/>
        <w:ind w:firstLine="525"/>
        <w:rPr>
          <w:rFonts w:ascii="宋体" w:hAnsi="宋体" w:cs="等线"/>
          <w:color w:val="auto"/>
          <w:highlight w:val="none"/>
        </w:rPr>
      </w:pPr>
      <w:r>
        <w:rPr>
          <w:rFonts w:hint="eastAsia" w:ascii="宋体" w:hAnsi="宋体" w:cs="等线"/>
          <w:color w:val="auto"/>
          <w:highlight w:val="none"/>
        </w:rPr>
        <w:t>24.3.5争议评审组在调查会后作出争议评审意见的期限：</w:t>
      </w:r>
      <w:r>
        <w:rPr>
          <w:rFonts w:hint="eastAsia" w:ascii="宋体" w:hAnsi="宋体" w:cs="等线"/>
          <w:color w:val="auto"/>
          <w:highlight w:val="none"/>
          <w:u w:val="single"/>
        </w:rPr>
        <w:t>14日内</w:t>
      </w:r>
      <w:r>
        <w:rPr>
          <w:rFonts w:hint="eastAsia" w:ascii="宋体" w:hAnsi="宋体" w:cs="等线"/>
          <w:color w:val="auto"/>
          <w:highlight w:val="none"/>
        </w:rPr>
        <w:t>。</w:t>
      </w:r>
    </w:p>
    <w:p w14:paraId="661D81BF">
      <w:pPr>
        <w:rPr>
          <w:rFonts w:ascii="宋体" w:hAnsi="宋体" w:cs="等线"/>
          <w:color w:val="auto"/>
          <w:highlight w:val="none"/>
        </w:rPr>
      </w:pPr>
    </w:p>
    <w:p w14:paraId="15075E9F">
      <w:pPr>
        <w:keepNext/>
        <w:keepLines/>
        <w:spacing w:line="400" w:lineRule="exact"/>
        <w:jc w:val="left"/>
        <w:outlineLvl w:val="1"/>
        <w:rPr>
          <w:rFonts w:ascii="宋体" w:hAnsi="宋体" w:cs="等线"/>
          <w:color w:val="auto"/>
          <w:highlight w:val="none"/>
        </w:rPr>
      </w:pPr>
      <w:bookmarkStart w:id="1794" w:name="_Toc23409"/>
      <w:bookmarkStart w:id="1795" w:name="_Toc38732239"/>
      <w:bookmarkStart w:id="1796" w:name="_Toc12127"/>
      <w:bookmarkStart w:id="1797" w:name="_Toc159950858"/>
      <w:r>
        <w:rPr>
          <w:rFonts w:hint="eastAsia" w:ascii="宋体" w:hAnsi="宋体" w:cs="等线"/>
          <w:color w:val="auto"/>
          <w:highlight w:val="none"/>
        </w:rPr>
        <w:t>25．其他</w:t>
      </w:r>
      <w:bookmarkEnd w:id="1794"/>
      <w:bookmarkEnd w:id="1795"/>
      <w:bookmarkEnd w:id="1796"/>
      <w:bookmarkEnd w:id="1797"/>
    </w:p>
    <w:p w14:paraId="56C5B242">
      <w:pPr>
        <w:keepNext/>
        <w:keepLines/>
        <w:numPr>
          <w:ilvl w:val="1"/>
          <w:numId w:val="25"/>
        </w:numPr>
        <w:spacing w:line="360" w:lineRule="auto"/>
        <w:outlineLvl w:val="2"/>
        <w:rPr>
          <w:rFonts w:ascii="宋体" w:hAnsi="宋体" w:cs="等线"/>
          <w:color w:val="auto"/>
          <w:highlight w:val="none"/>
        </w:rPr>
      </w:pPr>
      <w:bookmarkStart w:id="1798" w:name="_Toc38732240"/>
      <w:bookmarkStart w:id="1799" w:name="_Toc159950859"/>
      <w:bookmarkStart w:id="1800" w:name="_Toc27449"/>
      <w:r>
        <w:rPr>
          <w:rFonts w:hint="eastAsia" w:ascii="宋体" w:hAnsi="宋体" w:cs="等线"/>
          <w:color w:val="auto"/>
          <w:highlight w:val="none"/>
        </w:rPr>
        <w:t>施工单位应注意事项</w:t>
      </w:r>
      <w:bookmarkEnd w:id="1798"/>
      <w:bookmarkEnd w:id="1799"/>
      <w:bookmarkEnd w:id="1800"/>
      <w:r>
        <w:rPr>
          <w:rFonts w:hint="eastAsia" w:ascii="宋体" w:hAnsi="宋体" w:cs="等线"/>
          <w:color w:val="auto"/>
          <w:highlight w:val="none"/>
        </w:rPr>
        <w:t xml:space="preserve">   </w:t>
      </w:r>
    </w:p>
    <w:p w14:paraId="7954662A">
      <w:pPr>
        <w:spacing w:line="360" w:lineRule="auto"/>
        <w:ind w:firstLine="525"/>
        <w:rPr>
          <w:rFonts w:ascii="宋体" w:hAnsi="宋体" w:cs="等线"/>
          <w:color w:val="auto"/>
          <w:highlight w:val="none"/>
        </w:rPr>
      </w:pPr>
      <w:r>
        <w:rPr>
          <w:rFonts w:hint="eastAsia" w:ascii="宋体" w:hAnsi="宋体" w:cs="等线"/>
          <w:color w:val="auto"/>
          <w:highlight w:val="none"/>
        </w:rPr>
        <w:t>施工过程中可能会对周边设备及器具进行移位，以现场踏勘为准，此项内容已投标报价中综合考虑，不再单独计取。</w:t>
      </w:r>
    </w:p>
    <w:p w14:paraId="35E05172">
      <w:pPr>
        <w:spacing w:line="360" w:lineRule="auto"/>
        <w:ind w:firstLine="525"/>
        <w:rPr>
          <w:rFonts w:ascii="宋体" w:hAnsi="宋体" w:cs="等线"/>
          <w:color w:val="auto"/>
          <w:highlight w:val="none"/>
        </w:rPr>
      </w:pPr>
      <w:r>
        <w:rPr>
          <w:rFonts w:hint="eastAsia" w:ascii="宋体" w:hAnsi="宋体" w:cs="等线"/>
          <w:color w:val="auto"/>
          <w:highlight w:val="none"/>
        </w:rPr>
        <w:t xml:space="preserve"> </w:t>
      </w:r>
    </w:p>
    <w:p w14:paraId="79A14360">
      <w:pPr>
        <w:rPr>
          <w:color w:val="auto"/>
          <w:highlight w:val="none"/>
        </w:rPr>
      </w:pPr>
    </w:p>
    <w:p w14:paraId="3AA2A639">
      <w:pPr>
        <w:rPr>
          <w:rFonts w:ascii="宋体" w:hAnsi="宋体" w:cs="等线"/>
          <w:color w:val="auto"/>
          <w:highlight w:val="none"/>
        </w:rPr>
      </w:pPr>
      <w:r>
        <w:rPr>
          <w:rFonts w:hint="eastAsia" w:ascii="宋体" w:hAnsi="宋体" w:cs="等线"/>
          <w:color w:val="auto"/>
          <w:highlight w:val="none"/>
        </w:rPr>
        <w:t xml:space="preserve"> </w:t>
      </w:r>
    </w:p>
    <w:p w14:paraId="0CCFA55D">
      <w:pPr>
        <w:rPr>
          <w:color w:val="auto"/>
          <w:highlight w:val="none"/>
        </w:rPr>
      </w:pPr>
    </w:p>
    <w:p w14:paraId="15078D4C">
      <w:pPr>
        <w:spacing w:line="400" w:lineRule="exact"/>
        <w:ind w:firstLine="525"/>
        <w:rPr>
          <w:rFonts w:ascii="宋体" w:hAnsi="宋体"/>
          <w:color w:val="auto"/>
          <w:szCs w:val="21"/>
          <w:highlight w:val="none"/>
        </w:rPr>
      </w:pPr>
      <w:bookmarkStart w:id="1801" w:name="OLE_LINK32"/>
      <w:bookmarkStart w:id="1802" w:name="OLE_LINK31"/>
      <w:bookmarkStart w:id="1803" w:name="_Toc152042546"/>
      <w:bookmarkStart w:id="1804" w:name="_Toc152045767"/>
      <w:bookmarkStart w:id="1805" w:name="_Toc144974826"/>
      <w:bookmarkStart w:id="1806" w:name="_Toc179632785"/>
      <w:r>
        <w:rPr>
          <w:rFonts w:hint="eastAsia" w:ascii="Cambria" w:hAnsi="Cambria"/>
          <w:color w:val="auto"/>
          <w:szCs w:val="21"/>
          <w:highlight w:val="none"/>
        </w:rPr>
        <w:t xml:space="preserve">  </w:t>
      </w:r>
    </w:p>
    <w:bookmarkEnd w:id="1801"/>
    <w:bookmarkEnd w:id="1802"/>
    <w:p w14:paraId="5DC44C0A">
      <w:pPr>
        <w:spacing w:line="400" w:lineRule="exact"/>
        <w:ind w:firstLine="525"/>
        <w:rPr>
          <w:rFonts w:ascii="宋体" w:hAnsi="宋体"/>
          <w:color w:val="auto"/>
          <w:szCs w:val="21"/>
          <w:highlight w:val="none"/>
        </w:rPr>
      </w:pPr>
    </w:p>
    <w:p w14:paraId="2FDAB7D4">
      <w:pPr>
        <w:spacing w:line="400" w:lineRule="exact"/>
        <w:ind w:firstLine="525"/>
        <w:rPr>
          <w:color w:val="auto"/>
          <w:highlight w:val="none"/>
        </w:rPr>
        <w:sectPr>
          <w:headerReference r:id="rId14" w:type="default"/>
          <w:footerReference r:id="rId16" w:type="default"/>
          <w:headerReference r:id="rId15" w:type="even"/>
          <w:footerReference r:id="rId17" w:type="even"/>
          <w:pgSz w:w="11906" w:h="16838"/>
          <w:pgMar w:top="1440" w:right="1797" w:bottom="1440" w:left="1797" w:header="851" w:footer="992" w:gutter="0"/>
          <w:cols w:space="720" w:num="1"/>
          <w:docGrid w:linePitch="312" w:charSpace="0"/>
        </w:sectPr>
      </w:pPr>
    </w:p>
    <w:p w14:paraId="74CAFDD4">
      <w:pPr>
        <w:jc w:val="center"/>
        <w:rPr>
          <w:b/>
          <w:color w:val="auto"/>
          <w:sz w:val="44"/>
          <w:szCs w:val="44"/>
          <w:highlight w:val="none"/>
        </w:rPr>
      </w:pPr>
    </w:p>
    <w:p w14:paraId="2A78A89A">
      <w:pPr>
        <w:jc w:val="center"/>
        <w:rPr>
          <w:b/>
          <w:color w:val="auto"/>
          <w:sz w:val="44"/>
          <w:szCs w:val="44"/>
          <w:highlight w:val="none"/>
        </w:rPr>
      </w:pPr>
    </w:p>
    <w:p w14:paraId="71E8D5B6">
      <w:pPr>
        <w:jc w:val="center"/>
        <w:rPr>
          <w:b/>
          <w:color w:val="auto"/>
          <w:sz w:val="44"/>
          <w:szCs w:val="44"/>
          <w:highlight w:val="none"/>
        </w:rPr>
      </w:pPr>
    </w:p>
    <w:p w14:paraId="0C5BA90C">
      <w:pPr>
        <w:jc w:val="center"/>
        <w:rPr>
          <w:b/>
          <w:color w:val="auto"/>
          <w:sz w:val="44"/>
          <w:szCs w:val="44"/>
          <w:highlight w:val="none"/>
        </w:rPr>
      </w:pPr>
    </w:p>
    <w:p w14:paraId="3370E3A3">
      <w:pPr>
        <w:jc w:val="center"/>
        <w:rPr>
          <w:b/>
          <w:color w:val="auto"/>
          <w:sz w:val="44"/>
          <w:szCs w:val="44"/>
          <w:highlight w:val="none"/>
        </w:rPr>
      </w:pPr>
    </w:p>
    <w:p w14:paraId="0CD9B97D">
      <w:pPr>
        <w:jc w:val="center"/>
        <w:rPr>
          <w:b/>
          <w:color w:val="auto"/>
          <w:sz w:val="44"/>
          <w:szCs w:val="44"/>
          <w:highlight w:val="none"/>
        </w:rPr>
      </w:pPr>
    </w:p>
    <w:p w14:paraId="17AD98A6">
      <w:pPr>
        <w:jc w:val="center"/>
        <w:rPr>
          <w:b/>
          <w:color w:val="auto"/>
          <w:sz w:val="44"/>
          <w:szCs w:val="44"/>
          <w:highlight w:val="none"/>
        </w:rPr>
      </w:pPr>
    </w:p>
    <w:p w14:paraId="79C5E088">
      <w:pPr>
        <w:jc w:val="center"/>
        <w:rPr>
          <w:color w:val="auto"/>
          <w:highlight w:val="none"/>
        </w:rPr>
      </w:pPr>
      <w:r>
        <w:rPr>
          <w:b/>
          <w:color w:val="auto"/>
          <w:sz w:val="44"/>
          <w:szCs w:val="44"/>
          <w:highlight w:val="none"/>
        </w:rPr>
        <w:t>第</w:t>
      </w:r>
      <w:r>
        <w:rPr>
          <w:rFonts w:hint="eastAsia"/>
          <w:b/>
          <w:color w:val="auto"/>
          <w:sz w:val="44"/>
          <w:szCs w:val="44"/>
          <w:highlight w:val="none"/>
        </w:rPr>
        <w:t>四节 工程质量保修书</w:t>
      </w:r>
    </w:p>
    <w:p w14:paraId="3743C581">
      <w:pPr>
        <w:spacing w:line="360" w:lineRule="auto"/>
        <w:rPr>
          <w:color w:val="auto"/>
          <w:highlight w:val="none"/>
        </w:rPr>
      </w:pPr>
    </w:p>
    <w:p w14:paraId="3DFCC8B2">
      <w:pPr>
        <w:widowControl/>
        <w:jc w:val="left"/>
        <w:rPr>
          <w:color w:val="auto"/>
          <w:highlight w:val="none"/>
        </w:rPr>
      </w:pPr>
      <w:r>
        <w:rPr>
          <w:color w:val="auto"/>
          <w:highlight w:val="none"/>
        </w:rPr>
        <w:br w:type="page"/>
      </w:r>
    </w:p>
    <w:p w14:paraId="25AC1E8C">
      <w:pPr>
        <w:snapToGrid w:val="0"/>
        <w:spacing w:line="360" w:lineRule="auto"/>
        <w:jc w:val="center"/>
        <w:rPr>
          <w:rFonts w:ascii="Cambria" w:hAnsi="Cambria"/>
          <w:color w:val="auto"/>
          <w:sz w:val="32"/>
          <w:szCs w:val="32"/>
          <w:highlight w:val="none"/>
        </w:rPr>
      </w:pPr>
      <w:r>
        <w:rPr>
          <w:rFonts w:hint="eastAsia" w:ascii="Cambria" w:hAnsi="Cambria"/>
          <w:b/>
          <w:color w:val="auto"/>
          <w:sz w:val="32"/>
          <w:szCs w:val="32"/>
          <w:highlight w:val="none"/>
        </w:rPr>
        <w:t>工程质量保修书</w:t>
      </w:r>
    </w:p>
    <w:p w14:paraId="571C9815">
      <w:pPr>
        <w:adjustRightInd w:val="0"/>
        <w:snapToGrid w:val="0"/>
        <w:spacing w:line="360" w:lineRule="auto"/>
        <w:rPr>
          <w:rFonts w:ascii="Cambria" w:hAnsi="Cambria"/>
          <w:color w:val="auto"/>
          <w:szCs w:val="21"/>
          <w:highlight w:val="none"/>
        </w:rPr>
      </w:pPr>
    </w:p>
    <w:p w14:paraId="7F033272">
      <w:pPr>
        <w:adjustRightInd w:val="0"/>
        <w:snapToGrid w:val="0"/>
        <w:spacing w:line="360" w:lineRule="auto"/>
        <w:ind w:firstLine="316" w:firstLineChars="150"/>
        <w:rPr>
          <w:rFonts w:ascii="Cambria" w:hAnsi="Cambria"/>
          <w:b/>
          <w:color w:val="auto"/>
          <w:szCs w:val="21"/>
          <w:highlight w:val="none"/>
        </w:rPr>
      </w:pPr>
      <w:r>
        <w:rPr>
          <w:rFonts w:hint="eastAsia" w:ascii="Cambria" w:hAnsi="Cambria"/>
          <w:b/>
          <w:color w:val="auto"/>
          <w:szCs w:val="21"/>
          <w:highlight w:val="none"/>
        </w:rPr>
        <w:t>建设单位：</w:t>
      </w:r>
      <w:r>
        <w:rPr>
          <w:rFonts w:hint="eastAsia" w:ascii="Cambria" w:hAnsi="Cambria"/>
          <w:b/>
          <w:color w:val="auto"/>
          <w:szCs w:val="21"/>
          <w:highlight w:val="none"/>
          <w:u w:val="single"/>
        </w:rPr>
        <w:t>北京财贸职业学院</w:t>
      </w:r>
    </w:p>
    <w:p w14:paraId="38B330EE">
      <w:pPr>
        <w:adjustRightInd w:val="0"/>
        <w:snapToGrid w:val="0"/>
        <w:spacing w:line="360" w:lineRule="auto"/>
        <w:ind w:firstLine="316" w:firstLineChars="150"/>
        <w:rPr>
          <w:rFonts w:ascii="Cambria" w:hAnsi="Cambria"/>
          <w:b/>
          <w:color w:val="auto"/>
          <w:szCs w:val="21"/>
          <w:highlight w:val="none"/>
          <w:u w:val="single"/>
        </w:rPr>
      </w:pPr>
      <w:r>
        <w:rPr>
          <w:rFonts w:hint="eastAsia" w:ascii="Cambria" w:hAnsi="Cambria"/>
          <w:b/>
          <w:color w:val="auto"/>
          <w:szCs w:val="21"/>
          <w:highlight w:val="none"/>
        </w:rPr>
        <w:t>承 包 人：</w:t>
      </w:r>
      <w:r>
        <w:rPr>
          <w:rFonts w:hint="eastAsia" w:ascii="Cambria" w:hAnsi="Cambria"/>
          <w:b/>
          <w:color w:val="auto"/>
          <w:szCs w:val="21"/>
          <w:highlight w:val="none"/>
          <w:u w:val="single"/>
        </w:rPr>
        <w:t xml:space="preserve">*** </w:t>
      </w:r>
    </w:p>
    <w:p w14:paraId="4D68FB7E">
      <w:pPr>
        <w:adjustRightInd w:val="0"/>
        <w:snapToGrid w:val="0"/>
        <w:spacing w:line="360" w:lineRule="auto"/>
        <w:ind w:left="332" w:leftChars="158" w:firstLine="420" w:firstLineChars="200"/>
        <w:rPr>
          <w:rFonts w:ascii="Cambria" w:hAnsi="Cambria"/>
          <w:color w:val="auto"/>
          <w:szCs w:val="21"/>
          <w:highlight w:val="none"/>
        </w:rPr>
      </w:pPr>
      <w:r>
        <w:rPr>
          <w:rFonts w:hint="eastAsia" w:ascii="Cambria" w:hAnsi="Cambria"/>
          <w:color w:val="auto"/>
          <w:szCs w:val="21"/>
          <w:highlight w:val="none"/>
        </w:rPr>
        <w:t>为保证</w:t>
      </w:r>
      <w:r>
        <w:rPr>
          <w:rFonts w:hint="eastAsia" w:ascii="Cambria" w:hAnsi="Cambria"/>
          <w:color w:val="auto"/>
          <w:szCs w:val="21"/>
          <w:highlight w:val="none"/>
          <w:u w:val="single"/>
        </w:rPr>
        <w:t xml:space="preserve">  </w:t>
      </w:r>
      <w:r>
        <w:rPr>
          <w:rFonts w:hint="eastAsia"/>
          <w:color w:val="auto"/>
          <w:szCs w:val="21"/>
          <w:highlight w:val="none"/>
          <w:u w:val="single"/>
        </w:rPr>
        <w:t>***工程</w:t>
      </w:r>
      <w:r>
        <w:rPr>
          <w:rFonts w:hint="eastAsia"/>
          <w:color w:val="auto"/>
          <w:szCs w:val="18"/>
          <w:highlight w:val="none"/>
          <w:u w:val="single"/>
        </w:rPr>
        <w:t xml:space="preserve">  </w:t>
      </w:r>
      <w:r>
        <w:rPr>
          <w:rFonts w:hint="eastAsia" w:ascii="Cambria" w:hAnsi="Cambria"/>
          <w:color w:val="auto"/>
          <w:szCs w:val="21"/>
          <w:highlight w:val="none"/>
        </w:rPr>
        <w:t>在合理使用期限内正常使用，经甲、乙双方协商一致并签定本工程质量保修书。承包人在质量保修期内按照《建设工程质量管理条例》、《房屋建筑工程质量保修办法》和国家、北京市有关管理规定承担工程质量保修责任。</w:t>
      </w:r>
    </w:p>
    <w:p w14:paraId="4F84F33B">
      <w:pPr>
        <w:tabs>
          <w:tab w:val="left" w:pos="840"/>
        </w:tabs>
        <w:adjustRightInd w:val="0"/>
        <w:snapToGrid w:val="0"/>
        <w:spacing w:line="360" w:lineRule="auto"/>
        <w:jc w:val="left"/>
        <w:outlineLvl w:val="1"/>
        <w:rPr>
          <w:rFonts w:ascii="Cambria" w:hAnsi="Cambria" w:eastAsia="华文细黑"/>
          <w:b/>
          <w:bCs/>
          <w:color w:val="auto"/>
          <w:kern w:val="0"/>
          <w:szCs w:val="21"/>
          <w:highlight w:val="none"/>
        </w:rPr>
      </w:pPr>
      <w:bookmarkStart w:id="1807" w:name="_Toc115802048"/>
      <w:bookmarkStart w:id="1808" w:name="_Toc159950860"/>
      <w:r>
        <w:rPr>
          <w:rFonts w:hint="eastAsia" w:ascii="Cambria" w:hAnsi="Cambria" w:eastAsia="华文细黑"/>
          <w:b/>
          <w:bCs/>
          <w:color w:val="auto"/>
          <w:kern w:val="0"/>
          <w:szCs w:val="21"/>
          <w:highlight w:val="none"/>
        </w:rPr>
        <w:t>一、工程质量保修范围和内容</w:t>
      </w:r>
      <w:bookmarkEnd w:id="1807"/>
      <w:bookmarkEnd w:id="1808"/>
    </w:p>
    <w:p w14:paraId="3A73EBD6">
      <w:pPr>
        <w:adjustRightInd w:val="0"/>
        <w:snapToGrid w:val="0"/>
        <w:spacing w:line="360" w:lineRule="auto"/>
        <w:ind w:left="332"/>
        <w:rPr>
          <w:rFonts w:ascii="Cambria" w:hAnsi="Cambria"/>
          <w:color w:val="auto"/>
          <w:szCs w:val="21"/>
          <w:highlight w:val="none"/>
          <w:u w:val="single"/>
        </w:rPr>
      </w:pPr>
      <w:r>
        <w:rPr>
          <w:rFonts w:hint="eastAsia" w:ascii="Cambria" w:hAnsi="Cambria"/>
          <w:color w:val="auto"/>
          <w:szCs w:val="21"/>
          <w:highlight w:val="none"/>
        </w:rPr>
        <w:t>质量保修范围包括：</w:t>
      </w:r>
      <w:r>
        <w:rPr>
          <w:rFonts w:hint="eastAsia" w:ascii="Cambria" w:hAnsi="Cambria"/>
          <w:color w:val="auto"/>
          <w:szCs w:val="21"/>
          <w:highlight w:val="none"/>
          <w:u w:val="single"/>
        </w:rPr>
        <w:t xml:space="preserve"> 根据清单范围内所有相关内容。</w:t>
      </w:r>
    </w:p>
    <w:p w14:paraId="0C2B3C93">
      <w:pPr>
        <w:adjustRightInd w:val="0"/>
        <w:snapToGrid w:val="0"/>
        <w:spacing w:line="360" w:lineRule="auto"/>
        <w:ind w:left="332"/>
        <w:rPr>
          <w:rFonts w:ascii="Cambria" w:hAnsi="Cambria"/>
          <w:color w:val="auto"/>
          <w:szCs w:val="21"/>
          <w:highlight w:val="none"/>
        </w:rPr>
      </w:pPr>
      <w:r>
        <w:rPr>
          <w:rFonts w:hint="eastAsia" w:ascii="Cambria" w:hAnsi="Cambria"/>
          <w:color w:val="auto"/>
          <w:szCs w:val="21"/>
          <w:highlight w:val="none"/>
        </w:rPr>
        <w:t>具体质量保修内容双方约定如下:</w:t>
      </w:r>
    </w:p>
    <w:p w14:paraId="71BF7FFB">
      <w:pPr>
        <w:adjustRightInd w:val="0"/>
        <w:snapToGrid w:val="0"/>
        <w:spacing w:line="360" w:lineRule="auto"/>
        <w:ind w:left="332"/>
        <w:rPr>
          <w:rFonts w:ascii="Cambria" w:hAnsi="Cambria"/>
          <w:color w:val="auto"/>
          <w:szCs w:val="21"/>
          <w:highlight w:val="none"/>
        </w:rPr>
      </w:pPr>
      <w:r>
        <w:rPr>
          <w:rFonts w:hint="eastAsia" w:ascii="Cambria" w:hAnsi="Cambria"/>
          <w:color w:val="auto"/>
          <w:szCs w:val="21"/>
          <w:highlight w:val="none"/>
          <w:u w:val="single"/>
        </w:rPr>
        <w:t xml:space="preserve">施工过程中所有实际发生的施工内容。                                          </w:t>
      </w:r>
    </w:p>
    <w:p w14:paraId="5A9DC34F">
      <w:pPr>
        <w:tabs>
          <w:tab w:val="left" w:pos="840"/>
        </w:tabs>
        <w:adjustRightInd w:val="0"/>
        <w:snapToGrid w:val="0"/>
        <w:spacing w:line="360" w:lineRule="auto"/>
        <w:jc w:val="left"/>
        <w:outlineLvl w:val="1"/>
        <w:rPr>
          <w:rFonts w:ascii="Cambria" w:hAnsi="Cambria" w:eastAsia="华文细黑"/>
          <w:b/>
          <w:bCs/>
          <w:color w:val="auto"/>
          <w:kern w:val="0"/>
          <w:szCs w:val="21"/>
          <w:highlight w:val="none"/>
        </w:rPr>
      </w:pPr>
      <w:bookmarkStart w:id="1809" w:name="_Toc115802049"/>
      <w:bookmarkStart w:id="1810" w:name="_Toc159950861"/>
      <w:r>
        <w:rPr>
          <w:rFonts w:hint="eastAsia" w:ascii="Cambria" w:hAnsi="Cambria" w:eastAsia="华文细黑"/>
          <w:b/>
          <w:bCs/>
          <w:color w:val="auto"/>
          <w:kern w:val="0"/>
          <w:szCs w:val="21"/>
          <w:highlight w:val="none"/>
        </w:rPr>
        <w:t>二、质量保修期</w:t>
      </w:r>
      <w:bookmarkEnd w:id="1809"/>
      <w:bookmarkEnd w:id="1810"/>
    </w:p>
    <w:p w14:paraId="715A82BD">
      <w:pPr>
        <w:adjustRightInd w:val="0"/>
        <w:snapToGrid w:val="0"/>
        <w:spacing w:line="360" w:lineRule="auto"/>
        <w:ind w:left="332"/>
        <w:rPr>
          <w:rFonts w:ascii="Cambria" w:hAnsi="Cambria"/>
          <w:color w:val="auto"/>
          <w:szCs w:val="21"/>
          <w:highlight w:val="none"/>
        </w:rPr>
      </w:pPr>
      <w:r>
        <w:rPr>
          <w:rFonts w:hint="eastAsia" w:ascii="Cambria" w:hAnsi="Cambria"/>
          <w:color w:val="auto"/>
          <w:szCs w:val="21"/>
          <w:highlight w:val="none"/>
        </w:rPr>
        <w:t>本工程质量保修期限从本工程竣工验收合格之日（颁发竣工验收证书之日）起计算。双方根据国家有关规定，约定质量最低保修期限为</w:t>
      </w:r>
      <w:r>
        <w:rPr>
          <w:rFonts w:hint="eastAsia" w:ascii="Cambria" w:hAnsi="Cambria"/>
          <w:color w:val="auto"/>
          <w:szCs w:val="21"/>
          <w:highlight w:val="none"/>
          <w:u w:val="single"/>
        </w:rPr>
        <w:t>2年</w:t>
      </w:r>
      <w:r>
        <w:rPr>
          <w:rFonts w:hint="eastAsia" w:ascii="Cambria" w:hAnsi="Cambria"/>
          <w:color w:val="auto"/>
          <w:szCs w:val="21"/>
          <w:highlight w:val="none"/>
        </w:rPr>
        <w:t>，其中防水工程为</w:t>
      </w:r>
      <w:r>
        <w:rPr>
          <w:rFonts w:hint="eastAsia" w:ascii="Cambria" w:hAnsi="Cambria"/>
          <w:color w:val="auto"/>
          <w:szCs w:val="21"/>
          <w:highlight w:val="none"/>
          <w:u w:val="single"/>
        </w:rPr>
        <w:t>5年</w:t>
      </w:r>
      <w:r>
        <w:rPr>
          <w:rFonts w:hint="eastAsia" w:ascii="Cambria" w:hAnsi="Cambria"/>
          <w:color w:val="auto"/>
          <w:szCs w:val="21"/>
          <w:highlight w:val="none"/>
        </w:rPr>
        <w:t>。</w:t>
      </w:r>
    </w:p>
    <w:p w14:paraId="38569315">
      <w:pPr>
        <w:tabs>
          <w:tab w:val="left" w:pos="840"/>
        </w:tabs>
        <w:adjustRightInd w:val="0"/>
        <w:snapToGrid w:val="0"/>
        <w:spacing w:line="360" w:lineRule="auto"/>
        <w:jc w:val="left"/>
        <w:outlineLvl w:val="1"/>
        <w:rPr>
          <w:rFonts w:ascii="Cambria" w:hAnsi="Cambria" w:eastAsia="华文细黑"/>
          <w:b/>
          <w:bCs/>
          <w:color w:val="auto"/>
          <w:kern w:val="0"/>
          <w:szCs w:val="21"/>
          <w:highlight w:val="none"/>
        </w:rPr>
      </w:pPr>
      <w:bookmarkStart w:id="1811" w:name="_Toc159950862"/>
      <w:bookmarkStart w:id="1812" w:name="_Toc115802050"/>
      <w:r>
        <w:rPr>
          <w:rFonts w:hint="eastAsia" w:ascii="Cambria" w:hAnsi="Cambria" w:eastAsia="华文细黑"/>
          <w:b/>
          <w:bCs/>
          <w:color w:val="auto"/>
          <w:kern w:val="0"/>
          <w:szCs w:val="21"/>
          <w:highlight w:val="none"/>
        </w:rPr>
        <w:t>三、质量保修责任</w:t>
      </w:r>
      <w:bookmarkEnd w:id="1811"/>
      <w:bookmarkEnd w:id="1812"/>
    </w:p>
    <w:p w14:paraId="6C55615F">
      <w:pPr>
        <w:adjustRightInd w:val="0"/>
        <w:snapToGrid w:val="0"/>
        <w:spacing w:line="360" w:lineRule="auto"/>
        <w:ind w:left="382" w:hanging="382"/>
        <w:rPr>
          <w:rFonts w:ascii="Cambria" w:hAnsi="Cambria"/>
          <w:color w:val="auto"/>
          <w:szCs w:val="21"/>
          <w:highlight w:val="none"/>
        </w:rPr>
      </w:pPr>
      <w:r>
        <w:rPr>
          <w:rFonts w:hint="eastAsia" w:ascii="Cambria" w:hAnsi="Cambria"/>
          <w:color w:val="auto"/>
          <w:szCs w:val="21"/>
          <w:highlight w:val="none"/>
        </w:rPr>
        <w:t>1、本工程在保修期限出现质量缺陷，建设单位应当向承包人发出保修通知。承包人接到保修通知后24小时内，应当到现场核查情况并派人修理。承包人不在约定期限内派人修理，建设单位可委托其他人员修理，修理费用从承包人质量保留金内支付。</w:t>
      </w:r>
    </w:p>
    <w:p w14:paraId="22856410">
      <w:pPr>
        <w:adjustRightInd w:val="0"/>
        <w:snapToGrid w:val="0"/>
        <w:spacing w:line="360" w:lineRule="auto"/>
        <w:ind w:left="382" w:hanging="382"/>
        <w:rPr>
          <w:rFonts w:ascii="Cambria" w:hAnsi="Cambria"/>
          <w:color w:val="auto"/>
          <w:szCs w:val="21"/>
          <w:highlight w:val="none"/>
        </w:rPr>
      </w:pPr>
      <w:r>
        <w:rPr>
          <w:rFonts w:hint="eastAsia" w:ascii="Cambria" w:hAnsi="Cambria"/>
          <w:color w:val="auto"/>
          <w:szCs w:val="21"/>
          <w:highlight w:val="none"/>
        </w:rPr>
        <w:t>2、发生紧急抢修事故，承包人接到事故通知后，应立即到达事故现场抢修。非承包人施工质量引起的事故，抢修费用由责任人承担。</w:t>
      </w:r>
    </w:p>
    <w:p w14:paraId="725C78AD">
      <w:pPr>
        <w:adjustRightInd w:val="0"/>
        <w:snapToGrid w:val="0"/>
        <w:spacing w:line="360" w:lineRule="auto"/>
        <w:ind w:left="382" w:hanging="382"/>
        <w:rPr>
          <w:rFonts w:ascii="Cambria" w:hAnsi="Cambria"/>
          <w:color w:val="auto"/>
          <w:szCs w:val="21"/>
          <w:highlight w:val="none"/>
        </w:rPr>
      </w:pPr>
      <w:r>
        <w:rPr>
          <w:rFonts w:hint="eastAsia" w:ascii="Cambria" w:hAnsi="Cambria"/>
          <w:color w:val="auto"/>
          <w:szCs w:val="21"/>
          <w:highlight w:val="none"/>
        </w:rPr>
        <w:t>3、在国家规定的工程合理使用期限内，承包人确保工程的质量。因承包人原因致使工程在合理使用期限内造成人身和财产损害的，承包人应承担损害赔偿责任。</w:t>
      </w:r>
    </w:p>
    <w:p w14:paraId="608E6DE5">
      <w:pPr>
        <w:tabs>
          <w:tab w:val="left" w:pos="840"/>
        </w:tabs>
        <w:adjustRightInd w:val="0"/>
        <w:snapToGrid w:val="0"/>
        <w:spacing w:line="360" w:lineRule="auto"/>
        <w:jc w:val="left"/>
        <w:outlineLvl w:val="1"/>
        <w:rPr>
          <w:rFonts w:ascii="Cambria" w:hAnsi="Cambria" w:eastAsia="华文细黑"/>
          <w:b/>
          <w:bCs/>
          <w:color w:val="auto"/>
          <w:kern w:val="0"/>
          <w:szCs w:val="21"/>
          <w:highlight w:val="none"/>
        </w:rPr>
      </w:pPr>
      <w:bookmarkStart w:id="1813" w:name="_Toc115802051"/>
      <w:bookmarkStart w:id="1814" w:name="_Toc159950863"/>
      <w:r>
        <w:rPr>
          <w:rFonts w:hint="eastAsia" w:ascii="Cambria" w:hAnsi="Cambria" w:eastAsia="华文细黑"/>
          <w:b/>
          <w:bCs/>
          <w:color w:val="auto"/>
          <w:kern w:val="0"/>
          <w:szCs w:val="21"/>
          <w:highlight w:val="none"/>
        </w:rPr>
        <w:t>四、</w:t>
      </w:r>
      <w:bookmarkEnd w:id="1813"/>
      <w:r>
        <w:rPr>
          <w:rFonts w:hint="eastAsia" w:ascii="Cambria" w:hAnsi="Cambria" w:eastAsia="华文细黑"/>
          <w:b/>
          <w:bCs/>
          <w:color w:val="auto"/>
          <w:kern w:val="0"/>
          <w:szCs w:val="21"/>
          <w:highlight w:val="none"/>
        </w:rPr>
        <w:t>质量保证金金额及支付</w:t>
      </w:r>
      <w:bookmarkEnd w:id="1814"/>
    </w:p>
    <w:p w14:paraId="531ADD81">
      <w:pPr>
        <w:adjustRightInd w:val="0"/>
        <w:snapToGrid w:val="0"/>
        <w:spacing w:line="360" w:lineRule="auto"/>
        <w:ind w:left="382" w:hanging="382"/>
        <w:rPr>
          <w:rFonts w:ascii="Cambria" w:hAnsi="Cambria"/>
          <w:color w:val="auto"/>
          <w:szCs w:val="21"/>
          <w:highlight w:val="none"/>
        </w:rPr>
      </w:pPr>
      <w:r>
        <w:rPr>
          <w:rFonts w:hint="eastAsia" w:ascii="Cambria" w:hAnsi="Cambria"/>
          <w:color w:val="auto"/>
          <w:szCs w:val="21"/>
          <w:highlight w:val="none"/>
        </w:rPr>
        <w:t>1、本工程约定的工程质量保修金为</w:t>
      </w:r>
      <w:r>
        <w:rPr>
          <w:rFonts w:hint="eastAsia" w:ascii="Cambria" w:hAnsi="Cambria"/>
          <w:color w:val="auto"/>
          <w:szCs w:val="21"/>
          <w:highlight w:val="none"/>
          <w:u w:val="single"/>
        </w:rPr>
        <w:t>本工程实际结算价的3%</w:t>
      </w:r>
      <w:r>
        <w:rPr>
          <w:rFonts w:hint="eastAsia" w:ascii="Cambria" w:hAnsi="Cambria"/>
          <w:color w:val="auto"/>
          <w:szCs w:val="21"/>
          <w:highlight w:val="none"/>
        </w:rPr>
        <w:t>。保修完后工程质量保修金无息退换</w:t>
      </w:r>
    </w:p>
    <w:p w14:paraId="32CBD4B3">
      <w:pPr>
        <w:adjustRightInd w:val="0"/>
        <w:snapToGrid w:val="0"/>
        <w:spacing w:line="360" w:lineRule="auto"/>
        <w:ind w:left="210" w:hanging="210" w:hangingChars="100"/>
        <w:rPr>
          <w:rFonts w:ascii="Cambria" w:hAnsi="Cambria"/>
          <w:color w:val="auto"/>
          <w:szCs w:val="21"/>
          <w:highlight w:val="none"/>
        </w:rPr>
      </w:pPr>
      <w:r>
        <w:rPr>
          <w:rFonts w:hint="eastAsia" w:ascii="Cambria" w:hAnsi="Cambria"/>
          <w:color w:val="auto"/>
          <w:szCs w:val="21"/>
          <w:highlight w:val="none"/>
        </w:rPr>
        <w:t>2、在承包人已经完成本合同所规定的保修义务，并已得到建设单位向承包人颁发的保修责任终止证书之日后56天内，建设单位将剩余的质量保证金金额全部支付给承包人。</w:t>
      </w:r>
      <w:bookmarkStart w:id="1815" w:name="_Toc115802053"/>
    </w:p>
    <w:p w14:paraId="50AB9AB0">
      <w:pPr>
        <w:tabs>
          <w:tab w:val="left" w:pos="840"/>
        </w:tabs>
        <w:adjustRightInd w:val="0"/>
        <w:snapToGrid w:val="0"/>
        <w:spacing w:line="360" w:lineRule="auto"/>
        <w:jc w:val="left"/>
        <w:outlineLvl w:val="1"/>
        <w:rPr>
          <w:rFonts w:ascii="Cambria" w:hAnsi="Cambria" w:eastAsia="华文细黑"/>
          <w:b/>
          <w:bCs/>
          <w:color w:val="auto"/>
          <w:kern w:val="0"/>
          <w:szCs w:val="21"/>
          <w:highlight w:val="none"/>
        </w:rPr>
      </w:pPr>
      <w:bookmarkStart w:id="1816" w:name="_Toc159950864"/>
      <w:r>
        <w:rPr>
          <w:rFonts w:hint="eastAsia" w:ascii="Cambria" w:hAnsi="Cambria" w:eastAsia="华文细黑"/>
          <w:b/>
          <w:bCs/>
          <w:color w:val="auto"/>
          <w:kern w:val="0"/>
          <w:szCs w:val="21"/>
          <w:highlight w:val="none"/>
        </w:rPr>
        <w:t>五、其他</w:t>
      </w:r>
      <w:bookmarkEnd w:id="1815"/>
      <w:bookmarkEnd w:id="1816"/>
    </w:p>
    <w:p w14:paraId="625A2C99">
      <w:pPr>
        <w:adjustRightInd w:val="0"/>
        <w:snapToGrid w:val="0"/>
        <w:spacing w:line="360" w:lineRule="auto"/>
        <w:ind w:left="332"/>
        <w:rPr>
          <w:rFonts w:ascii="Cambria" w:hAnsi="Cambria"/>
          <w:color w:val="auto"/>
          <w:szCs w:val="21"/>
          <w:highlight w:val="none"/>
        </w:rPr>
      </w:pPr>
      <w:r>
        <w:rPr>
          <w:rFonts w:hint="eastAsia" w:ascii="Cambria" w:hAnsi="Cambria"/>
          <w:color w:val="auto"/>
          <w:szCs w:val="21"/>
          <w:highlight w:val="none"/>
        </w:rPr>
        <w:t>双方约定的其他工程质量保修事项：如果国家和项目发包人对该工程的质量保修有特殊要求时则按特殊要求执行。</w:t>
      </w:r>
    </w:p>
    <w:p w14:paraId="386DE18B">
      <w:pPr>
        <w:adjustRightInd w:val="0"/>
        <w:snapToGrid w:val="0"/>
        <w:spacing w:line="360" w:lineRule="auto"/>
        <w:ind w:left="692"/>
        <w:rPr>
          <w:rFonts w:ascii="Cambria" w:hAnsi="Cambria"/>
          <w:color w:val="auto"/>
          <w:szCs w:val="21"/>
          <w:highlight w:val="none"/>
        </w:rPr>
      </w:pPr>
      <w:r>
        <w:rPr>
          <w:rFonts w:hint="eastAsia" w:ascii="Cambria" w:hAnsi="Cambria"/>
          <w:color w:val="auto"/>
          <w:szCs w:val="21"/>
          <w:highlight w:val="none"/>
        </w:rPr>
        <w:t xml:space="preserve">       </w:t>
      </w:r>
    </w:p>
    <w:p w14:paraId="6A7263EA">
      <w:pPr>
        <w:adjustRightInd w:val="0"/>
        <w:snapToGrid w:val="0"/>
        <w:spacing w:line="360" w:lineRule="auto"/>
        <w:ind w:left="332"/>
        <w:rPr>
          <w:rFonts w:ascii="Cambria" w:hAnsi="Cambria"/>
          <w:color w:val="auto"/>
          <w:szCs w:val="21"/>
          <w:highlight w:val="none"/>
        </w:rPr>
      </w:pPr>
    </w:p>
    <w:p w14:paraId="417000B8">
      <w:pPr>
        <w:tabs>
          <w:tab w:val="left" w:pos="1695"/>
        </w:tabs>
        <w:adjustRightInd w:val="0"/>
        <w:snapToGrid w:val="0"/>
        <w:spacing w:line="360" w:lineRule="auto"/>
        <w:ind w:firstLine="480"/>
        <w:rPr>
          <w:rFonts w:ascii="Cambria" w:hAnsi="Cambria"/>
          <w:color w:val="auto"/>
          <w:szCs w:val="21"/>
          <w:highlight w:val="none"/>
        </w:rPr>
      </w:pPr>
    </w:p>
    <w:p w14:paraId="55565D7C">
      <w:pPr>
        <w:tabs>
          <w:tab w:val="left" w:pos="1695"/>
        </w:tabs>
        <w:adjustRightInd w:val="0"/>
        <w:snapToGrid w:val="0"/>
        <w:spacing w:line="360" w:lineRule="auto"/>
        <w:ind w:firstLine="480"/>
        <w:rPr>
          <w:rFonts w:ascii="Cambria" w:hAnsi="Cambria"/>
          <w:color w:val="auto"/>
          <w:szCs w:val="21"/>
          <w:highlight w:val="none"/>
        </w:rPr>
        <w:sectPr>
          <w:headerReference r:id="rId18" w:type="first"/>
          <w:footerReference r:id="rId20" w:type="first"/>
          <w:footerReference r:id="rId19" w:type="default"/>
          <w:pgSz w:w="11906" w:h="16838"/>
          <w:pgMar w:top="1440" w:right="1797" w:bottom="1440" w:left="1797" w:header="851" w:footer="992" w:gutter="0"/>
          <w:cols w:space="720" w:num="1"/>
          <w:docGrid w:linePitch="312" w:charSpace="0"/>
        </w:sectPr>
      </w:pPr>
    </w:p>
    <w:p w14:paraId="6D4D3C28">
      <w:pPr>
        <w:tabs>
          <w:tab w:val="left" w:pos="1695"/>
        </w:tabs>
        <w:adjustRightInd w:val="0"/>
        <w:snapToGrid w:val="0"/>
        <w:spacing w:line="360" w:lineRule="auto"/>
        <w:ind w:firstLine="480"/>
        <w:rPr>
          <w:rFonts w:ascii="Cambria" w:hAnsi="Cambria"/>
          <w:color w:val="auto"/>
          <w:szCs w:val="21"/>
          <w:highlight w:val="none"/>
        </w:rPr>
      </w:pPr>
      <w:r>
        <w:rPr>
          <w:rFonts w:hint="eastAsia" w:ascii="Cambria" w:hAnsi="Cambria"/>
          <w:color w:val="auto"/>
          <w:szCs w:val="21"/>
          <w:highlight w:val="none"/>
        </w:rPr>
        <w:t>（此页无正文）</w:t>
      </w:r>
    </w:p>
    <w:p w14:paraId="4709A9C4">
      <w:pPr>
        <w:tabs>
          <w:tab w:val="left" w:pos="1695"/>
        </w:tabs>
        <w:adjustRightInd w:val="0"/>
        <w:snapToGrid w:val="0"/>
        <w:spacing w:line="360" w:lineRule="auto"/>
        <w:ind w:firstLine="480"/>
        <w:rPr>
          <w:rFonts w:ascii="Cambria" w:hAnsi="Cambria"/>
          <w:color w:val="auto"/>
          <w:szCs w:val="21"/>
          <w:highlight w:val="none"/>
        </w:rPr>
      </w:pPr>
    </w:p>
    <w:p w14:paraId="58C298F2">
      <w:pPr>
        <w:spacing w:before="312" w:beforeLines="100" w:after="312" w:afterLines="100" w:line="400" w:lineRule="exact"/>
        <w:rPr>
          <w:color w:val="auto"/>
          <w:szCs w:val="21"/>
          <w:highlight w:val="none"/>
        </w:rPr>
      </w:pPr>
      <w:r>
        <w:rPr>
          <w:b/>
          <w:bCs/>
          <w:color w:val="auto"/>
          <w:szCs w:val="21"/>
          <w:highlight w:val="none"/>
        </w:rPr>
        <w:t>发包人：</w:t>
      </w:r>
      <w:r>
        <w:rPr>
          <w:color w:val="auto"/>
          <w:szCs w:val="21"/>
          <w:highlight w:val="none"/>
          <w:u w:val="single"/>
        </w:rPr>
        <w:t xml:space="preserve">               </w:t>
      </w:r>
      <w:r>
        <w:rPr>
          <w:color w:val="auto"/>
          <w:szCs w:val="21"/>
          <w:highlight w:val="none"/>
        </w:rPr>
        <w:t>（盖单位章）</w:t>
      </w:r>
      <w:r>
        <w:rPr>
          <w:rFonts w:eastAsia="Cambria"/>
          <w:b/>
          <w:bCs/>
          <w:color w:val="auto"/>
          <w:szCs w:val="21"/>
          <w:highlight w:val="none"/>
        </w:rPr>
        <w:t xml:space="preserve"> </w:t>
      </w:r>
      <w:r>
        <w:rPr>
          <w:b/>
          <w:bCs/>
          <w:color w:val="auto"/>
          <w:szCs w:val="21"/>
          <w:highlight w:val="none"/>
        </w:rPr>
        <w:t>承包人：</w:t>
      </w:r>
      <w:r>
        <w:rPr>
          <w:rFonts w:hint="eastAsia"/>
          <w:color w:val="auto"/>
          <w:szCs w:val="21"/>
          <w:highlight w:val="none"/>
          <w:u w:val="single"/>
        </w:rPr>
        <w:t xml:space="preserve">              </w:t>
      </w:r>
      <w:r>
        <w:rPr>
          <w:color w:val="auto"/>
          <w:szCs w:val="21"/>
          <w:highlight w:val="none"/>
          <w:u w:val="single"/>
        </w:rPr>
        <w:t>（</w:t>
      </w:r>
      <w:r>
        <w:rPr>
          <w:color w:val="auto"/>
          <w:szCs w:val="21"/>
          <w:highlight w:val="none"/>
        </w:rPr>
        <w:t>盖单位章）</w:t>
      </w:r>
    </w:p>
    <w:p w14:paraId="3C726676">
      <w:pPr>
        <w:spacing w:before="312" w:beforeLines="100" w:after="312" w:afterLines="100" w:line="400" w:lineRule="exact"/>
        <w:rPr>
          <w:color w:val="auto"/>
          <w:szCs w:val="21"/>
          <w:highlight w:val="none"/>
        </w:rPr>
      </w:pPr>
    </w:p>
    <w:p w14:paraId="0BD1A1F3">
      <w:pPr>
        <w:spacing w:line="240" w:lineRule="exact"/>
        <w:rPr>
          <w:color w:val="auto"/>
          <w:szCs w:val="21"/>
          <w:highlight w:val="none"/>
        </w:rPr>
      </w:pPr>
      <w:r>
        <w:rPr>
          <w:b/>
          <w:bCs/>
          <w:color w:val="auto"/>
          <w:szCs w:val="21"/>
          <w:highlight w:val="none"/>
        </w:rPr>
        <w:t>法定代表人或其</w:t>
      </w:r>
      <w:r>
        <w:rPr>
          <w:color w:val="auto"/>
          <w:szCs w:val="21"/>
          <w:highlight w:val="none"/>
        </w:rPr>
        <w:t xml:space="preserve">                      </w:t>
      </w:r>
      <w:r>
        <w:rPr>
          <w:b/>
          <w:bCs/>
          <w:color w:val="auto"/>
          <w:szCs w:val="21"/>
          <w:highlight w:val="none"/>
        </w:rPr>
        <w:t>法定代表人或其</w:t>
      </w:r>
    </w:p>
    <w:p w14:paraId="043E9C08">
      <w:pPr>
        <w:spacing w:line="240" w:lineRule="exact"/>
        <w:rPr>
          <w:color w:val="auto"/>
          <w:szCs w:val="21"/>
          <w:highlight w:val="none"/>
        </w:rPr>
      </w:pPr>
      <w:r>
        <w:rPr>
          <w:b/>
          <w:bCs/>
          <w:color w:val="auto"/>
          <w:szCs w:val="21"/>
          <w:highlight w:val="none"/>
        </w:rPr>
        <w:t>委托代理人：</w:t>
      </w:r>
      <w:r>
        <w:rPr>
          <w:color w:val="auto"/>
          <w:szCs w:val="21"/>
          <w:highlight w:val="none"/>
          <w:u w:val="single"/>
        </w:rPr>
        <w:t xml:space="preserve">              </w:t>
      </w:r>
      <w:r>
        <w:rPr>
          <w:color w:val="auto"/>
          <w:szCs w:val="21"/>
          <w:highlight w:val="none"/>
        </w:rPr>
        <w:t xml:space="preserve">（签字） </w:t>
      </w:r>
      <w:r>
        <w:rPr>
          <w:b/>
          <w:bCs/>
          <w:color w:val="auto"/>
          <w:szCs w:val="21"/>
          <w:highlight w:val="none"/>
        </w:rPr>
        <w:t xml:space="preserve"> 委托代理人：</w:t>
      </w:r>
      <w:r>
        <w:rPr>
          <w:color w:val="auto"/>
          <w:szCs w:val="21"/>
          <w:highlight w:val="none"/>
          <w:u w:val="single"/>
        </w:rPr>
        <w:t xml:space="preserve">                   </w:t>
      </w:r>
      <w:r>
        <w:rPr>
          <w:color w:val="auto"/>
          <w:szCs w:val="21"/>
          <w:highlight w:val="none"/>
        </w:rPr>
        <w:t>（签字）</w:t>
      </w:r>
    </w:p>
    <w:p w14:paraId="70F48D95">
      <w:pPr>
        <w:spacing w:before="312" w:beforeLines="100" w:after="312" w:afterLines="100" w:line="400" w:lineRule="exact"/>
        <w:rPr>
          <w:color w:val="auto"/>
          <w:szCs w:val="21"/>
          <w:highlight w:val="none"/>
          <w:u w:val="single"/>
        </w:rPr>
      </w:pPr>
    </w:p>
    <w:p w14:paraId="70E8938C">
      <w:pPr>
        <w:spacing w:before="312" w:beforeLines="100" w:after="312" w:afterLines="100" w:line="400" w:lineRule="exact"/>
        <w:ind w:firstLine="525" w:firstLineChars="250"/>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月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 xml:space="preserve"> 日      </w:t>
      </w:r>
      <w:r>
        <w:rPr>
          <w:rFonts w:hint="eastAsia"/>
          <w:color w:val="auto"/>
          <w:szCs w:val="21"/>
          <w:highlight w:val="none"/>
        </w:rPr>
        <w:t xml:space="preserve"> </w:t>
      </w:r>
      <w:r>
        <w:rPr>
          <w:color w:val="auto"/>
          <w:szCs w:val="21"/>
          <w:highlight w:val="none"/>
        </w:rPr>
        <w:t xml:space="preserve"> </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 xml:space="preserve">月 </w:t>
      </w:r>
      <w:r>
        <w:rPr>
          <w:color w:val="auto"/>
          <w:szCs w:val="21"/>
          <w:highlight w:val="none"/>
          <w:u w:val="single"/>
        </w:rPr>
        <w:t xml:space="preserve">     </w:t>
      </w:r>
      <w:r>
        <w:rPr>
          <w:color w:val="auto"/>
          <w:szCs w:val="21"/>
          <w:highlight w:val="none"/>
        </w:rPr>
        <w:t>日</w:t>
      </w:r>
    </w:p>
    <w:p w14:paraId="25715CF8">
      <w:pPr>
        <w:spacing w:before="312" w:beforeLines="100" w:after="312" w:afterLines="100" w:line="400" w:lineRule="exact"/>
        <w:rPr>
          <w:color w:val="auto"/>
          <w:szCs w:val="21"/>
          <w:highlight w:val="none"/>
        </w:rPr>
      </w:pPr>
    </w:p>
    <w:p w14:paraId="09085A5B">
      <w:pPr>
        <w:spacing w:before="312" w:beforeLines="100" w:after="312" w:afterLines="100" w:line="400" w:lineRule="exact"/>
        <w:rPr>
          <w:color w:val="auto"/>
          <w:szCs w:val="21"/>
          <w:highlight w:val="none"/>
          <w:u w:val="single"/>
        </w:rPr>
      </w:pPr>
      <w:r>
        <w:rPr>
          <w:b/>
          <w:color w:val="auto"/>
          <w:szCs w:val="21"/>
          <w:highlight w:val="none"/>
        </w:rPr>
        <w:t>签约地点：</w:t>
      </w:r>
      <w:r>
        <w:rPr>
          <w:color w:val="auto"/>
          <w:szCs w:val="21"/>
          <w:highlight w:val="none"/>
          <w:u w:val="single"/>
        </w:rPr>
        <w:t xml:space="preserve"> </w:t>
      </w:r>
      <w:r>
        <w:rPr>
          <w:rFonts w:hint="eastAsia"/>
          <w:color w:val="auto"/>
          <w:szCs w:val="21"/>
          <w:highlight w:val="none"/>
          <w:u w:val="single"/>
        </w:rPr>
        <w:t>北京财贸职业学院</w:t>
      </w:r>
      <w:r>
        <w:rPr>
          <w:color w:val="auto"/>
          <w:szCs w:val="21"/>
          <w:highlight w:val="none"/>
          <w:u w:val="single"/>
        </w:rPr>
        <w:t xml:space="preserve"> </w:t>
      </w:r>
    </w:p>
    <w:p w14:paraId="207F1ABF">
      <w:pPr>
        <w:jc w:val="center"/>
        <w:rPr>
          <w:b/>
          <w:color w:val="auto"/>
          <w:sz w:val="44"/>
          <w:szCs w:val="44"/>
          <w:highlight w:val="none"/>
        </w:rPr>
      </w:pPr>
      <w:r>
        <w:rPr>
          <w:b/>
          <w:color w:val="auto"/>
          <w:sz w:val="44"/>
          <w:szCs w:val="44"/>
          <w:highlight w:val="none"/>
        </w:rPr>
        <w:br w:type="page"/>
      </w:r>
    </w:p>
    <w:p w14:paraId="4731C204">
      <w:pPr>
        <w:jc w:val="center"/>
        <w:rPr>
          <w:b/>
          <w:color w:val="auto"/>
          <w:sz w:val="44"/>
          <w:szCs w:val="44"/>
          <w:highlight w:val="none"/>
        </w:rPr>
      </w:pPr>
    </w:p>
    <w:p w14:paraId="5AECE8DF">
      <w:pPr>
        <w:jc w:val="center"/>
        <w:rPr>
          <w:b/>
          <w:color w:val="auto"/>
          <w:sz w:val="44"/>
          <w:szCs w:val="44"/>
          <w:highlight w:val="none"/>
        </w:rPr>
      </w:pPr>
    </w:p>
    <w:p w14:paraId="4DAE8F8C">
      <w:pPr>
        <w:jc w:val="center"/>
        <w:rPr>
          <w:b/>
          <w:color w:val="auto"/>
          <w:sz w:val="44"/>
          <w:szCs w:val="44"/>
          <w:highlight w:val="none"/>
        </w:rPr>
      </w:pPr>
    </w:p>
    <w:p w14:paraId="3CC5D436">
      <w:pPr>
        <w:jc w:val="center"/>
        <w:rPr>
          <w:b/>
          <w:color w:val="auto"/>
          <w:sz w:val="44"/>
          <w:szCs w:val="44"/>
          <w:highlight w:val="none"/>
        </w:rPr>
      </w:pPr>
    </w:p>
    <w:p w14:paraId="0C6AFA1B">
      <w:pPr>
        <w:jc w:val="center"/>
        <w:rPr>
          <w:b/>
          <w:color w:val="auto"/>
          <w:sz w:val="44"/>
          <w:szCs w:val="44"/>
          <w:highlight w:val="none"/>
        </w:rPr>
      </w:pPr>
    </w:p>
    <w:p w14:paraId="7F099327">
      <w:pPr>
        <w:jc w:val="center"/>
        <w:rPr>
          <w:b/>
          <w:color w:val="auto"/>
          <w:sz w:val="44"/>
          <w:szCs w:val="44"/>
          <w:highlight w:val="none"/>
        </w:rPr>
      </w:pPr>
    </w:p>
    <w:p w14:paraId="2D5F4BF6">
      <w:pPr>
        <w:jc w:val="center"/>
        <w:rPr>
          <w:color w:val="auto"/>
          <w:highlight w:val="none"/>
        </w:rPr>
      </w:pPr>
      <w:r>
        <w:rPr>
          <w:b/>
          <w:color w:val="auto"/>
          <w:sz w:val="44"/>
          <w:szCs w:val="44"/>
          <w:highlight w:val="none"/>
        </w:rPr>
        <w:t>第</w:t>
      </w:r>
      <w:r>
        <w:rPr>
          <w:rFonts w:hint="eastAsia"/>
          <w:b/>
          <w:color w:val="auto"/>
          <w:sz w:val="44"/>
          <w:szCs w:val="44"/>
          <w:highlight w:val="none"/>
        </w:rPr>
        <w:t>五节 工程建设项目廉政责任书</w:t>
      </w:r>
    </w:p>
    <w:p w14:paraId="3BF1DB88">
      <w:pPr>
        <w:spacing w:line="360" w:lineRule="auto"/>
        <w:rPr>
          <w:color w:val="auto"/>
          <w:highlight w:val="none"/>
        </w:rPr>
      </w:pPr>
    </w:p>
    <w:p w14:paraId="487FCEF7">
      <w:pPr>
        <w:spacing w:line="440" w:lineRule="exact"/>
        <w:jc w:val="center"/>
        <w:rPr>
          <w:rFonts w:ascii="Cambria" w:hAnsi="Cambria"/>
          <w:b/>
          <w:color w:val="auto"/>
          <w:sz w:val="32"/>
          <w:szCs w:val="32"/>
          <w:highlight w:val="none"/>
        </w:rPr>
      </w:pPr>
      <w:r>
        <w:rPr>
          <w:color w:val="auto"/>
          <w:highlight w:val="none"/>
        </w:rPr>
        <w:br w:type="page"/>
      </w:r>
      <w:r>
        <w:rPr>
          <w:rFonts w:hint="eastAsia" w:ascii="Cambria" w:hAnsi="Cambria"/>
          <w:b/>
          <w:color w:val="auto"/>
          <w:sz w:val="32"/>
          <w:szCs w:val="32"/>
          <w:highlight w:val="none"/>
        </w:rPr>
        <w:t>工程建设项目廉政责任书</w:t>
      </w:r>
    </w:p>
    <w:p w14:paraId="6A33BC69">
      <w:pPr>
        <w:jc w:val="center"/>
        <w:rPr>
          <w:rFonts w:ascii="Cambria" w:hAnsi="Cambria"/>
          <w:color w:val="auto"/>
          <w:spacing w:val="10"/>
          <w:szCs w:val="21"/>
          <w:highlight w:val="none"/>
        </w:rPr>
      </w:pPr>
    </w:p>
    <w:p w14:paraId="5DCFEA73">
      <w:pPr>
        <w:spacing w:line="360" w:lineRule="auto"/>
        <w:ind w:left="1446" w:hanging="1446" w:hangingChars="686"/>
        <w:rPr>
          <w:rFonts w:ascii="Cambria" w:hAnsi="Cambria"/>
          <w:b/>
          <w:color w:val="auto"/>
          <w:highlight w:val="none"/>
          <w:u w:val="single"/>
        </w:rPr>
      </w:pPr>
      <w:r>
        <w:rPr>
          <w:rFonts w:hint="eastAsia" w:ascii="Cambria" w:hAnsi="Cambria"/>
          <w:b/>
          <w:color w:val="auto"/>
          <w:szCs w:val="21"/>
          <w:highlight w:val="none"/>
        </w:rPr>
        <w:t>工程项目名称：</w:t>
      </w:r>
      <w:r>
        <w:rPr>
          <w:rFonts w:hint="eastAsia" w:ascii="Cambria" w:hAnsi="Cambria"/>
          <w:b/>
          <w:color w:val="auto"/>
          <w:highlight w:val="none"/>
          <w:u w:val="single"/>
        </w:rPr>
        <w:t>***工程</w:t>
      </w:r>
    </w:p>
    <w:p w14:paraId="0C62239C">
      <w:pPr>
        <w:spacing w:line="360" w:lineRule="auto"/>
        <w:rPr>
          <w:rFonts w:ascii="Cambria" w:hAnsi="Cambria"/>
          <w:b/>
          <w:color w:val="auto"/>
          <w:szCs w:val="21"/>
          <w:highlight w:val="none"/>
          <w:u w:val="single"/>
        </w:rPr>
      </w:pPr>
      <w:r>
        <w:rPr>
          <w:rFonts w:hint="eastAsia" w:ascii="Cambria" w:hAnsi="Cambria"/>
          <w:b/>
          <w:color w:val="auto"/>
          <w:szCs w:val="21"/>
          <w:highlight w:val="none"/>
        </w:rPr>
        <w:t>工程项目地址：</w:t>
      </w:r>
      <w:r>
        <w:rPr>
          <w:rFonts w:hint="eastAsia" w:ascii="Cambria" w:hAnsi="Cambria"/>
          <w:b/>
          <w:color w:val="auto"/>
          <w:highlight w:val="none"/>
          <w:u w:val="single"/>
        </w:rPr>
        <w:t xml:space="preserve"> </w:t>
      </w:r>
      <w:r>
        <w:rPr>
          <w:rFonts w:ascii="Cambria" w:hAnsi="Cambria"/>
          <w:b/>
          <w:color w:val="auto"/>
          <w:highlight w:val="none"/>
          <w:u w:val="single"/>
        </w:rPr>
        <w:t xml:space="preserve">                                       </w:t>
      </w:r>
    </w:p>
    <w:p w14:paraId="2BFCC561">
      <w:pPr>
        <w:spacing w:line="360" w:lineRule="auto"/>
        <w:rPr>
          <w:rFonts w:ascii="Cambria" w:hAnsi="Cambria"/>
          <w:b/>
          <w:color w:val="auto"/>
          <w:szCs w:val="21"/>
          <w:highlight w:val="none"/>
          <w:u w:val="single"/>
        </w:rPr>
      </w:pPr>
      <w:r>
        <w:rPr>
          <w:rFonts w:hint="eastAsia" w:ascii="Cambria" w:hAnsi="Cambria"/>
          <w:b/>
          <w:color w:val="auto"/>
          <w:szCs w:val="21"/>
          <w:highlight w:val="none"/>
        </w:rPr>
        <w:t>发包人（甲方）：</w:t>
      </w:r>
      <w:r>
        <w:rPr>
          <w:rFonts w:hint="eastAsia" w:ascii="Cambria" w:hAnsi="Cambria"/>
          <w:b/>
          <w:color w:val="auto"/>
          <w:szCs w:val="21"/>
          <w:highlight w:val="none"/>
          <w:u w:val="single"/>
        </w:rPr>
        <w:t xml:space="preserve">北京财贸职业学院                  </w:t>
      </w:r>
      <w:r>
        <w:rPr>
          <w:rFonts w:ascii="Cambria" w:hAnsi="Cambria"/>
          <w:b/>
          <w:color w:val="auto"/>
          <w:szCs w:val="21"/>
          <w:highlight w:val="none"/>
          <w:u w:val="single"/>
        </w:rPr>
        <w:t xml:space="preserve"> </w:t>
      </w:r>
      <w:r>
        <w:rPr>
          <w:rFonts w:hint="eastAsia" w:ascii="Cambria" w:hAnsi="Cambria"/>
          <w:b/>
          <w:color w:val="auto"/>
          <w:szCs w:val="21"/>
          <w:highlight w:val="none"/>
          <w:u w:val="single"/>
        </w:rPr>
        <w:t xml:space="preserve">   </w:t>
      </w:r>
    </w:p>
    <w:p w14:paraId="1B2CEC70">
      <w:pPr>
        <w:spacing w:line="360" w:lineRule="auto"/>
        <w:rPr>
          <w:rFonts w:ascii="Cambria" w:hAnsi="Cambria"/>
          <w:b/>
          <w:color w:val="auto"/>
          <w:szCs w:val="21"/>
          <w:highlight w:val="none"/>
          <w:u w:val="single"/>
        </w:rPr>
      </w:pPr>
      <w:r>
        <w:rPr>
          <w:rFonts w:hint="eastAsia" w:ascii="Cambria" w:hAnsi="Cambria"/>
          <w:b/>
          <w:color w:val="auto"/>
          <w:szCs w:val="21"/>
          <w:highlight w:val="none"/>
        </w:rPr>
        <w:t>承包人（乙方）：</w:t>
      </w:r>
      <w:r>
        <w:rPr>
          <w:rFonts w:hint="eastAsia" w:ascii="Cambria" w:hAnsi="Cambria"/>
          <w:b/>
          <w:color w:val="auto"/>
          <w:szCs w:val="21"/>
          <w:highlight w:val="none"/>
          <w:u w:val="single"/>
        </w:rPr>
        <w:t xml:space="preserve">***               </w:t>
      </w:r>
    </w:p>
    <w:p w14:paraId="25774221">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6B30C3BA">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第一条  甲乙双方的责任</w:t>
      </w:r>
    </w:p>
    <w:p w14:paraId="48D1AB4F">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（一）应严格遵守国家关于市场准入、项目招标投标、工程建设、施工安装和市场活动的有关法律、法规，相关政策，以及廉政建设的各项规定。</w:t>
      </w:r>
    </w:p>
    <w:p w14:paraId="2EA5CF8A">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（二）严格执行建设工程项目承发包合同文件，自觉按合同办事。</w:t>
      </w:r>
    </w:p>
    <w:p w14:paraId="2A17B2CE">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（三）业务活动必须坚持公开、公平、公正、诚信、透明的原则（除法律法规另有规定者外），不得为获取不正当的利益，损害国家、集体和对方利益，不得违反工程建设管理、施工安装的规章制度。</w:t>
      </w:r>
    </w:p>
    <w:p w14:paraId="6A336239">
      <w:pPr>
        <w:spacing w:line="400" w:lineRule="exact"/>
        <w:rPr>
          <w:rFonts w:ascii="Cambria" w:hAnsi="Cambria"/>
          <w:color w:val="auto"/>
          <w:szCs w:val="21"/>
          <w:highlight w:val="none"/>
        </w:rPr>
      </w:pPr>
      <w:r>
        <w:rPr>
          <w:rFonts w:hint="eastAsia" w:ascii="Cambria" w:hAnsi="Cambria"/>
          <w:color w:val="auto"/>
          <w:szCs w:val="21"/>
          <w:highlight w:val="none"/>
        </w:rPr>
        <w:t xml:space="preserve">    （四）发现对方在业务活动中有违规、违纪、违法行为的，应及时提醒对方，情节严重的，应向其上级主管部门或纪检监察、司法等有关机关举报。</w:t>
      </w:r>
    </w:p>
    <w:p w14:paraId="504C194B">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第二条 甲方的责任</w:t>
      </w:r>
    </w:p>
    <w:p w14:paraId="1273445D">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甲方的领导和从事该建设工程项目的工作人员，在工程建设的事前、事中、事后应遵守以下规定：</w:t>
      </w:r>
    </w:p>
    <w:p w14:paraId="6B126FC3">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（一）不准向乙方和相关单位索要或接受回扣、礼金、有价证券、贵重物品和好处费、感谢费等。</w:t>
      </w:r>
    </w:p>
    <w:p w14:paraId="3D566CB9">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（二）不准在乙方和相关单位报销任何应由甲方或个人支付的费用。</w:t>
      </w:r>
    </w:p>
    <w:p w14:paraId="3795C9CD">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（三）不准要求、暗示或接受乙方和相关单位为个人装修住房、婚丧嫁娶、配偶子女的工作安排以及出国（境）、旅游等提供方便。</w:t>
      </w:r>
    </w:p>
    <w:p w14:paraId="086B9A16">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（四）不准参加有可能影响公正执行公务的乙方和相关单位的宴请、健身、娱乐等活动。</w:t>
      </w:r>
    </w:p>
    <w:p w14:paraId="230304F4">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五）不准向乙方介绍或为配偶、子女、亲属参与同甲方项目工程施工合同有关的设备、材料工程分包、劳务等经济活动。不得以任何理由要求乙方和相关单位推荐分包单位和要求乙方购买项目工程施工合同约定以外的材料、设备等。</w:t>
      </w:r>
    </w:p>
    <w:p w14:paraId="45E1B8A4">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第三条 乙方的责任</w:t>
      </w:r>
    </w:p>
    <w:p w14:paraId="7F7547A9">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应与甲方保持正常的业务交往，按照有关法律法规和程序开展业务工作，严格执行工程建设的有关方针、政策，尤其是有关建筑施工安装的强制性标准和规范，并遵守以下规定：</w:t>
      </w:r>
    </w:p>
    <w:p w14:paraId="514B27AA">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（一）不准以任何理由向甲方、相关单位及其工作人员索要、接受或赠送礼金、有价证券、贵重物品和回扣、好处费、感谢费等。</w:t>
      </w:r>
    </w:p>
    <w:p w14:paraId="4B3D759B">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（二）不准以任何理由为甲方和相关单位报销应由对方或个人支付的费用。</w:t>
      </w:r>
    </w:p>
    <w:p w14:paraId="0FD594C7">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（三）不准接受或暗示为甲方、相关单位或个人装修住房、婚丧嫁娶、配偶子女的工作安排以及出国（境）、旅游等提供方便。</w:t>
      </w:r>
    </w:p>
    <w:p w14:paraId="0FB94520">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（四）不准以任何理由为甲方、相关单位或个人组织有可能影响公正执行公务的宴请、健身、娱乐等活动。</w:t>
      </w:r>
    </w:p>
    <w:p w14:paraId="519DA441">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 xml:space="preserve">第四条  违约责任 </w:t>
      </w:r>
    </w:p>
    <w:p w14:paraId="27B34455">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235127E1">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14:paraId="7B73A2A6">
      <w:pPr>
        <w:spacing w:line="400" w:lineRule="exact"/>
        <w:rPr>
          <w:rFonts w:ascii="Cambria" w:hAnsi="Cambria"/>
          <w:color w:val="auto"/>
          <w:szCs w:val="21"/>
          <w:highlight w:val="none"/>
        </w:rPr>
      </w:pPr>
      <w:r>
        <w:rPr>
          <w:rFonts w:hint="eastAsia" w:ascii="Cambria" w:hAnsi="Cambria"/>
          <w:color w:val="auto"/>
          <w:szCs w:val="21"/>
          <w:highlight w:val="none"/>
        </w:rPr>
        <w:t xml:space="preserve">    第五条  本责任书作为工程施工合同的附件，与工程施工合同具有同等法律效力。经双方签署后立即生效。</w:t>
      </w:r>
    </w:p>
    <w:p w14:paraId="1E33B830">
      <w:pPr>
        <w:spacing w:line="400" w:lineRule="exact"/>
        <w:ind w:firstLine="420" w:firstLineChars="200"/>
        <w:rPr>
          <w:rFonts w:ascii="Cambria" w:hAnsi="Cambria"/>
          <w:color w:val="auto"/>
          <w:szCs w:val="21"/>
          <w:highlight w:val="none"/>
        </w:rPr>
      </w:pPr>
      <w:r>
        <w:rPr>
          <w:rFonts w:hint="eastAsia" w:ascii="Cambria" w:hAnsi="Cambria"/>
          <w:color w:val="auto"/>
          <w:szCs w:val="21"/>
          <w:highlight w:val="none"/>
        </w:rPr>
        <w:t>第六条  本责任书的有效期为双方签署之日起至该工程项目竣工验收合格时止。</w:t>
      </w:r>
    </w:p>
    <w:p w14:paraId="412DC2E8">
      <w:pPr>
        <w:spacing w:line="400" w:lineRule="exact"/>
        <w:rPr>
          <w:rFonts w:ascii="Cambria" w:hAnsi="Cambria"/>
          <w:color w:val="auto"/>
          <w:szCs w:val="21"/>
          <w:highlight w:val="none"/>
        </w:rPr>
      </w:pPr>
    </w:p>
    <w:p w14:paraId="139B2456">
      <w:pPr>
        <w:spacing w:line="400" w:lineRule="exact"/>
        <w:rPr>
          <w:rFonts w:ascii="Cambria" w:hAnsi="Cambria"/>
          <w:color w:val="auto"/>
          <w:szCs w:val="21"/>
          <w:highlight w:val="none"/>
        </w:rPr>
      </w:pPr>
      <w:r>
        <w:rPr>
          <w:rFonts w:hint="eastAsia" w:ascii="Cambria" w:hAnsi="Cambria"/>
          <w:color w:val="auto"/>
          <w:szCs w:val="21"/>
          <w:highlight w:val="none"/>
        </w:rPr>
        <w:t>甲方单位：（盖章）                         乙方单位：（盖章）</w:t>
      </w:r>
    </w:p>
    <w:p w14:paraId="41CDB9DB">
      <w:pPr>
        <w:spacing w:line="400" w:lineRule="exact"/>
        <w:rPr>
          <w:rFonts w:ascii="Cambria" w:hAnsi="Cambria"/>
          <w:color w:val="auto"/>
          <w:szCs w:val="21"/>
          <w:highlight w:val="none"/>
        </w:rPr>
      </w:pPr>
    </w:p>
    <w:p w14:paraId="0C5FCC65">
      <w:pPr>
        <w:spacing w:line="400" w:lineRule="exact"/>
        <w:rPr>
          <w:rFonts w:ascii="Cambria" w:hAnsi="Cambria"/>
          <w:color w:val="auto"/>
          <w:szCs w:val="21"/>
          <w:highlight w:val="none"/>
        </w:rPr>
      </w:pPr>
      <w:r>
        <w:rPr>
          <w:rFonts w:hint="eastAsia" w:ascii="Cambria" w:hAnsi="Cambria"/>
          <w:color w:val="auto"/>
          <w:szCs w:val="21"/>
          <w:highlight w:val="none"/>
        </w:rPr>
        <w:t>法定代表人或委托代理人（签字或盖章）：     法定代表人或委托代理人（签字或盖章）：</w:t>
      </w:r>
    </w:p>
    <w:p w14:paraId="5230FD41">
      <w:pPr>
        <w:spacing w:line="400" w:lineRule="exact"/>
        <w:rPr>
          <w:rFonts w:ascii="Cambria" w:hAnsi="Cambria"/>
          <w:color w:val="auto"/>
          <w:szCs w:val="21"/>
          <w:highlight w:val="none"/>
        </w:rPr>
      </w:pPr>
    </w:p>
    <w:p w14:paraId="3C709A27">
      <w:pPr>
        <w:spacing w:line="400" w:lineRule="exact"/>
        <w:ind w:left="5040" w:hanging="5040" w:hangingChars="2400"/>
        <w:rPr>
          <w:rFonts w:ascii="Cambria" w:hAnsi="Cambria"/>
          <w:color w:val="auto"/>
          <w:sz w:val="18"/>
          <w:szCs w:val="18"/>
          <w:highlight w:val="none"/>
        </w:rPr>
      </w:pPr>
      <w:r>
        <w:rPr>
          <w:rFonts w:hint="eastAsia" w:ascii="Cambria" w:hAnsi="Cambria"/>
          <w:color w:val="auto"/>
          <w:szCs w:val="21"/>
          <w:highlight w:val="none"/>
        </w:rPr>
        <w:t xml:space="preserve">地址： </w:t>
      </w:r>
      <w:r>
        <w:rPr>
          <w:rFonts w:ascii="Cambria" w:hAnsi="Cambria"/>
          <w:color w:val="auto"/>
          <w:szCs w:val="21"/>
          <w:highlight w:val="none"/>
        </w:rPr>
        <w:t xml:space="preserve">                     </w:t>
      </w:r>
      <w:r>
        <w:rPr>
          <w:rFonts w:hint="eastAsia" w:ascii="Cambria" w:hAnsi="Cambria"/>
          <w:color w:val="auto"/>
          <w:szCs w:val="21"/>
          <w:highlight w:val="none"/>
        </w:rPr>
        <w:t xml:space="preserve">              地址：  </w:t>
      </w:r>
    </w:p>
    <w:p w14:paraId="46D6A774">
      <w:pPr>
        <w:spacing w:line="400" w:lineRule="exact"/>
        <w:rPr>
          <w:rFonts w:ascii="Cambria" w:hAnsi="Cambria"/>
          <w:color w:val="auto"/>
          <w:szCs w:val="21"/>
          <w:highlight w:val="none"/>
        </w:rPr>
      </w:pPr>
    </w:p>
    <w:p w14:paraId="33E2EC73">
      <w:pPr>
        <w:spacing w:line="400" w:lineRule="exact"/>
        <w:rPr>
          <w:rFonts w:ascii="Cambria" w:hAnsi="Cambria"/>
          <w:color w:val="auto"/>
          <w:szCs w:val="21"/>
          <w:highlight w:val="none"/>
        </w:rPr>
      </w:pPr>
      <w:r>
        <w:rPr>
          <w:rFonts w:hint="eastAsia" w:ascii="Cambria" w:hAnsi="Cambria"/>
          <w:color w:val="auto"/>
          <w:szCs w:val="21"/>
          <w:highlight w:val="none"/>
        </w:rPr>
        <w:t>电话：</w:t>
      </w:r>
      <w:r>
        <w:rPr>
          <w:rFonts w:ascii="Cambria" w:hAnsi="Cambria"/>
          <w:color w:val="auto"/>
          <w:szCs w:val="21"/>
          <w:highlight w:val="none"/>
        </w:rPr>
        <w:t xml:space="preserve">           </w:t>
      </w:r>
      <w:r>
        <w:rPr>
          <w:rFonts w:hint="eastAsia" w:ascii="Cambria" w:hAnsi="Cambria"/>
          <w:color w:val="auto"/>
          <w:szCs w:val="21"/>
          <w:highlight w:val="none"/>
        </w:rPr>
        <w:t xml:space="preserve">                         电话：   </w:t>
      </w:r>
    </w:p>
    <w:p w14:paraId="2395D36B">
      <w:pPr>
        <w:spacing w:line="400" w:lineRule="exact"/>
        <w:ind w:firstLine="1470" w:firstLineChars="700"/>
        <w:rPr>
          <w:rFonts w:ascii="Cambria" w:hAnsi="Cambria"/>
          <w:color w:val="auto"/>
          <w:szCs w:val="21"/>
          <w:highlight w:val="none"/>
        </w:rPr>
      </w:pPr>
    </w:p>
    <w:p w14:paraId="45DC68F7">
      <w:pPr>
        <w:spacing w:line="400" w:lineRule="exact"/>
        <w:ind w:firstLine="1470" w:firstLineChars="700"/>
        <w:rPr>
          <w:rFonts w:ascii="Cambria" w:hAnsi="Cambria"/>
          <w:color w:val="auto"/>
          <w:szCs w:val="21"/>
          <w:highlight w:val="none"/>
        </w:rPr>
      </w:pPr>
      <w:r>
        <w:rPr>
          <w:rFonts w:hint="eastAsia" w:ascii="Cambria" w:hAnsi="Cambria"/>
          <w:color w:val="auto"/>
          <w:szCs w:val="21"/>
          <w:highlight w:val="none"/>
        </w:rPr>
        <w:t>年    月   日                                 年    月   日</w:t>
      </w:r>
    </w:p>
    <w:p w14:paraId="33B3B54E">
      <w:pPr>
        <w:tabs>
          <w:tab w:val="left" w:pos="1695"/>
        </w:tabs>
        <w:adjustRightInd w:val="0"/>
        <w:snapToGrid w:val="0"/>
        <w:spacing w:line="360" w:lineRule="auto"/>
        <w:ind w:firstLine="480"/>
        <w:rPr>
          <w:rFonts w:ascii="Cambria" w:hAnsi="Cambria"/>
          <w:color w:val="auto"/>
          <w:szCs w:val="21"/>
          <w:highlight w:val="none"/>
        </w:rPr>
      </w:pPr>
    </w:p>
    <w:p w14:paraId="103F488E">
      <w:pPr>
        <w:rPr>
          <w:color w:val="auto"/>
          <w:highlight w:val="none"/>
        </w:rPr>
      </w:pPr>
    </w:p>
    <w:p w14:paraId="66CF338B">
      <w:pPr>
        <w:rPr>
          <w:color w:val="auto"/>
          <w:sz w:val="28"/>
          <w:szCs w:val="28"/>
          <w:highlight w:val="none"/>
        </w:rPr>
      </w:pPr>
    </w:p>
    <w:p w14:paraId="35F95209">
      <w:pPr>
        <w:rPr>
          <w:color w:val="auto"/>
          <w:sz w:val="28"/>
          <w:szCs w:val="28"/>
          <w:highlight w:val="none"/>
        </w:rPr>
      </w:pPr>
    </w:p>
    <w:p w14:paraId="38CCE462">
      <w:pPr>
        <w:rPr>
          <w:color w:val="auto"/>
          <w:sz w:val="28"/>
          <w:szCs w:val="28"/>
          <w:highlight w:val="none"/>
        </w:rPr>
      </w:pPr>
    </w:p>
    <w:p w14:paraId="27625786">
      <w:pPr>
        <w:rPr>
          <w:color w:val="auto"/>
          <w:sz w:val="28"/>
          <w:szCs w:val="28"/>
          <w:highlight w:val="none"/>
        </w:rPr>
      </w:pPr>
    </w:p>
    <w:p w14:paraId="4B18A883">
      <w:pPr>
        <w:rPr>
          <w:color w:val="auto"/>
          <w:sz w:val="28"/>
          <w:szCs w:val="28"/>
          <w:highlight w:val="none"/>
        </w:rPr>
        <w:sectPr>
          <w:headerReference r:id="rId21" w:type="default"/>
          <w:footerReference r:id="rId22" w:type="default"/>
          <w:pgSz w:w="11906" w:h="16838"/>
          <w:pgMar w:top="1440" w:right="1486" w:bottom="1440" w:left="1800" w:header="851" w:footer="992" w:gutter="0"/>
          <w:cols w:space="720" w:num="1"/>
          <w:titlePg/>
          <w:docGrid w:type="lines" w:linePitch="312" w:charSpace="0"/>
        </w:sectPr>
      </w:pPr>
    </w:p>
    <w:p w14:paraId="0C058814">
      <w:pPr>
        <w:jc w:val="center"/>
        <w:rPr>
          <w:b/>
          <w:color w:val="auto"/>
          <w:sz w:val="44"/>
          <w:szCs w:val="44"/>
          <w:highlight w:val="none"/>
        </w:rPr>
      </w:pPr>
    </w:p>
    <w:p w14:paraId="4B421C9D">
      <w:pPr>
        <w:jc w:val="center"/>
        <w:rPr>
          <w:b/>
          <w:color w:val="auto"/>
          <w:sz w:val="44"/>
          <w:szCs w:val="44"/>
          <w:highlight w:val="none"/>
        </w:rPr>
      </w:pPr>
    </w:p>
    <w:p w14:paraId="42509976">
      <w:pPr>
        <w:jc w:val="center"/>
        <w:rPr>
          <w:b/>
          <w:color w:val="auto"/>
          <w:sz w:val="44"/>
          <w:szCs w:val="44"/>
          <w:highlight w:val="none"/>
        </w:rPr>
      </w:pPr>
    </w:p>
    <w:p w14:paraId="291C2952">
      <w:pPr>
        <w:jc w:val="center"/>
        <w:rPr>
          <w:b/>
          <w:color w:val="auto"/>
          <w:sz w:val="44"/>
          <w:szCs w:val="44"/>
          <w:highlight w:val="none"/>
        </w:rPr>
      </w:pPr>
    </w:p>
    <w:p w14:paraId="386A0662">
      <w:pPr>
        <w:jc w:val="center"/>
        <w:rPr>
          <w:b/>
          <w:color w:val="auto"/>
          <w:sz w:val="44"/>
          <w:szCs w:val="44"/>
          <w:highlight w:val="none"/>
        </w:rPr>
      </w:pPr>
    </w:p>
    <w:p w14:paraId="56839E0A">
      <w:pPr>
        <w:jc w:val="center"/>
        <w:rPr>
          <w:b/>
          <w:color w:val="auto"/>
          <w:sz w:val="44"/>
          <w:szCs w:val="44"/>
          <w:highlight w:val="none"/>
        </w:rPr>
      </w:pPr>
    </w:p>
    <w:p w14:paraId="1252C791">
      <w:pPr>
        <w:jc w:val="center"/>
        <w:rPr>
          <w:b/>
          <w:color w:val="auto"/>
          <w:sz w:val="44"/>
          <w:szCs w:val="44"/>
          <w:highlight w:val="none"/>
        </w:rPr>
      </w:pPr>
    </w:p>
    <w:p w14:paraId="0CBEC8AA">
      <w:pPr>
        <w:jc w:val="center"/>
        <w:rPr>
          <w:b/>
          <w:color w:val="auto"/>
          <w:sz w:val="44"/>
          <w:szCs w:val="44"/>
          <w:highlight w:val="none"/>
        </w:rPr>
      </w:pPr>
      <w:r>
        <w:rPr>
          <w:b/>
          <w:color w:val="auto"/>
          <w:sz w:val="44"/>
          <w:szCs w:val="44"/>
          <w:highlight w:val="none"/>
        </w:rPr>
        <w:t>第</w:t>
      </w:r>
      <w:r>
        <w:rPr>
          <w:rFonts w:hint="eastAsia"/>
          <w:b/>
          <w:color w:val="auto"/>
          <w:sz w:val="44"/>
          <w:szCs w:val="44"/>
          <w:highlight w:val="none"/>
        </w:rPr>
        <w:t>六节 中标通知书</w:t>
      </w:r>
    </w:p>
    <w:p w14:paraId="0E24E413">
      <w:pPr>
        <w:rPr>
          <w:color w:val="auto"/>
          <w:highlight w:val="none"/>
        </w:rPr>
      </w:pPr>
    </w:p>
    <w:p w14:paraId="384E56DD">
      <w:pPr>
        <w:rPr>
          <w:color w:val="auto"/>
          <w:highlight w:val="none"/>
        </w:rPr>
      </w:pPr>
    </w:p>
    <w:p w14:paraId="30672B56">
      <w:pPr>
        <w:tabs>
          <w:tab w:val="left" w:pos="1440"/>
        </w:tabs>
        <w:rPr>
          <w:color w:val="auto"/>
          <w:szCs w:val="21"/>
          <w:highlight w:val="none"/>
        </w:rPr>
      </w:pPr>
    </w:p>
    <w:p w14:paraId="00F64DED">
      <w:pPr>
        <w:jc w:val="center"/>
        <w:rPr>
          <w:rFonts w:eastAsia="Cambria"/>
          <w:color w:val="auto"/>
          <w:sz w:val="24"/>
          <w:szCs w:val="20"/>
          <w:highlight w:val="none"/>
        </w:rPr>
      </w:pPr>
    </w:p>
    <w:p w14:paraId="04181BBF">
      <w:pPr>
        <w:jc w:val="center"/>
        <w:rPr>
          <w:rFonts w:eastAsia="Cambria"/>
          <w:color w:val="auto"/>
          <w:sz w:val="24"/>
          <w:szCs w:val="20"/>
          <w:highlight w:val="none"/>
        </w:rPr>
      </w:pPr>
    </w:p>
    <w:p w14:paraId="2BED2D08">
      <w:pPr>
        <w:jc w:val="center"/>
        <w:rPr>
          <w:rFonts w:eastAsia="Cambria"/>
          <w:color w:val="auto"/>
          <w:sz w:val="24"/>
          <w:szCs w:val="20"/>
          <w:highlight w:val="none"/>
        </w:rPr>
      </w:pPr>
    </w:p>
    <w:p w14:paraId="44E5452F">
      <w:pPr>
        <w:jc w:val="center"/>
        <w:rPr>
          <w:rFonts w:eastAsia="Cambria"/>
          <w:color w:val="auto"/>
          <w:sz w:val="24"/>
          <w:szCs w:val="20"/>
          <w:highlight w:val="none"/>
        </w:rPr>
      </w:pPr>
    </w:p>
    <w:p w14:paraId="2A9BFC3F">
      <w:pPr>
        <w:jc w:val="center"/>
        <w:rPr>
          <w:rFonts w:eastAsia="Cambria"/>
          <w:color w:val="auto"/>
          <w:sz w:val="24"/>
          <w:szCs w:val="20"/>
          <w:highlight w:val="none"/>
        </w:rPr>
      </w:pPr>
    </w:p>
    <w:p w14:paraId="3D28C8B7">
      <w:pPr>
        <w:jc w:val="center"/>
        <w:rPr>
          <w:rFonts w:eastAsia="Cambria"/>
          <w:color w:val="auto"/>
          <w:sz w:val="24"/>
          <w:szCs w:val="20"/>
          <w:highlight w:val="none"/>
        </w:rPr>
      </w:pPr>
    </w:p>
    <w:p w14:paraId="60A8E76D">
      <w:pPr>
        <w:jc w:val="center"/>
        <w:rPr>
          <w:rFonts w:eastAsia="Cambria"/>
          <w:color w:val="auto"/>
          <w:sz w:val="24"/>
          <w:szCs w:val="20"/>
          <w:highlight w:val="none"/>
        </w:rPr>
      </w:pPr>
    </w:p>
    <w:p w14:paraId="4AC31D5C">
      <w:pPr>
        <w:jc w:val="center"/>
        <w:rPr>
          <w:rFonts w:eastAsia="Cambria"/>
          <w:color w:val="auto"/>
          <w:sz w:val="24"/>
          <w:szCs w:val="20"/>
          <w:highlight w:val="none"/>
        </w:rPr>
      </w:pPr>
    </w:p>
    <w:p w14:paraId="3A4A2751">
      <w:pPr>
        <w:jc w:val="center"/>
        <w:rPr>
          <w:rFonts w:eastAsia="Cambria"/>
          <w:color w:val="auto"/>
          <w:sz w:val="24"/>
          <w:szCs w:val="20"/>
          <w:highlight w:val="none"/>
        </w:rPr>
      </w:pPr>
    </w:p>
    <w:p w14:paraId="49D3208C">
      <w:pPr>
        <w:jc w:val="center"/>
        <w:rPr>
          <w:rFonts w:eastAsia="Cambria"/>
          <w:color w:val="auto"/>
          <w:sz w:val="24"/>
          <w:szCs w:val="20"/>
          <w:highlight w:val="none"/>
        </w:rPr>
      </w:pPr>
    </w:p>
    <w:p w14:paraId="439477B2">
      <w:pPr>
        <w:jc w:val="center"/>
        <w:rPr>
          <w:rFonts w:eastAsia="Cambria"/>
          <w:color w:val="auto"/>
          <w:sz w:val="24"/>
          <w:szCs w:val="20"/>
          <w:highlight w:val="none"/>
        </w:rPr>
      </w:pPr>
    </w:p>
    <w:p w14:paraId="31C0C387">
      <w:pPr>
        <w:jc w:val="center"/>
        <w:rPr>
          <w:rFonts w:eastAsia="Cambria"/>
          <w:color w:val="auto"/>
          <w:sz w:val="24"/>
          <w:szCs w:val="20"/>
          <w:highlight w:val="none"/>
        </w:rPr>
      </w:pPr>
    </w:p>
    <w:p w14:paraId="4B19E00B">
      <w:pPr>
        <w:jc w:val="center"/>
        <w:rPr>
          <w:rFonts w:eastAsia="Cambria"/>
          <w:color w:val="auto"/>
          <w:sz w:val="24"/>
          <w:szCs w:val="20"/>
          <w:highlight w:val="none"/>
        </w:rPr>
      </w:pPr>
    </w:p>
    <w:p w14:paraId="3AB4E335">
      <w:pPr>
        <w:jc w:val="center"/>
        <w:rPr>
          <w:rFonts w:eastAsia="Cambria"/>
          <w:color w:val="auto"/>
          <w:sz w:val="24"/>
          <w:szCs w:val="20"/>
          <w:highlight w:val="none"/>
        </w:rPr>
      </w:pPr>
    </w:p>
    <w:p w14:paraId="487D4098">
      <w:pPr>
        <w:jc w:val="center"/>
        <w:rPr>
          <w:rFonts w:eastAsia="Cambria"/>
          <w:color w:val="auto"/>
          <w:sz w:val="24"/>
          <w:szCs w:val="20"/>
          <w:highlight w:val="none"/>
        </w:rPr>
      </w:pPr>
    </w:p>
    <w:p w14:paraId="0823E6FB">
      <w:pPr>
        <w:jc w:val="center"/>
        <w:rPr>
          <w:rFonts w:eastAsia="Cambria"/>
          <w:color w:val="auto"/>
          <w:sz w:val="24"/>
          <w:szCs w:val="20"/>
          <w:highlight w:val="none"/>
        </w:rPr>
      </w:pPr>
    </w:p>
    <w:p w14:paraId="6460E3E7">
      <w:pPr>
        <w:jc w:val="center"/>
        <w:rPr>
          <w:rFonts w:eastAsia="Cambria"/>
          <w:color w:val="auto"/>
          <w:sz w:val="24"/>
          <w:szCs w:val="20"/>
          <w:highlight w:val="none"/>
        </w:rPr>
      </w:pPr>
    </w:p>
    <w:p w14:paraId="74140203">
      <w:pPr>
        <w:jc w:val="center"/>
        <w:rPr>
          <w:rFonts w:eastAsia="Cambria"/>
          <w:color w:val="auto"/>
          <w:sz w:val="24"/>
          <w:szCs w:val="20"/>
          <w:highlight w:val="none"/>
        </w:rPr>
      </w:pPr>
    </w:p>
    <w:p w14:paraId="3E9E18E9">
      <w:pPr>
        <w:jc w:val="center"/>
        <w:rPr>
          <w:rFonts w:eastAsia="Cambria"/>
          <w:color w:val="auto"/>
          <w:sz w:val="24"/>
          <w:szCs w:val="20"/>
          <w:highlight w:val="none"/>
        </w:rPr>
      </w:pPr>
    </w:p>
    <w:p w14:paraId="522E8B2B">
      <w:pPr>
        <w:jc w:val="center"/>
        <w:rPr>
          <w:rFonts w:eastAsia="Cambria"/>
          <w:color w:val="auto"/>
          <w:sz w:val="24"/>
          <w:szCs w:val="20"/>
          <w:highlight w:val="none"/>
        </w:rPr>
      </w:pPr>
    </w:p>
    <w:p w14:paraId="5E9DD95F">
      <w:pPr>
        <w:jc w:val="center"/>
        <w:rPr>
          <w:rFonts w:eastAsia="Cambria"/>
          <w:color w:val="auto"/>
          <w:sz w:val="24"/>
          <w:szCs w:val="20"/>
          <w:highlight w:val="none"/>
        </w:rPr>
      </w:pPr>
    </w:p>
    <w:p w14:paraId="68A8E8CD">
      <w:pPr>
        <w:jc w:val="center"/>
        <w:rPr>
          <w:rFonts w:eastAsia="Cambria"/>
          <w:color w:val="auto"/>
          <w:sz w:val="24"/>
          <w:szCs w:val="20"/>
          <w:highlight w:val="none"/>
        </w:rPr>
      </w:pPr>
    </w:p>
    <w:p w14:paraId="32F7F1C4">
      <w:pPr>
        <w:jc w:val="center"/>
        <w:rPr>
          <w:rFonts w:eastAsia="Cambria"/>
          <w:color w:val="auto"/>
          <w:sz w:val="24"/>
          <w:szCs w:val="20"/>
          <w:highlight w:val="none"/>
        </w:rPr>
      </w:pPr>
    </w:p>
    <w:p w14:paraId="6D02B841">
      <w:pPr>
        <w:jc w:val="center"/>
        <w:rPr>
          <w:rFonts w:eastAsia="Cambria"/>
          <w:color w:val="auto"/>
          <w:sz w:val="24"/>
          <w:szCs w:val="20"/>
          <w:highlight w:val="none"/>
        </w:rPr>
      </w:pPr>
    </w:p>
    <w:p w14:paraId="1C637D77">
      <w:pPr>
        <w:jc w:val="center"/>
        <w:rPr>
          <w:rFonts w:eastAsia="Cambria"/>
          <w:color w:val="auto"/>
          <w:sz w:val="24"/>
          <w:szCs w:val="20"/>
          <w:highlight w:val="none"/>
        </w:rPr>
      </w:pPr>
    </w:p>
    <w:p w14:paraId="2FD10EC8">
      <w:pPr>
        <w:jc w:val="center"/>
        <w:rPr>
          <w:rFonts w:eastAsia="Cambria"/>
          <w:color w:val="auto"/>
          <w:sz w:val="24"/>
          <w:szCs w:val="20"/>
          <w:highlight w:val="none"/>
        </w:rPr>
      </w:pPr>
    </w:p>
    <w:p w14:paraId="0230CC40">
      <w:pPr>
        <w:jc w:val="center"/>
        <w:rPr>
          <w:b/>
          <w:color w:val="auto"/>
          <w:sz w:val="44"/>
          <w:szCs w:val="44"/>
          <w:highlight w:val="none"/>
        </w:rPr>
      </w:pPr>
      <w:r>
        <w:rPr>
          <w:rFonts w:eastAsia="Cambria"/>
          <w:color w:val="auto"/>
          <w:sz w:val="24"/>
          <w:szCs w:val="20"/>
          <w:highlight w:val="none"/>
        </w:rPr>
        <w:br w:type="page"/>
      </w:r>
    </w:p>
    <w:p w14:paraId="25187291">
      <w:pPr>
        <w:jc w:val="center"/>
        <w:rPr>
          <w:b/>
          <w:color w:val="auto"/>
          <w:sz w:val="44"/>
          <w:szCs w:val="44"/>
          <w:highlight w:val="none"/>
        </w:rPr>
      </w:pPr>
    </w:p>
    <w:p w14:paraId="35EFEAD0">
      <w:pPr>
        <w:jc w:val="center"/>
        <w:rPr>
          <w:b/>
          <w:color w:val="auto"/>
          <w:sz w:val="44"/>
          <w:szCs w:val="44"/>
          <w:highlight w:val="none"/>
        </w:rPr>
      </w:pPr>
    </w:p>
    <w:p w14:paraId="500FF8A4">
      <w:pPr>
        <w:jc w:val="center"/>
        <w:rPr>
          <w:b/>
          <w:color w:val="auto"/>
          <w:sz w:val="44"/>
          <w:szCs w:val="44"/>
          <w:highlight w:val="none"/>
        </w:rPr>
      </w:pPr>
    </w:p>
    <w:p w14:paraId="0FC28592">
      <w:pPr>
        <w:jc w:val="center"/>
        <w:rPr>
          <w:b/>
          <w:color w:val="auto"/>
          <w:sz w:val="44"/>
          <w:szCs w:val="44"/>
          <w:highlight w:val="none"/>
        </w:rPr>
      </w:pPr>
    </w:p>
    <w:p w14:paraId="348AEB49">
      <w:pPr>
        <w:jc w:val="center"/>
        <w:rPr>
          <w:b/>
          <w:color w:val="auto"/>
          <w:sz w:val="44"/>
          <w:szCs w:val="44"/>
          <w:highlight w:val="none"/>
        </w:rPr>
      </w:pPr>
    </w:p>
    <w:p w14:paraId="507120AB">
      <w:pPr>
        <w:jc w:val="center"/>
        <w:rPr>
          <w:b/>
          <w:color w:val="auto"/>
          <w:sz w:val="44"/>
          <w:szCs w:val="44"/>
          <w:highlight w:val="none"/>
        </w:rPr>
      </w:pPr>
    </w:p>
    <w:p w14:paraId="1EFF0F19">
      <w:pPr>
        <w:jc w:val="center"/>
        <w:rPr>
          <w:b/>
          <w:color w:val="auto"/>
          <w:sz w:val="44"/>
          <w:szCs w:val="44"/>
          <w:highlight w:val="none"/>
        </w:rPr>
      </w:pPr>
      <w:r>
        <w:rPr>
          <w:b/>
          <w:color w:val="auto"/>
          <w:sz w:val="44"/>
          <w:szCs w:val="44"/>
          <w:highlight w:val="none"/>
        </w:rPr>
        <w:t>第</w:t>
      </w:r>
      <w:r>
        <w:rPr>
          <w:rFonts w:hint="eastAsia"/>
          <w:b/>
          <w:color w:val="auto"/>
          <w:sz w:val="44"/>
          <w:szCs w:val="44"/>
          <w:highlight w:val="none"/>
        </w:rPr>
        <w:t>七节 施工安全协议书</w:t>
      </w:r>
    </w:p>
    <w:p w14:paraId="39F2F6CB">
      <w:pPr>
        <w:rPr>
          <w:color w:val="auto"/>
          <w:highlight w:val="none"/>
        </w:rPr>
      </w:pPr>
    </w:p>
    <w:p w14:paraId="38F292E0">
      <w:pPr>
        <w:rPr>
          <w:color w:val="auto"/>
          <w:highlight w:val="none"/>
        </w:rPr>
      </w:pPr>
    </w:p>
    <w:p w14:paraId="4CF98001">
      <w:pPr>
        <w:tabs>
          <w:tab w:val="left" w:pos="1440"/>
        </w:tabs>
        <w:rPr>
          <w:color w:val="auto"/>
          <w:szCs w:val="21"/>
          <w:highlight w:val="none"/>
        </w:rPr>
      </w:pPr>
    </w:p>
    <w:p w14:paraId="1AB07E08">
      <w:pPr>
        <w:jc w:val="center"/>
        <w:rPr>
          <w:rFonts w:eastAsia="Cambria"/>
          <w:color w:val="auto"/>
          <w:sz w:val="24"/>
          <w:szCs w:val="20"/>
          <w:highlight w:val="none"/>
        </w:rPr>
      </w:pPr>
    </w:p>
    <w:p w14:paraId="7FDFC04F">
      <w:pPr>
        <w:jc w:val="center"/>
        <w:rPr>
          <w:rFonts w:eastAsia="Cambria"/>
          <w:color w:val="auto"/>
          <w:sz w:val="24"/>
          <w:szCs w:val="20"/>
          <w:highlight w:val="none"/>
        </w:rPr>
      </w:pPr>
    </w:p>
    <w:p w14:paraId="45E19ADF">
      <w:pPr>
        <w:jc w:val="center"/>
        <w:rPr>
          <w:rFonts w:eastAsia="Cambria"/>
          <w:color w:val="auto"/>
          <w:sz w:val="24"/>
          <w:szCs w:val="20"/>
          <w:highlight w:val="none"/>
        </w:rPr>
      </w:pPr>
    </w:p>
    <w:p w14:paraId="7AFF46BB">
      <w:pPr>
        <w:jc w:val="center"/>
        <w:rPr>
          <w:rFonts w:eastAsia="Cambria"/>
          <w:color w:val="auto"/>
          <w:sz w:val="24"/>
          <w:szCs w:val="20"/>
          <w:highlight w:val="none"/>
        </w:rPr>
      </w:pPr>
    </w:p>
    <w:p w14:paraId="2E497F74">
      <w:pPr>
        <w:jc w:val="center"/>
        <w:rPr>
          <w:rFonts w:eastAsia="Cambria"/>
          <w:color w:val="auto"/>
          <w:sz w:val="24"/>
          <w:szCs w:val="20"/>
          <w:highlight w:val="none"/>
        </w:rPr>
      </w:pPr>
    </w:p>
    <w:p w14:paraId="54AB4102">
      <w:pPr>
        <w:jc w:val="center"/>
        <w:rPr>
          <w:rFonts w:eastAsia="Cambria"/>
          <w:color w:val="auto"/>
          <w:sz w:val="24"/>
          <w:szCs w:val="20"/>
          <w:highlight w:val="none"/>
        </w:rPr>
      </w:pPr>
    </w:p>
    <w:p w14:paraId="48E9C896">
      <w:pPr>
        <w:jc w:val="center"/>
        <w:rPr>
          <w:rFonts w:eastAsia="Cambria"/>
          <w:color w:val="auto"/>
          <w:sz w:val="24"/>
          <w:szCs w:val="20"/>
          <w:highlight w:val="none"/>
        </w:rPr>
      </w:pPr>
    </w:p>
    <w:p w14:paraId="4BC0FAAF">
      <w:pPr>
        <w:jc w:val="center"/>
        <w:rPr>
          <w:rFonts w:eastAsia="Cambria"/>
          <w:color w:val="auto"/>
          <w:sz w:val="24"/>
          <w:szCs w:val="20"/>
          <w:highlight w:val="none"/>
        </w:rPr>
      </w:pPr>
    </w:p>
    <w:p w14:paraId="455DDD65">
      <w:pPr>
        <w:jc w:val="center"/>
        <w:rPr>
          <w:rFonts w:eastAsia="Cambria"/>
          <w:color w:val="auto"/>
          <w:sz w:val="24"/>
          <w:szCs w:val="20"/>
          <w:highlight w:val="none"/>
        </w:rPr>
      </w:pPr>
    </w:p>
    <w:p w14:paraId="3D035305">
      <w:pPr>
        <w:jc w:val="center"/>
        <w:rPr>
          <w:rFonts w:eastAsia="Cambria"/>
          <w:color w:val="auto"/>
          <w:sz w:val="24"/>
          <w:szCs w:val="20"/>
          <w:highlight w:val="none"/>
        </w:rPr>
      </w:pPr>
    </w:p>
    <w:p w14:paraId="4394ACCD">
      <w:pPr>
        <w:jc w:val="center"/>
        <w:rPr>
          <w:rFonts w:eastAsia="Cambria"/>
          <w:color w:val="auto"/>
          <w:sz w:val="24"/>
          <w:szCs w:val="20"/>
          <w:highlight w:val="none"/>
        </w:rPr>
      </w:pPr>
    </w:p>
    <w:p w14:paraId="39B600FA">
      <w:pPr>
        <w:jc w:val="center"/>
        <w:rPr>
          <w:rFonts w:eastAsia="Cambria"/>
          <w:color w:val="auto"/>
          <w:sz w:val="24"/>
          <w:szCs w:val="20"/>
          <w:highlight w:val="none"/>
        </w:rPr>
      </w:pPr>
    </w:p>
    <w:p w14:paraId="16503BC2">
      <w:pPr>
        <w:jc w:val="center"/>
        <w:rPr>
          <w:rFonts w:eastAsia="Cambria"/>
          <w:color w:val="auto"/>
          <w:sz w:val="24"/>
          <w:szCs w:val="20"/>
          <w:highlight w:val="none"/>
        </w:rPr>
      </w:pPr>
    </w:p>
    <w:p w14:paraId="1F113927">
      <w:pPr>
        <w:jc w:val="center"/>
        <w:rPr>
          <w:rFonts w:eastAsia="Cambria"/>
          <w:color w:val="auto"/>
          <w:sz w:val="24"/>
          <w:szCs w:val="20"/>
          <w:highlight w:val="none"/>
        </w:rPr>
      </w:pPr>
    </w:p>
    <w:p w14:paraId="72CA3F11">
      <w:pPr>
        <w:jc w:val="center"/>
        <w:rPr>
          <w:rFonts w:eastAsia="Cambria"/>
          <w:color w:val="auto"/>
          <w:sz w:val="24"/>
          <w:szCs w:val="20"/>
          <w:highlight w:val="none"/>
        </w:rPr>
      </w:pPr>
    </w:p>
    <w:p w14:paraId="53E26E54">
      <w:pPr>
        <w:jc w:val="center"/>
        <w:rPr>
          <w:rFonts w:eastAsia="Cambria"/>
          <w:color w:val="auto"/>
          <w:sz w:val="24"/>
          <w:szCs w:val="20"/>
          <w:highlight w:val="none"/>
        </w:rPr>
      </w:pPr>
    </w:p>
    <w:p w14:paraId="30AF6FCC">
      <w:pPr>
        <w:jc w:val="center"/>
        <w:rPr>
          <w:rFonts w:eastAsia="Cambria"/>
          <w:color w:val="auto"/>
          <w:sz w:val="24"/>
          <w:szCs w:val="20"/>
          <w:highlight w:val="none"/>
        </w:rPr>
      </w:pPr>
    </w:p>
    <w:p w14:paraId="5560B26F">
      <w:pPr>
        <w:jc w:val="center"/>
        <w:rPr>
          <w:rFonts w:eastAsia="Cambria"/>
          <w:color w:val="auto"/>
          <w:sz w:val="24"/>
          <w:szCs w:val="20"/>
          <w:highlight w:val="none"/>
        </w:rPr>
      </w:pPr>
    </w:p>
    <w:p w14:paraId="79AA378B">
      <w:pPr>
        <w:jc w:val="center"/>
        <w:rPr>
          <w:rFonts w:eastAsia="Cambria"/>
          <w:color w:val="auto"/>
          <w:sz w:val="24"/>
          <w:szCs w:val="20"/>
          <w:highlight w:val="none"/>
        </w:rPr>
      </w:pPr>
    </w:p>
    <w:p w14:paraId="1221CCEE">
      <w:pPr>
        <w:jc w:val="center"/>
        <w:rPr>
          <w:rFonts w:eastAsia="Cambria"/>
          <w:color w:val="auto"/>
          <w:sz w:val="24"/>
          <w:szCs w:val="20"/>
          <w:highlight w:val="none"/>
        </w:rPr>
      </w:pPr>
    </w:p>
    <w:p w14:paraId="35BF7CA3">
      <w:pPr>
        <w:jc w:val="center"/>
        <w:rPr>
          <w:rFonts w:eastAsia="Cambria"/>
          <w:color w:val="auto"/>
          <w:sz w:val="24"/>
          <w:szCs w:val="20"/>
          <w:highlight w:val="none"/>
        </w:rPr>
      </w:pPr>
    </w:p>
    <w:p w14:paraId="0E1D3935">
      <w:pPr>
        <w:jc w:val="center"/>
        <w:rPr>
          <w:rFonts w:eastAsia="Cambria"/>
          <w:color w:val="auto"/>
          <w:sz w:val="24"/>
          <w:szCs w:val="20"/>
          <w:highlight w:val="none"/>
        </w:rPr>
      </w:pPr>
    </w:p>
    <w:p w14:paraId="12285E61">
      <w:pPr>
        <w:jc w:val="center"/>
        <w:rPr>
          <w:rFonts w:eastAsia="Cambria"/>
          <w:color w:val="auto"/>
          <w:sz w:val="24"/>
          <w:szCs w:val="20"/>
          <w:highlight w:val="none"/>
        </w:rPr>
      </w:pPr>
    </w:p>
    <w:p w14:paraId="31B96497">
      <w:pPr>
        <w:jc w:val="center"/>
        <w:rPr>
          <w:rFonts w:eastAsia="Cambria"/>
          <w:color w:val="auto"/>
          <w:sz w:val="24"/>
          <w:szCs w:val="20"/>
          <w:highlight w:val="none"/>
        </w:rPr>
      </w:pPr>
    </w:p>
    <w:p w14:paraId="3054B4EC">
      <w:pPr>
        <w:jc w:val="center"/>
        <w:rPr>
          <w:rFonts w:eastAsia="Cambria"/>
          <w:color w:val="auto"/>
          <w:sz w:val="24"/>
          <w:szCs w:val="20"/>
          <w:highlight w:val="none"/>
        </w:rPr>
      </w:pPr>
    </w:p>
    <w:p w14:paraId="3CAD80D3">
      <w:pPr>
        <w:widowControl/>
        <w:spacing w:before="100" w:beforeAutospacing="1" w:after="240" w:afterLines="100" w:afterAutospacing="1" w:line="480" w:lineRule="auto"/>
        <w:jc w:val="center"/>
        <w:rPr>
          <w:rFonts w:ascii="Helvetica" w:hAnsi="Helvetica" w:cs="Helvetica"/>
          <w:color w:val="auto"/>
          <w:kern w:val="0"/>
          <w:sz w:val="25"/>
          <w:szCs w:val="25"/>
          <w:highlight w:val="none"/>
        </w:rPr>
      </w:pPr>
      <w:r>
        <w:rPr>
          <w:rFonts w:ascii="Helvetica" w:hAnsi="Helvetica" w:cs="Helvetica"/>
          <w:b/>
          <w:bCs/>
          <w:color w:val="auto"/>
          <w:kern w:val="0"/>
          <w:sz w:val="49"/>
          <w:szCs w:val="49"/>
          <w:highlight w:val="none"/>
        </w:rPr>
        <w:br w:type="page"/>
      </w:r>
      <w:r>
        <w:rPr>
          <w:rFonts w:ascii="Helvetica" w:hAnsi="Helvetica" w:cs="Helvetica"/>
          <w:b/>
          <w:bCs/>
          <w:color w:val="auto"/>
          <w:kern w:val="0"/>
          <w:sz w:val="49"/>
          <w:szCs w:val="49"/>
          <w:highlight w:val="none"/>
        </w:rPr>
        <w:t>工程施工安全协议书</w:t>
      </w:r>
    </w:p>
    <w:p w14:paraId="6733F63E">
      <w:pPr>
        <w:widowControl/>
        <w:adjustRightInd w:val="0"/>
        <w:snapToGrid w:val="0"/>
        <w:spacing w:line="360" w:lineRule="auto"/>
        <w:ind w:firstLine="480" w:firstLineChars="200"/>
        <w:rPr>
          <w:rFonts w:ascii="宋体" w:hAnsi="宋体" w:cs="Helvetica"/>
          <w:color w:val="auto"/>
          <w:kern w:val="0"/>
          <w:sz w:val="24"/>
          <w:highlight w:val="none"/>
        </w:rPr>
      </w:pPr>
      <w:r>
        <w:rPr>
          <w:rFonts w:ascii="宋体" w:hAnsi="宋体" w:cs="Helvetica"/>
          <w:color w:val="auto"/>
          <w:kern w:val="0"/>
          <w:sz w:val="24"/>
          <w:highlight w:val="none"/>
        </w:rPr>
        <w:t>为贯彻</w:t>
      </w:r>
      <w:r>
        <w:rPr>
          <w:rFonts w:hint="eastAsia" w:ascii="宋体" w:hAnsi="宋体" w:cs="Helvetica"/>
          <w:color w:val="auto"/>
          <w:kern w:val="0"/>
          <w:sz w:val="24"/>
          <w:highlight w:val="none"/>
        </w:rPr>
        <w:t>“</w:t>
      </w:r>
      <w:r>
        <w:rPr>
          <w:rFonts w:ascii="宋体" w:hAnsi="宋体" w:cs="Helvetica"/>
          <w:color w:val="auto"/>
          <w:kern w:val="0"/>
          <w:sz w:val="24"/>
          <w:highlight w:val="none"/>
        </w:rPr>
        <w:t>安全第一，预防为主</w:t>
      </w:r>
      <w:r>
        <w:rPr>
          <w:rFonts w:hint="eastAsia" w:ascii="宋体" w:hAnsi="宋体" w:cs="Helvetica"/>
          <w:color w:val="auto"/>
          <w:kern w:val="0"/>
          <w:sz w:val="24"/>
          <w:highlight w:val="none"/>
        </w:rPr>
        <w:t>”</w:t>
      </w:r>
      <w:r>
        <w:rPr>
          <w:rFonts w:ascii="宋体" w:hAnsi="宋体" w:cs="Helvetica"/>
          <w:color w:val="auto"/>
          <w:kern w:val="0"/>
          <w:sz w:val="24"/>
          <w:highlight w:val="none"/>
        </w:rPr>
        <w:t>方针，明确双方的安全责任，确保施工中人身、</w:t>
      </w:r>
      <w:r>
        <w:rPr>
          <w:rFonts w:hint="eastAsia" w:ascii="宋体" w:hAnsi="宋体" w:cs="Helvetica"/>
          <w:color w:val="auto"/>
          <w:kern w:val="0"/>
          <w:sz w:val="24"/>
          <w:highlight w:val="none"/>
        </w:rPr>
        <w:t>机械</w:t>
      </w:r>
      <w:r>
        <w:rPr>
          <w:rFonts w:ascii="宋体" w:hAnsi="宋体" w:cs="Helvetica"/>
          <w:color w:val="auto"/>
          <w:kern w:val="0"/>
          <w:sz w:val="24"/>
          <w:highlight w:val="none"/>
        </w:rPr>
        <w:t>和设备安全，根据国家有关法律法规，经双方协商一致签订本协议。</w:t>
      </w:r>
    </w:p>
    <w:p w14:paraId="4F7A8F53">
      <w:pPr>
        <w:widowControl/>
        <w:numPr>
          <w:ilvl w:val="0"/>
          <w:numId w:val="26"/>
        </w:numPr>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工程项目：</w:t>
      </w:r>
    </w:p>
    <w:p w14:paraId="2BD94516">
      <w:pPr>
        <w:widowControl/>
        <w:adjustRightInd w:val="0"/>
        <w:snapToGrid w:val="0"/>
        <w:spacing w:line="360" w:lineRule="auto"/>
        <w:ind w:left="565" w:leftChars="269"/>
        <w:rPr>
          <w:rFonts w:ascii="宋体" w:hAnsi="宋体" w:cs="Helvetica"/>
          <w:color w:val="auto"/>
          <w:kern w:val="0"/>
          <w:sz w:val="24"/>
          <w:highlight w:val="none"/>
          <w:u w:val="single"/>
        </w:rPr>
      </w:pPr>
      <w:r>
        <w:rPr>
          <w:rFonts w:hint="eastAsia" w:ascii="宋体" w:hAnsi="宋体" w:cs="Helvetica"/>
          <w:color w:val="auto"/>
          <w:kern w:val="0"/>
          <w:sz w:val="24"/>
          <w:highlight w:val="none"/>
          <w:u w:val="single"/>
        </w:rPr>
        <w:t xml:space="preserve">               </w:t>
      </w:r>
      <w:r>
        <w:rPr>
          <w:rFonts w:ascii="宋体" w:hAnsi="宋体" w:cs="Helvetica"/>
          <w:color w:val="auto"/>
          <w:kern w:val="0"/>
          <w:sz w:val="24"/>
          <w:highlight w:val="none"/>
          <w:u w:val="single"/>
        </w:rPr>
        <w:t xml:space="preserve">                    </w:t>
      </w:r>
      <w:r>
        <w:rPr>
          <w:rFonts w:hint="eastAsia" w:ascii="宋体" w:hAnsi="宋体" w:cs="Helvetica"/>
          <w:color w:val="auto"/>
          <w:kern w:val="0"/>
          <w:sz w:val="24"/>
          <w:highlight w:val="none"/>
          <w:u w:val="single"/>
        </w:rPr>
        <w:t xml:space="preserve">                     </w:t>
      </w:r>
    </w:p>
    <w:p w14:paraId="493C1FFA">
      <w:pPr>
        <w:widowControl/>
        <w:adjustRightInd w:val="0"/>
        <w:snapToGrid w:val="0"/>
        <w:spacing w:line="360" w:lineRule="auto"/>
        <w:rPr>
          <w:rFonts w:ascii="宋体" w:hAnsi="宋体" w:cs="Helvetica"/>
          <w:color w:val="auto"/>
          <w:kern w:val="0"/>
          <w:sz w:val="24"/>
          <w:highlight w:val="none"/>
        </w:rPr>
      </w:pPr>
      <w:r>
        <w:rPr>
          <w:rFonts w:hint="eastAsia" w:ascii="宋体" w:hAnsi="宋体" w:cs="Helvetica"/>
          <w:color w:val="auto"/>
          <w:kern w:val="0"/>
          <w:sz w:val="24"/>
          <w:highlight w:val="none"/>
        </w:rPr>
        <w:t>第二</w:t>
      </w:r>
      <w:r>
        <w:rPr>
          <w:rFonts w:ascii="宋体" w:hAnsi="宋体" w:cs="Helvetica"/>
          <w:color w:val="auto"/>
          <w:kern w:val="0"/>
          <w:sz w:val="24"/>
          <w:highlight w:val="none"/>
        </w:rPr>
        <w:t>条 施工地址：</w:t>
      </w:r>
    </w:p>
    <w:p w14:paraId="22A3A27F">
      <w:pPr>
        <w:widowControl/>
        <w:adjustRightInd w:val="0"/>
        <w:snapToGrid w:val="0"/>
        <w:spacing w:line="360" w:lineRule="auto"/>
        <w:ind w:firstLine="542" w:firstLineChars="226"/>
        <w:rPr>
          <w:rFonts w:ascii="宋体" w:hAnsi="宋体" w:cs="Helvetica"/>
          <w:color w:val="auto"/>
          <w:kern w:val="0"/>
          <w:sz w:val="24"/>
          <w:highlight w:val="none"/>
          <w:u w:val="single"/>
        </w:rPr>
      </w:pPr>
      <w:r>
        <w:rPr>
          <w:rFonts w:hint="eastAsia" w:ascii="宋体" w:hAnsi="宋体" w:cs="Helvetica"/>
          <w:color w:val="auto"/>
          <w:kern w:val="0"/>
          <w:sz w:val="24"/>
          <w:highlight w:val="none"/>
          <w:u w:val="single"/>
        </w:rPr>
        <w:t xml:space="preserve">                  </w:t>
      </w:r>
      <w:r>
        <w:rPr>
          <w:rFonts w:ascii="宋体" w:hAnsi="宋体" w:cs="Helvetica"/>
          <w:color w:val="auto"/>
          <w:kern w:val="0"/>
          <w:sz w:val="24"/>
          <w:highlight w:val="none"/>
          <w:u w:val="single"/>
        </w:rPr>
        <w:t xml:space="preserve">                      </w:t>
      </w:r>
      <w:r>
        <w:rPr>
          <w:rFonts w:hint="eastAsia" w:ascii="宋体" w:hAnsi="宋体" w:cs="Helvetica"/>
          <w:color w:val="auto"/>
          <w:kern w:val="0"/>
          <w:sz w:val="24"/>
          <w:highlight w:val="none"/>
          <w:u w:val="single"/>
        </w:rPr>
        <w:t xml:space="preserve">                </w:t>
      </w:r>
    </w:p>
    <w:p w14:paraId="7A9DB275">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第三条</w:t>
      </w:r>
      <w:r>
        <w:rPr>
          <w:rFonts w:hint="eastAsia" w:ascii="宋体" w:hAnsi="宋体" w:cs="Helvetica"/>
          <w:color w:val="auto"/>
          <w:kern w:val="0"/>
          <w:sz w:val="24"/>
          <w:highlight w:val="none"/>
        </w:rPr>
        <w:t xml:space="preserve"> </w:t>
      </w:r>
      <w:r>
        <w:rPr>
          <w:rFonts w:ascii="宋体" w:hAnsi="宋体" w:cs="Helvetica"/>
          <w:color w:val="auto"/>
          <w:kern w:val="0"/>
          <w:sz w:val="24"/>
          <w:highlight w:val="none"/>
        </w:rPr>
        <w:t>甲方安全责任</w:t>
      </w:r>
    </w:p>
    <w:p w14:paraId="0ED427EB">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1、开工前甲方对乙方进行施工安全技术交底，并应有书面记录或资料。</w:t>
      </w:r>
    </w:p>
    <w:p w14:paraId="7C0C2E1F">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2、甲方应要求乙方制定施工安全措施，在开始施工前报甲方备案。</w:t>
      </w:r>
    </w:p>
    <w:p w14:paraId="7A524D99">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3、甲方有协助乙方搞好安全生产、防火管理以及督促检查的义务。甲方有权检查督促乙方执行有关安全生产方面的工作规定，对乙方不符合安全文明施工的行为进行制止、纠正并发出安全整改通知书，直至清退出场。</w:t>
      </w:r>
    </w:p>
    <w:p w14:paraId="4277EDFA">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4、甲方指派</w:t>
      </w:r>
      <w:r>
        <w:rPr>
          <w:rFonts w:hint="eastAsia" w:ascii="宋体" w:hAnsi="宋体" w:cs="Helvetica"/>
          <w:color w:val="auto"/>
          <w:kern w:val="0"/>
          <w:sz w:val="24"/>
          <w:highlight w:val="none"/>
        </w:rPr>
        <w:t xml:space="preserve"> </w:t>
      </w:r>
      <w:r>
        <w:rPr>
          <w:rFonts w:hint="eastAsia" w:ascii="宋体" w:hAnsi="宋体" w:cs="Helvetica"/>
          <w:color w:val="auto"/>
          <w:kern w:val="0"/>
          <w:sz w:val="24"/>
          <w:highlight w:val="none"/>
          <w:u w:val="single"/>
        </w:rPr>
        <w:t xml:space="preserve">     </w:t>
      </w:r>
      <w:r>
        <w:rPr>
          <w:rFonts w:ascii="宋体" w:hAnsi="宋体" w:cs="Helvetica"/>
          <w:color w:val="auto"/>
          <w:kern w:val="0"/>
          <w:sz w:val="24"/>
          <w:highlight w:val="none"/>
        </w:rPr>
        <w:t>同志负责与乙方联系安全生产方面的工作。</w:t>
      </w:r>
    </w:p>
    <w:p w14:paraId="0DF1725B">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5、甲方负责签发工作票，对工作票所填写的安全措施是否正确完备负责，并履行工作票许可手续。</w:t>
      </w:r>
    </w:p>
    <w:p w14:paraId="02BCBB12">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6、甲方有权对乙方参与施工的人员进行安全技术知识和安全工作规程的抽考。</w:t>
      </w:r>
    </w:p>
    <w:p w14:paraId="1D6142E2">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7、乙方在施工中发生的</w:t>
      </w:r>
      <w:r>
        <w:rPr>
          <w:rFonts w:hint="eastAsia" w:ascii="宋体" w:hAnsi="宋体" w:cs="Helvetica"/>
          <w:color w:val="auto"/>
          <w:kern w:val="0"/>
          <w:sz w:val="24"/>
          <w:highlight w:val="none"/>
        </w:rPr>
        <w:t>任何</w:t>
      </w:r>
      <w:r>
        <w:rPr>
          <w:rFonts w:ascii="宋体" w:hAnsi="宋体" w:cs="Helvetica"/>
          <w:color w:val="auto"/>
          <w:kern w:val="0"/>
          <w:sz w:val="24"/>
          <w:highlight w:val="none"/>
        </w:rPr>
        <w:t>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14:paraId="374FAB6D">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8、甲方不得要求乙方违反安全管理规定进行施工。因甲方原因导致的事故由甲方承担责任。</w:t>
      </w:r>
    </w:p>
    <w:p w14:paraId="06703E7B">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9、发生以下情况停工整顿，因停工造成的违约责任由乙方承担：</w:t>
      </w:r>
    </w:p>
    <w:p w14:paraId="1B19ABE9">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（1）人身伤亡事故；</w:t>
      </w:r>
    </w:p>
    <w:p w14:paraId="42E4B81A">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（2）发生施工机械、生产主设备严重损坏事故；</w:t>
      </w:r>
    </w:p>
    <w:p w14:paraId="5B778899">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（3）发生</w:t>
      </w:r>
      <w:r>
        <w:rPr>
          <w:rFonts w:hint="eastAsia" w:ascii="宋体" w:hAnsi="宋体" w:cs="Helvetica"/>
          <w:color w:val="auto"/>
          <w:kern w:val="0"/>
          <w:sz w:val="24"/>
          <w:highlight w:val="none"/>
        </w:rPr>
        <w:t>工地</w:t>
      </w:r>
      <w:r>
        <w:rPr>
          <w:rFonts w:ascii="宋体" w:hAnsi="宋体" w:cs="Helvetica"/>
          <w:color w:val="auto"/>
          <w:kern w:val="0"/>
          <w:sz w:val="24"/>
          <w:highlight w:val="none"/>
        </w:rPr>
        <w:t>火灾事故；</w:t>
      </w:r>
    </w:p>
    <w:p w14:paraId="13C0368B">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（4）发生违章作业、冒险作业不听劝告的；</w:t>
      </w:r>
    </w:p>
    <w:p w14:paraId="4FF9279F">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（5）施工现场脏、乱、差，不能满足安全和文明施工要求的。</w:t>
      </w:r>
    </w:p>
    <w:p w14:paraId="2471D049">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第四条 乙方安全责任</w:t>
      </w:r>
    </w:p>
    <w:p w14:paraId="3D504BF9">
      <w:pPr>
        <w:widowControl/>
        <w:adjustRightInd w:val="0"/>
        <w:snapToGrid w:val="0"/>
        <w:spacing w:line="360" w:lineRule="auto"/>
        <w:ind w:firstLine="480" w:firstLineChars="200"/>
        <w:rPr>
          <w:rFonts w:ascii="宋体" w:hAnsi="宋体" w:cs="Helvetica"/>
          <w:color w:val="auto"/>
          <w:kern w:val="0"/>
          <w:sz w:val="24"/>
          <w:highlight w:val="none"/>
        </w:rPr>
      </w:pPr>
      <w:r>
        <w:rPr>
          <w:rFonts w:ascii="宋体" w:hAnsi="宋体" w:cs="Helvetica"/>
          <w:color w:val="auto"/>
          <w:kern w:val="0"/>
          <w:sz w:val="24"/>
          <w:highlight w:val="none"/>
        </w:rPr>
        <w:t>乙方作为工程项目的承包单位，对工程施工过程中发生的人身伤害、设备损坏事故承担安全责任。</w:t>
      </w:r>
    </w:p>
    <w:p w14:paraId="4C7F65ED">
      <w:pPr>
        <w:widowControl/>
        <w:adjustRightInd w:val="0"/>
        <w:snapToGrid w:val="0"/>
        <w:spacing w:line="360" w:lineRule="auto"/>
        <w:ind w:firstLine="480" w:firstLineChars="200"/>
        <w:rPr>
          <w:rFonts w:ascii="宋体" w:hAnsi="宋体" w:cs="Helvetica"/>
          <w:color w:val="auto"/>
          <w:kern w:val="0"/>
          <w:sz w:val="24"/>
          <w:highlight w:val="none"/>
        </w:rPr>
      </w:pPr>
      <w:r>
        <w:rPr>
          <w:rFonts w:hint="eastAsia" w:ascii="宋体" w:hAnsi="宋体" w:cs="Helvetica"/>
          <w:color w:val="auto"/>
          <w:kern w:val="0"/>
          <w:sz w:val="24"/>
          <w:highlight w:val="none"/>
        </w:rPr>
        <w:t>乙方作为施工总承包单位是工程施工安全第一责任人。</w:t>
      </w:r>
      <w:r>
        <w:rPr>
          <w:rFonts w:ascii="宋体" w:hAnsi="宋体" w:cs="Helvetica"/>
          <w:color w:val="auto"/>
          <w:kern w:val="0"/>
          <w:sz w:val="24"/>
          <w:highlight w:val="none"/>
        </w:rPr>
        <w:t>乙方应切实履行以下安全责任：</w:t>
      </w:r>
    </w:p>
    <w:p w14:paraId="4E76001A">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1、乙方所提供的承包工程要求的相关资质证明材料应真实、合法、有效。</w:t>
      </w:r>
    </w:p>
    <w:p w14:paraId="1FEEB878">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2、乙方必须贯彻执行国家有关安全生产的法律法规，必须制定相应的安全管理制度</w:t>
      </w:r>
      <w:r>
        <w:rPr>
          <w:rFonts w:hint="eastAsia" w:ascii="宋体" w:hAnsi="宋体" w:cs="Helvetica"/>
          <w:color w:val="auto"/>
          <w:kern w:val="0"/>
          <w:sz w:val="24"/>
          <w:highlight w:val="none"/>
        </w:rPr>
        <w:t>。</w:t>
      </w:r>
    </w:p>
    <w:p w14:paraId="242790F6">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3、现场施工应遵守国家和地方关于劳动安全，劳务用工法律法规及规章制度，保证其用工的合法性。乙方必须按国家有关规定，为施工人员进行人身保险，配备合格的劳动防护用品、安全用具。</w:t>
      </w:r>
    </w:p>
    <w:p w14:paraId="1CF0FE24">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4、施工期间，乙方应设有专职安监人员，（少于30人者设兼职）。乙方指派</w:t>
      </w:r>
      <w:r>
        <w:rPr>
          <w:rFonts w:ascii="宋体" w:hAnsi="宋体" w:cs="Helvetica"/>
          <w:color w:val="auto"/>
          <w:kern w:val="0"/>
          <w:sz w:val="24"/>
          <w:highlight w:val="none"/>
          <w:u w:val="single"/>
        </w:rPr>
        <w:t xml:space="preserve">  </w:t>
      </w:r>
      <w:r>
        <w:rPr>
          <w:rFonts w:ascii="宋体" w:hAnsi="宋体" w:cs="Helvetica"/>
          <w:color w:val="auto"/>
          <w:kern w:val="0"/>
          <w:sz w:val="24"/>
          <w:highlight w:val="none"/>
        </w:rPr>
        <w:t>作为</w:t>
      </w:r>
      <w:r>
        <w:rPr>
          <w:rFonts w:hint="eastAsia" w:ascii="宋体" w:hAnsi="宋体" w:cs="Helvetica"/>
          <w:color w:val="auto"/>
          <w:kern w:val="0"/>
          <w:sz w:val="24"/>
          <w:highlight w:val="none"/>
        </w:rPr>
        <w:t>现场专职安全员</w:t>
      </w:r>
      <w:r>
        <w:rPr>
          <w:rFonts w:ascii="宋体" w:hAnsi="宋体" w:cs="Helvetica"/>
          <w:color w:val="auto"/>
          <w:kern w:val="0"/>
          <w:sz w:val="24"/>
          <w:highlight w:val="none"/>
        </w:rPr>
        <w:t>。</w:t>
      </w:r>
    </w:p>
    <w:p w14:paraId="64527D93">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5、乙方一切施工活动，必须编制安全施工措施，施工前对全体施工人员进行全面的安全技术交底，并在整个施工过程正确、完整地执行，无措施或未交底严禁施工。</w:t>
      </w:r>
    </w:p>
    <w:p w14:paraId="4BA849B7">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6、乙方用于本工程项目的施工机械、工器具及安全防护用具的数量和质量必须满足施工需要，并经有资质检验单位检验符合安全规定，乙方对因使用工器具不当所造成的人员伤害及设备损坏负责。</w:t>
      </w:r>
    </w:p>
    <w:p w14:paraId="1220DF1B">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7、开工前，乙方应组织全体施工人员进行安全教育，并将参加安全教育人员名单（包括临时增补或调换人员）与考试成绩报给甲方备案。特种作业人员必须有有关部门核发的合格有效的上岗资格证书。</w:t>
      </w:r>
    </w:p>
    <w:p w14:paraId="121BB852">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开工前，乙方应到甲方办理临时出入证并佩戴出入证进入施工现场，出入证严禁转借他人。</w:t>
      </w:r>
    </w:p>
    <w:p w14:paraId="4C7AED64">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8、开工前，乙方应组织人员对施工区域、作业环境进行检查，确认符合安全要求，一经开工，就表示乙方已确认施工现场、作业环境符合安全要求并处于安全状态。</w:t>
      </w:r>
    </w:p>
    <w:p w14:paraId="22F1F9BC">
      <w:pPr>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14:paraId="3806640F">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10、乙方施工过程中需使用电、水源，应事先与甲方取得联系，不得私拉乱接。中断作业或遇故障应立即切断有关开关。</w:t>
      </w:r>
    </w:p>
    <w:p w14:paraId="68396738">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11、乙方施工过程中应做到工完、料尽、场地清，确保安全文明施工。</w:t>
      </w:r>
    </w:p>
    <w:p w14:paraId="7D39AC07">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12、乙方必须接受甲方的监督、检查，对甲方提出的安全整改意见必须及时整改。</w:t>
      </w:r>
    </w:p>
    <w:p w14:paraId="28897CD5">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13、乙方施工过程中发生人生伤亡、</w:t>
      </w:r>
      <w:r>
        <w:rPr>
          <w:rFonts w:hint="eastAsia" w:ascii="宋体" w:hAnsi="宋体" w:cs="Helvetica"/>
          <w:color w:val="auto"/>
          <w:kern w:val="0"/>
          <w:sz w:val="24"/>
          <w:highlight w:val="none"/>
        </w:rPr>
        <w:t>任何</w:t>
      </w:r>
      <w:r>
        <w:rPr>
          <w:rFonts w:ascii="宋体" w:hAnsi="宋体" w:cs="Helvetica"/>
          <w:color w:val="auto"/>
          <w:kern w:val="0"/>
          <w:sz w:val="24"/>
          <w:highlight w:val="none"/>
        </w:rPr>
        <w:t>事故，应立即报告甲方，并积极配合调查。</w:t>
      </w:r>
    </w:p>
    <w:p w14:paraId="3D86CD9F">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乙方应执行国务院《特别重大事故调查程序暂行规定》、《企业职工伤亡事故报告和处理规定》。对人员在施工中发生的人身伤亡事故，还必须立即用电话、电传或电报等向事故所在地的政府安全管理部门、公安部门报告，按规定组织调查处理，并由乙方统计上报；如发生国务院《特别重大事故调查程序暂时规定》所规定的特大事故，还应立即通知当地政府、公安部门，并要求派人保护现场。</w:t>
      </w:r>
    </w:p>
    <w:p w14:paraId="778B2938">
      <w:pPr>
        <w:widowControl/>
        <w:adjustRightInd w:val="0"/>
        <w:snapToGrid w:val="0"/>
        <w:spacing w:line="360" w:lineRule="auto"/>
        <w:ind w:firstLine="480" w:firstLineChars="200"/>
        <w:rPr>
          <w:rFonts w:ascii="宋体" w:hAnsi="宋体" w:cs="Helvetica"/>
          <w:color w:val="auto"/>
          <w:kern w:val="0"/>
          <w:sz w:val="24"/>
          <w:highlight w:val="none"/>
        </w:rPr>
      </w:pPr>
      <w:r>
        <w:rPr>
          <w:rFonts w:ascii="宋体" w:hAnsi="宋体" w:cs="Helvetica"/>
          <w:color w:val="auto"/>
          <w:kern w:val="0"/>
          <w:sz w:val="24"/>
          <w:highlight w:val="none"/>
        </w:rPr>
        <w:t>乙方应将事故调查组的事故调查报告及乙方事故处理意见提交甲方备案。</w:t>
      </w:r>
    </w:p>
    <w:p w14:paraId="30B94F18">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第五条 甲乙双方联系方式及响应时间</w:t>
      </w:r>
    </w:p>
    <w:p w14:paraId="501C0809">
      <w:pPr>
        <w:widowControl/>
        <w:adjustRightInd w:val="0"/>
        <w:snapToGrid w:val="0"/>
        <w:spacing w:line="360" w:lineRule="auto"/>
        <w:ind w:firstLine="480" w:firstLineChars="200"/>
        <w:rPr>
          <w:rFonts w:ascii="宋体" w:hAnsi="宋体" w:cs="Helvetica"/>
          <w:color w:val="auto"/>
          <w:kern w:val="0"/>
          <w:sz w:val="24"/>
          <w:highlight w:val="none"/>
        </w:rPr>
      </w:pPr>
      <w:r>
        <w:rPr>
          <w:rFonts w:ascii="宋体" w:hAnsi="宋体" w:cs="Helvetica"/>
          <w:color w:val="auto"/>
          <w:kern w:val="0"/>
          <w:sz w:val="24"/>
          <w:highlight w:val="none"/>
        </w:rPr>
        <w:t>甲乙双方应以工作联系单、传真、电传等书面形式送达对方。双方在接到对方的书面联系时，应于4小时内予以响应。</w:t>
      </w:r>
    </w:p>
    <w:p w14:paraId="5E6D2393">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第六条 施工安全保证金</w:t>
      </w:r>
    </w:p>
    <w:p w14:paraId="1BFAA43B">
      <w:pPr>
        <w:widowControl/>
        <w:adjustRightInd w:val="0"/>
        <w:snapToGrid w:val="0"/>
        <w:spacing w:line="360" w:lineRule="auto"/>
        <w:ind w:firstLine="480" w:firstLineChars="200"/>
        <w:rPr>
          <w:rFonts w:ascii="宋体" w:hAnsi="宋体" w:cs="Helvetica"/>
          <w:color w:val="auto"/>
          <w:kern w:val="0"/>
          <w:sz w:val="24"/>
          <w:highlight w:val="none"/>
        </w:rPr>
      </w:pPr>
      <w:r>
        <w:rPr>
          <w:rFonts w:ascii="宋体" w:hAnsi="宋体" w:cs="Helvetica"/>
          <w:color w:val="auto"/>
          <w:kern w:val="0"/>
          <w:sz w:val="24"/>
          <w:highlight w:val="none"/>
        </w:rPr>
        <w:t>甲方预留工程款的10%作为乙方的安全保证金。乙方在施工过程中未发生人身重伤</w:t>
      </w:r>
      <w:r>
        <w:rPr>
          <w:rFonts w:hint="eastAsia" w:ascii="宋体" w:hAnsi="宋体" w:cs="Helvetica"/>
          <w:color w:val="auto"/>
          <w:kern w:val="0"/>
          <w:sz w:val="24"/>
          <w:highlight w:val="none"/>
        </w:rPr>
        <w:t>及任何</w:t>
      </w:r>
      <w:r>
        <w:rPr>
          <w:rFonts w:ascii="宋体" w:hAnsi="宋体" w:cs="Helvetica"/>
          <w:color w:val="auto"/>
          <w:kern w:val="0"/>
          <w:sz w:val="24"/>
          <w:highlight w:val="none"/>
        </w:rPr>
        <w:t>事故，于工程竣工验收后将该保证金全额退还；若施工过程中发生下列有乙方责任的安全事故，扣除相应数额的安全保证金：</w:t>
      </w:r>
    </w:p>
    <w:p w14:paraId="797B3F80">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（1）发生人身死亡事故，扣除全部安全保证金；</w:t>
      </w:r>
    </w:p>
    <w:p w14:paraId="08400A10">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（2）发生人身重伤事故，扣除50%安全保证金；</w:t>
      </w:r>
    </w:p>
    <w:p w14:paraId="1BCEC555">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（3）乙方人员发生违章行为的经济处罚，按处罚规定从安全保证金内扣除。</w:t>
      </w:r>
    </w:p>
    <w:p w14:paraId="66750639">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第七条 违约责任</w:t>
      </w:r>
    </w:p>
    <w:p w14:paraId="327CA953">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1、由于甲方或乙方责任造成对方或第三方的人身伤害、设备损坏等财产损失，由责任方承担相应责任，并赔偿对方或第三方因此造成的全部损失。</w:t>
      </w:r>
    </w:p>
    <w:p w14:paraId="7378AF37">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2、合同履行中，发现乙方提供的有关资质材料无效，甲方有权解除合同，并由乙方承担由此造成的一切损失。</w:t>
      </w:r>
    </w:p>
    <w:p w14:paraId="77E6B78E">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3、发现乙方现场作业人员有违章行为的，</w:t>
      </w:r>
      <w:r>
        <w:rPr>
          <w:rFonts w:hint="eastAsia" w:ascii="宋体" w:hAnsi="宋体" w:cs="Helvetica"/>
          <w:color w:val="auto"/>
          <w:kern w:val="0"/>
          <w:sz w:val="24"/>
          <w:highlight w:val="none"/>
        </w:rPr>
        <w:t>造成经济损失或人员伤害的</w:t>
      </w:r>
      <w:r>
        <w:rPr>
          <w:rFonts w:ascii="宋体" w:hAnsi="宋体" w:cs="Helvetica"/>
          <w:color w:val="auto"/>
          <w:kern w:val="0"/>
          <w:sz w:val="24"/>
          <w:highlight w:val="none"/>
        </w:rPr>
        <w:t>，承担相应的违约金。</w:t>
      </w:r>
    </w:p>
    <w:p w14:paraId="691CB60C">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14:paraId="0D80E71E">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5、乙方人员安全工作规程抽考不合格，乙方应承担50元/人次的违约责任；特种人员无证上岗乙方应承担100元/人次的违约责任。</w:t>
      </w:r>
    </w:p>
    <w:p w14:paraId="252F2DEF">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6、乙方使用甲方提供的设施设备、工器具等造成损坏的，应照价赔偿。</w:t>
      </w:r>
    </w:p>
    <w:p w14:paraId="1E0200F8">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7、乙方人员无故到其他生产区域或擅自动用甲方的设施设备等，乙方按100元至500元/人次承担违约责任。</w:t>
      </w:r>
    </w:p>
    <w:p w14:paraId="4DEBE716">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8、乙方对甲方提出的安全整改意见不及时整改的，每逾期一天，乙方按200元至1000元/天承担违约责任。</w:t>
      </w:r>
    </w:p>
    <w:p w14:paraId="6E0D0B49">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9、施工过程中发生人身伤亡事故有隐瞒行为的，除接受政府有关部门处理外，过错方应承担3000元至10000元/次的违约责任。</w:t>
      </w:r>
    </w:p>
    <w:p w14:paraId="0576D6A0">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第八条 甲乙双方约定的其他事项：无</w:t>
      </w:r>
    </w:p>
    <w:p w14:paraId="3B146934">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第九条 本协议执行过程中，如发生争议，由双方协商、调解解决；若经协商、调解不能解决争议的，任何一方可以向当地人民法院提起诉讼。</w:t>
      </w:r>
    </w:p>
    <w:p w14:paraId="1914C8C2">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第十条 甲乙双方必须严格执行本协议，本协议的法律效力独立于主合同。</w:t>
      </w:r>
    </w:p>
    <w:p w14:paraId="4D667E49">
      <w:pPr>
        <w:widowControl/>
        <w:adjustRightInd w:val="0"/>
        <w:snapToGrid w:val="0"/>
        <w:spacing w:line="360" w:lineRule="auto"/>
        <w:ind w:left="360" w:hanging="360" w:hangingChars="150"/>
        <w:rPr>
          <w:rFonts w:ascii="宋体" w:hAnsi="宋体" w:cs="Helvetica"/>
          <w:color w:val="auto"/>
          <w:kern w:val="0"/>
          <w:sz w:val="24"/>
          <w:highlight w:val="none"/>
        </w:rPr>
      </w:pPr>
      <w:r>
        <w:rPr>
          <w:rFonts w:ascii="宋体" w:hAnsi="宋体" w:cs="Helvetica"/>
          <w:color w:val="auto"/>
          <w:kern w:val="0"/>
          <w:sz w:val="24"/>
          <w:highlight w:val="none"/>
        </w:rPr>
        <w:t>第十一条 本协议有效期限：自</w:t>
      </w:r>
      <w:r>
        <w:rPr>
          <w:rFonts w:hint="eastAsia" w:ascii="宋体" w:hAnsi="宋体" w:cs="Helvetica"/>
          <w:color w:val="auto"/>
          <w:kern w:val="0"/>
          <w:sz w:val="24"/>
          <w:highlight w:val="none"/>
          <w:u w:val="single"/>
        </w:rPr>
        <w:t xml:space="preserve">  2024</w:t>
      </w:r>
      <w:r>
        <w:rPr>
          <w:rFonts w:ascii="宋体" w:hAnsi="宋体" w:cs="Helvetica"/>
          <w:color w:val="auto"/>
          <w:kern w:val="0"/>
          <w:sz w:val="24"/>
          <w:highlight w:val="none"/>
        </w:rPr>
        <w:t xml:space="preserve"> 年</w:t>
      </w:r>
      <w:r>
        <w:rPr>
          <w:rFonts w:hint="eastAsia" w:ascii="宋体" w:hAnsi="宋体" w:cs="Helvetica"/>
          <w:color w:val="auto"/>
          <w:kern w:val="0"/>
          <w:sz w:val="24"/>
          <w:highlight w:val="none"/>
          <w:u w:val="single"/>
        </w:rPr>
        <w:t xml:space="preserve">   </w:t>
      </w:r>
      <w:r>
        <w:rPr>
          <w:rFonts w:ascii="宋体" w:hAnsi="宋体" w:cs="Helvetica"/>
          <w:color w:val="auto"/>
          <w:kern w:val="0"/>
          <w:sz w:val="24"/>
          <w:highlight w:val="none"/>
        </w:rPr>
        <w:t>月</w:t>
      </w:r>
      <w:r>
        <w:rPr>
          <w:rFonts w:hint="eastAsia" w:ascii="宋体" w:hAnsi="宋体" w:cs="Helvetica"/>
          <w:color w:val="auto"/>
          <w:kern w:val="0"/>
          <w:sz w:val="24"/>
          <w:highlight w:val="none"/>
          <w:u w:val="single"/>
        </w:rPr>
        <w:t xml:space="preserve">   </w:t>
      </w:r>
      <w:r>
        <w:rPr>
          <w:rFonts w:ascii="宋体" w:hAnsi="宋体" w:cs="Helvetica"/>
          <w:color w:val="auto"/>
          <w:kern w:val="0"/>
          <w:sz w:val="24"/>
          <w:highlight w:val="none"/>
        </w:rPr>
        <w:t>日起至</w:t>
      </w:r>
      <w:r>
        <w:rPr>
          <w:rFonts w:hint="eastAsia" w:ascii="宋体" w:hAnsi="宋体" w:cs="Helvetica"/>
          <w:color w:val="auto"/>
          <w:kern w:val="0"/>
          <w:sz w:val="24"/>
          <w:highlight w:val="none"/>
          <w:u w:val="single"/>
        </w:rPr>
        <w:t xml:space="preserve">  2024 </w:t>
      </w:r>
      <w:r>
        <w:rPr>
          <w:rFonts w:ascii="宋体" w:hAnsi="宋体" w:cs="Helvetica"/>
          <w:color w:val="auto"/>
          <w:kern w:val="0"/>
          <w:sz w:val="24"/>
          <w:highlight w:val="none"/>
          <w:u w:val="single"/>
        </w:rPr>
        <w:t xml:space="preserve"> </w:t>
      </w:r>
      <w:r>
        <w:rPr>
          <w:rFonts w:ascii="宋体" w:hAnsi="宋体" w:cs="Helvetica"/>
          <w:color w:val="auto"/>
          <w:kern w:val="0"/>
          <w:sz w:val="24"/>
          <w:highlight w:val="none"/>
        </w:rPr>
        <w:t>年</w:t>
      </w:r>
      <w:r>
        <w:rPr>
          <w:rFonts w:hint="eastAsia" w:ascii="宋体" w:hAnsi="宋体" w:cs="Helvetica"/>
          <w:color w:val="auto"/>
          <w:kern w:val="0"/>
          <w:sz w:val="24"/>
          <w:highlight w:val="none"/>
          <w:u w:val="single"/>
        </w:rPr>
        <w:t xml:space="preserve">  </w:t>
      </w:r>
      <w:r>
        <w:rPr>
          <w:rFonts w:ascii="宋体" w:hAnsi="宋体" w:cs="Helvetica"/>
          <w:color w:val="auto"/>
          <w:kern w:val="0"/>
          <w:sz w:val="24"/>
          <w:highlight w:val="none"/>
        </w:rPr>
        <w:t>月</w:t>
      </w:r>
      <w:r>
        <w:rPr>
          <w:rFonts w:hint="eastAsia" w:ascii="宋体" w:hAnsi="宋体" w:cs="Helvetica"/>
          <w:color w:val="auto"/>
          <w:kern w:val="0"/>
          <w:sz w:val="24"/>
          <w:highlight w:val="none"/>
          <w:u w:val="single"/>
        </w:rPr>
        <w:t xml:space="preserve">  </w:t>
      </w:r>
      <w:r>
        <w:rPr>
          <w:rFonts w:ascii="宋体" w:hAnsi="宋体" w:cs="Helvetica"/>
          <w:color w:val="auto"/>
          <w:kern w:val="0"/>
          <w:sz w:val="24"/>
          <w:highlight w:val="none"/>
        </w:rPr>
        <w:t>日止。</w:t>
      </w:r>
    </w:p>
    <w:p w14:paraId="70079F1E">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第十二条 本协议经双方法定代表人或委托代理人签字盖章后生效。</w:t>
      </w:r>
    </w:p>
    <w:p w14:paraId="6F70319D">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第十三条 本协议一式</w:t>
      </w:r>
      <w:r>
        <w:rPr>
          <w:rFonts w:hint="eastAsia" w:ascii="宋体" w:hAnsi="宋体" w:cs="Helvetica"/>
          <w:color w:val="auto"/>
          <w:kern w:val="0"/>
          <w:sz w:val="24"/>
          <w:highlight w:val="none"/>
        </w:rPr>
        <w:t>四</w:t>
      </w:r>
      <w:r>
        <w:rPr>
          <w:rFonts w:ascii="宋体" w:hAnsi="宋体" w:cs="Helvetica"/>
          <w:color w:val="auto"/>
          <w:kern w:val="0"/>
          <w:sz w:val="24"/>
          <w:highlight w:val="none"/>
        </w:rPr>
        <w:t>份，甲乙双方各执</w:t>
      </w:r>
      <w:r>
        <w:rPr>
          <w:rFonts w:hint="eastAsia" w:ascii="宋体" w:hAnsi="宋体" w:cs="Helvetica"/>
          <w:color w:val="auto"/>
          <w:kern w:val="0"/>
          <w:sz w:val="24"/>
          <w:highlight w:val="none"/>
        </w:rPr>
        <w:t>两</w:t>
      </w:r>
      <w:r>
        <w:rPr>
          <w:rFonts w:ascii="宋体" w:hAnsi="宋体" w:cs="Helvetica"/>
          <w:color w:val="auto"/>
          <w:kern w:val="0"/>
          <w:sz w:val="24"/>
          <w:highlight w:val="none"/>
        </w:rPr>
        <w:t>份。</w:t>
      </w:r>
    </w:p>
    <w:p w14:paraId="3E2C4DA5">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第十四条 本协议签订地点在甲方</w:t>
      </w:r>
      <w:r>
        <w:rPr>
          <w:rFonts w:hint="eastAsia" w:ascii="宋体" w:hAnsi="宋体" w:cs="Helvetica"/>
          <w:color w:val="auto"/>
          <w:kern w:val="0"/>
          <w:sz w:val="24"/>
          <w:highlight w:val="none"/>
        </w:rPr>
        <w:t>办公场地</w:t>
      </w:r>
      <w:r>
        <w:rPr>
          <w:rFonts w:ascii="宋体" w:hAnsi="宋体" w:cs="Helvetica"/>
          <w:color w:val="auto"/>
          <w:kern w:val="0"/>
          <w:sz w:val="24"/>
          <w:highlight w:val="none"/>
        </w:rPr>
        <w:t>。</w:t>
      </w:r>
    </w:p>
    <w:p w14:paraId="44AB854A">
      <w:pPr>
        <w:widowControl/>
        <w:adjustRightInd w:val="0"/>
        <w:snapToGrid w:val="0"/>
        <w:spacing w:line="360" w:lineRule="auto"/>
        <w:rPr>
          <w:rFonts w:ascii="宋体" w:hAnsi="宋体" w:cs="Helvetica"/>
          <w:color w:val="auto"/>
          <w:kern w:val="0"/>
          <w:sz w:val="24"/>
          <w:highlight w:val="none"/>
        </w:rPr>
      </w:pPr>
      <w:r>
        <w:rPr>
          <w:rFonts w:ascii="宋体" w:hAnsi="宋体" w:cs="Helvetica"/>
          <w:color w:val="auto"/>
          <w:kern w:val="0"/>
          <w:sz w:val="24"/>
          <w:highlight w:val="none"/>
        </w:rPr>
        <w:t> </w:t>
      </w:r>
    </w:p>
    <w:p w14:paraId="03253344">
      <w:pPr>
        <w:widowControl/>
        <w:adjustRightInd w:val="0"/>
        <w:snapToGrid w:val="0"/>
        <w:spacing w:line="360" w:lineRule="auto"/>
        <w:jc w:val="left"/>
        <w:rPr>
          <w:rFonts w:ascii="宋体" w:hAnsi="宋体" w:cs="Helvetica"/>
          <w:color w:val="auto"/>
          <w:kern w:val="0"/>
          <w:sz w:val="24"/>
          <w:highlight w:val="none"/>
        </w:rPr>
      </w:pPr>
      <w:r>
        <w:rPr>
          <w:rFonts w:ascii="宋体" w:hAnsi="宋体" w:cs="Helvetica"/>
          <w:color w:val="auto"/>
          <w:kern w:val="0"/>
          <w:sz w:val="24"/>
          <w:highlight w:val="none"/>
        </w:rPr>
        <w:t>甲</w:t>
      </w:r>
      <w:r>
        <w:rPr>
          <w:rFonts w:hint="eastAsia" w:ascii="宋体" w:hAnsi="宋体" w:cs="Helvetica"/>
          <w:color w:val="auto"/>
          <w:kern w:val="0"/>
          <w:sz w:val="24"/>
          <w:highlight w:val="none"/>
        </w:rPr>
        <w:t>方</w:t>
      </w:r>
      <w:r>
        <w:rPr>
          <w:rFonts w:ascii="宋体" w:hAnsi="宋体" w:cs="Helvetica"/>
          <w:color w:val="auto"/>
          <w:kern w:val="0"/>
          <w:sz w:val="24"/>
          <w:highlight w:val="none"/>
        </w:rPr>
        <w:t>：</w:t>
      </w:r>
    </w:p>
    <w:p w14:paraId="452C60D7">
      <w:pPr>
        <w:widowControl/>
        <w:adjustRightInd w:val="0"/>
        <w:snapToGrid w:val="0"/>
        <w:spacing w:line="360" w:lineRule="auto"/>
        <w:jc w:val="left"/>
        <w:rPr>
          <w:rFonts w:ascii="宋体" w:hAnsi="宋体" w:cs="Helvetica"/>
          <w:color w:val="auto"/>
          <w:kern w:val="0"/>
          <w:sz w:val="24"/>
          <w:highlight w:val="none"/>
        </w:rPr>
      </w:pPr>
      <w:r>
        <w:rPr>
          <w:rFonts w:ascii="宋体" w:hAnsi="宋体" w:cs="Helvetica"/>
          <w:color w:val="auto"/>
          <w:kern w:val="0"/>
          <w:sz w:val="24"/>
          <w:highlight w:val="none"/>
        </w:rPr>
        <w:t>乙方：</w:t>
      </w:r>
      <w:r>
        <w:rPr>
          <w:rFonts w:hint="eastAsia" w:ascii="宋体" w:hAnsi="宋体" w:cs="Helvetica"/>
          <w:color w:val="auto"/>
          <w:kern w:val="0"/>
          <w:sz w:val="24"/>
          <w:highlight w:val="none"/>
        </w:rPr>
        <w:t xml:space="preserve">                                </w:t>
      </w:r>
    </w:p>
    <w:p w14:paraId="528BE73B">
      <w:pPr>
        <w:widowControl/>
        <w:adjustRightInd w:val="0"/>
        <w:snapToGrid w:val="0"/>
        <w:spacing w:line="360" w:lineRule="auto"/>
        <w:jc w:val="left"/>
        <w:rPr>
          <w:rFonts w:ascii="宋体" w:hAnsi="宋体" w:cs="Helvetica"/>
          <w:color w:val="auto"/>
          <w:kern w:val="0"/>
          <w:sz w:val="24"/>
          <w:highlight w:val="none"/>
        </w:rPr>
      </w:pPr>
      <w:r>
        <w:rPr>
          <w:rFonts w:hint="eastAsia" w:ascii="宋体" w:hAnsi="宋体" w:cs="Helvetica"/>
          <w:color w:val="auto"/>
          <w:kern w:val="0"/>
          <w:sz w:val="24"/>
          <w:highlight w:val="none"/>
        </w:rPr>
        <w:t>乙方分包:</w:t>
      </w:r>
      <w:r>
        <w:rPr>
          <w:rFonts w:ascii="宋体" w:hAnsi="宋体" w:cs="Helvetica"/>
          <w:color w:val="auto"/>
          <w:kern w:val="0"/>
          <w:sz w:val="24"/>
          <w:highlight w:val="none"/>
        </w:rPr>
        <w:t xml:space="preserve">                           </w:t>
      </w:r>
      <w:r>
        <w:rPr>
          <w:rFonts w:hint="eastAsia" w:ascii="宋体" w:hAnsi="宋体" w:cs="Helvetica"/>
          <w:color w:val="auto"/>
          <w:kern w:val="0"/>
          <w:sz w:val="24"/>
          <w:highlight w:val="none"/>
        </w:rPr>
        <w:t xml:space="preserve"> </w:t>
      </w:r>
    </w:p>
    <w:p w14:paraId="5C32AC15">
      <w:pPr>
        <w:widowControl/>
        <w:adjustRightInd w:val="0"/>
        <w:snapToGrid w:val="0"/>
        <w:spacing w:line="360" w:lineRule="auto"/>
        <w:jc w:val="left"/>
        <w:rPr>
          <w:rFonts w:ascii="宋体" w:hAnsi="宋体" w:cs="Helvetica"/>
          <w:color w:val="auto"/>
          <w:kern w:val="0"/>
          <w:sz w:val="24"/>
          <w:highlight w:val="none"/>
        </w:rPr>
      </w:pPr>
      <w:r>
        <w:rPr>
          <w:rFonts w:ascii="宋体" w:hAnsi="宋体" w:cs="Helvetica"/>
          <w:color w:val="auto"/>
          <w:kern w:val="0"/>
          <w:sz w:val="24"/>
          <w:highlight w:val="none"/>
        </w:rPr>
        <w:t>联系电话：</w:t>
      </w:r>
    </w:p>
    <w:p w14:paraId="1F007FD1">
      <w:pPr>
        <w:widowControl/>
        <w:adjustRightInd w:val="0"/>
        <w:snapToGrid w:val="0"/>
        <w:spacing w:line="360" w:lineRule="auto"/>
        <w:jc w:val="left"/>
        <w:rPr>
          <w:rFonts w:ascii="宋体" w:hAnsi="宋体" w:cs="Helvetica"/>
          <w:color w:val="auto"/>
          <w:kern w:val="0"/>
          <w:sz w:val="24"/>
          <w:highlight w:val="none"/>
        </w:rPr>
      </w:pPr>
      <w:r>
        <w:rPr>
          <w:rFonts w:ascii="宋体" w:hAnsi="宋体" w:cs="Helvetica"/>
          <w:color w:val="auto"/>
          <w:kern w:val="0"/>
          <w:sz w:val="24"/>
          <w:highlight w:val="none"/>
        </w:rPr>
        <w:t>联系电话：</w:t>
      </w:r>
      <w:r>
        <w:rPr>
          <w:rFonts w:hint="eastAsia" w:ascii="宋体" w:hAnsi="宋体" w:cs="Helvetica"/>
          <w:color w:val="auto"/>
          <w:kern w:val="0"/>
          <w:sz w:val="24"/>
          <w:highlight w:val="none"/>
        </w:rPr>
        <w:t xml:space="preserve">                           </w:t>
      </w:r>
    </w:p>
    <w:p w14:paraId="713434C3">
      <w:pPr>
        <w:widowControl/>
        <w:adjustRightInd w:val="0"/>
        <w:snapToGrid w:val="0"/>
        <w:spacing w:line="360" w:lineRule="auto"/>
        <w:ind w:firstLine="3120" w:firstLineChars="1300"/>
        <w:jc w:val="left"/>
        <w:rPr>
          <w:rFonts w:ascii="宋体" w:hAnsi="宋体" w:cs="Helvetica"/>
          <w:color w:val="auto"/>
          <w:kern w:val="0"/>
          <w:sz w:val="24"/>
          <w:highlight w:val="none"/>
        </w:rPr>
      </w:pPr>
      <w:r>
        <w:rPr>
          <w:rFonts w:ascii="宋体" w:hAnsi="宋体" w:cs="Helvetica"/>
          <w:color w:val="auto"/>
          <w:kern w:val="0"/>
          <w:sz w:val="24"/>
          <w:highlight w:val="none"/>
        </w:rPr>
        <w:t> 签订时间：</w:t>
      </w:r>
      <w:r>
        <w:rPr>
          <w:rFonts w:hint="eastAsia" w:ascii="宋体" w:hAnsi="宋体" w:cs="Helvetica"/>
          <w:color w:val="auto"/>
          <w:kern w:val="0"/>
          <w:sz w:val="24"/>
          <w:highlight w:val="none"/>
        </w:rPr>
        <w:t>2024</w:t>
      </w:r>
      <w:r>
        <w:rPr>
          <w:rFonts w:ascii="宋体" w:hAnsi="宋体" w:cs="Helvetica"/>
          <w:color w:val="auto"/>
          <w:kern w:val="0"/>
          <w:sz w:val="24"/>
          <w:highlight w:val="none"/>
        </w:rPr>
        <w:t>年</w:t>
      </w:r>
      <w:r>
        <w:rPr>
          <w:rFonts w:hint="eastAsia" w:ascii="宋体" w:hAnsi="宋体" w:cs="Helvetica"/>
          <w:color w:val="auto"/>
          <w:kern w:val="0"/>
          <w:sz w:val="24"/>
          <w:highlight w:val="none"/>
        </w:rPr>
        <w:t xml:space="preserve">  </w:t>
      </w:r>
      <w:r>
        <w:rPr>
          <w:rFonts w:ascii="宋体" w:hAnsi="宋体" w:cs="Helvetica"/>
          <w:color w:val="auto"/>
          <w:kern w:val="0"/>
          <w:sz w:val="24"/>
          <w:highlight w:val="none"/>
        </w:rPr>
        <w:t>月</w:t>
      </w:r>
      <w:r>
        <w:rPr>
          <w:rFonts w:hint="eastAsia" w:ascii="宋体" w:hAnsi="宋体" w:cs="Helvetica"/>
          <w:color w:val="auto"/>
          <w:kern w:val="0"/>
          <w:sz w:val="24"/>
          <w:highlight w:val="none"/>
        </w:rPr>
        <w:t xml:space="preserve">  </w:t>
      </w:r>
      <w:r>
        <w:rPr>
          <w:rFonts w:ascii="宋体" w:hAnsi="宋体" w:cs="Helvetica"/>
          <w:color w:val="auto"/>
          <w:kern w:val="0"/>
          <w:sz w:val="24"/>
          <w:highlight w:val="none"/>
        </w:rPr>
        <w:t>日</w:t>
      </w:r>
    </w:p>
    <w:p w14:paraId="7AD913BF">
      <w:pPr>
        <w:jc w:val="center"/>
        <w:rPr>
          <w:b/>
          <w:color w:val="auto"/>
          <w:sz w:val="44"/>
          <w:szCs w:val="44"/>
          <w:highlight w:val="none"/>
        </w:rPr>
      </w:pPr>
    </w:p>
    <w:p w14:paraId="74D790C7">
      <w:pPr>
        <w:jc w:val="center"/>
        <w:rPr>
          <w:b/>
          <w:color w:val="auto"/>
          <w:sz w:val="44"/>
          <w:szCs w:val="44"/>
          <w:highlight w:val="none"/>
        </w:rPr>
      </w:pPr>
      <w:r>
        <w:rPr>
          <w:b/>
          <w:color w:val="auto"/>
          <w:sz w:val="44"/>
          <w:szCs w:val="44"/>
          <w:highlight w:val="none"/>
        </w:rPr>
        <w:br w:type="page"/>
      </w:r>
    </w:p>
    <w:p w14:paraId="0CDA0F04">
      <w:pPr>
        <w:jc w:val="center"/>
        <w:rPr>
          <w:b/>
          <w:color w:val="auto"/>
          <w:sz w:val="44"/>
          <w:szCs w:val="44"/>
          <w:highlight w:val="none"/>
        </w:rPr>
      </w:pPr>
      <w:r>
        <w:rPr>
          <w:b/>
          <w:color w:val="auto"/>
          <w:sz w:val="44"/>
          <w:szCs w:val="44"/>
          <w:highlight w:val="none"/>
        </w:rPr>
        <w:t>第</w:t>
      </w:r>
      <w:r>
        <w:rPr>
          <w:rFonts w:hint="eastAsia"/>
          <w:b/>
          <w:color w:val="auto"/>
          <w:sz w:val="44"/>
          <w:szCs w:val="44"/>
          <w:highlight w:val="none"/>
        </w:rPr>
        <w:t>八节 合同附件</w:t>
      </w:r>
    </w:p>
    <w:p w14:paraId="247ED583">
      <w:pPr>
        <w:rPr>
          <w:color w:val="auto"/>
          <w:highlight w:val="none"/>
        </w:rPr>
      </w:pPr>
    </w:p>
    <w:p w14:paraId="30D1B9E3">
      <w:pPr>
        <w:rPr>
          <w:color w:val="auto"/>
          <w:highlight w:val="none"/>
        </w:rPr>
      </w:pPr>
    </w:p>
    <w:bookmarkEnd w:id="1803"/>
    <w:bookmarkEnd w:id="1804"/>
    <w:bookmarkEnd w:id="1805"/>
    <w:bookmarkEnd w:id="1806"/>
    <w:p w14:paraId="78D51540">
      <w:pPr>
        <w:tabs>
          <w:tab w:val="left" w:pos="1440"/>
        </w:tabs>
        <w:rPr>
          <w:color w:val="auto"/>
          <w:szCs w:val="21"/>
          <w:highlight w:val="none"/>
        </w:rPr>
      </w:pPr>
    </w:p>
    <w:bookmarkEnd w:id="668"/>
    <w:p w14:paraId="219D25A6">
      <w:pPr>
        <w:spacing w:before="32"/>
        <w:ind w:left="249" w:right="240"/>
        <w:jc w:val="center"/>
        <w:rPr>
          <w:b/>
          <w:color w:val="auto"/>
          <w:sz w:val="48"/>
          <w:highlight w:val="none"/>
        </w:rPr>
      </w:pPr>
    </w:p>
    <w:p w14:paraId="24BA0C46">
      <w:pPr>
        <w:spacing w:before="32"/>
        <w:ind w:left="249" w:right="240"/>
        <w:jc w:val="center"/>
        <w:rPr>
          <w:b/>
          <w:color w:val="auto"/>
          <w:sz w:val="48"/>
          <w:highlight w:val="none"/>
        </w:rPr>
      </w:pPr>
    </w:p>
    <w:p w14:paraId="1075B166">
      <w:pPr>
        <w:spacing w:before="32"/>
        <w:ind w:left="249" w:right="240"/>
        <w:jc w:val="center"/>
        <w:rPr>
          <w:b/>
          <w:color w:val="auto"/>
          <w:sz w:val="48"/>
          <w:highlight w:val="none"/>
        </w:rPr>
      </w:pPr>
    </w:p>
    <w:p w14:paraId="0E2352FA">
      <w:pPr>
        <w:widowControl/>
        <w:jc w:val="left"/>
        <w:rPr>
          <w:rFonts w:ascii="宋体" w:hAnsi="宋体" w:cs="宋体"/>
          <w:b/>
          <w:color w:val="auto"/>
          <w:sz w:val="36"/>
          <w:szCs w:val="36"/>
          <w:highlight w:val="none"/>
        </w:rPr>
      </w:pPr>
      <w:r>
        <w:rPr>
          <w:rFonts w:ascii="宋体" w:hAnsi="宋体" w:cs="宋体"/>
          <w:b/>
          <w:color w:val="auto"/>
          <w:sz w:val="36"/>
          <w:szCs w:val="36"/>
          <w:highlight w:val="none"/>
        </w:rPr>
        <w:br w:type="page"/>
      </w:r>
    </w:p>
    <w:p w14:paraId="7C32E7C8">
      <w:pPr>
        <w:shd w:val="clear" w:color="auto" w:fill="FFFFFF"/>
        <w:spacing w:line="360" w:lineRule="auto"/>
        <w:jc w:val="center"/>
        <w:outlineLvl w:val="0"/>
        <w:rPr>
          <w:rFonts w:ascii="宋体" w:hAnsi="宋体" w:cs="宋体"/>
          <w:b/>
          <w:color w:val="auto"/>
          <w:sz w:val="36"/>
          <w:szCs w:val="36"/>
          <w:highlight w:val="none"/>
        </w:rPr>
      </w:pPr>
      <w:bookmarkStart w:id="1817" w:name="_Toc26379"/>
      <w:r>
        <w:rPr>
          <w:rFonts w:hint="eastAsia" w:ascii="宋体" w:hAnsi="宋体" w:cs="宋体"/>
          <w:b/>
          <w:color w:val="auto"/>
          <w:sz w:val="36"/>
          <w:szCs w:val="36"/>
          <w:highlight w:val="none"/>
        </w:rPr>
        <w:t>第六章   响应文件格式</w:t>
      </w:r>
      <w:bookmarkEnd w:id="1817"/>
    </w:p>
    <w:p w14:paraId="47F2CEE1">
      <w:pPr>
        <w:widowControl/>
        <w:shd w:val="clear" w:color="auto" w:fill="FFFFFF"/>
        <w:spacing w:line="360" w:lineRule="auto"/>
        <w:jc w:val="left"/>
        <w:rPr>
          <w:rFonts w:ascii="宋体" w:hAnsi="宋体" w:cs="宋体"/>
          <w:b/>
          <w:color w:val="auto"/>
          <w:sz w:val="24"/>
          <w:highlight w:val="none"/>
        </w:rPr>
      </w:pPr>
    </w:p>
    <w:p w14:paraId="48F764E1">
      <w:pPr>
        <w:shd w:val="clear" w:color="auto" w:fill="FFFFFF"/>
        <w:tabs>
          <w:tab w:val="left" w:pos="900"/>
          <w:tab w:val="left" w:pos="1980"/>
        </w:tabs>
        <w:snapToGrid w:val="0"/>
        <w:spacing w:line="360" w:lineRule="auto"/>
        <w:ind w:left="142"/>
        <w:rPr>
          <w:rFonts w:ascii="宋体" w:hAnsi="宋体" w:cs="宋体"/>
          <w:b/>
          <w:color w:val="auto"/>
          <w:kern w:val="0"/>
          <w:sz w:val="24"/>
          <w:highlight w:val="none"/>
        </w:rPr>
      </w:pPr>
      <w:r>
        <w:rPr>
          <w:rFonts w:hint="eastAsia" w:ascii="宋体" w:hAnsi="宋体" w:cs="宋体"/>
          <w:b/>
          <w:color w:val="auto"/>
          <w:kern w:val="0"/>
          <w:sz w:val="24"/>
          <w:highlight w:val="none"/>
        </w:rPr>
        <w:t>供应商编制文件须知</w:t>
      </w:r>
    </w:p>
    <w:p w14:paraId="55E5EF18">
      <w:pPr>
        <w:shd w:val="clear" w:color="auto" w:fill="FFFFFF"/>
        <w:tabs>
          <w:tab w:val="left" w:pos="900"/>
          <w:tab w:val="left" w:pos="1980"/>
        </w:tabs>
        <w:snapToGrid w:val="0"/>
        <w:spacing w:line="360" w:lineRule="auto"/>
        <w:ind w:left="142"/>
        <w:rPr>
          <w:rFonts w:ascii="宋体" w:hAnsi="宋体" w:cs="宋体"/>
          <w:color w:val="auto"/>
          <w:sz w:val="24"/>
          <w:highlight w:val="none"/>
        </w:rPr>
      </w:pPr>
      <w:r>
        <w:rPr>
          <w:rFonts w:hint="eastAsia" w:ascii="宋体" w:hAnsi="宋体" w:cs="宋体"/>
          <w:color w:val="auto"/>
          <w:sz w:val="24"/>
          <w:highlight w:val="none"/>
        </w:rPr>
        <w:t>1、供应商按照本部分的顺序编制响应文件，编制中涉及格式资料的，应按照本部分提供的内容和格式（所有表格的格式可扩展）填写提交。</w:t>
      </w:r>
    </w:p>
    <w:p w14:paraId="71124003">
      <w:pPr>
        <w:shd w:val="clear" w:color="auto" w:fill="FFFFFF"/>
        <w:tabs>
          <w:tab w:val="left" w:pos="900"/>
          <w:tab w:val="left" w:pos="1980"/>
        </w:tabs>
        <w:snapToGrid w:val="0"/>
        <w:spacing w:line="360" w:lineRule="auto"/>
        <w:ind w:left="142"/>
        <w:rPr>
          <w:rFonts w:ascii="宋体" w:hAnsi="宋体" w:cs="宋体"/>
          <w:color w:val="auto"/>
          <w:kern w:val="0"/>
          <w:sz w:val="24"/>
          <w:highlight w:val="none"/>
        </w:rPr>
      </w:pPr>
      <w:r>
        <w:rPr>
          <w:rFonts w:hint="eastAsia" w:ascii="宋体" w:hAnsi="宋体" w:cs="宋体"/>
          <w:color w:val="auto"/>
          <w:sz w:val="24"/>
          <w:highlight w:val="none"/>
        </w:rPr>
        <w:t>2、</w:t>
      </w:r>
      <w:r>
        <w:rPr>
          <w:rFonts w:hint="eastAsia" w:ascii="宋体" w:hAnsi="宋体" w:cs="宋体"/>
          <w:color w:val="auto"/>
          <w:kern w:val="0"/>
          <w:sz w:val="24"/>
          <w:highlight w:val="none"/>
        </w:rPr>
        <w:t>对于竞争性磋商文件中标记了“实质性格式”文件的，供应商</w:t>
      </w:r>
      <w:r>
        <w:rPr>
          <w:rFonts w:hint="eastAsia" w:ascii="宋体" w:hAnsi="宋体" w:cs="宋体"/>
          <w:color w:val="auto"/>
          <w:sz w:val="24"/>
          <w:highlight w:val="none"/>
        </w:rPr>
        <w:t>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cs="宋体"/>
          <w:b/>
          <w:color w:val="auto"/>
          <w:kern w:val="0"/>
          <w:sz w:val="24"/>
          <w:highlight w:val="none"/>
        </w:rPr>
        <w:t>否则响应无效</w:t>
      </w:r>
      <w:r>
        <w:rPr>
          <w:rFonts w:hint="eastAsia" w:ascii="宋体" w:hAnsi="宋体" w:cs="宋体"/>
          <w:color w:val="auto"/>
          <w:kern w:val="0"/>
          <w:sz w:val="24"/>
          <w:highlight w:val="none"/>
        </w:rPr>
        <w:t>。未标记“实质性格式”的文件和竞争性磋商文件未提供格式的内容，可由供应商自行编写。</w:t>
      </w:r>
    </w:p>
    <w:p w14:paraId="642E9A30">
      <w:pPr>
        <w:shd w:val="clear" w:color="auto" w:fill="FFFFFF"/>
        <w:tabs>
          <w:tab w:val="left" w:pos="900"/>
          <w:tab w:val="left" w:pos="1980"/>
        </w:tabs>
        <w:snapToGrid w:val="0"/>
        <w:spacing w:line="360" w:lineRule="auto"/>
        <w:ind w:left="142"/>
        <w:rPr>
          <w:rFonts w:ascii="宋体" w:hAnsi="宋体" w:cs="宋体"/>
          <w:color w:val="auto"/>
          <w:sz w:val="24"/>
          <w:highlight w:val="none"/>
        </w:rPr>
      </w:pPr>
      <w:r>
        <w:rPr>
          <w:rFonts w:hint="eastAsia" w:ascii="宋体" w:hAnsi="宋体" w:cs="宋体"/>
          <w:color w:val="auto"/>
          <w:sz w:val="24"/>
          <w:highlight w:val="none"/>
        </w:rPr>
        <w:t>3、全部声明和问题的回答及所附材料必须是真实的、准确的和完整的。</w:t>
      </w:r>
    </w:p>
    <w:p w14:paraId="6ADE213D">
      <w:pPr>
        <w:shd w:val="clear" w:color="auto" w:fill="FFFFFF"/>
        <w:tabs>
          <w:tab w:val="left" w:pos="900"/>
          <w:tab w:val="left" w:pos="1980"/>
        </w:tabs>
        <w:snapToGrid w:val="0"/>
        <w:spacing w:line="360" w:lineRule="auto"/>
        <w:ind w:left="142"/>
        <w:rPr>
          <w:rFonts w:ascii="宋体" w:hAnsi="宋体" w:cs="宋体"/>
          <w:color w:val="auto"/>
          <w:sz w:val="24"/>
          <w:highlight w:val="none"/>
        </w:rPr>
      </w:pPr>
    </w:p>
    <w:p w14:paraId="66AE2063">
      <w:pPr>
        <w:widowControl/>
        <w:shd w:val="clear" w:color="auto" w:fill="FFFFFF"/>
        <w:jc w:val="left"/>
        <w:rPr>
          <w:rFonts w:ascii="宋体" w:hAnsi="宋体" w:cs="宋体"/>
          <w:color w:val="auto"/>
          <w:sz w:val="24"/>
          <w:highlight w:val="none"/>
        </w:rPr>
      </w:pPr>
      <w:r>
        <w:rPr>
          <w:rFonts w:hint="eastAsia" w:ascii="宋体" w:hAnsi="宋体" w:cs="宋体"/>
          <w:color w:val="auto"/>
          <w:sz w:val="24"/>
          <w:highlight w:val="none"/>
        </w:rPr>
        <w:br w:type="page"/>
      </w:r>
    </w:p>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p w14:paraId="411D604A">
      <w:pPr>
        <w:shd w:val="clear" w:color="auto" w:fill="FFFFFF"/>
        <w:rPr>
          <w:rFonts w:ascii="宋体" w:hAnsi="宋体" w:cs="宋体"/>
          <w:b/>
          <w:color w:val="auto"/>
          <w:spacing w:val="20"/>
          <w:szCs w:val="21"/>
          <w:highlight w:val="none"/>
        </w:rPr>
      </w:pPr>
    </w:p>
    <w:p w14:paraId="1F03C70F">
      <w:pPr>
        <w:shd w:val="clear" w:color="auto" w:fill="FFFFFF"/>
        <w:rPr>
          <w:rFonts w:ascii="宋体" w:hAnsi="宋体" w:cs="宋体"/>
          <w:b/>
          <w:color w:val="auto"/>
          <w:sz w:val="24"/>
          <w:highlight w:val="none"/>
        </w:rPr>
      </w:pPr>
      <w:r>
        <w:rPr>
          <w:rFonts w:hint="eastAsia" w:ascii="宋体" w:hAnsi="宋体" w:cs="宋体"/>
          <w:b/>
          <w:color w:val="auto"/>
          <w:spacing w:val="20"/>
          <w:sz w:val="24"/>
          <w:highlight w:val="none"/>
        </w:rPr>
        <w:t>响应文件</w:t>
      </w:r>
      <w:r>
        <w:rPr>
          <w:rFonts w:hint="eastAsia" w:ascii="宋体" w:hAnsi="宋体" w:cs="宋体"/>
          <w:b/>
          <w:color w:val="auto"/>
          <w:sz w:val="24"/>
          <w:highlight w:val="none"/>
        </w:rPr>
        <w:t>封面（非实质性格式）</w:t>
      </w:r>
    </w:p>
    <w:p w14:paraId="6EF84B8F">
      <w:pPr>
        <w:shd w:val="clear" w:color="auto" w:fill="FFFFFF"/>
        <w:jc w:val="center"/>
        <w:rPr>
          <w:rFonts w:ascii="宋体" w:hAnsi="宋体" w:cs="宋体"/>
          <w:color w:val="auto"/>
          <w:szCs w:val="21"/>
          <w:highlight w:val="none"/>
        </w:rPr>
      </w:pPr>
    </w:p>
    <w:p w14:paraId="4677A73B">
      <w:pPr>
        <w:shd w:val="clear" w:color="auto" w:fill="FFFFFF"/>
        <w:jc w:val="center"/>
        <w:rPr>
          <w:rFonts w:ascii="宋体" w:hAnsi="宋体" w:cs="宋体"/>
          <w:b/>
          <w:color w:val="auto"/>
          <w:spacing w:val="60"/>
          <w:sz w:val="84"/>
          <w:szCs w:val="84"/>
          <w:highlight w:val="none"/>
        </w:rPr>
      </w:pPr>
      <w:r>
        <w:rPr>
          <w:rFonts w:hint="eastAsia" w:ascii="宋体" w:hAnsi="宋体" w:cs="宋体"/>
          <w:b/>
          <w:color w:val="auto"/>
          <w:spacing w:val="60"/>
          <w:sz w:val="84"/>
          <w:szCs w:val="84"/>
          <w:highlight w:val="none"/>
        </w:rPr>
        <w:t>响 应 文 件</w:t>
      </w:r>
    </w:p>
    <w:p w14:paraId="77576D0E">
      <w:pPr>
        <w:shd w:val="clear" w:color="auto" w:fill="FFFFFF"/>
        <w:jc w:val="center"/>
        <w:rPr>
          <w:rFonts w:ascii="宋体" w:hAnsi="宋体" w:cs="宋体"/>
          <w:b/>
          <w:color w:val="auto"/>
          <w:spacing w:val="60"/>
          <w:sz w:val="52"/>
          <w:szCs w:val="52"/>
          <w:highlight w:val="none"/>
        </w:rPr>
      </w:pPr>
    </w:p>
    <w:p w14:paraId="6FFF9E21">
      <w:pPr>
        <w:shd w:val="clear" w:color="auto" w:fill="FFFFFF"/>
        <w:ind w:firstLine="542" w:firstLineChars="150"/>
        <w:rPr>
          <w:rFonts w:ascii="宋体" w:hAnsi="宋体" w:cs="宋体"/>
          <w:b/>
          <w:color w:val="auto"/>
          <w:spacing w:val="20"/>
          <w:sz w:val="32"/>
          <w:szCs w:val="32"/>
          <w:highlight w:val="none"/>
        </w:rPr>
      </w:pPr>
    </w:p>
    <w:p w14:paraId="3C62557E">
      <w:pPr>
        <w:shd w:val="clear" w:color="auto" w:fill="FFFFFF"/>
        <w:ind w:firstLine="542" w:firstLineChars="150"/>
        <w:rPr>
          <w:rFonts w:ascii="宋体" w:hAnsi="宋体" w:cs="宋体"/>
          <w:b/>
          <w:color w:val="auto"/>
          <w:spacing w:val="20"/>
          <w:sz w:val="32"/>
          <w:szCs w:val="32"/>
          <w:highlight w:val="none"/>
        </w:rPr>
      </w:pPr>
    </w:p>
    <w:p w14:paraId="2376A635">
      <w:pPr>
        <w:shd w:val="clear" w:color="auto" w:fill="FFFFFF"/>
        <w:ind w:firstLine="542" w:firstLineChars="150"/>
        <w:rPr>
          <w:rFonts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项目名称:</w:t>
      </w:r>
    </w:p>
    <w:p w14:paraId="19D2F428">
      <w:pPr>
        <w:shd w:val="clear" w:color="auto" w:fill="FFFFFF"/>
        <w:ind w:firstLine="542" w:firstLineChars="150"/>
        <w:rPr>
          <w:rFonts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项目编号：</w:t>
      </w:r>
    </w:p>
    <w:p w14:paraId="4CED5F26">
      <w:pPr>
        <w:shd w:val="clear" w:color="auto" w:fill="FFFFFF"/>
        <w:ind w:firstLine="542" w:firstLineChars="150"/>
        <w:rPr>
          <w:rFonts w:ascii="宋体" w:hAnsi="宋体" w:cs="宋体"/>
          <w:b/>
          <w:color w:val="auto"/>
          <w:spacing w:val="20"/>
          <w:sz w:val="32"/>
          <w:szCs w:val="32"/>
          <w:highlight w:val="none"/>
        </w:rPr>
      </w:pPr>
      <w:r>
        <w:rPr>
          <w:rFonts w:hint="eastAsia" w:ascii="宋体" w:hAnsi="宋体" w:cs="宋体"/>
          <w:b/>
          <w:color w:val="auto"/>
          <w:spacing w:val="20"/>
          <w:sz w:val="32"/>
          <w:szCs w:val="32"/>
          <w:highlight w:val="none"/>
        </w:rPr>
        <w:t>项目代理编号</w:t>
      </w:r>
    </w:p>
    <w:p w14:paraId="49680C9F">
      <w:pPr>
        <w:shd w:val="clear" w:color="auto" w:fill="FFFFFF"/>
        <w:ind w:firstLine="542" w:firstLineChars="150"/>
        <w:rPr>
          <w:rFonts w:ascii="宋体" w:hAnsi="宋体" w:cs="宋体"/>
          <w:b/>
          <w:color w:val="auto"/>
          <w:spacing w:val="20"/>
          <w:sz w:val="32"/>
          <w:szCs w:val="32"/>
          <w:highlight w:val="none"/>
        </w:rPr>
      </w:pPr>
    </w:p>
    <w:p w14:paraId="37B9051B">
      <w:pPr>
        <w:shd w:val="clear" w:color="auto" w:fill="FFFFFF"/>
        <w:jc w:val="center"/>
        <w:rPr>
          <w:rFonts w:ascii="宋体" w:hAnsi="宋体" w:cs="宋体"/>
          <w:b/>
          <w:color w:val="auto"/>
          <w:sz w:val="32"/>
          <w:szCs w:val="32"/>
          <w:highlight w:val="none"/>
        </w:rPr>
      </w:pPr>
    </w:p>
    <w:p w14:paraId="5005B260">
      <w:pPr>
        <w:shd w:val="clear" w:color="auto" w:fill="FFFFFF"/>
        <w:jc w:val="center"/>
        <w:rPr>
          <w:rFonts w:ascii="宋体" w:hAnsi="宋体" w:cs="宋体"/>
          <w:b/>
          <w:color w:val="auto"/>
          <w:sz w:val="32"/>
          <w:szCs w:val="32"/>
          <w:highlight w:val="none"/>
        </w:rPr>
      </w:pPr>
    </w:p>
    <w:p w14:paraId="0598F75A">
      <w:pPr>
        <w:shd w:val="clear" w:color="auto" w:fill="FFFFFF"/>
        <w:jc w:val="center"/>
        <w:rPr>
          <w:rFonts w:ascii="宋体" w:hAnsi="宋体" w:cs="宋体"/>
          <w:b/>
          <w:color w:val="auto"/>
          <w:sz w:val="32"/>
          <w:szCs w:val="32"/>
          <w:highlight w:val="none"/>
        </w:rPr>
      </w:pPr>
    </w:p>
    <w:p w14:paraId="5855EF71">
      <w:pPr>
        <w:shd w:val="clear" w:color="auto" w:fill="FFFFFF"/>
        <w:jc w:val="center"/>
        <w:rPr>
          <w:rFonts w:ascii="宋体" w:hAnsi="宋体" w:cs="宋体"/>
          <w:b/>
          <w:color w:val="auto"/>
          <w:spacing w:val="20"/>
          <w:sz w:val="32"/>
          <w:szCs w:val="32"/>
          <w:highlight w:val="none"/>
        </w:rPr>
      </w:pPr>
    </w:p>
    <w:p w14:paraId="73CFA148">
      <w:pPr>
        <w:shd w:val="clear" w:color="auto" w:fill="FFFFFF"/>
        <w:jc w:val="center"/>
        <w:rPr>
          <w:rFonts w:ascii="宋体" w:hAnsi="宋体" w:cs="宋体"/>
          <w:b/>
          <w:color w:val="auto"/>
          <w:spacing w:val="20"/>
          <w:sz w:val="32"/>
          <w:szCs w:val="32"/>
          <w:highlight w:val="none"/>
        </w:rPr>
      </w:pPr>
    </w:p>
    <w:p w14:paraId="7F6B422F">
      <w:pPr>
        <w:shd w:val="clear" w:color="auto" w:fill="FFFFFF"/>
        <w:jc w:val="center"/>
        <w:rPr>
          <w:rFonts w:ascii="宋体" w:hAnsi="宋体" w:cs="宋体"/>
          <w:b/>
          <w:color w:val="auto"/>
          <w:spacing w:val="20"/>
          <w:sz w:val="32"/>
          <w:szCs w:val="32"/>
          <w:highlight w:val="none"/>
        </w:rPr>
      </w:pPr>
    </w:p>
    <w:p w14:paraId="50D70F2B">
      <w:pPr>
        <w:shd w:val="clear" w:color="auto" w:fill="FFFFFF"/>
        <w:spacing w:line="360" w:lineRule="auto"/>
        <w:ind w:firstLine="1445" w:firstLineChars="400"/>
        <w:jc w:val="left"/>
        <w:rPr>
          <w:rFonts w:ascii="宋体" w:hAnsi="宋体" w:cs="宋体"/>
          <w:b/>
          <w:color w:val="auto"/>
          <w:spacing w:val="20"/>
          <w:sz w:val="32"/>
          <w:szCs w:val="32"/>
          <w:highlight w:val="none"/>
        </w:rPr>
      </w:pPr>
      <w:r>
        <w:rPr>
          <w:rFonts w:hint="eastAsia" w:ascii="宋体" w:hAnsi="宋体" w:cs="宋体"/>
          <w:b/>
          <w:color w:val="auto"/>
          <w:spacing w:val="20"/>
          <w:sz w:val="32"/>
          <w:szCs w:val="32"/>
          <w:highlight w:val="none"/>
        </w:rPr>
        <w:t>供应商名称：</w:t>
      </w:r>
    </w:p>
    <w:p w14:paraId="656DB577">
      <w:pPr>
        <w:shd w:val="clear" w:color="auto" w:fill="FFFFFF"/>
        <w:jc w:val="center"/>
        <w:rPr>
          <w:rFonts w:ascii="宋体" w:hAnsi="宋体" w:cs="宋体"/>
          <w:b/>
          <w:color w:val="auto"/>
          <w:sz w:val="32"/>
          <w:szCs w:val="32"/>
          <w:highlight w:val="none"/>
        </w:rPr>
      </w:pPr>
    </w:p>
    <w:p w14:paraId="3CD7960F">
      <w:pPr>
        <w:shd w:val="clear" w:color="auto" w:fill="FFFFFF"/>
        <w:rPr>
          <w:rFonts w:ascii="宋体" w:hAnsi="宋体" w:cs="宋体"/>
          <w:b/>
          <w:color w:val="auto"/>
          <w:highlight w:val="none"/>
        </w:rPr>
      </w:pPr>
      <w:r>
        <w:rPr>
          <w:rFonts w:hint="eastAsia" w:ascii="宋体" w:hAnsi="宋体" w:cs="宋体"/>
          <w:b/>
          <w:color w:val="auto"/>
          <w:spacing w:val="20"/>
          <w:sz w:val="32"/>
          <w:szCs w:val="32"/>
          <w:highlight w:val="none"/>
        </w:rPr>
        <w:br w:type="page"/>
      </w:r>
    </w:p>
    <w:p w14:paraId="35A492A5">
      <w:pPr>
        <w:shd w:val="clear" w:color="auto" w:fill="FFFFFF"/>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1 满足《中华人民共和国政府采购法》第二十二条规定</w:t>
      </w:r>
    </w:p>
    <w:p w14:paraId="059A8B94">
      <w:pPr>
        <w:shd w:val="clear" w:color="auto" w:fill="FFFFFF"/>
        <w:spacing w:line="360" w:lineRule="auto"/>
        <w:outlineLvl w:val="2"/>
        <w:rPr>
          <w:rFonts w:ascii="宋体" w:hAnsi="宋体" w:cs="宋体"/>
          <w:color w:val="auto"/>
          <w:sz w:val="24"/>
          <w:highlight w:val="none"/>
        </w:rPr>
      </w:pPr>
      <w:r>
        <w:rPr>
          <w:rFonts w:hint="eastAsia" w:ascii="宋体" w:hAnsi="宋体" w:cs="宋体"/>
          <w:color w:val="auto"/>
          <w:sz w:val="24"/>
          <w:highlight w:val="none"/>
        </w:rPr>
        <w:t>1-1营业执照等证明文件（须加盖单位公章）</w:t>
      </w:r>
    </w:p>
    <w:p w14:paraId="14E952C2">
      <w:pPr>
        <w:shd w:val="clear" w:color="auto" w:fill="FFFFFF"/>
        <w:tabs>
          <w:tab w:val="left" w:pos="1080"/>
        </w:tabs>
        <w:snapToGrid w:val="0"/>
        <w:rPr>
          <w:rFonts w:ascii="宋体" w:hAnsi="宋体" w:cs="宋体"/>
          <w:color w:val="auto"/>
          <w:sz w:val="24"/>
          <w:highlight w:val="none"/>
        </w:rPr>
      </w:pPr>
    </w:p>
    <w:p w14:paraId="56189379">
      <w:pPr>
        <w:widowControl/>
        <w:shd w:val="clear" w:color="auto" w:fill="FFFFFF"/>
        <w:jc w:val="left"/>
        <w:rPr>
          <w:rFonts w:ascii="宋体" w:hAnsi="宋体" w:cs="宋体"/>
          <w:b/>
          <w:bCs/>
          <w:color w:val="auto"/>
          <w:highlight w:val="none"/>
        </w:rPr>
      </w:pPr>
      <w:r>
        <w:rPr>
          <w:rFonts w:hint="eastAsia" w:ascii="宋体" w:hAnsi="宋体" w:cs="宋体"/>
          <w:color w:val="auto"/>
          <w:sz w:val="24"/>
          <w:highlight w:val="none"/>
        </w:rPr>
        <w:br w:type="page"/>
      </w:r>
      <w:r>
        <w:rPr>
          <w:rFonts w:hint="eastAsia" w:ascii="宋体" w:hAnsi="宋体" w:cs="宋体"/>
          <w:b/>
          <w:color w:val="auto"/>
          <w:highlight w:val="none"/>
        </w:rPr>
        <w:t>1-2 供应商资格声明书</w:t>
      </w:r>
    </w:p>
    <w:p w14:paraId="07DE6F3D">
      <w:pPr>
        <w:shd w:val="clear" w:color="auto" w:fill="FFFFFF"/>
        <w:jc w:val="center"/>
        <w:rPr>
          <w:rFonts w:ascii="宋体" w:hAnsi="宋体" w:cs="宋体"/>
          <w:b/>
          <w:color w:val="auto"/>
          <w:sz w:val="36"/>
          <w:szCs w:val="36"/>
          <w:highlight w:val="none"/>
        </w:rPr>
      </w:pPr>
      <w:r>
        <w:rPr>
          <w:rFonts w:hint="eastAsia" w:ascii="宋体" w:hAnsi="宋体" w:cs="宋体"/>
          <w:b/>
          <w:color w:val="auto"/>
          <w:sz w:val="36"/>
          <w:szCs w:val="36"/>
          <w:highlight w:val="none"/>
        </w:rPr>
        <w:t>供应商资格声明书</w:t>
      </w:r>
    </w:p>
    <w:p w14:paraId="7B5E284F">
      <w:pPr>
        <w:shd w:val="clear" w:color="auto" w:fill="FFFFFF"/>
        <w:tabs>
          <w:tab w:val="left" w:pos="5580"/>
        </w:tabs>
        <w:spacing w:line="360" w:lineRule="auto"/>
        <w:rPr>
          <w:rFonts w:ascii="宋体" w:hAnsi="宋体" w:cs="宋体"/>
          <w:color w:val="auto"/>
          <w:sz w:val="24"/>
          <w:highlight w:val="none"/>
        </w:rPr>
      </w:pPr>
    </w:p>
    <w:p w14:paraId="663D64E5">
      <w:pPr>
        <w:shd w:val="clear" w:color="auto" w:fill="FFFFFF"/>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采购人或采购代理机构</w:t>
      </w:r>
    </w:p>
    <w:p w14:paraId="5C548B51">
      <w:pPr>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在参与本次项目磋商中，我单位承诺：</w:t>
      </w:r>
    </w:p>
    <w:p w14:paraId="3271925F">
      <w:pPr>
        <w:numPr>
          <w:ilvl w:val="0"/>
          <w:numId w:val="27"/>
        </w:numPr>
        <w:shd w:val="clear" w:color="auto" w:fill="FFFFFF"/>
        <w:spacing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具有良好的商业信誉和健全的财务会计制度；</w:t>
      </w:r>
    </w:p>
    <w:p w14:paraId="4A090839">
      <w:pPr>
        <w:numPr>
          <w:ilvl w:val="0"/>
          <w:numId w:val="27"/>
        </w:numPr>
        <w:shd w:val="clear" w:color="auto" w:fill="FFFFFF"/>
        <w:spacing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具有履行合同所必需的设备和专业技术能力；</w:t>
      </w:r>
    </w:p>
    <w:p w14:paraId="578D5802">
      <w:pPr>
        <w:numPr>
          <w:ilvl w:val="0"/>
          <w:numId w:val="27"/>
        </w:numPr>
        <w:shd w:val="clear" w:color="auto" w:fill="FFFFFF"/>
        <w:spacing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有依法缴纳税收和社会保障资金的良好记录；</w:t>
      </w:r>
    </w:p>
    <w:p w14:paraId="647634BE">
      <w:pPr>
        <w:numPr>
          <w:ilvl w:val="0"/>
          <w:numId w:val="27"/>
        </w:numPr>
        <w:shd w:val="clear" w:color="auto" w:fill="FFFFFF"/>
        <w:spacing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5D24C12">
      <w:pPr>
        <w:numPr>
          <w:ilvl w:val="0"/>
          <w:numId w:val="27"/>
        </w:numPr>
        <w:shd w:val="clear" w:color="auto" w:fill="FFFFFF"/>
        <w:spacing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我单位不属于政府采购法律、行政法规规定的公益一类事业单位、或使用事业编制且由财政拨款保障的群团组织(仅适用于政府购买服务项目)；</w:t>
      </w:r>
    </w:p>
    <w:p w14:paraId="0FBD095C">
      <w:pPr>
        <w:numPr>
          <w:ilvl w:val="0"/>
          <w:numId w:val="27"/>
        </w:numPr>
        <w:shd w:val="clear" w:color="auto" w:fill="FFFFFF"/>
        <w:spacing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我单位不存在为采购项目提供整体设计、规范编制或者项目管理、监理、检测等服务后，再参加该采购项目的其他采购活动的情形(单一来源采购项目除外)；</w:t>
      </w:r>
    </w:p>
    <w:p w14:paraId="621CD873">
      <w:pPr>
        <w:numPr>
          <w:ilvl w:val="0"/>
          <w:numId w:val="27"/>
        </w:numPr>
        <w:shd w:val="clear" w:color="auto" w:fill="FFFFFF"/>
        <w:spacing w:line="360" w:lineRule="auto"/>
        <w:ind w:left="1134"/>
        <w:rPr>
          <w:rFonts w:ascii="宋体" w:hAnsi="宋体" w:cs="宋体"/>
          <w:color w:val="auto"/>
          <w:sz w:val="24"/>
          <w:szCs w:val="22"/>
          <w:highlight w:val="none"/>
        </w:rPr>
      </w:pPr>
      <w:r>
        <w:rPr>
          <w:rFonts w:hint="eastAsia" w:ascii="宋体" w:hAnsi="宋体" w:cs="宋体"/>
          <w:color w:val="auto"/>
          <w:sz w:val="24"/>
          <w:szCs w:val="22"/>
          <w:highlight w:val="none"/>
        </w:rPr>
        <w:t>与我单位存在“单位负责人为同一人或者存在直接控股、管理关系”的其他法人单位信息如下（如有，不论其是否参加同一合同项下的政府采购活动均须填写）：</w:t>
      </w:r>
    </w:p>
    <w:tbl>
      <w:tblPr>
        <w:tblStyle w:val="8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56AF5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7A89F4E">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序号</w:t>
            </w:r>
          </w:p>
        </w:tc>
        <w:tc>
          <w:tcPr>
            <w:tcW w:w="4574" w:type="dxa"/>
            <w:vAlign w:val="center"/>
          </w:tcPr>
          <w:p w14:paraId="6AF4198C">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单位名称</w:t>
            </w:r>
          </w:p>
        </w:tc>
        <w:tc>
          <w:tcPr>
            <w:tcW w:w="2976" w:type="dxa"/>
            <w:vAlign w:val="center"/>
          </w:tcPr>
          <w:p w14:paraId="31850220">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相互关系</w:t>
            </w:r>
          </w:p>
        </w:tc>
      </w:tr>
      <w:tr w14:paraId="548BC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0F3E9A5">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1</w:t>
            </w:r>
          </w:p>
        </w:tc>
        <w:tc>
          <w:tcPr>
            <w:tcW w:w="4574" w:type="dxa"/>
            <w:vAlign w:val="center"/>
          </w:tcPr>
          <w:p w14:paraId="48573017">
            <w:pPr>
              <w:shd w:val="clear" w:color="auto" w:fill="FFFFFF"/>
              <w:jc w:val="center"/>
              <w:rPr>
                <w:rFonts w:ascii="宋体" w:hAnsi="宋体" w:cs="宋体"/>
                <w:color w:val="auto"/>
                <w:sz w:val="24"/>
                <w:highlight w:val="none"/>
              </w:rPr>
            </w:pPr>
          </w:p>
        </w:tc>
        <w:tc>
          <w:tcPr>
            <w:tcW w:w="2976" w:type="dxa"/>
            <w:vAlign w:val="center"/>
          </w:tcPr>
          <w:p w14:paraId="53DCB154">
            <w:pPr>
              <w:shd w:val="clear" w:color="auto" w:fill="FFFFFF"/>
              <w:jc w:val="center"/>
              <w:rPr>
                <w:rFonts w:ascii="宋体" w:hAnsi="宋体" w:cs="宋体"/>
                <w:color w:val="auto"/>
                <w:sz w:val="24"/>
                <w:highlight w:val="none"/>
              </w:rPr>
            </w:pPr>
          </w:p>
        </w:tc>
      </w:tr>
      <w:tr w14:paraId="34FB0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2813FFD">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2</w:t>
            </w:r>
          </w:p>
        </w:tc>
        <w:tc>
          <w:tcPr>
            <w:tcW w:w="4574" w:type="dxa"/>
            <w:vAlign w:val="center"/>
          </w:tcPr>
          <w:p w14:paraId="03808B2E">
            <w:pPr>
              <w:shd w:val="clear" w:color="auto" w:fill="FFFFFF"/>
              <w:jc w:val="center"/>
              <w:rPr>
                <w:rFonts w:ascii="宋体" w:hAnsi="宋体" w:cs="宋体"/>
                <w:color w:val="auto"/>
                <w:sz w:val="24"/>
                <w:highlight w:val="none"/>
              </w:rPr>
            </w:pPr>
          </w:p>
        </w:tc>
        <w:tc>
          <w:tcPr>
            <w:tcW w:w="2976" w:type="dxa"/>
            <w:vAlign w:val="center"/>
          </w:tcPr>
          <w:p w14:paraId="75681503">
            <w:pPr>
              <w:shd w:val="clear" w:color="auto" w:fill="FFFFFF"/>
              <w:jc w:val="center"/>
              <w:rPr>
                <w:rFonts w:ascii="宋体" w:hAnsi="宋体" w:cs="宋体"/>
                <w:color w:val="auto"/>
                <w:sz w:val="24"/>
                <w:highlight w:val="none"/>
              </w:rPr>
            </w:pPr>
          </w:p>
        </w:tc>
      </w:tr>
      <w:tr w14:paraId="42176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C8332CF">
            <w:pPr>
              <w:shd w:val="clear" w:color="auto" w:fill="FFFFFF"/>
              <w:jc w:val="center"/>
              <w:rPr>
                <w:rFonts w:ascii="宋体" w:hAnsi="宋体" w:cs="宋体"/>
                <w:color w:val="auto"/>
                <w:sz w:val="24"/>
                <w:highlight w:val="none"/>
              </w:rPr>
            </w:pPr>
            <w:r>
              <w:rPr>
                <w:rFonts w:hint="eastAsia" w:ascii="宋体" w:hAnsi="宋体" w:cs="宋体"/>
                <w:color w:val="auto"/>
                <w:sz w:val="24"/>
                <w:highlight w:val="none"/>
              </w:rPr>
              <w:t>…</w:t>
            </w:r>
          </w:p>
        </w:tc>
        <w:tc>
          <w:tcPr>
            <w:tcW w:w="4574" w:type="dxa"/>
            <w:vAlign w:val="center"/>
          </w:tcPr>
          <w:p w14:paraId="7040F987">
            <w:pPr>
              <w:shd w:val="clear" w:color="auto" w:fill="FFFFFF"/>
              <w:jc w:val="center"/>
              <w:rPr>
                <w:rFonts w:ascii="宋体" w:hAnsi="宋体" w:cs="宋体"/>
                <w:color w:val="auto"/>
                <w:sz w:val="24"/>
                <w:highlight w:val="none"/>
              </w:rPr>
            </w:pPr>
          </w:p>
        </w:tc>
        <w:tc>
          <w:tcPr>
            <w:tcW w:w="2976" w:type="dxa"/>
            <w:vAlign w:val="center"/>
          </w:tcPr>
          <w:p w14:paraId="07B19114">
            <w:pPr>
              <w:shd w:val="clear" w:color="auto" w:fill="FFFFFF"/>
              <w:jc w:val="center"/>
              <w:rPr>
                <w:rFonts w:ascii="宋体" w:hAnsi="宋体" w:cs="宋体"/>
                <w:color w:val="auto"/>
                <w:sz w:val="24"/>
                <w:highlight w:val="none"/>
              </w:rPr>
            </w:pPr>
          </w:p>
        </w:tc>
      </w:tr>
    </w:tbl>
    <w:p w14:paraId="170E3EB2">
      <w:pPr>
        <w:shd w:val="clear" w:color="auto" w:fill="FFFFFF"/>
        <w:rPr>
          <w:rFonts w:ascii="宋体" w:hAnsi="宋体" w:cs="宋体"/>
          <w:color w:val="auto"/>
          <w:highlight w:val="none"/>
        </w:rPr>
      </w:pPr>
    </w:p>
    <w:p w14:paraId="1887FA60">
      <w:pPr>
        <w:shd w:val="clear" w:color="auto" w:fill="FFFFFF"/>
        <w:ind w:firstLine="480" w:firstLineChars="200"/>
        <w:rPr>
          <w:rFonts w:ascii="宋体" w:hAnsi="宋体" w:cs="宋体"/>
          <w:color w:val="auto"/>
          <w:sz w:val="24"/>
          <w:szCs w:val="22"/>
          <w:highlight w:val="none"/>
        </w:rPr>
      </w:pPr>
      <w:r>
        <w:rPr>
          <w:rFonts w:hint="eastAsia" w:ascii="宋体" w:hAnsi="宋体" w:cs="宋体"/>
          <w:color w:val="auto"/>
          <w:sz w:val="24"/>
          <w:highlight w:val="none"/>
        </w:rPr>
        <w:t>上述声明真实有效，否则我方负全部责任。</w:t>
      </w:r>
    </w:p>
    <w:p w14:paraId="339CE1D5">
      <w:pPr>
        <w:shd w:val="clear" w:color="auto" w:fill="FFFFFF"/>
        <w:spacing w:line="360" w:lineRule="auto"/>
        <w:rPr>
          <w:rFonts w:ascii="宋体" w:hAnsi="宋体" w:cs="宋体"/>
          <w:color w:val="auto"/>
          <w:sz w:val="24"/>
          <w:highlight w:val="none"/>
        </w:rPr>
      </w:pPr>
    </w:p>
    <w:p w14:paraId="2490819F">
      <w:pPr>
        <w:shd w:val="clear" w:color="auto" w:fill="FFFFFF"/>
        <w:autoSpaceDE w:val="0"/>
        <w:autoSpaceDN w:val="0"/>
        <w:adjustRightInd w:val="0"/>
        <w:snapToGrid w:val="0"/>
        <w:spacing w:before="25" w:after="25" w:line="360" w:lineRule="auto"/>
        <w:ind w:right="360"/>
        <w:jc w:val="right"/>
        <w:rPr>
          <w:rFonts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w:t>
      </w:r>
      <w:r>
        <w:rPr>
          <w:rFonts w:hint="eastAsia" w:ascii="宋体" w:hAnsi="宋体" w:cs="宋体"/>
          <w:color w:val="auto"/>
          <w:sz w:val="24"/>
          <w:highlight w:val="none"/>
        </w:rPr>
        <w:t>______</w:t>
      </w:r>
    </w:p>
    <w:p w14:paraId="56C9710D">
      <w:pPr>
        <w:shd w:val="clear" w:color="auto" w:fill="FFFFFF"/>
        <w:spacing w:line="360" w:lineRule="auto"/>
        <w:ind w:right="360" w:firstLine="480"/>
        <w:jc w:val="right"/>
        <w:rPr>
          <w:rFonts w:ascii="宋体" w:hAnsi="宋体" w:cs="宋体"/>
          <w:color w:val="auto"/>
          <w:sz w:val="24"/>
          <w:highlight w:val="none"/>
        </w:rPr>
      </w:pPr>
      <w:r>
        <w:rPr>
          <w:rFonts w:hint="eastAsia" w:ascii="宋体" w:hAnsi="宋体" w:cs="宋体"/>
          <w:color w:val="auto"/>
          <w:sz w:val="24"/>
          <w:szCs w:val="20"/>
          <w:highlight w:val="none"/>
        </w:rPr>
        <w:t xml:space="preserve">日期：____年____月____日   </w:t>
      </w:r>
    </w:p>
    <w:p w14:paraId="0902D3B9">
      <w:pPr>
        <w:shd w:val="clear" w:color="auto" w:fill="FFFFFF"/>
        <w:spacing w:line="360" w:lineRule="auto"/>
        <w:rPr>
          <w:rFonts w:ascii="宋体" w:hAnsi="宋体" w:cs="宋体"/>
          <w:color w:val="auto"/>
          <w:sz w:val="24"/>
          <w:highlight w:val="none"/>
        </w:rPr>
      </w:pPr>
      <w:r>
        <w:rPr>
          <w:rFonts w:hint="eastAsia" w:ascii="宋体" w:hAnsi="宋体" w:cs="宋体"/>
          <w:color w:val="auto"/>
          <w:sz w:val="24"/>
          <w:highlight w:val="none"/>
        </w:rPr>
        <w:t>说明：供应商承诺不实的，依据《政府采购法》第七十七条“提供虚假材料谋取中标、成交的”有关规定予以处理。</w:t>
      </w:r>
    </w:p>
    <w:p w14:paraId="6F2FF84A">
      <w:pPr>
        <w:shd w:val="clear" w:color="auto" w:fill="FFFFFF"/>
        <w:tabs>
          <w:tab w:val="left" w:pos="5580"/>
        </w:tabs>
        <w:spacing w:line="360" w:lineRule="auto"/>
        <w:rPr>
          <w:rFonts w:ascii="宋体" w:hAnsi="宋体" w:cs="宋体"/>
          <w:color w:val="auto"/>
          <w:sz w:val="24"/>
          <w:highlight w:val="none"/>
        </w:rPr>
        <w:sectPr>
          <w:headerReference r:id="rId24" w:type="first"/>
          <w:footerReference r:id="rId26" w:type="first"/>
          <w:headerReference r:id="rId23" w:type="even"/>
          <w:footerReference r:id="rId25" w:type="even"/>
          <w:pgSz w:w="11907" w:h="16840"/>
          <w:pgMar w:top="1417" w:right="1417" w:bottom="1417" w:left="1417" w:header="851" w:footer="851" w:gutter="0"/>
          <w:cols w:space="720" w:num="1"/>
          <w:docGrid w:linePitch="462" w:charSpace="0"/>
        </w:sectPr>
      </w:pPr>
    </w:p>
    <w:p w14:paraId="1E55184F">
      <w:pPr>
        <w:shd w:val="clear" w:color="auto" w:fill="FFFFFF"/>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2 落实政府采购政策需满足的资格要求（如有）</w:t>
      </w:r>
    </w:p>
    <w:p w14:paraId="4192580E">
      <w:pPr>
        <w:shd w:val="clear" w:color="auto" w:fill="FFFFFF"/>
        <w:spacing w:line="360" w:lineRule="auto"/>
        <w:outlineLvl w:val="2"/>
        <w:rPr>
          <w:rFonts w:ascii="宋体" w:hAnsi="宋体" w:cs="宋体"/>
          <w:color w:val="auto"/>
          <w:sz w:val="24"/>
          <w:szCs w:val="20"/>
          <w:highlight w:val="none"/>
        </w:rPr>
      </w:pPr>
      <w:r>
        <w:rPr>
          <w:rFonts w:hint="eastAsia" w:ascii="宋体" w:hAnsi="宋体" w:cs="宋体"/>
          <w:color w:val="auto"/>
          <w:sz w:val="24"/>
          <w:szCs w:val="20"/>
          <w:highlight w:val="none"/>
        </w:rPr>
        <w:t>2-1中小企业声明函</w:t>
      </w:r>
    </w:p>
    <w:p w14:paraId="2648E442">
      <w:pPr>
        <w:shd w:val="clear" w:color="auto" w:fill="FFFFFF"/>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说明：</w:t>
      </w:r>
    </w:p>
    <w:p w14:paraId="55698347">
      <w:pPr>
        <w:shd w:val="clear" w:color="auto" w:fill="FFFFFF"/>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4BDE29B0">
      <w:pPr>
        <w:shd w:val="clear" w:color="auto" w:fill="FFFFFF"/>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(2)如本项目(包)专门面向中小企业采购，响应文件中须提供《中小企业声明雨》或《残疾人福利性单位声明函》，或提供由省级以上监狱管理局、戒毒管理局(含新疆生产建设兵团)出具的属于监狱企业的证明文件。</w:t>
      </w:r>
    </w:p>
    <w:p w14:paraId="24F2182F">
      <w:pPr>
        <w:shd w:val="clear" w:color="auto" w:fill="FFFFFF"/>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76969558">
      <w:pPr>
        <w:shd w:val="clear" w:color="auto" w:fill="FFFFFF"/>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(4)中小企业声明函填写注意事项</w:t>
      </w:r>
    </w:p>
    <w:p w14:paraId="09EC3BBF">
      <w:pPr>
        <w:shd w:val="clear" w:color="auto" w:fill="FFFFFF"/>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1)《中小企业声明函》由参加政府采购活动的供应商出具。联合体参与的,《中小企业声明函》可由牵头人出具。</w:t>
      </w:r>
    </w:p>
    <w:p w14:paraId="46BCBBB8">
      <w:pPr>
        <w:shd w:val="clear" w:color="auto" w:fill="FFFFFF"/>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17A5790">
      <w:pPr>
        <w:shd w:val="clear" w:color="auto" w:fill="FFFFFF"/>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3)对于多标的采购项目，供应商应充分、准确地了解所提供货物的制造企业、提供服务的承接企业信息。对相关情况了解不清楚的，不建议填报本声明函。</w:t>
      </w:r>
    </w:p>
    <w:p w14:paraId="5D7E015C">
      <w:pPr>
        <w:shd w:val="clear" w:color="auto" w:fill="FFFFFF"/>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(5)温馨提示:为方便广大中小企业识别企业规模类型，工业和信息化部组织开发了中小企业规模类型自测小程序，在国务院客户端和工业和信息化部网站上均冇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w:t>
      </w:r>
    </w:p>
    <w:p w14:paraId="4606FC4A">
      <w:pPr>
        <w:shd w:val="clear" w:color="auto" w:fill="FFFFFF"/>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信部联企业﹝2011﹞300 号）》及《金融业企业划型标准规定》（〔2015〕309 号）等</w:t>
      </w:r>
    </w:p>
    <w:p w14:paraId="150982DE">
      <w:pPr>
        <w:shd w:val="clear" w:color="auto" w:fill="FFFFFF"/>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国务院批准的中小企业划分标准执行。</w:t>
      </w:r>
      <w:r>
        <w:rPr>
          <w:rFonts w:hint="eastAsia" w:ascii="宋体" w:hAnsi="宋体" w:cs="宋体"/>
          <w:color w:val="auto"/>
          <w:sz w:val="24"/>
          <w:highlight w:val="none"/>
        </w:rPr>
        <w:br w:type="page"/>
      </w:r>
    </w:p>
    <w:p w14:paraId="28EE4C47">
      <w:pPr>
        <w:shd w:val="clear" w:color="auto" w:fill="FFFFFF"/>
        <w:spacing w:line="360" w:lineRule="auto"/>
        <w:outlineLvl w:val="3"/>
        <w:rPr>
          <w:rFonts w:ascii="宋体" w:hAnsi="宋体" w:cs="宋体"/>
          <w:color w:val="auto"/>
          <w:sz w:val="24"/>
          <w:szCs w:val="20"/>
          <w:highlight w:val="none"/>
        </w:rPr>
      </w:pPr>
      <w:r>
        <w:rPr>
          <w:rFonts w:hint="eastAsia" w:ascii="宋体" w:hAnsi="宋体" w:cs="宋体"/>
          <w:color w:val="auto"/>
          <w:sz w:val="24"/>
          <w:szCs w:val="20"/>
          <w:highlight w:val="none"/>
        </w:rPr>
        <w:t>2-1-1中小企业声明函</w:t>
      </w:r>
    </w:p>
    <w:p w14:paraId="58F0FA29">
      <w:pPr>
        <w:shd w:val="clear" w:color="auto" w:fill="FFFFFF"/>
        <w:spacing w:before="240" w:beforeLines="100" w:after="240" w:afterLines="100" w:line="360" w:lineRule="auto"/>
        <w:jc w:val="center"/>
        <w:rPr>
          <w:b/>
          <w:bCs/>
          <w:color w:val="auto"/>
          <w:sz w:val="36"/>
          <w:szCs w:val="36"/>
          <w:highlight w:val="none"/>
        </w:rPr>
      </w:pPr>
      <w:r>
        <w:rPr>
          <w:rFonts w:hint="eastAsia"/>
          <w:b/>
          <w:bCs/>
          <w:color w:val="auto"/>
          <w:sz w:val="36"/>
          <w:szCs w:val="36"/>
          <w:highlight w:val="none"/>
        </w:rPr>
        <w:t>中小企业声明函（工程）格式</w:t>
      </w:r>
    </w:p>
    <w:p w14:paraId="2FB9E3D7">
      <w:pPr>
        <w:shd w:val="clear" w:color="auto" w:fill="FFFFFF"/>
        <w:spacing w:line="360" w:lineRule="auto"/>
        <w:ind w:firstLine="504"/>
        <w:rPr>
          <w:color w:val="auto"/>
          <w:spacing w:val="6"/>
          <w:sz w:val="24"/>
          <w:highlight w:val="none"/>
        </w:rPr>
      </w:pPr>
      <w:r>
        <w:rPr>
          <w:color w:val="auto"/>
          <w:spacing w:val="6"/>
          <w:sz w:val="24"/>
          <w:highlight w:val="none"/>
        </w:rPr>
        <w:t>本公司（联合体）郑重声明，根据《政府采购促进中小企业发展管理办法》（财库﹝2020﹞46 号）的规定，本公司（联合体）参加</w:t>
      </w:r>
      <w:r>
        <w:rPr>
          <w:color w:val="auto"/>
          <w:spacing w:val="6"/>
          <w:sz w:val="24"/>
          <w:highlight w:val="none"/>
          <w:u w:val="single"/>
        </w:rPr>
        <w:t>（单位名称）</w:t>
      </w:r>
      <w:r>
        <w:rPr>
          <w:color w:val="auto"/>
          <w:spacing w:val="6"/>
          <w:sz w:val="24"/>
          <w:highlight w:val="none"/>
        </w:rPr>
        <w:t>的</w:t>
      </w:r>
      <w:r>
        <w:rPr>
          <w:color w:val="auto"/>
          <w:spacing w:val="6"/>
          <w:sz w:val="24"/>
          <w:highlight w:val="none"/>
          <w:u w:val="single"/>
        </w:rPr>
        <w:t>（项目名称）</w:t>
      </w:r>
      <w:r>
        <w:rPr>
          <w:color w:val="auto"/>
          <w:spacing w:val="6"/>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9668CFF">
      <w:pPr>
        <w:shd w:val="clear" w:color="auto" w:fill="FFFFFF"/>
        <w:spacing w:line="360" w:lineRule="auto"/>
        <w:ind w:firstLine="504"/>
        <w:rPr>
          <w:color w:val="auto"/>
          <w:spacing w:val="6"/>
          <w:sz w:val="24"/>
          <w:highlight w:val="none"/>
        </w:rPr>
      </w:pPr>
      <w:r>
        <w:rPr>
          <w:color w:val="auto"/>
          <w:spacing w:val="6"/>
          <w:sz w:val="24"/>
          <w:highlight w:val="none"/>
        </w:rPr>
        <w:t>1.</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w:t>
      </w:r>
      <w:r>
        <w:rPr>
          <w:color w:val="auto"/>
          <w:spacing w:val="6"/>
          <w:sz w:val="24"/>
          <w:highlight w:val="none"/>
          <w:vertAlign w:val="superscript"/>
        </w:rPr>
        <w:t>1</w:t>
      </w:r>
      <w:r>
        <w:rPr>
          <w:color w:val="auto"/>
          <w:spacing w:val="6"/>
          <w:sz w:val="24"/>
          <w:highlight w:val="none"/>
        </w:rPr>
        <w:t>，属于（中型企业、小型企业、微型企业）；</w:t>
      </w:r>
    </w:p>
    <w:p w14:paraId="3E3BB69A">
      <w:pPr>
        <w:shd w:val="clear" w:color="auto" w:fill="FFFFFF"/>
        <w:spacing w:line="360" w:lineRule="auto"/>
        <w:ind w:firstLine="504"/>
        <w:rPr>
          <w:color w:val="auto"/>
          <w:spacing w:val="6"/>
          <w:sz w:val="24"/>
          <w:highlight w:val="none"/>
        </w:rPr>
      </w:pPr>
      <w:r>
        <w:rPr>
          <w:color w:val="auto"/>
          <w:spacing w:val="6"/>
          <w:sz w:val="24"/>
          <w:highlight w:val="none"/>
        </w:rPr>
        <w:t>2.</w:t>
      </w:r>
      <w:r>
        <w:rPr>
          <w:color w:val="auto"/>
          <w:spacing w:val="6"/>
          <w:sz w:val="24"/>
          <w:highlight w:val="none"/>
          <w:u w:val="single"/>
        </w:rPr>
        <w:t>（标的名称）</w:t>
      </w:r>
      <w:r>
        <w:rPr>
          <w:color w:val="auto"/>
          <w:spacing w:val="6"/>
          <w:sz w:val="24"/>
          <w:highlight w:val="none"/>
        </w:rPr>
        <w:t>，属于</w:t>
      </w:r>
      <w:r>
        <w:rPr>
          <w:color w:val="auto"/>
          <w:spacing w:val="6"/>
          <w:sz w:val="24"/>
          <w:highlight w:val="none"/>
          <w:u w:val="single"/>
        </w:rPr>
        <w:t>（采购文件中明确的所属行业）</w:t>
      </w:r>
      <w:r>
        <w:rPr>
          <w:color w:val="auto"/>
          <w:spacing w:val="6"/>
          <w:sz w:val="24"/>
          <w:highlight w:val="none"/>
        </w:rPr>
        <w:t>行业；承建（承接）企业为</w:t>
      </w:r>
      <w:r>
        <w:rPr>
          <w:color w:val="auto"/>
          <w:spacing w:val="6"/>
          <w:sz w:val="24"/>
          <w:highlight w:val="none"/>
          <w:u w:val="single"/>
        </w:rPr>
        <w:t>（企业名称）</w:t>
      </w:r>
      <w:r>
        <w:rPr>
          <w:color w:val="auto"/>
          <w:spacing w:val="6"/>
          <w:sz w:val="24"/>
          <w:highlight w:val="none"/>
        </w:rPr>
        <w:t>，从业人员______人，营业收入为______万元，资产总额为______万元，属于</w:t>
      </w:r>
      <w:r>
        <w:rPr>
          <w:color w:val="auto"/>
          <w:spacing w:val="6"/>
          <w:sz w:val="24"/>
          <w:highlight w:val="none"/>
          <w:u w:val="single"/>
        </w:rPr>
        <w:t>（中型企业、小型企业、微型企业）</w:t>
      </w:r>
      <w:r>
        <w:rPr>
          <w:color w:val="auto"/>
          <w:spacing w:val="6"/>
          <w:sz w:val="24"/>
          <w:highlight w:val="none"/>
        </w:rPr>
        <w:t>；</w:t>
      </w:r>
    </w:p>
    <w:p w14:paraId="13D912FB">
      <w:pPr>
        <w:shd w:val="clear" w:color="auto" w:fill="FFFFFF"/>
        <w:spacing w:line="360" w:lineRule="auto"/>
        <w:ind w:firstLine="504"/>
        <w:rPr>
          <w:color w:val="auto"/>
          <w:spacing w:val="6"/>
          <w:sz w:val="24"/>
          <w:highlight w:val="none"/>
        </w:rPr>
      </w:pPr>
    </w:p>
    <w:p w14:paraId="09B9E348">
      <w:pPr>
        <w:shd w:val="clear" w:color="auto" w:fill="FFFFFF"/>
        <w:spacing w:line="360" w:lineRule="auto"/>
        <w:ind w:firstLine="504"/>
        <w:rPr>
          <w:color w:val="auto"/>
          <w:spacing w:val="6"/>
          <w:sz w:val="24"/>
          <w:highlight w:val="none"/>
        </w:rPr>
      </w:pPr>
      <w:r>
        <w:rPr>
          <w:color w:val="auto"/>
          <w:spacing w:val="6"/>
          <w:sz w:val="24"/>
          <w:highlight w:val="none"/>
        </w:rPr>
        <w:t>……</w:t>
      </w:r>
    </w:p>
    <w:p w14:paraId="3B50E832">
      <w:pPr>
        <w:shd w:val="clear" w:color="auto" w:fill="FFFFFF"/>
        <w:spacing w:line="360" w:lineRule="auto"/>
        <w:ind w:firstLine="504"/>
        <w:rPr>
          <w:color w:val="auto"/>
          <w:spacing w:val="6"/>
          <w:sz w:val="24"/>
          <w:highlight w:val="none"/>
        </w:rPr>
      </w:pPr>
      <w:r>
        <w:rPr>
          <w:color w:val="auto"/>
          <w:spacing w:val="6"/>
          <w:sz w:val="24"/>
          <w:highlight w:val="none"/>
        </w:rPr>
        <w:t>以上企业，不属于大企业的分支机构，不存在控股股东为大企业的情形，也不存在与大企业的负责人为同一人的情形。</w:t>
      </w:r>
    </w:p>
    <w:p w14:paraId="29E891FE">
      <w:pPr>
        <w:shd w:val="clear" w:color="auto" w:fill="FFFFFF"/>
        <w:spacing w:line="360" w:lineRule="auto"/>
        <w:ind w:firstLine="504"/>
        <w:rPr>
          <w:color w:val="auto"/>
          <w:spacing w:val="6"/>
          <w:sz w:val="24"/>
          <w:highlight w:val="none"/>
        </w:rPr>
      </w:pPr>
      <w:r>
        <w:rPr>
          <w:color w:val="auto"/>
          <w:spacing w:val="6"/>
          <w:sz w:val="24"/>
          <w:highlight w:val="none"/>
        </w:rPr>
        <w:t>本企业对上述声明内容的真实性负责。如有虚假，将依法承担相应责任。</w:t>
      </w:r>
    </w:p>
    <w:p w14:paraId="5A359038">
      <w:pPr>
        <w:shd w:val="clear" w:color="auto" w:fill="FFFFFF"/>
        <w:spacing w:line="360" w:lineRule="auto"/>
        <w:ind w:right="360" w:firstLine="480"/>
        <w:jc w:val="right"/>
        <w:rPr>
          <w:color w:val="auto"/>
          <w:sz w:val="24"/>
          <w:highlight w:val="none"/>
        </w:rPr>
      </w:pPr>
    </w:p>
    <w:p w14:paraId="53EA911B">
      <w:pPr>
        <w:shd w:val="clear" w:color="auto" w:fill="FFFFFF"/>
        <w:spacing w:line="360" w:lineRule="auto"/>
        <w:ind w:right="360" w:firstLine="480"/>
        <w:jc w:val="right"/>
        <w:rPr>
          <w:color w:val="auto"/>
          <w:sz w:val="24"/>
          <w:highlight w:val="none"/>
        </w:rPr>
      </w:pPr>
      <w:r>
        <w:rPr>
          <w:color w:val="auto"/>
          <w:sz w:val="24"/>
          <w:highlight w:val="none"/>
        </w:rPr>
        <w:t>企业名称（盖章）：________</w:t>
      </w:r>
    </w:p>
    <w:p w14:paraId="68CD8DB3">
      <w:pPr>
        <w:shd w:val="clear" w:color="auto" w:fill="FFFFFF"/>
        <w:spacing w:line="360" w:lineRule="auto"/>
        <w:ind w:right="360" w:firstLine="480"/>
        <w:jc w:val="right"/>
        <w:rPr>
          <w:color w:val="auto"/>
          <w:sz w:val="24"/>
          <w:highlight w:val="none"/>
        </w:rPr>
      </w:pPr>
      <w:r>
        <w:rPr>
          <w:color w:val="auto"/>
          <w:sz w:val="24"/>
          <w:highlight w:val="none"/>
        </w:rPr>
        <w:t>日 期：________</w:t>
      </w:r>
    </w:p>
    <w:p w14:paraId="30C20483">
      <w:pPr>
        <w:shd w:val="clear" w:color="auto" w:fill="FFFFFF"/>
        <w:adjustRightInd w:val="0"/>
        <w:snapToGrid w:val="0"/>
        <w:jc w:val="left"/>
        <w:rPr>
          <w:color w:val="auto"/>
          <w:sz w:val="24"/>
          <w:szCs w:val="21"/>
          <w:highlight w:val="none"/>
        </w:rPr>
      </w:pPr>
    </w:p>
    <w:p w14:paraId="1E33F26E">
      <w:pPr>
        <w:shd w:val="clear" w:color="auto" w:fill="FFFFFF"/>
        <w:adjustRightInd w:val="0"/>
        <w:snapToGrid w:val="0"/>
        <w:jc w:val="left"/>
        <w:rPr>
          <w:color w:val="auto"/>
          <w:sz w:val="24"/>
          <w:szCs w:val="21"/>
          <w:highlight w:val="none"/>
        </w:rPr>
      </w:pPr>
    </w:p>
    <w:tbl>
      <w:tblPr>
        <w:tblStyle w:val="8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8724BDE">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9E81B76">
            <w:pPr>
              <w:shd w:val="clear" w:color="auto" w:fill="FFFFFF"/>
              <w:adjustRightInd w:val="0"/>
              <w:snapToGrid w:val="0"/>
              <w:jc w:val="left"/>
              <w:rPr>
                <w:color w:val="auto"/>
                <w:szCs w:val="21"/>
                <w:highlight w:val="none"/>
              </w:rPr>
            </w:pPr>
            <w:r>
              <w:rPr>
                <w:color w:val="auto"/>
                <w:szCs w:val="21"/>
                <w:highlight w:val="none"/>
                <w:vertAlign w:val="superscript"/>
              </w:rPr>
              <w:t>1</w:t>
            </w:r>
            <w:r>
              <w:rPr>
                <w:color w:val="auto"/>
                <w:szCs w:val="21"/>
                <w:highlight w:val="none"/>
              </w:rPr>
              <w:t>从业人员、营业收入、资产总额填报上一年度数据，无上一年度数据的新成立企业可不填报。</w:t>
            </w:r>
          </w:p>
        </w:tc>
      </w:tr>
    </w:tbl>
    <w:p w14:paraId="03D560DD">
      <w:pPr>
        <w:shd w:val="clear" w:color="auto" w:fill="FFFFFF"/>
        <w:autoSpaceDE w:val="0"/>
        <w:autoSpaceDN w:val="0"/>
        <w:adjustRightInd w:val="0"/>
        <w:ind w:firstLine="420"/>
        <w:jc w:val="left"/>
        <w:rPr>
          <w:rFonts w:ascii="宋体" w:hAnsi="宋体" w:cs="宋体"/>
          <w:color w:val="auto"/>
          <w:sz w:val="24"/>
          <w:highlight w:val="none"/>
        </w:rPr>
      </w:pPr>
    </w:p>
    <w:p w14:paraId="2BF1B044">
      <w:pPr>
        <w:shd w:val="clear" w:color="auto" w:fill="FFFFFF"/>
        <w:spacing w:line="360" w:lineRule="auto"/>
        <w:ind w:firstLine="504"/>
        <w:rPr>
          <w:rFonts w:ascii="宋体" w:hAnsi="宋体" w:cs="宋体"/>
          <w:color w:val="auto"/>
          <w:spacing w:val="6"/>
          <w:sz w:val="24"/>
          <w:highlight w:val="none"/>
        </w:rPr>
      </w:pPr>
    </w:p>
    <w:p w14:paraId="7203DA18">
      <w:pPr>
        <w:shd w:val="clear" w:color="auto" w:fill="FFFFFF"/>
        <w:spacing w:line="360" w:lineRule="auto"/>
        <w:ind w:firstLine="504"/>
        <w:rPr>
          <w:rFonts w:ascii="宋体" w:hAnsi="宋体" w:cs="宋体"/>
          <w:color w:val="auto"/>
          <w:spacing w:val="6"/>
          <w:sz w:val="24"/>
          <w:highlight w:val="none"/>
        </w:rPr>
      </w:pPr>
      <w:r>
        <w:rPr>
          <w:rFonts w:hint="eastAsia" w:ascii="宋体" w:hAnsi="宋体" w:cs="宋体"/>
          <w:color w:val="auto"/>
          <w:spacing w:val="6"/>
          <w:sz w:val="24"/>
          <w:highlight w:val="none"/>
        </w:rPr>
        <w:t xml:space="preserve"> </w:t>
      </w:r>
    </w:p>
    <w:p w14:paraId="18D2D02B">
      <w:pPr>
        <w:pStyle w:val="56"/>
        <w:rPr>
          <w:rFonts w:cs="宋体"/>
          <w:color w:val="auto"/>
          <w:spacing w:val="6"/>
          <w:highlight w:val="none"/>
        </w:rPr>
      </w:pPr>
    </w:p>
    <w:p w14:paraId="6A88C86D">
      <w:pPr>
        <w:rPr>
          <w:color w:val="auto"/>
          <w:highlight w:val="none"/>
        </w:rPr>
      </w:pPr>
    </w:p>
    <w:p w14:paraId="1C7DF064">
      <w:pPr>
        <w:shd w:val="clear" w:color="auto" w:fill="FFFFFF"/>
        <w:spacing w:line="360" w:lineRule="auto"/>
        <w:ind w:firstLine="504"/>
        <w:rPr>
          <w:rFonts w:ascii="宋体" w:hAnsi="宋体" w:cs="宋体"/>
          <w:color w:val="auto"/>
          <w:spacing w:val="6"/>
          <w:sz w:val="24"/>
          <w:highlight w:val="none"/>
        </w:rPr>
      </w:pPr>
    </w:p>
    <w:p w14:paraId="267BEA4C">
      <w:pPr>
        <w:shd w:val="clear" w:color="auto" w:fill="FFFFFF"/>
        <w:spacing w:before="240" w:beforeLines="100" w:after="240" w:afterLines="100" w:line="360" w:lineRule="auto"/>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残疾人福利性单位声明函格式</w:t>
      </w:r>
    </w:p>
    <w:p w14:paraId="7AD82166">
      <w:pPr>
        <w:shd w:val="clear" w:color="auto" w:fill="FFFFFF"/>
        <w:spacing w:line="588" w:lineRule="exact"/>
        <w:ind w:firstLine="504"/>
        <w:rPr>
          <w:rFonts w:ascii="宋体" w:hAnsi="宋体" w:cs="宋体"/>
          <w:color w:val="auto"/>
          <w:spacing w:val="6"/>
          <w:sz w:val="24"/>
          <w:highlight w:val="none"/>
        </w:rPr>
      </w:pPr>
      <w:r>
        <w:rPr>
          <w:rFonts w:hint="eastAsia" w:ascii="宋体" w:hAnsi="宋体" w:cs="宋体"/>
          <w:color w:val="auto"/>
          <w:spacing w:val="6"/>
          <w:sz w:val="24"/>
          <w:highlight w:val="none"/>
        </w:rPr>
        <w:t>本单位郑重声明，根据《财政部 民政部 中国残疾人联合会关于促进残疾人就业政府采购政策的通知》（财库</w:t>
      </w:r>
      <w:r>
        <w:rPr>
          <w:rFonts w:hint="eastAsia" w:ascii="宋体" w:hAnsi="宋体" w:cs="宋体"/>
          <w:color w:val="auto"/>
          <w:sz w:val="24"/>
          <w:highlight w:val="none"/>
        </w:rPr>
        <w:t>〔2017〕 141</w:t>
      </w:r>
      <w:r>
        <w:rPr>
          <w:rFonts w:hint="eastAsia" w:ascii="宋体" w:hAnsi="宋体" w:cs="宋体"/>
          <w:color w:val="auto"/>
          <w:spacing w:val="6"/>
          <w:sz w:val="24"/>
          <w:highlight w:val="none"/>
        </w:rPr>
        <w:t>号）的规定，本单位</w:t>
      </w:r>
      <w:r>
        <w:rPr>
          <w:rFonts w:hint="eastAsia" w:ascii="宋体" w:hAnsi="宋体" w:cs="宋体"/>
          <w:b/>
          <w:color w:val="auto"/>
          <w:sz w:val="24"/>
          <w:highlight w:val="none"/>
        </w:rPr>
        <w:t>（请进行选择）</w:t>
      </w:r>
      <w:r>
        <w:rPr>
          <w:rFonts w:hint="eastAsia" w:ascii="宋体" w:hAnsi="宋体" w:cs="宋体"/>
          <w:color w:val="auto"/>
          <w:spacing w:val="6"/>
          <w:sz w:val="24"/>
          <w:highlight w:val="none"/>
        </w:rPr>
        <w:t>：</w:t>
      </w:r>
    </w:p>
    <w:p w14:paraId="5086444F">
      <w:pPr>
        <w:shd w:val="clear" w:color="auto" w:fill="FFFFFF"/>
        <w:spacing w:line="588" w:lineRule="exact"/>
        <w:ind w:firstLine="482"/>
        <w:rPr>
          <w:rFonts w:ascii="宋体" w:hAnsi="宋体" w:cs="宋体"/>
          <w:b/>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不属于符合条件的残疾人福利性单位。</w:t>
      </w:r>
    </w:p>
    <w:p w14:paraId="49F76716">
      <w:pPr>
        <w:shd w:val="clear" w:color="auto" w:fill="FFFFFF"/>
        <w:spacing w:line="588" w:lineRule="exact"/>
        <w:ind w:firstLine="482"/>
        <w:rPr>
          <w:rFonts w:ascii="宋体" w:hAnsi="宋体" w:cs="宋体"/>
          <w:color w:val="auto"/>
          <w:spacing w:val="6"/>
          <w:sz w:val="24"/>
          <w:highlight w:val="none"/>
        </w:rPr>
      </w:pPr>
      <w:r>
        <w:rPr>
          <w:rFonts w:hint="eastAsia" w:ascii="宋体" w:hAnsi="宋体" w:cs="宋体"/>
          <w:b/>
          <w:color w:val="auto"/>
          <w:sz w:val="24"/>
          <w:highlight w:val="none"/>
        </w:rPr>
        <w:t>□</w:t>
      </w:r>
      <w:r>
        <w:rPr>
          <w:rFonts w:hint="eastAsia" w:ascii="宋体" w:hAnsi="宋体" w:cs="宋体"/>
          <w:b/>
          <w:color w:val="auto"/>
          <w:spacing w:val="6"/>
          <w:sz w:val="24"/>
          <w:highlight w:val="none"/>
        </w:rPr>
        <w:t>属于符合条件的残疾人福利性单位，</w:t>
      </w:r>
      <w:r>
        <w:rPr>
          <w:rFonts w:hint="eastAsia" w:ascii="宋体" w:hAnsi="宋体" w:cs="宋体"/>
          <w:color w:val="auto"/>
          <w:spacing w:val="6"/>
          <w:sz w:val="24"/>
          <w:highlight w:val="none"/>
        </w:rPr>
        <w:t>且本单位参加</w:t>
      </w:r>
      <w:r>
        <w:rPr>
          <w:rFonts w:hint="eastAsia" w:ascii="宋体" w:hAnsi="宋体" w:cs="宋体"/>
          <w:color w:val="auto"/>
          <w:sz w:val="24"/>
          <w:highlight w:val="none"/>
        </w:rPr>
        <w:t>______</w:t>
      </w:r>
      <w:r>
        <w:rPr>
          <w:rFonts w:hint="eastAsia" w:ascii="宋体" w:hAnsi="宋体" w:cs="宋体"/>
          <w:color w:val="auto"/>
          <w:spacing w:val="6"/>
          <w:sz w:val="24"/>
          <w:highlight w:val="none"/>
        </w:rPr>
        <w:t>单位的</w:t>
      </w:r>
      <w:r>
        <w:rPr>
          <w:rFonts w:hint="eastAsia" w:ascii="宋体" w:hAnsi="宋体" w:cs="宋体"/>
          <w:color w:val="auto"/>
          <w:sz w:val="24"/>
          <w:highlight w:val="none"/>
        </w:rPr>
        <w:t>______</w:t>
      </w:r>
      <w:r>
        <w:rPr>
          <w:rFonts w:hint="eastAsia" w:ascii="宋体" w:hAnsi="宋体" w:cs="宋体"/>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33A8F69">
      <w:pPr>
        <w:shd w:val="clear" w:color="auto" w:fill="FFFFFF"/>
        <w:spacing w:line="588" w:lineRule="exact"/>
        <w:ind w:firstLine="506" w:firstLineChars="200"/>
        <w:rPr>
          <w:rFonts w:ascii="宋体" w:hAnsi="宋体" w:cs="宋体"/>
          <w:color w:val="auto"/>
          <w:spacing w:val="6"/>
          <w:sz w:val="24"/>
          <w:highlight w:val="none"/>
        </w:rPr>
      </w:pPr>
      <w:r>
        <w:rPr>
          <w:rFonts w:hint="eastAsia" w:ascii="宋体" w:hAnsi="宋体" w:cs="宋体"/>
          <w:b/>
          <w:color w:val="auto"/>
          <w:spacing w:val="6"/>
          <w:sz w:val="24"/>
          <w:highlight w:val="none"/>
        </w:rPr>
        <w:t>本单位对上述声明的真实性负责。如有虚假，将依法承担相应责任。</w:t>
      </w:r>
    </w:p>
    <w:p w14:paraId="689C6F81">
      <w:pPr>
        <w:shd w:val="clear" w:color="auto" w:fill="FFFFFF"/>
        <w:spacing w:line="588" w:lineRule="exact"/>
        <w:ind w:firstLine="504" w:firstLineChars="200"/>
        <w:rPr>
          <w:rFonts w:ascii="宋体" w:hAnsi="宋体" w:cs="宋体"/>
          <w:color w:val="auto"/>
          <w:spacing w:val="6"/>
          <w:sz w:val="24"/>
          <w:highlight w:val="none"/>
        </w:rPr>
      </w:pPr>
    </w:p>
    <w:p w14:paraId="546EA930">
      <w:pPr>
        <w:shd w:val="clear" w:color="auto" w:fill="FFFFFF"/>
        <w:spacing w:line="588" w:lineRule="exact"/>
        <w:ind w:firstLine="504" w:firstLineChars="200"/>
        <w:rPr>
          <w:rFonts w:ascii="宋体" w:hAnsi="宋体" w:cs="宋体"/>
          <w:color w:val="auto"/>
          <w:spacing w:val="6"/>
          <w:sz w:val="24"/>
          <w:highlight w:val="none"/>
        </w:rPr>
      </w:pPr>
    </w:p>
    <w:p w14:paraId="345D83E9">
      <w:pPr>
        <w:shd w:val="clear" w:color="auto" w:fill="FFFFFF"/>
        <w:tabs>
          <w:tab w:val="left" w:pos="4860"/>
        </w:tabs>
        <w:spacing w:line="588" w:lineRule="exact"/>
        <w:ind w:right="1560" w:firstLine="504" w:firstLineChars="200"/>
        <w:jc w:val="right"/>
        <w:rPr>
          <w:rFonts w:ascii="宋体" w:hAnsi="宋体" w:cs="宋体"/>
          <w:color w:val="auto"/>
          <w:spacing w:val="6"/>
          <w:sz w:val="24"/>
          <w:highlight w:val="none"/>
        </w:rPr>
      </w:pPr>
      <w:r>
        <w:rPr>
          <w:rFonts w:hint="eastAsia" w:ascii="宋体" w:hAnsi="宋体" w:cs="宋体"/>
          <w:color w:val="auto"/>
          <w:spacing w:val="6"/>
          <w:sz w:val="24"/>
          <w:highlight w:val="none"/>
        </w:rPr>
        <w:t xml:space="preserve">          单位名称（盖章）：</w:t>
      </w:r>
      <w:r>
        <w:rPr>
          <w:rFonts w:hint="eastAsia" w:ascii="宋体" w:hAnsi="宋体" w:cs="宋体"/>
          <w:color w:val="auto"/>
          <w:sz w:val="24"/>
          <w:highlight w:val="none"/>
        </w:rPr>
        <w:t>______</w:t>
      </w:r>
    </w:p>
    <w:p w14:paraId="029A4396">
      <w:pPr>
        <w:shd w:val="clear" w:color="auto" w:fill="FFFFFF"/>
        <w:tabs>
          <w:tab w:val="left" w:pos="4860"/>
        </w:tabs>
        <w:spacing w:line="588" w:lineRule="exact"/>
        <w:ind w:right="1560" w:firstLine="504" w:firstLineChars="200"/>
        <w:jc w:val="right"/>
        <w:rPr>
          <w:rFonts w:ascii="宋体" w:hAnsi="宋体" w:cs="宋体"/>
          <w:color w:val="auto"/>
          <w:spacing w:val="6"/>
          <w:sz w:val="24"/>
          <w:highlight w:val="none"/>
        </w:rPr>
      </w:pPr>
      <w:r>
        <w:rPr>
          <w:rFonts w:hint="eastAsia" w:ascii="宋体" w:hAnsi="宋体" w:cs="宋体"/>
          <w:color w:val="auto"/>
          <w:spacing w:val="6"/>
          <w:sz w:val="24"/>
          <w:highlight w:val="none"/>
        </w:rPr>
        <w:t xml:space="preserve">       日  期：</w:t>
      </w:r>
      <w:r>
        <w:rPr>
          <w:rFonts w:hint="eastAsia" w:ascii="宋体" w:hAnsi="宋体" w:cs="宋体"/>
          <w:color w:val="auto"/>
          <w:sz w:val="24"/>
          <w:highlight w:val="none"/>
        </w:rPr>
        <w:t>______</w:t>
      </w:r>
    </w:p>
    <w:p w14:paraId="653C8C3D">
      <w:pPr>
        <w:widowControl/>
        <w:shd w:val="clear" w:color="auto" w:fill="FFFFFF"/>
        <w:jc w:val="left"/>
        <w:rPr>
          <w:rFonts w:ascii="宋体" w:hAnsi="宋体" w:cs="宋体"/>
          <w:color w:val="auto"/>
          <w:sz w:val="24"/>
          <w:highlight w:val="none"/>
        </w:rPr>
        <w:sectPr>
          <w:headerReference r:id="rId28" w:type="first"/>
          <w:footerReference r:id="rId30" w:type="first"/>
          <w:headerReference r:id="rId27" w:type="even"/>
          <w:footerReference r:id="rId29" w:type="even"/>
          <w:pgSz w:w="11907" w:h="16840"/>
          <w:pgMar w:top="1417" w:right="1417" w:bottom="1417" w:left="1417" w:header="851" w:footer="851" w:gutter="0"/>
          <w:cols w:space="720" w:num="1"/>
          <w:docGrid w:linePitch="462" w:charSpace="0"/>
        </w:sectPr>
      </w:pPr>
      <w:bookmarkStart w:id="1818" w:name="_Toc480942349"/>
      <w:bookmarkStart w:id="1819" w:name="_Ref467988698"/>
      <w:bookmarkStart w:id="1820" w:name="_Toc150774761"/>
      <w:bookmarkStart w:id="1821" w:name="_Toc226337252"/>
      <w:bookmarkStart w:id="1822" w:name="_Toc142311058"/>
      <w:bookmarkStart w:id="1823" w:name="_Toc195842921"/>
      <w:bookmarkStart w:id="1824" w:name="_Toc226309800"/>
      <w:bookmarkStart w:id="1825" w:name="_Toc520356217"/>
      <w:bookmarkStart w:id="1826" w:name="_Toc226965746"/>
      <w:bookmarkStart w:id="1827" w:name="_Toc127151556"/>
      <w:bookmarkStart w:id="1828" w:name="_Toc150480794"/>
      <w:bookmarkStart w:id="1829" w:name="_Toc226965829"/>
      <w:r>
        <w:rPr>
          <w:rFonts w:hint="eastAsia" w:ascii="宋体" w:hAnsi="宋体" w:cs="宋体"/>
          <w:color w:val="auto"/>
          <w:sz w:val="24"/>
          <w:highlight w:val="none"/>
        </w:rPr>
        <w:br w:type="page"/>
      </w:r>
    </w:p>
    <w:p w14:paraId="5EDCE4CA">
      <w:pPr>
        <w:pStyle w:val="32"/>
        <w:spacing w:before="336" w:line="201" w:lineRule="auto"/>
        <w:ind w:left="22"/>
        <w:outlineLvl w:val="3"/>
        <w:rPr>
          <w:rFonts w:ascii="微软雅黑" w:hAnsi="微软雅黑" w:eastAsia="微软雅黑" w:cs="微软雅黑"/>
          <w:color w:val="auto"/>
          <w:highlight w:val="none"/>
        </w:rPr>
      </w:pPr>
      <w:r>
        <w:rPr>
          <w:color w:val="auto"/>
          <w:spacing w:val="2"/>
          <w:highlight w:val="none"/>
        </w:rPr>
        <w:t>2-1-2</w:t>
      </w:r>
      <w:r>
        <w:rPr>
          <w:rFonts w:hint="eastAsia" w:cs="宋体"/>
          <w:color w:val="auto"/>
          <w:spacing w:val="67"/>
          <w:w w:val="101"/>
          <w:highlight w:val="none"/>
        </w:rPr>
        <w:t xml:space="preserve"> </w:t>
      </w:r>
      <w:r>
        <w:rPr>
          <w:rFonts w:hint="eastAsia" w:cs="宋体"/>
          <w:color w:val="auto"/>
          <w:spacing w:val="2"/>
          <w:highlight w:val="none"/>
        </w:rPr>
        <w:t>拟分包情况说明及分包意向协议</w:t>
      </w:r>
    </w:p>
    <w:p w14:paraId="5B41F10C">
      <w:pPr>
        <w:spacing w:before="293" w:line="201" w:lineRule="auto"/>
        <w:ind w:left="8"/>
        <w:rPr>
          <w:rFonts w:ascii="宋体" w:hAnsi="宋体" w:cs="宋体"/>
          <w:color w:val="auto"/>
          <w:sz w:val="24"/>
          <w:highlight w:val="none"/>
        </w:rPr>
      </w:pPr>
      <w:r>
        <w:rPr>
          <w:rFonts w:hint="eastAsia" w:ascii="宋体" w:hAnsi="宋体" w:cs="宋体"/>
          <w:color w:val="auto"/>
          <w:spacing w:val="-1"/>
          <w:sz w:val="24"/>
          <w:highlight w:val="none"/>
        </w:rPr>
        <w:t>说明：</w:t>
      </w:r>
    </w:p>
    <w:p w14:paraId="0BC94722">
      <w:pPr>
        <w:spacing w:before="175" w:line="480" w:lineRule="auto"/>
        <w:ind w:left="12"/>
        <w:rPr>
          <w:rFonts w:ascii="宋体" w:hAnsi="宋体" w:cs="宋体"/>
          <w:color w:val="auto"/>
          <w:sz w:val="24"/>
          <w:highlight w:val="none"/>
        </w:rPr>
      </w:pPr>
      <w:r>
        <w:rPr>
          <w:rFonts w:hint="eastAsia" w:ascii="宋体" w:hAnsi="宋体" w:cs="宋体"/>
          <w:color w:val="auto"/>
          <w:spacing w:val="-1"/>
          <w:sz w:val="24"/>
          <w:highlight w:val="none"/>
        </w:rPr>
        <w:t>如本项目（包）允许分包，且供应商拟进行分包时：</w:t>
      </w:r>
    </w:p>
    <w:p w14:paraId="43BA9ACC">
      <w:pPr>
        <w:pStyle w:val="32"/>
        <w:spacing w:before="184" w:line="480" w:lineRule="auto"/>
        <w:rPr>
          <w:rFonts w:cs="宋体"/>
          <w:color w:val="auto"/>
          <w:highlight w:val="none"/>
        </w:rPr>
      </w:pPr>
      <w:r>
        <w:rPr>
          <w:rFonts w:hint="eastAsia" w:cs="宋体"/>
          <w:color w:val="auto"/>
          <w:spacing w:val="-6"/>
          <w:highlight w:val="none"/>
        </w:rPr>
        <w:t>（ 1）响应文件中须提供《拟分包情况说明》，否则</w:t>
      </w:r>
      <w:r>
        <w:rPr>
          <w:rFonts w:hint="eastAsia" w:cs="宋体"/>
          <w:b/>
          <w:bCs/>
          <w:color w:val="auto"/>
          <w:spacing w:val="-6"/>
          <w:highlight w:val="none"/>
        </w:rPr>
        <w:t>响应无效</w:t>
      </w:r>
      <w:r>
        <w:rPr>
          <w:rFonts w:hint="eastAsia" w:cs="宋体"/>
          <w:color w:val="auto"/>
          <w:spacing w:val="-6"/>
          <w:highlight w:val="none"/>
        </w:rPr>
        <w:t>；</w:t>
      </w:r>
    </w:p>
    <w:p w14:paraId="68D16DD5">
      <w:pPr>
        <w:pStyle w:val="32"/>
        <w:spacing w:before="187" w:line="480" w:lineRule="auto"/>
        <w:rPr>
          <w:rFonts w:cs="宋体"/>
          <w:color w:val="auto"/>
          <w:highlight w:val="none"/>
        </w:rPr>
      </w:pPr>
      <w:r>
        <w:rPr>
          <w:rFonts w:hint="eastAsia" w:cs="宋体"/>
          <w:color w:val="auto"/>
          <w:spacing w:val="-6"/>
          <w:highlight w:val="none"/>
        </w:rPr>
        <w:t>（ 2</w:t>
      </w:r>
      <w:r>
        <w:rPr>
          <w:rFonts w:hint="eastAsia" w:cs="宋体"/>
          <w:color w:val="auto"/>
          <w:spacing w:val="-24"/>
          <w:highlight w:val="none"/>
        </w:rPr>
        <w:t xml:space="preserve"> </w:t>
      </w:r>
      <w:r>
        <w:rPr>
          <w:rFonts w:hint="eastAsia" w:cs="宋体"/>
          <w:color w:val="auto"/>
          <w:spacing w:val="-6"/>
          <w:highlight w:val="none"/>
        </w:rPr>
        <w:t>）当同时符合下列情形时</w:t>
      </w:r>
      <w:r>
        <w:rPr>
          <w:rFonts w:hint="eastAsia" w:cs="宋体"/>
          <w:color w:val="auto"/>
          <w:spacing w:val="-29"/>
          <w:highlight w:val="none"/>
        </w:rPr>
        <w:t xml:space="preserve"> </w:t>
      </w:r>
      <w:r>
        <w:rPr>
          <w:rFonts w:hint="eastAsia" w:cs="宋体"/>
          <w:color w:val="auto"/>
          <w:spacing w:val="-6"/>
          <w:highlight w:val="none"/>
        </w:rPr>
        <w:t>，响应文件还须</w:t>
      </w:r>
      <w:r>
        <w:rPr>
          <w:rFonts w:hint="eastAsia" w:cs="宋体"/>
          <w:color w:val="auto"/>
          <w:spacing w:val="-7"/>
          <w:highlight w:val="none"/>
        </w:rPr>
        <w:t>提供《分包意向协议》，否则</w:t>
      </w:r>
      <w:r>
        <w:rPr>
          <w:rFonts w:hint="eastAsia" w:cs="宋体"/>
          <w:b/>
          <w:bCs/>
          <w:color w:val="auto"/>
          <w:spacing w:val="-7"/>
          <w:highlight w:val="none"/>
        </w:rPr>
        <w:t>响应无效</w:t>
      </w:r>
      <w:r>
        <w:rPr>
          <w:rFonts w:hint="eastAsia" w:cs="宋体"/>
          <w:color w:val="auto"/>
          <w:spacing w:val="-7"/>
          <w:highlight w:val="none"/>
        </w:rPr>
        <w:t>：</w:t>
      </w:r>
    </w:p>
    <w:p w14:paraId="456F6988">
      <w:pPr>
        <w:pStyle w:val="32"/>
        <w:spacing w:before="184" w:line="480" w:lineRule="auto"/>
        <w:ind w:left="574" w:hanging="1"/>
        <w:rPr>
          <w:rFonts w:cs="宋体"/>
          <w:color w:val="auto"/>
          <w:highlight w:val="none"/>
        </w:rPr>
      </w:pPr>
      <w:r>
        <w:rPr>
          <w:rFonts w:hint="eastAsia" w:cs="宋体"/>
          <w:color w:val="auto"/>
          <w:highlight w:val="none"/>
        </w:rPr>
        <w:t>A.</w:t>
      </w:r>
      <w:r>
        <w:rPr>
          <w:rFonts w:hint="eastAsia" w:cs="宋体"/>
          <w:color w:val="auto"/>
          <w:spacing w:val="58"/>
          <w:highlight w:val="none"/>
        </w:rPr>
        <w:t xml:space="preserve"> </w:t>
      </w:r>
      <w:r>
        <w:rPr>
          <w:rFonts w:hint="eastAsia" w:cs="宋体"/>
          <w:color w:val="auto"/>
          <w:highlight w:val="none"/>
        </w:rPr>
        <w:t>本项目（包）预留部分采购项目预算专门面向中小企业采</w:t>
      </w:r>
      <w:r>
        <w:rPr>
          <w:rFonts w:hint="eastAsia" w:cs="宋体"/>
          <w:color w:val="auto"/>
          <w:spacing w:val="-1"/>
          <w:highlight w:val="none"/>
        </w:rPr>
        <w:t>购，且要求获得采购</w:t>
      </w:r>
      <w:r>
        <w:rPr>
          <w:rFonts w:hint="eastAsia" w:cs="宋体"/>
          <w:color w:val="auto"/>
          <w:highlight w:val="none"/>
        </w:rPr>
        <w:t xml:space="preserve"> 合同的供应商将采购项目中的一定比例分包给一家或者多家中</w:t>
      </w:r>
      <w:r>
        <w:rPr>
          <w:rFonts w:hint="eastAsia" w:cs="宋体"/>
          <w:color w:val="auto"/>
          <w:spacing w:val="-1"/>
          <w:highlight w:val="none"/>
        </w:rPr>
        <w:t>小企业的；</w:t>
      </w:r>
    </w:p>
    <w:p w14:paraId="5E30687C">
      <w:pPr>
        <w:pStyle w:val="32"/>
        <w:spacing w:before="15" w:line="480" w:lineRule="auto"/>
        <w:ind w:left="595"/>
        <w:rPr>
          <w:rFonts w:cs="宋体"/>
          <w:color w:val="auto"/>
          <w:highlight w:val="none"/>
        </w:rPr>
      </w:pPr>
      <w:r>
        <w:rPr>
          <w:rFonts w:hint="eastAsia" w:cs="宋体"/>
          <w:color w:val="auto"/>
          <w:spacing w:val="-1"/>
          <w:highlight w:val="none"/>
        </w:rPr>
        <w:t>B.</w:t>
      </w:r>
      <w:r>
        <w:rPr>
          <w:rFonts w:hint="eastAsia" w:cs="宋体"/>
          <w:color w:val="auto"/>
          <w:spacing w:val="65"/>
          <w:highlight w:val="none"/>
        </w:rPr>
        <w:t xml:space="preserve"> </w:t>
      </w:r>
      <w:r>
        <w:rPr>
          <w:rFonts w:hint="eastAsia" w:cs="宋体"/>
          <w:color w:val="auto"/>
          <w:spacing w:val="-1"/>
          <w:highlight w:val="none"/>
        </w:rPr>
        <w:t>供应商通过分包方式满足中小企业政策要求的。</w:t>
      </w:r>
    </w:p>
    <w:p w14:paraId="04014F9C">
      <w:pPr>
        <w:spacing w:line="201" w:lineRule="auto"/>
        <w:rPr>
          <w:rFonts w:ascii="宋体" w:hAnsi="宋体" w:cs="宋体"/>
          <w:color w:val="auto"/>
          <w:sz w:val="24"/>
          <w:highlight w:val="none"/>
        </w:rPr>
        <w:sectPr>
          <w:headerReference r:id="rId31" w:type="default"/>
          <w:footerReference r:id="rId32" w:type="default"/>
          <w:pgSz w:w="11907" w:h="16840"/>
          <w:pgMar w:top="1149" w:right="1133" w:bottom="1057" w:left="1696" w:header="875" w:footer="886" w:gutter="0"/>
          <w:cols w:space="720" w:num="1"/>
        </w:sectPr>
      </w:pPr>
    </w:p>
    <w:p w14:paraId="4157D6BC">
      <w:pPr>
        <w:spacing w:before="328" w:line="204" w:lineRule="auto"/>
        <w:ind w:left="3287"/>
        <w:rPr>
          <w:rFonts w:ascii="微软雅黑" w:hAnsi="微软雅黑" w:eastAsia="微软雅黑" w:cs="微软雅黑"/>
          <w:color w:val="auto"/>
          <w:sz w:val="35"/>
          <w:szCs w:val="35"/>
          <w:highlight w:val="none"/>
        </w:rPr>
      </w:pPr>
      <w:r>
        <w:rPr>
          <w:rFonts w:ascii="微软雅黑" w:hAnsi="微软雅黑" w:eastAsia="微软雅黑" w:cs="微软雅黑"/>
          <w:b/>
          <w:bCs/>
          <w:color w:val="auto"/>
          <w:spacing w:val="9"/>
          <w:sz w:val="35"/>
          <w:szCs w:val="35"/>
          <w:highlight w:val="none"/>
        </w:rPr>
        <w:t>拟分包情况说明</w:t>
      </w:r>
    </w:p>
    <w:p w14:paraId="61D5B393">
      <w:pPr>
        <w:spacing w:before="251" w:line="196" w:lineRule="auto"/>
        <w:ind w:left="9"/>
        <w:rPr>
          <w:rFonts w:ascii="宋体" w:hAnsi="宋体" w:cs="宋体"/>
          <w:color w:val="auto"/>
          <w:sz w:val="24"/>
          <w:highlight w:val="none"/>
        </w:rPr>
      </w:pPr>
      <w:r>
        <w:rPr>
          <w:rFonts w:hint="eastAsia" w:ascii="宋体" w:hAnsi="宋体" w:cs="宋体"/>
          <w:color w:val="auto"/>
          <w:spacing w:val="5"/>
          <w:sz w:val="24"/>
          <w:highlight w:val="none"/>
        </w:rPr>
        <w:t>致</w:t>
      </w:r>
      <w:r>
        <w:rPr>
          <w:rFonts w:hint="eastAsia" w:ascii="宋体" w:hAnsi="宋体" w:cs="宋体"/>
          <w:color w:val="auto"/>
          <w:spacing w:val="-56"/>
          <w:w w:val="84"/>
          <w:sz w:val="24"/>
          <w:highlight w:val="none"/>
        </w:rPr>
        <w:t>：</w:t>
      </w:r>
      <w:r>
        <w:rPr>
          <w:rFonts w:hint="eastAsia" w:ascii="宋体" w:hAnsi="宋体" w:cs="宋体"/>
          <w:color w:val="auto"/>
          <w:spacing w:val="-56"/>
          <w:w w:val="84"/>
          <w:sz w:val="24"/>
          <w:highlight w:val="none"/>
          <w:u w:val="single"/>
        </w:rPr>
        <w:t>（</w:t>
      </w:r>
      <w:r>
        <w:rPr>
          <w:rFonts w:hint="eastAsia" w:ascii="宋体" w:hAnsi="宋体" w:cs="宋体"/>
          <w:color w:val="auto"/>
          <w:spacing w:val="5"/>
          <w:sz w:val="24"/>
          <w:highlight w:val="none"/>
          <w:u w:val="single"/>
        </w:rPr>
        <w:t>采购人或采购代理机构）</w:t>
      </w:r>
    </w:p>
    <w:p w14:paraId="5E5700F7">
      <w:pPr>
        <w:tabs>
          <w:tab w:val="left" w:pos="9320"/>
        </w:tabs>
        <w:spacing w:before="187" w:line="298" w:lineRule="auto"/>
        <w:ind w:left="10" w:firstLine="482"/>
        <w:rPr>
          <w:rFonts w:ascii="宋体" w:hAnsi="宋体" w:cs="宋体"/>
          <w:color w:val="auto"/>
          <w:sz w:val="24"/>
          <w:highlight w:val="none"/>
        </w:rPr>
      </w:pPr>
      <w:r>
        <w:rPr>
          <w:rFonts w:hint="eastAsia" w:ascii="宋体" w:hAnsi="宋体" w:cs="宋体"/>
          <w:color w:val="auto"/>
          <w:spacing w:val="-1"/>
          <w:sz w:val="24"/>
          <w:highlight w:val="none"/>
        </w:rPr>
        <w:t>我单位参加贵单位组织采购的项目编号为</w:t>
      </w:r>
      <w:r>
        <w:rPr>
          <w:rFonts w:hint="eastAsia" w:ascii="宋体" w:hAnsi="宋体" w:cs="宋体"/>
          <w:color w:val="auto"/>
          <w:spacing w:val="-1"/>
          <w:sz w:val="24"/>
          <w:highlight w:val="none"/>
          <w:u w:val="single"/>
        </w:rPr>
        <w:t xml:space="preserve">          </w:t>
      </w:r>
      <w:r>
        <w:rPr>
          <w:rFonts w:hint="eastAsia" w:ascii="宋体" w:hAnsi="宋体" w:cs="宋体"/>
          <w:color w:val="auto"/>
          <w:spacing w:val="-47"/>
          <w:sz w:val="24"/>
          <w:highlight w:val="none"/>
        </w:rPr>
        <w:t xml:space="preserve"> </w:t>
      </w:r>
      <w:r>
        <w:rPr>
          <w:rFonts w:hint="eastAsia" w:ascii="宋体" w:hAnsi="宋体" w:cs="宋体"/>
          <w:color w:val="auto"/>
          <w:spacing w:val="-1"/>
          <w:sz w:val="24"/>
          <w:highlight w:val="none"/>
        </w:rPr>
        <w:t>的</w:t>
      </w:r>
      <w:r>
        <w:rPr>
          <w:rFonts w:hint="eastAsia" w:ascii="宋体" w:hAnsi="宋体" w:cs="宋体"/>
          <w:color w:val="auto"/>
          <w:spacing w:val="-1"/>
          <w:sz w:val="24"/>
          <w:highlight w:val="none"/>
          <w:u w:val="single"/>
        </w:rPr>
        <w:t xml:space="preserve">          </w:t>
      </w:r>
      <w:r>
        <w:rPr>
          <w:rFonts w:hint="eastAsia" w:ascii="宋体" w:hAnsi="宋体" w:cs="宋体"/>
          <w:color w:val="auto"/>
          <w:spacing w:val="-66"/>
          <w:sz w:val="24"/>
          <w:highlight w:val="none"/>
        </w:rPr>
        <w:t xml:space="preserve"> </w:t>
      </w:r>
      <w:r>
        <w:rPr>
          <w:rFonts w:hint="eastAsia" w:ascii="宋体" w:hAnsi="宋体" w:cs="宋体"/>
          <w:color w:val="auto"/>
          <w:spacing w:val="-1"/>
          <w:sz w:val="24"/>
          <w:highlight w:val="none"/>
        </w:rPr>
        <w:t>项</w:t>
      </w:r>
      <w:r>
        <w:rPr>
          <w:rFonts w:hint="eastAsia" w:ascii="宋体" w:hAnsi="宋体" w:cs="宋体"/>
          <w:color w:val="auto"/>
          <w:spacing w:val="-2"/>
          <w:sz w:val="24"/>
          <w:highlight w:val="none"/>
        </w:rPr>
        <w:t>目（填写采购项目名称）</w:t>
      </w:r>
      <w:r>
        <w:rPr>
          <w:rFonts w:hint="eastAsia" w:ascii="宋体" w:hAnsi="宋体" w:cs="宋体"/>
          <w:color w:val="auto"/>
          <w:sz w:val="24"/>
          <w:highlight w:val="none"/>
        </w:rPr>
        <w:t xml:space="preserve"> </w:t>
      </w:r>
      <w:r>
        <w:rPr>
          <w:rFonts w:hint="eastAsia" w:ascii="宋体" w:hAnsi="宋体" w:cs="宋体"/>
          <w:color w:val="auto"/>
          <w:spacing w:val="-1"/>
          <w:sz w:val="24"/>
          <w:highlight w:val="none"/>
        </w:rPr>
        <w:t>中</w:t>
      </w:r>
      <w:r>
        <w:rPr>
          <w:rFonts w:hint="eastAsia" w:ascii="宋体" w:hAnsi="宋体" w:cs="宋体"/>
          <w:color w:val="auto"/>
          <w:spacing w:val="-1"/>
          <w:sz w:val="24"/>
          <w:highlight w:val="none"/>
          <w:u w:val="single"/>
        </w:rPr>
        <w:t xml:space="preserve">          </w:t>
      </w:r>
      <w:r>
        <w:rPr>
          <w:rFonts w:hint="eastAsia" w:ascii="宋体" w:hAnsi="宋体" w:cs="宋体"/>
          <w:color w:val="auto"/>
          <w:spacing w:val="-1"/>
          <w:sz w:val="24"/>
          <w:highlight w:val="none"/>
        </w:rPr>
        <w:t>包（填写包号）的磋商。拟签订分包合同的单位情况如下表所示，我单位承诺</w:t>
      </w:r>
      <w:r>
        <w:rPr>
          <w:rFonts w:hint="eastAsia" w:ascii="宋体" w:hAnsi="宋体" w:cs="宋体"/>
          <w:color w:val="auto"/>
          <w:sz w:val="24"/>
          <w:highlight w:val="none"/>
        </w:rPr>
        <w:tab/>
      </w:r>
      <w:r>
        <w:rPr>
          <w:rFonts w:hint="eastAsia" w:ascii="宋体" w:hAnsi="宋体" w:cs="宋体"/>
          <w:color w:val="auto"/>
          <w:sz w:val="24"/>
          <w:highlight w:val="none"/>
        </w:rPr>
        <w:t xml:space="preserve"> </w:t>
      </w:r>
      <w:r>
        <w:rPr>
          <w:rFonts w:hint="eastAsia" w:ascii="宋体" w:hAnsi="宋体" w:cs="宋体"/>
          <w:color w:val="auto"/>
          <w:spacing w:val="-1"/>
          <w:sz w:val="24"/>
          <w:highlight w:val="none"/>
        </w:rPr>
        <w:t>一旦在该项目中获得采购合同将按下表所列情况</w:t>
      </w:r>
      <w:r>
        <w:rPr>
          <w:rFonts w:hint="eastAsia" w:ascii="宋体" w:hAnsi="宋体" w:cs="宋体"/>
          <w:color w:val="auto"/>
          <w:spacing w:val="-2"/>
          <w:sz w:val="24"/>
          <w:highlight w:val="none"/>
        </w:rPr>
        <w:t>进行分包，同时承诺分包承担主体不再</w:t>
      </w:r>
      <w:r>
        <w:rPr>
          <w:rFonts w:hint="eastAsia" w:ascii="宋体" w:hAnsi="宋体" w:cs="宋体"/>
          <w:color w:val="auto"/>
          <w:sz w:val="24"/>
          <w:highlight w:val="none"/>
        </w:rPr>
        <w:tab/>
      </w:r>
      <w:r>
        <w:rPr>
          <w:rFonts w:hint="eastAsia" w:ascii="宋体" w:hAnsi="宋体" w:cs="宋体"/>
          <w:color w:val="auto"/>
          <w:sz w:val="24"/>
          <w:highlight w:val="none"/>
        </w:rPr>
        <w:t xml:space="preserve"> </w:t>
      </w:r>
      <w:r>
        <w:rPr>
          <w:rFonts w:hint="eastAsia" w:ascii="宋体" w:hAnsi="宋体" w:cs="宋体"/>
          <w:color w:val="auto"/>
          <w:spacing w:val="-2"/>
          <w:sz w:val="24"/>
          <w:highlight w:val="none"/>
        </w:rPr>
        <w:t>次分包。</w:t>
      </w:r>
    </w:p>
    <w:tbl>
      <w:tblPr>
        <w:tblStyle w:val="83"/>
        <w:tblW w:w="9004" w:type="dxa"/>
        <w:tblInd w:w="3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2"/>
        <w:gridCol w:w="1285"/>
        <w:gridCol w:w="1891"/>
        <w:gridCol w:w="744"/>
        <w:gridCol w:w="1559"/>
        <w:gridCol w:w="1496"/>
        <w:gridCol w:w="1567"/>
      </w:tblGrid>
      <w:tr w14:paraId="121D4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1052" w:hRule="atLeast"/>
        </w:trPr>
        <w:tc>
          <w:tcPr>
            <w:tcW w:w="462" w:type="dxa"/>
            <w:textDirection w:val="tbRlV"/>
          </w:tcPr>
          <w:p w14:paraId="4ACCF984">
            <w:pPr>
              <w:spacing w:before="107" w:line="179" w:lineRule="auto"/>
              <w:ind w:left="217"/>
              <w:rPr>
                <w:rFonts w:ascii="宋体" w:hAnsi="宋体" w:cs="宋体"/>
                <w:color w:val="auto"/>
                <w:sz w:val="24"/>
                <w:highlight w:val="none"/>
              </w:rPr>
            </w:pPr>
            <w:r>
              <w:rPr>
                <w:rFonts w:hint="eastAsia" w:ascii="宋体" w:hAnsi="宋体" w:cs="宋体"/>
                <w:color w:val="auto"/>
                <w:spacing w:val="21"/>
                <w:sz w:val="24"/>
                <w:highlight w:val="none"/>
              </w:rPr>
              <w:t>序 号</w:t>
            </w:r>
          </w:p>
        </w:tc>
        <w:tc>
          <w:tcPr>
            <w:tcW w:w="1285" w:type="dxa"/>
          </w:tcPr>
          <w:p w14:paraId="348D2B79">
            <w:pPr>
              <w:spacing w:before="216"/>
              <w:ind w:left="171" w:right="162" w:hanging="8"/>
              <w:rPr>
                <w:rFonts w:ascii="宋体" w:hAnsi="宋体" w:cs="宋体"/>
                <w:color w:val="auto"/>
                <w:sz w:val="24"/>
                <w:highlight w:val="none"/>
              </w:rPr>
            </w:pPr>
            <w:r>
              <w:rPr>
                <w:rFonts w:hint="eastAsia" w:ascii="宋体" w:hAnsi="宋体" w:cs="宋体"/>
                <w:color w:val="auto"/>
                <w:spacing w:val="-2"/>
                <w:sz w:val="24"/>
                <w:highlight w:val="none"/>
              </w:rPr>
              <w:t>分包承担</w:t>
            </w:r>
            <w:r>
              <w:rPr>
                <w:rFonts w:hint="eastAsia" w:ascii="宋体" w:hAnsi="宋体" w:cs="宋体"/>
                <w:color w:val="auto"/>
                <w:spacing w:val="1"/>
                <w:sz w:val="24"/>
                <w:highlight w:val="none"/>
              </w:rPr>
              <w:t xml:space="preserve"> </w:t>
            </w:r>
            <w:r>
              <w:rPr>
                <w:rFonts w:hint="eastAsia" w:ascii="宋体" w:hAnsi="宋体" w:cs="宋体"/>
                <w:color w:val="auto"/>
                <w:spacing w:val="-4"/>
                <w:sz w:val="24"/>
                <w:highlight w:val="none"/>
              </w:rPr>
              <w:t>主体名称</w:t>
            </w:r>
          </w:p>
        </w:tc>
        <w:tc>
          <w:tcPr>
            <w:tcW w:w="1891" w:type="dxa"/>
          </w:tcPr>
          <w:p w14:paraId="26C997BA">
            <w:pPr>
              <w:spacing w:before="43"/>
              <w:ind w:left="266" w:right="268" w:firstLine="10"/>
              <w:rPr>
                <w:rFonts w:ascii="宋体" w:hAnsi="宋体" w:cs="宋体"/>
                <w:color w:val="auto"/>
                <w:sz w:val="24"/>
                <w:highlight w:val="none"/>
              </w:rPr>
            </w:pPr>
            <w:r>
              <w:rPr>
                <w:rFonts w:hint="eastAsia" w:ascii="宋体" w:hAnsi="宋体" w:cs="宋体"/>
                <w:color w:val="auto"/>
                <w:spacing w:val="-2"/>
                <w:sz w:val="24"/>
                <w:highlight w:val="none"/>
              </w:rPr>
              <w:t>分包承担</w:t>
            </w:r>
            <w:r>
              <w:rPr>
                <w:rFonts w:hint="eastAsia" w:ascii="宋体" w:hAnsi="宋体" w:cs="宋体"/>
                <w:color w:val="auto"/>
                <w:spacing w:val="1"/>
                <w:sz w:val="24"/>
                <w:highlight w:val="none"/>
              </w:rPr>
              <w:t xml:space="preserve"> 主体类型</w:t>
            </w:r>
            <w:r>
              <w:rPr>
                <w:rFonts w:hint="eastAsia" w:ascii="宋体" w:hAnsi="宋体" w:cs="宋体"/>
                <w:color w:val="auto"/>
                <w:sz w:val="24"/>
                <w:highlight w:val="none"/>
              </w:rPr>
              <w:t xml:space="preserve"> </w:t>
            </w:r>
            <w:r>
              <w:rPr>
                <w:rFonts w:hint="eastAsia" w:ascii="宋体" w:hAnsi="宋体" w:cs="宋体"/>
                <w:color w:val="auto"/>
                <w:spacing w:val="2"/>
                <w:sz w:val="24"/>
                <w:highlight w:val="none"/>
              </w:rPr>
              <w:t>（选择）</w:t>
            </w:r>
          </w:p>
        </w:tc>
        <w:tc>
          <w:tcPr>
            <w:tcW w:w="744" w:type="dxa"/>
          </w:tcPr>
          <w:p w14:paraId="1ECE7B16">
            <w:pPr>
              <w:spacing w:before="102"/>
              <w:ind w:left="88"/>
              <w:rPr>
                <w:rFonts w:ascii="宋体" w:hAnsi="宋体" w:cs="宋体"/>
                <w:color w:val="auto"/>
                <w:sz w:val="24"/>
                <w:highlight w:val="none"/>
              </w:rPr>
            </w:pPr>
            <w:r>
              <w:rPr>
                <w:rFonts w:hint="eastAsia" w:ascii="宋体" w:hAnsi="宋体" w:cs="宋体"/>
                <w:color w:val="auto"/>
                <w:spacing w:val="-3"/>
                <w:sz w:val="24"/>
                <w:highlight w:val="none"/>
              </w:rPr>
              <w:t>资质等级</w:t>
            </w:r>
          </w:p>
        </w:tc>
        <w:tc>
          <w:tcPr>
            <w:tcW w:w="1559" w:type="dxa"/>
          </w:tcPr>
          <w:p w14:paraId="7254BD87">
            <w:pPr>
              <w:spacing w:before="216"/>
              <w:ind w:left="302" w:right="295" w:firstLine="123"/>
              <w:rPr>
                <w:rFonts w:ascii="宋体" w:hAnsi="宋体" w:cs="宋体"/>
                <w:color w:val="auto"/>
                <w:sz w:val="24"/>
                <w:highlight w:val="none"/>
              </w:rPr>
            </w:pPr>
            <w:r>
              <w:rPr>
                <w:rFonts w:hint="eastAsia" w:ascii="宋体" w:hAnsi="宋体" w:cs="宋体"/>
                <w:color w:val="auto"/>
                <w:spacing w:val="-3"/>
                <w:sz w:val="24"/>
                <w:highlight w:val="none"/>
              </w:rPr>
              <w:t>拟分包</w:t>
            </w:r>
            <w:r>
              <w:rPr>
                <w:rFonts w:hint="eastAsia" w:ascii="宋体" w:hAnsi="宋体" w:cs="宋体"/>
                <w:color w:val="auto"/>
                <w:sz w:val="24"/>
                <w:highlight w:val="none"/>
              </w:rPr>
              <w:t xml:space="preserve">  </w:t>
            </w:r>
            <w:r>
              <w:rPr>
                <w:rFonts w:hint="eastAsia" w:ascii="宋体" w:hAnsi="宋体" w:cs="宋体"/>
                <w:color w:val="auto"/>
                <w:spacing w:val="-1"/>
                <w:sz w:val="24"/>
                <w:highlight w:val="none"/>
              </w:rPr>
              <w:t>合同内容</w:t>
            </w:r>
          </w:p>
        </w:tc>
        <w:tc>
          <w:tcPr>
            <w:tcW w:w="1496" w:type="dxa"/>
          </w:tcPr>
          <w:p w14:paraId="37F7C946">
            <w:pPr>
              <w:spacing w:before="43"/>
              <w:ind w:left="393"/>
              <w:rPr>
                <w:rFonts w:ascii="宋体" w:hAnsi="宋体" w:cs="宋体"/>
                <w:color w:val="auto"/>
                <w:sz w:val="24"/>
                <w:highlight w:val="none"/>
              </w:rPr>
            </w:pPr>
            <w:r>
              <w:rPr>
                <w:rFonts w:hint="eastAsia" w:ascii="宋体" w:hAnsi="宋体" w:cs="宋体"/>
                <w:color w:val="auto"/>
                <w:spacing w:val="-3"/>
                <w:sz w:val="24"/>
                <w:highlight w:val="none"/>
              </w:rPr>
              <w:t>拟分包</w:t>
            </w:r>
          </w:p>
          <w:p w14:paraId="37F14531">
            <w:pPr>
              <w:spacing w:before="4"/>
              <w:ind w:left="20" w:right="19" w:firstLine="249"/>
              <w:rPr>
                <w:rFonts w:ascii="宋体" w:hAnsi="宋体" w:cs="宋体"/>
                <w:color w:val="auto"/>
                <w:sz w:val="24"/>
                <w:highlight w:val="none"/>
              </w:rPr>
            </w:pPr>
            <w:r>
              <w:rPr>
                <w:rFonts w:hint="eastAsia" w:ascii="宋体" w:hAnsi="宋体" w:cs="宋体"/>
                <w:color w:val="auto"/>
                <w:spacing w:val="-1"/>
                <w:sz w:val="24"/>
                <w:highlight w:val="none"/>
              </w:rPr>
              <w:t>合同金额</w:t>
            </w:r>
            <w:r>
              <w:rPr>
                <w:rFonts w:hint="eastAsia" w:ascii="宋体" w:hAnsi="宋体" w:cs="宋体"/>
                <w:color w:val="auto"/>
                <w:sz w:val="24"/>
                <w:highlight w:val="none"/>
              </w:rPr>
              <w:t xml:space="preserve">    </w:t>
            </w:r>
            <w:r>
              <w:rPr>
                <w:rFonts w:hint="eastAsia" w:ascii="宋体" w:hAnsi="宋体" w:cs="宋体"/>
                <w:color w:val="auto"/>
                <w:spacing w:val="1"/>
                <w:sz w:val="24"/>
                <w:highlight w:val="none"/>
              </w:rPr>
              <w:t>（人民币元）</w:t>
            </w:r>
          </w:p>
        </w:tc>
        <w:tc>
          <w:tcPr>
            <w:tcW w:w="1567" w:type="dxa"/>
          </w:tcPr>
          <w:p w14:paraId="3DF83C92">
            <w:pPr>
              <w:spacing w:before="44"/>
              <w:ind w:left="219"/>
              <w:rPr>
                <w:rFonts w:ascii="宋体" w:hAnsi="宋体" w:cs="宋体"/>
                <w:color w:val="auto"/>
                <w:sz w:val="24"/>
                <w:highlight w:val="none"/>
              </w:rPr>
            </w:pPr>
            <w:r>
              <w:rPr>
                <w:rFonts w:hint="eastAsia" w:ascii="宋体" w:hAnsi="宋体" w:cs="宋体"/>
                <w:color w:val="auto"/>
                <w:sz w:val="24"/>
                <w:highlight w:val="none"/>
              </w:rPr>
              <w:t>占该采购包</w:t>
            </w:r>
          </w:p>
          <w:p w14:paraId="773889B9">
            <w:pPr>
              <w:spacing w:before="2"/>
              <w:ind w:left="184"/>
              <w:rPr>
                <w:rFonts w:ascii="宋体" w:hAnsi="宋体" w:cs="宋体"/>
                <w:color w:val="auto"/>
                <w:sz w:val="24"/>
                <w:highlight w:val="none"/>
              </w:rPr>
            </w:pPr>
            <w:r>
              <w:rPr>
                <w:rFonts w:hint="eastAsia" w:ascii="宋体" w:hAnsi="宋体" w:cs="宋体"/>
                <w:color w:val="auto"/>
                <w:sz w:val="24"/>
                <w:highlight w:val="none"/>
              </w:rPr>
              <w:t>合同金额的</w:t>
            </w:r>
          </w:p>
          <w:p w14:paraId="4F08727F">
            <w:pPr>
              <w:pStyle w:val="326"/>
              <w:spacing w:before="2"/>
              <w:ind w:left="218"/>
              <w:rPr>
                <w:rFonts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比例（%）</w:t>
            </w:r>
          </w:p>
        </w:tc>
      </w:tr>
      <w:tr w14:paraId="12951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952" w:hRule="atLeast"/>
        </w:trPr>
        <w:tc>
          <w:tcPr>
            <w:tcW w:w="462" w:type="dxa"/>
          </w:tcPr>
          <w:p w14:paraId="086E8DB4">
            <w:pPr>
              <w:pStyle w:val="326"/>
              <w:spacing w:line="353" w:lineRule="auto"/>
              <w:rPr>
                <w:rFonts w:ascii="宋体" w:hAnsi="宋体" w:eastAsia="宋体" w:cs="宋体"/>
                <w:color w:val="auto"/>
                <w:highlight w:val="none"/>
                <w:lang w:eastAsia="zh-CN"/>
              </w:rPr>
            </w:pPr>
          </w:p>
          <w:p w14:paraId="143EEB6A">
            <w:pPr>
              <w:pStyle w:val="326"/>
              <w:spacing w:before="69" w:line="199" w:lineRule="auto"/>
              <w:ind w:left="17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85" w:type="dxa"/>
          </w:tcPr>
          <w:p w14:paraId="4CD9FDC0">
            <w:pPr>
              <w:pStyle w:val="326"/>
              <w:rPr>
                <w:rFonts w:ascii="宋体" w:hAnsi="宋体" w:eastAsia="宋体" w:cs="宋体"/>
                <w:color w:val="auto"/>
                <w:highlight w:val="none"/>
              </w:rPr>
            </w:pPr>
          </w:p>
        </w:tc>
        <w:tc>
          <w:tcPr>
            <w:tcW w:w="1891" w:type="dxa"/>
          </w:tcPr>
          <w:p w14:paraId="61E88A16">
            <w:pPr>
              <w:pStyle w:val="326"/>
              <w:spacing w:before="41"/>
              <w:ind w:left="135"/>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□中型企业</w:t>
            </w:r>
          </w:p>
          <w:p w14:paraId="310657F1">
            <w:pPr>
              <w:pStyle w:val="326"/>
              <w:spacing w:before="2"/>
              <w:ind w:left="375" w:right="207" w:hanging="240"/>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□小微企业</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19"/>
                <w:sz w:val="24"/>
                <w:szCs w:val="24"/>
                <w:highlight w:val="none"/>
                <w:lang w:eastAsia="zh-CN"/>
              </w:rPr>
              <w:t>□其他</w:t>
            </w:r>
          </w:p>
        </w:tc>
        <w:tc>
          <w:tcPr>
            <w:tcW w:w="744" w:type="dxa"/>
          </w:tcPr>
          <w:p w14:paraId="5B688C3F">
            <w:pPr>
              <w:pStyle w:val="326"/>
              <w:rPr>
                <w:rFonts w:ascii="宋体" w:hAnsi="宋体" w:eastAsia="宋体" w:cs="宋体"/>
                <w:color w:val="auto"/>
                <w:highlight w:val="none"/>
                <w:lang w:eastAsia="zh-CN"/>
              </w:rPr>
            </w:pPr>
          </w:p>
        </w:tc>
        <w:tc>
          <w:tcPr>
            <w:tcW w:w="1559" w:type="dxa"/>
          </w:tcPr>
          <w:p w14:paraId="54D9229B">
            <w:pPr>
              <w:pStyle w:val="326"/>
              <w:rPr>
                <w:rFonts w:ascii="宋体" w:hAnsi="宋体" w:eastAsia="宋体" w:cs="宋体"/>
                <w:color w:val="auto"/>
                <w:highlight w:val="none"/>
                <w:lang w:eastAsia="zh-CN"/>
              </w:rPr>
            </w:pPr>
          </w:p>
        </w:tc>
        <w:tc>
          <w:tcPr>
            <w:tcW w:w="1496" w:type="dxa"/>
          </w:tcPr>
          <w:p w14:paraId="2911665B">
            <w:pPr>
              <w:pStyle w:val="326"/>
              <w:rPr>
                <w:rFonts w:ascii="宋体" w:hAnsi="宋体" w:eastAsia="宋体" w:cs="宋体"/>
                <w:color w:val="auto"/>
                <w:highlight w:val="none"/>
                <w:lang w:eastAsia="zh-CN"/>
              </w:rPr>
            </w:pPr>
          </w:p>
        </w:tc>
        <w:tc>
          <w:tcPr>
            <w:tcW w:w="1567" w:type="dxa"/>
          </w:tcPr>
          <w:p w14:paraId="1B9086EE">
            <w:pPr>
              <w:pStyle w:val="326"/>
              <w:rPr>
                <w:rFonts w:ascii="宋体" w:hAnsi="宋体" w:eastAsia="宋体" w:cs="宋体"/>
                <w:color w:val="auto"/>
                <w:highlight w:val="none"/>
                <w:lang w:eastAsia="zh-CN"/>
              </w:rPr>
            </w:pPr>
          </w:p>
        </w:tc>
      </w:tr>
      <w:tr w14:paraId="64629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877" w:hRule="atLeast"/>
        </w:trPr>
        <w:tc>
          <w:tcPr>
            <w:tcW w:w="462" w:type="dxa"/>
          </w:tcPr>
          <w:p w14:paraId="7BE37D40">
            <w:pPr>
              <w:pStyle w:val="326"/>
              <w:spacing w:line="355" w:lineRule="auto"/>
              <w:rPr>
                <w:rFonts w:ascii="宋体" w:hAnsi="宋体" w:eastAsia="宋体" w:cs="宋体"/>
                <w:color w:val="auto"/>
                <w:highlight w:val="none"/>
                <w:lang w:eastAsia="zh-CN"/>
              </w:rPr>
            </w:pPr>
          </w:p>
          <w:p w14:paraId="61490758">
            <w:pPr>
              <w:pStyle w:val="326"/>
              <w:spacing w:before="69" w:line="201" w:lineRule="auto"/>
              <w:ind w:left="16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2</w:t>
            </w:r>
          </w:p>
        </w:tc>
        <w:tc>
          <w:tcPr>
            <w:tcW w:w="1285" w:type="dxa"/>
          </w:tcPr>
          <w:p w14:paraId="49ABA7FD">
            <w:pPr>
              <w:pStyle w:val="326"/>
              <w:rPr>
                <w:rFonts w:ascii="宋体" w:hAnsi="宋体" w:eastAsia="宋体" w:cs="宋体"/>
                <w:color w:val="auto"/>
                <w:highlight w:val="none"/>
              </w:rPr>
            </w:pPr>
          </w:p>
        </w:tc>
        <w:tc>
          <w:tcPr>
            <w:tcW w:w="1891" w:type="dxa"/>
          </w:tcPr>
          <w:p w14:paraId="595879C3">
            <w:pPr>
              <w:pStyle w:val="326"/>
              <w:spacing w:before="42"/>
              <w:ind w:left="135"/>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□中型企业</w:t>
            </w:r>
          </w:p>
          <w:p w14:paraId="32441A69">
            <w:pPr>
              <w:pStyle w:val="326"/>
              <w:spacing w:before="4"/>
              <w:ind w:left="375" w:right="207" w:hanging="240"/>
              <w:rPr>
                <w:rFonts w:ascii="宋体" w:hAnsi="宋体" w:eastAsia="宋体" w:cs="宋体"/>
                <w:color w:val="auto"/>
                <w:sz w:val="24"/>
                <w:szCs w:val="24"/>
                <w:highlight w:val="none"/>
                <w:lang w:eastAsia="zh-CN"/>
              </w:rPr>
            </w:pPr>
            <w:r>
              <w:rPr>
                <w:rFonts w:hint="eastAsia" w:ascii="宋体" w:hAnsi="宋体" w:eastAsia="宋体" w:cs="宋体"/>
                <w:color w:val="auto"/>
                <w:spacing w:val="11"/>
                <w:sz w:val="24"/>
                <w:szCs w:val="24"/>
                <w:highlight w:val="none"/>
                <w:lang w:eastAsia="zh-CN"/>
              </w:rPr>
              <w:t>□小微企业</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19"/>
                <w:sz w:val="24"/>
                <w:szCs w:val="24"/>
                <w:highlight w:val="none"/>
                <w:lang w:eastAsia="zh-CN"/>
              </w:rPr>
              <w:t>□其他</w:t>
            </w:r>
          </w:p>
        </w:tc>
        <w:tc>
          <w:tcPr>
            <w:tcW w:w="744" w:type="dxa"/>
          </w:tcPr>
          <w:p w14:paraId="79B60F8C">
            <w:pPr>
              <w:pStyle w:val="326"/>
              <w:rPr>
                <w:rFonts w:ascii="宋体" w:hAnsi="宋体" w:eastAsia="宋体" w:cs="宋体"/>
                <w:color w:val="auto"/>
                <w:highlight w:val="none"/>
                <w:lang w:eastAsia="zh-CN"/>
              </w:rPr>
            </w:pPr>
          </w:p>
        </w:tc>
        <w:tc>
          <w:tcPr>
            <w:tcW w:w="1559" w:type="dxa"/>
          </w:tcPr>
          <w:p w14:paraId="587F7328">
            <w:pPr>
              <w:pStyle w:val="326"/>
              <w:rPr>
                <w:rFonts w:ascii="宋体" w:hAnsi="宋体" w:eastAsia="宋体" w:cs="宋体"/>
                <w:color w:val="auto"/>
                <w:highlight w:val="none"/>
                <w:lang w:eastAsia="zh-CN"/>
              </w:rPr>
            </w:pPr>
          </w:p>
        </w:tc>
        <w:tc>
          <w:tcPr>
            <w:tcW w:w="1496" w:type="dxa"/>
          </w:tcPr>
          <w:p w14:paraId="2C71A4C4">
            <w:pPr>
              <w:pStyle w:val="326"/>
              <w:rPr>
                <w:rFonts w:ascii="宋体" w:hAnsi="宋体" w:eastAsia="宋体" w:cs="宋体"/>
                <w:color w:val="auto"/>
                <w:highlight w:val="none"/>
                <w:lang w:eastAsia="zh-CN"/>
              </w:rPr>
            </w:pPr>
          </w:p>
        </w:tc>
        <w:tc>
          <w:tcPr>
            <w:tcW w:w="1567" w:type="dxa"/>
          </w:tcPr>
          <w:p w14:paraId="1ECAC7E0">
            <w:pPr>
              <w:pStyle w:val="326"/>
              <w:rPr>
                <w:rFonts w:ascii="宋体" w:hAnsi="宋体" w:eastAsia="宋体" w:cs="宋体"/>
                <w:color w:val="auto"/>
                <w:highlight w:val="none"/>
                <w:lang w:eastAsia="zh-CN"/>
              </w:rPr>
            </w:pPr>
          </w:p>
        </w:tc>
      </w:tr>
      <w:tr w14:paraId="0290D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4" w:hRule="atLeast"/>
        </w:trPr>
        <w:tc>
          <w:tcPr>
            <w:tcW w:w="462" w:type="dxa"/>
          </w:tcPr>
          <w:p w14:paraId="35AB1F0E">
            <w:pPr>
              <w:pStyle w:val="326"/>
              <w:spacing w:line="293" w:lineRule="auto"/>
              <w:rPr>
                <w:rFonts w:ascii="宋体" w:hAnsi="宋体" w:eastAsia="宋体" w:cs="宋体"/>
                <w:color w:val="auto"/>
                <w:highlight w:val="none"/>
                <w:lang w:eastAsia="zh-CN"/>
              </w:rPr>
            </w:pPr>
          </w:p>
          <w:p w14:paraId="00D336D4">
            <w:pPr>
              <w:pStyle w:val="326"/>
              <w:spacing w:before="69" w:line="81" w:lineRule="exact"/>
              <w:ind w:left="135"/>
              <w:rPr>
                <w:rFonts w:ascii="宋体" w:hAnsi="宋体" w:eastAsia="宋体" w:cs="宋体"/>
                <w:color w:val="auto"/>
                <w:sz w:val="24"/>
                <w:szCs w:val="24"/>
                <w:highlight w:val="none"/>
              </w:rPr>
            </w:pPr>
            <w:r>
              <w:rPr>
                <w:rFonts w:hint="eastAsia" w:ascii="宋体" w:hAnsi="宋体" w:eastAsia="宋体" w:cs="宋体"/>
                <w:color w:val="auto"/>
                <w:position w:val="1"/>
                <w:sz w:val="24"/>
                <w:szCs w:val="24"/>
                <w:highlight w:val="none"/>
              </w:rPr>
              <w:t>…</w:t>
            </w:r>
          </w:p>
        </w:tc>
        <w:tc>
          <w:tcPr>
            <w:tcW w:w="1285" w:type="dxa"/>
          </w:tcPr>
          <w:p w14:paraId="41EB1538">
            <w:pPr>
              <w:pStyle w:val="326"/>
              <w:rPr>
                <w:rFonts w:ascii="宋体" w:hAnsi="宋体" w:eastAsia="宋体" w:cs="宋体"/>
                <w:color w:val="auto"/>
                <w:highlight w:val="none"/>
              </w:rPr>
            </w:pPr>
          </w:p>
        </w:tc>
        <w:tc>
          <w:tcPr>
            <w:tcW w:w="1891" w:type="dxa"/>
          </w:tcPr>
          <w:p w14:paraId="7299D3A4">
            <w:pPr>
              <w:pStyle w:val="326"/>
              <w:rPr>
                <w:rFonts w:ascii="宋体" w:hAnsi="宋体" w:eastAsia="宋体" w:cs="宋体"/>
                <w:color w:val="auto"/>
                <w:highlight w:val="none"/>
              </w:rPr>
            </w:pPr>
          </w:p>
        </w:tc>
        <w:tc>
          <w:tcPr>
            <w:tcW w:w="744" w:type="dxa"/>
          </w:tcPr>
          <w:p w14:paraId="12593F21">
            <w:pPr>
              <w:pStyle w:val="326"/>
              <w:rPr>
                <w:rFonts w:ascii="宋体" w:hAnsi="宋体" w:eastAsia="宋体" w:cs="宋体"/>
                <w:color w:val="auto"/>
                <w:highlight w:val="none"/>
              </w:rPr>
            </w:pPr>
          </w:p>
        </w:tc>
        <w:tc>
          <w:tcPr>
            <w:tcW w:w="1559" w:type="dxa"/>
          </w:tcPr>
          <w:p w14:paraId="04D794E8">
            <w:pPr>
              <w:pStyle w:val="326"/>
              <w:rPr>
                <w:rFonts w:ascii="宋体" w:hAnsi="宋体" w:eastAsia="宋体" w:cs="宋体"/>
                <w:color w:val="auto"/>
                <w:highlight w:val="none"/>
              </w:rPr>
            </w:pPr>
          </w:p>
        </w:tc>
        <w:tc>
          <w:tcPr>
            <w:tcW w:w="1496" w:type="dxa"/>
          </w:tcPr>
          <w:p w14:paraId="5D78396F">
            <w:pPr>
              <w:pStyle w:val="326"/>
              <w:rPr>
                <w:rFonts w:ascii="宋体" w:hAnsi="宋体" w:eastAsia="宋体" w:cs="宋体"/>
                <w:color w:val="auto"/>
                <w:highlight w:val="none"/>
              </w:rPr>
            </w:pPr>
          </w:p>
        </w:tc>
        <w:tc>
          <w:tcPr>
            <w:tcW w:w="1567" w:type="dxa"/>
          </w:tcPr>
          <w:p w14:paraId="68403728">
            <w:pPr>
              <w:pStyle w:val="326"/>
              <w:rPr>
                <w:rFonts w:ascii="宋体" w:hAnsi="宋体" w:eastAsia="宋体" w:cs="宋体"/>
                <w:color w:val="auto"/>
                <w:highlight w:val="none"/>
              </w:rPr>
            </w:pPr>
          </w:p>
        </w:tc>
      </w:tr>
      <w:tr w14:paraId="3CD755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29" w:hRule="atLeast"/>
        </w:trPr>
        <w:tc>
          <w:tcPr>
            <w:tcW w:w="5941" w:type="dxa"/>
            <w:gridSpan w:val="5"/>
          </w:tcPr>
          <w:p w14:paraId="0ADE401B">
            <w:pPr>
              <w:spacing w:before="180" w:line="201" w:lineRule="auto"/>
              <w:ind w:left="5161"/>
              <w:rPr>
                <w:rFonts w:ascii="宋体" w:hAnsi="宋体" w:cs="宋体"/>
                <w:color w:val="auto"/>
                <w:sz w:val="24"/>
                <w:highlight w:val="none"/>
              </w:rPr>
            </w:pPr>
            <w:r>
              <w:rPr>
                <w:rFonts w:hint="eastAsia" w:ascii="宋体" w:hAnsi="宋体" w:cs="宋体"/>
                <w:color w:val="auto"/>
                <w:spacing w:val="-2"/>
                <w:sz w:val="24"/>
                <w:highlight w:val="none"/>
              </w:rPr>
              <w:t>合计：</w:t>
            </w:r>
          </w:p>
        </w:tc>
        <w:tc>
          <w:tcPr>
            <w:tcW w:w="1496" w:type="dxa"/>
          </w:tcPr>
          <w:p w14:paraId="0B4E11A6">
            <w:pPr>
              <w:pStyle w:val="326"/>
              <w:rPr>
                <w:rFonts w:ascii="宋体" w:hAnsi="宋体" w:eastAsia="宋体" w:cs="宋体"/>
                <w:color w:val="auto"/>
                <w:highlight w:val="none"/>
              </w:rPr>
            </w:pPr>
          </w:p>
        </w:tc>
        <w:tc>
          <w:tcPr>
            <w:tcW w:w="1567" w:type="dxa"/>
          </w:tcPr>
          <w:p w14:paraId="4D07BC80">
            <w:pPr>
              <w:pStyle w:val="326"/>
              <w:rPr>
                <w:rFonts w:ascii="宋体" w:hAnsi="宋体" w:eastAsia="宋体" w:cs="宋体"/>
                <w:color w:val="auto"/>
                <w:highlight w:val="none"/>
              </w:rPr>
            </w:pPr>
          </w:p>
        </w:tc>
      </w:tr>
    </w:tbl>
    <w:p w14:paraId="2C0030E9">
      <w:pPr>
        <w:pStyle w:val="32"/>
        <w:spacing w:line="380" w:lineRule="auto"/>
        <w:rPr>
          <w:color w:val="auto"/>
          <w:highlight w:val="none"/>
        </w:rPr>
      </w:pPr>
    </w:p>
    <w:p w14:paraId="1E6135E9">
      <w:pPr>
        <w:spacing w:before="103" w:line="315" w:lineRule="auto"/>
        <w:ind w:left="5680" w:right="190" w:hanging="1067"/>
        <w:rPr>
          <w:rFonts w:ascii="宋体" w:hAnsi="宋体" w:cs="宋体"/>
          <w:color w:val="auto"/>
          <w:spacing w:val="1"/>
          <w:sz w:val="24"/>
          <w:highlight w:val="none"/>
        </w:rPr>
      </w:pPr>
      <w:r>
        <w:rPr>
          <w:rFonts w:hint="eastAsia" w:ascii="宋体" w:hAnsi="宋体" w:cs="宋体"/>
          <w:color w:val="auto"/>
          <w:spacing w:val="-1"/>
          <w:sz w:val="24"/>
          <w:highlight w:val="none"/>
        </w:rPr>
        <w:t>供应商名称（加盖公章</w:t>
      </w:r>
      <w:r>
        <w:rPr>
          <w:rFonts w:hint="eastAsia" w:ascii="宋体" w:hAnsi="宋体" w:cs="宋体"/>
          <w:color w:val="auto"/>
          <w:spacing w:val="-59"/>
          <w:sz w:val="24"/>
          <w:highlight w:val="none"/>
        </w:rPr>
        <w:t>）：</w:t>
      </w:r>
      <w:r>
        <w:rPr>
          <w:rFonts w:hint="eastAsia" w:ascii="宋体" w:hAnsi="宋体" w:cs="宋体"/>
          <w:color w:val="auto"/>
          <w:spacing w:val="1"/>
          <w:sz w:val="24"/>
          <w:highlight w:val="none"/>
          <w:u w:val="single"/>
        </w:rPr>
        <w:t xml:space="preserve">          </w:t>
      </w:r>
      <w:r>
        <w:rPr>
          <w:rFonts w:hint="eastAsia" w:ascii="宋体" w:hAnsi="宋体" w:cs="宋体"/>
          <w:color w:val="auto"/>
          <w:spacing w:val="1"/>
          <w:sz w:val="24"/>
          <w:highlight w:val="none"/>
        </w:rPr>
        <w:t xml:space="preserve">  </w:t>
      </w:r>
    </w:p>
    <w:p w14:paraId="125DE844">
      <w:pPr>
        <w:spacing w:before="103" w:line="315" w:lineRule="auto"/>
        <w:ind w:left="5680" w:right="190" w:hanging="1067"/>
        <w:rPr>
          <w:color w:val="auto"/>
          <w:highlight w:val="none"/>
        </w:rPr>
      </w:pPr>
      <w:r>
        <w:rPr>
          <w:rFonts w:hint="eastAsia" w:ascii="宋体" w:hAnsi="宋体" w:cs="宋体"/>
          <w:color w:val="auto"/>
          <w:spacing w:val="-22"/>
          <w:sz w:val="24"/>
          <w:highlight w:val="none"/>
        </w:rPr>
        <w:t>日期：</w:t>
      </w:r>
      <w:r>
        <w:rPr>
          <w:rFonts w:hint="eastAsia" w:ascii="宋体" w:hAnsi="宋体" w:cs="宋体"/>
          <w:color w:val="auto"/>
          <w:spacing w:val="1"/>
          <w:sz w:val="24"/>
          <w:highlight w:val="none"/>
          <w:u w:val="single"/>
        </w:rPr>
        <w:t xml:space="preserve">     </w:t>
      </w:r>
      <w:r>
        <w:rPr>
          <w:rFonts w:hint="eastAsia" w:ascii="宋体" w:hAnsi="宋体" w:cs="宋体"/>
          <w:color w:val="auto"/>
          <w:spacing w:val="-61"/>
          <w:sz w:val="24"/>
          <w:highlight w:val="none"/>
        </w:rPr>
        <w:t xml:space="preserve"> </w:t>
      </w:r>
      <w:r>
        <w:rPr>
          <w:rFonts w:hint="eastAsia" w:ascii="宋体" w:hAnsi="宋体" w:cs="宋体"/>
          <w:color w:val="auto"/>
          <w:spacing w:val="-22"/>
          <w:sz w:val="24"/>
          <w:highlight w:val="none"/>
        </w:rPr>
        <w:t>年</w:t>
      </w:r>
      <w:r>
        <w:rPr>
          <w:rFonts w:hint="eastAsia" w:ascii="宋体" w:hAnsi="宋体" w:cs="宋体"/>
          <w:color w:val="auto"/>
          <w:spacing w:val="1"/>
          <w:sz w:val="24"/>
          <w:highlight w:val="none"/>
          <w:u w:val="single"/>
        </w:rPr>
        <w:t xml:space="preserve">     </w:t>
      </w:r>
      <w:r>
        <w:rPr>
          <w:rFonts w:hint="eastAsia" w:ascii="宋体" w:hAnsi="宋体" w:cs="宋体"/>
          <w:color w:val="auto"/>
          <w:spacing w:val="-63"/>
          <w:sz w:val="24"/>
          <w:highlight w:val="none"/>
        </w:rPr>
        <w:t xml:space="preserve"> </w:t>
      </w:r>
      <w:r>
        <w:rPr>
          <w:rFonts w:hint="eastAsia" w:ascii="宋体" w:hAnsi="宋体" w:cs="宋体"/>
          <w:color w:val="auto"/>
          <w:spacing w:val="-22"/>
          <w:sz w:val="24"/>
          <w:highlight w:val="none"/>
        </w:rPr>
        <w:t>月</w:t>
      </w:r>
      <w:r>
        <w:rPr>
          <w:rFonts w:hint="eastAsia" w:ascii="宋体" w:hAnsi="宋体" w:cs="宋体"/>
          <w:color w:val="auto"/>
          <w:spacing w:val="1"/>
          <w:sz w:val="24"/>
          <w:highlight w:val="none"/>
          <w:u w:val="single"/>
        </w:rPr>
        <w:t xml:space="preserve">     </w:t>
      </w:r>
      <w:r>
        <w:rPr>
          <w:rFonts w:hint="eastAsia" w:ascii="宋体" w:hAnsi="宋体" w:cs="宋体"/>
          <w:color w:val="auto"/>
          <w:spacing w:val="-15"/>
          <w:sz w:val="24"/>
          <w:highlight w:val="none"/>
        </w:rPr>
        <w:t xml:space="preserve"> </w:t>
      </w:r>
      <w:r>
        <w:rPr>
          <w:rFonts w:hint="eastAsia" w:ascii="宋体" w:hAnsi="宋体" w:cs="宋体"/>
          <w:color w:val="auto"/>
          <w:spacing w:val="-22"/>
          <w:sz w:val="24"/>
          <w:highlight w:val="none"/>
        </w:rPr>
        <w:t>日</w:t>
      </w:r>
    </w:p>
    <w:p w14:paraId="37A42A28">
      <w:pPr>
        <w:spacing w:before="103" w:line="203" w:lineRule="auto"/>
        <w:ind w:left="15"/>
        <w:rPr>
          <w:rFonts w:ascii="宋体" w:hAnsi="宋体" w:cs="宋体"/>
          <w:color w:val="auto"/>
          <w:sz w:val="24"/>
          <w:highlight w:val="none"/>
        </w:rPr>
      </w:pPr>
      <w:r>
        <w:rPr>
          <w:rFonts w:hint="eastAsia" w:ascii="宋体" w:hAnsi="宋体" w:cs="宋体"/>
          <w:color w:val="auto"/>
          <w:spacing w:val="-6"/>
          <w:sz w:val="24"/>
          <w:highlight w:val="none"/>
        </w:rPr>
        <w:t>注：</w:t>
      </w:r>
    </w:p>
    <w:p w14:paraId="2FF215E0">
      <w:pPr>
        <w:pStyle w:val="32"/>
        <w:spacing w:before="175" w:line="360" w:lineRule="auto"/>
        <w:ind w:left="8" w:right="245" w:hanging="9"/>
        <w:rPr>
          <w:rFonts w:cs="宋体"/>
          <w:color w:val="auto"/>
          <w:highlight w:val="none"/>
        </w:rPr>
      </w:pPr>
      <w:r>
        <w:rPr>
          <w:rFonts w:hint="eastAsia" w:cs="宋体"/>
          <w:color w:val="auto"/>
          <w:spacing w:val="-7"/>
          <w:highlight w:val="none"/>
        </w:rPr>
        <w:t>（ 1）当供应商属于本部分说明中第（ 1</w:t>
      </w:r>
      <w:r>
        <w:rPr>
          <w:rFonts w:hint="eastAsia" w:cs="宋体"/>
          <w:color w:val="auto"/>
          <w:spacing w:val="-21"/>
          <w:highlight w:val="none"/>
        </w:rPr>
        <w:t xml:space="preserve"> </w:t>
      </w:r>
      <w:r>
        <w:rPr>
          <w:rFonts w:hint="eastAsia" w:cs="宋体"/>
          <w:color w:val="auto"/>
          <w:spacing w:val="-8"/>
          <w:highlight w:val="none"/>
        </w:rPr>
        <w:t>）类情形</w:t>
      </w:r>
      <w:r>
        <w:rPr>
          <w:rFonts w:hint="eastAsia" w:cs="宋体"/>
          <w:color w:val="auto"/>
          <w:spacing w:val="-29"/>
          <w:highlight w:val="none"/>
        </w:rPr>
        <w:t xml:space="preserve"> </w:t>
      </w:r>
      <w:r>
        <w:rPr>
          <w:rFonts w:hint="eastAsia" w:cs="宋体"/>
          <w:color w:val="auto"/>
          <w:spacing w:val="-8"/>
          <w:highlight w:val="none"/>
        </w:rPr>
        <w:t>，如未提供《拟分包情况说明》，或提</w:t>
      </w:r>
      <w:r>
        <w:rPr>
          <w:rFonts w:hint="eastAsia" w:cs="宋体"/>
          <w:color w:val="auto"/>
          <w:highlight w:val="none"/>
        </w:rPr>
        <w:t xml:space="preserve"> </w:t>
      </w:r>
      <w:r>
        <w:rPr>
          <w:rFonts w:hint="eastAsia" w:cs="宋体"/>
          <w:color w:val="auto"/>
          <w:spacing w:val="-1"/>
          <w:highlight w:val="none"/>
        </w:rPr>
        <w:t>供了《拟分包情况说明》但未填写分包承担主体名称</w:t>
      </w:r>
      <w:r>
        <w:rPr>
          <w:rFonts w:hint="eastAsia" w:cs="宋体"/>
          <w:color w:val="auto"/>
          <w:spacing w:val="-2"/>
          <w:highlight w:val="none"/>
        </w:rPr>
        <w:t>、拟分包合同内容、拟分包合同金</w:t>
      </w:r>
      <w:r>
        <w:rPr>
          <w:rFonts w:hint="eastAsia" w:cs="宋体"/>
          <w:color w:val="auto"/>
          <w:highlight w:val="none"/>
        </w:rPr>
        <w:t xml:space="preserve"> </w:t>
      </w:r>
      <w:r>
        <w:rPr>
          <w:rFonts w:hint="eastAsia" w:cs="宋体"/>
          <w:color w:val="auto"/>
          <w:spacing w:val="-1"/>
          <w:highlight w:val="none"/>
        </w:rPr>
        <w:t>额，其</w:t>
      </w:r>
      <w:r>
        <w:rPr>
          <w:rFonts w:hint="eastAsia" w:cs="宋体"/>
          <w:b/>
          <w:bCs/>
          <w:color w:val="auto"/>
          <w:spacing w:val="-1"/>
          <w:highlight w:val="none"/>
        </w:rPr>
        <w:t>响应无效</w:t>
      </w:r>
      <w:r>
        <w:rPr>
          <w:rFonts w:hint="eastAsia" w:cs="宋体"/>
          <w:color w:val="auto"/>
          <w:spacing w:val="-1"/>
          <w:highlight w:val="none"/>
        </w:rPr>
        <w:t>；</w:t>
      </w:r>
    </w:p>
    <w:p w14:paraId="753E07F1">
      <w:pPr>
        <w:pStyle w:val="32"/>
        <w:spacing w:before="181" w:line="360" w:lineRule="auto"/>
        <w:ind w:left="8" w:right="245" w:hanging="9"/>
        <w:rPr>
          <w:rFonts w:cs="宋体"/>
          <w:color w:val="auto"/>
          <w:highlight w:val="none"/>
        </w:rPr>
      </w:pPr>
      <w:r>
        <w:rPr>
          <w:rFonts w:hint="eastAsia" w:cs="宋体"/>
          <w:color w:val="auto"/>
          <w:spacing w:val="-8"/>
          <w:highlight w:val="none"/>
        </w:rPr>
        <w:t>（ 2</w:t>
      </w:r>
      <w:r>
        <w:rPr>
          <w:rFonts w:hint="eastAsia" w:cs="宋体"/>
          <w:color w:val="auto"/>
          <w:spacing w:val="-24"/>
          <w:highlight w:val="none"/>
        </w:rPr>
        <w:t xml:space="preserve"> </w:t>
      </w:r>
      <w:r>
        <w:rPr>
          <w:rFonts w:hint="eastAsia" w:cs="宋体"/>
          <w:color w:val="auto"/>
          <w:spacing w:val="-8"/>
          <w:highlight w:val="none"/>
        </w:rPr>
        <w:t xml:space="preserve">）当供应商属于本部分说明中第（ </w:t>
      </w:r>
      <w:r>
        <w:rPr>
          <w:rFonts w:hint="eastAsia" w:cs="宋体"/>
          <w:color w:val="auto"/>
          <w:spacing w:val="-9"/>
          <w:highlight w:val="none"/>
        </w:rPr>
        <w:t>2</w:t>
      </w:r>
      <w:r>
        <w:rPr>
          <w:rFonts w:hint="eastAsia" w:cs="宋体"/>
          <w:color w:val="auto"/>
          <w:spacing w:val="-22"/>
          <w:highlight w:val="none"/>
        </w:rPr>
        <w:t xml:space="preserve"> </w:t>
      </w:r>
      <w:r>
        <w:rPr>
          <w:rFonts w:hint="eastAsia" w:cs="宋体"/>
          <w:color w:val="auto"/>
          <w:spacing w:val="-9"/>
          <w:highlight w:val="none"/>
        </w:rPr>
        <w:t>）类情形</w:t>
      </w:r>
      <w:r>
        <w:rPr>
          <w:rFonts w:hint="eastAsia" w:cs="宋体"/>
          <w:color w:val="auto"/>
          <w:spacing w:val="-29"/>
          <w:highlight w:val="none"/>
        </w:rPr>
        <w:t xml:space="preserve"> </w:t>
      </w:r>
      <w:r>
        <w:rPr>
          <w:rFonts w:hint="eastAsia" w:cs="宋体"/>
          <w:color w:val="auto"/>
          <w:spacing w:val="-9"/>
          <w:highlight w:val="none"/>
        </w:rPr>
        <w:t>，如未提供《拟分包情况说明》，或提</w:t>
      </w:r>
      <w:r>
        <w:rPr>
          <w:rFonts w:hint="eastAsia" w:cs="宋体"/>
          <w:color w:val="auto"/>
          <w:highlight w:val="none"/>
        </w:rPr>
        <w:t xml:space="preserve"> </w:t>
      </w:r>
      <w:r>
        <w:rPr>
          <w:rFonts w:hint="eastAsia" w:cs="宋体"/>
          <w:color w:val="auto"/>
          <w:spacing w:val="-1"/>
          <w:highlight w:val="none"/>
        </w:rPr>
        <w:t>供了《拟分包情况说明》但未填写分包承担主体名称</w:t>
      </w:r>
      <w:r>
        <w:rPr>
          <w:rFonts w:hint="eastAsia" w:cs="宋体"/>
          <w:color w:val="auto"/>
          <w:spacing w:val="-2"/>
          <w:highlight w:val="none"/>
        </w:rPr>
        <w:t>、分包承担主体类型、拟分包合同</w:t>
      </w:r>
      <w:r>
        <w:rPr>
          <w:rFonts w:hint="eastAsia" w:cs="宋体"/>
          <w:color w:val="auto"/>
          <w:highlight w:val="none"/>
        </w:rPr>
        <w:t xml:space="preserve"> </w:t>
      </w:r>
      <w:r>
        <w:rPr>
          <w:rFonts w:hint="eastAsia" w:cs="宋体"/>
          <w:color w:val="auto"/>
          <w:spacing w:val="-1"/>
          <w:highlight w:val="none"/>
        </w:rPr>
        <w:t>内容、拟分包合同金额，其</w:t>
      </w:r>
      <w:r>
        <w:rPr>
          <w:rFonts w:hint="eastAsia" w:cs="宋体"/>
          <w:b/>
          <w:bCs/>
          <w:color w:val="auto"/>
          <w:spacing w:val="-1"/>
          <w:highlight w:val="none"/>
        </w:rPr>
        <w:t>响应无效</w:t>
      </w:r>
      <w:r>
        <w:rPr>
          <w:rFonts w:hint="eastAsia" w:cs="宋体"/>
          <w:color w:val="auto"/>
          <w:spacing w:val="-1"/>
          <w:highlight w:val="none"/>
        </w:rPr>
        <w:t>；</w:t>
      </w:r>
    </w:p>
    <w:p w14:paraId="67C39306">
      <w:pPr>
        <w:pStyle w:val="32"/>
        <w:spacing w:before="180" w:line="360" w:lineRule="auto"/>
        <w:rPr>
          <w:rFonts w:cs="宋体"/>
          <w:color w:val="auto"/>
          <w:highlight w:val="none"/>
        </w:rPr>
      </w:pPr>
      <w:r>
        <w:rPr>
          <w:rFonts w:hint="eastAsia" w:cs="宋体"/>
          <w:color w:val="auto"/>
          <w:spacing w:val="1"/>
          <w:highlight w:val="none"/>
        </w:rPr>
        <w:t>（3）如本采购文件《供应商须知资料表》载明本</w:t>
      </w:r>
      <w:r>
        <w:rPr>
          <w:rFonts w:hint="eastAsia" w:cs="宋体"/>
          <w:color w:val="auto"/>
          <w:highlight w:val="none"/>
        </w:rPr>
        <w:t>项目分包承担主体应具备的相应资质</w:t>
      </w:r>
      <w:r>
        <w:rPr>
          <w:rFonts w:hint="eastAsia" w:cs="宋体"/>
          <w:color w:val="auto"/>
          <w:spacing w:val="-1"/>
          <w:highlight w:val="none"/>
        </w:rPr>
        <w:t>条件，则供应商须在本表中列明分包承担主体的</w:t>
      </w:r>
      <w:r>
        <w:rPr>
          <w:rFonts w:hint="eastAsia" w:cs="宋体"/>
          <w:color w:val="auto"/>
          <w:spacing w:val="-2"/>
          <w:highlight w:val="none"/>
        </w:rPr>
        <w:t>资质等级，并后附资质证书，否</w:t>
      </w:r>
      <w:r>
        <w:rPr>
          <w:rFonts w:hint="eastAsia" w:cs="宋体"/>
          <w:color w:val="auto"/>
          <w:highlight w:val="none"/>
        </w:rPr>
        <w:t xml:space="preserve"> </w:t>
      </w:r>
      <w:r>
        <w:rPr>
          <w:rFonts w:hint="eastAsia" w:cs="宋体"/>
          <w:color w:val="auto"/>
          <w:spacing w:val="-1"/>
          <w:highlight w:val="none"/>
        </w:rPr>
        <w:t>则</w:t>
      </w:r>
      <w:r>
        <w:rPr>
          <w:rFonts w:hint="eastAsia" w:cs="宋体"/>
          <w:b/>
          <w:bCs/>
          <w:color w:val="auto"/>
          <w:spacing w:val="-1"/>
          <w:highlight w:val="none"/>
        </w:rPr>
        <w:t>响应无效</w:t>
      </w:r>
      <w:r>
        <w:rPr>
          <w:rFonts w:hint="eastAsia" w:cs="宋体"/>
          <w:color w:val="auto"/>
          <w:spacing w:val="-1"/>
          <w:highlight w:val="none"/>
        </w:rPr>
        <w:t>。</w:t>
      </w:r>
    </w:p>
    <w:p w14:paraId="76EB479A">
      <w:pPr>
        <w:spacing w:line="196" w:lineRule="auto"/>
        <w:rPr>
          <w:rFonts w:ascii="宋体" w:hAnsi="宋体" w:cs="宋体"/>
          <w:color w:val="auto"/>
          <w:sz w:val="24"/>
          <w:highlight w:val="none"/>
        </w:rPr>
        <w:sectPr>
          <w:headerReference r:id="rId33" w:type="default"/>
          <w:footerReference r:id="rId34" w:type="default"/>
          <w:pgSz w:w="11907" w:h="16840"/>
          <w:pgMar w:top="1149" w:right="888" w:bottom="1060" w:left="1696" w:header="875" w:footer="886" w:gutter="0"/>
          <w:cols w:space="720" w:num="1"/>
        </w:sectPr>
      </w:pPr>
    </w:p>
    <w:p w14:paraId="3B26DD20">
      <w:pPr>
        <w:spacing w:before="328" w:line="205" w:lineRule="auto"/>
        <w:ind w:left="3464"/>
        <w:rPr>
          <w:rFonts w:ascii="微软雅黑" w:hAnsi="微软雅黑" w:eastAsia="微软雅黑" w:cs="微软雅黑"/>
          <w:color w:val="auto"/>
          <w:sz w:val="35"/>
          <w:szCs w:val="35"/>
          <w:highlight w:val="none"/>
        </w:rPr>
      </w:pPr>
      <w:r>
        <w:rPr>
          <w:rFonts w:ascii="微软雅黑" w:hAnsi="微软雅黑" w:eastAsia="微软雅黑" w:cs="微软雅黑"/>
          <w:b/>
          <w:bCs/>
          <w:color w:val="auto"/>
          <w:spacing w:val="9"/>
          <w:sz w:val="35"/>
          <w:szCs w:val="35"/>
          <w:highlight w:val="none"/>
        </w:rPr>
        <w:t>分包意向协议</w:t>
      </w:r>
    </w:p>
    <w:p w14:paraId="5CFDE9F8">
      <w:pPr>
        <w:spacing w:before="248" w:line="196" w:lineRule="auto"/>
        <w:ind w:left="518"/>
        <w:rPr>
          <w:rFonts w:ascii="微软雅黑" w:hAnsi="微软雅黑" w:eastAsia="微软雅黑" w:cs="微软雅黑"/>
          <w:color w:val="auto"/>
          <w:sz w:val="24"/>
          <w:highlight w:val="none"/>
        </w:rPr>
      </w:pPr>
      <w:r>
        <w:rPr>
          <w:rFonts w:ascii="宋体" w:hAnsi="宋体" w:cs="宋体"/>
          <w:color w:val="auto"/>
          <w:spacing w:val="-3"/>
          <w:sz w:val="24"/>
          <w:highlight w:val="none"/>
        </w:rPr>
        <w:t>甲方（供应商）：</w:t>
      </w:r>
      <w:r>
        <w:rPr>
          <w:rFonts w:ascii="宋体" w:hAnsi="宋体" w:cs="宋体"/>
          <w:color w:val="auto"/>
          <w:spacing w:val="-3"/>
          <w:sz w:val="24"/>
          <w:highlight w:val="none"/>
          <w:u w:val="single"/>
        </w:rPr>
        <w:t xml:space="preserve">     </w:t>
      </w:r>
      <w:r>
        <w:rPr>
          <w:rFonts w:ascii="微软雅黑" w:hAnsi="微软雅黑" w:eastAsia="微软雅黑" w:cs="微软雅黑"/>
          <w:color w:val="auto"/>
          <w:sz w:val="24"/>
          <w:highlight w:val="none"/>
          <w:u w:val="single"/>
        </w:rPr>
        <w:t xml:space="preserve">      </w:t>
      </w:r>
    </w:p>
    <w:p w14:paraId="1405A4AA">
      <w:pPr>
        <w:spacing w:before="186" w:line="360" w:lineRule="auto"/>
        <w:ind w:left="504"/>
        <w:rPr>
          <w:rFonts w:ascii="宋体" w:hAnsi="宋体" w:cs="宋体"/>
          <w:color w:val="auto"/>
          <w:sz w:val="24"/>
          <w:highlight w:val="none"/>
        </w:rPr>
      </w:pPr>
      <w:r>
        <w:rPr>
          <w:rFonts w:hint="eastAsia" w:ascii="宋体" w:hAnsi="宋体" w:cs="宋体"/>
          <w:color w:val="auto"/>
          <w:spacing w:val="-3"/>
          <w:sz w:val="24"/>
          <w:highlight w:val="none"/>
        </w:rPr>
        <w:t>乙方（拟分包单位</w:t>
      </w:r>
      <w:r>
        <w:rPr>
          <w:rFonts w:hint="eastAsia" w:ascii="宋体" w:hAnsi="宋体" w:cs="宋体"/>
          <w:color w:val="auto"/>
          <w:spacing w:val="-59"/>
          <w:sz w:val="24"/>
          <w:highlight w:val="none"/>
        </w:rPr>
        <w:t>）：</w:t>
      </w:r>
      <w:r>
        <w:rPr>
          <w:rFonts w:hint="eastAsia" w:ascii="宋体" w:hAnsi="宋体" w:cs="宋体"/>
          <w:color w:val="auto"/>
          <w:sz w:val="24"/>
          <w:highlight w:val="none"/>
          <w:u w:val="single"/>
        </w:rPr>
        <w:t xml:space="preserve">           </w:t>
      </w:r>
    </w:p>
    <w:p w14:paraId="378AD1DE">
      <w:pPr>
        <w:pStyle w:val="32"/>
        <w:spacing w:before="184" w:line="360" w:lineRule="auto"/>
        <w:ind w:left="34" w:right="4" w:firstLine="483"/>
        <w:rPr>
          <w:rFonts w:cs="宋体"/>
          <w:color w:val="auto"/>
          <w:highlight w:val="none"/>
        </w:rPr>
      </w:pPr>
      <w:r>
        <w:rPr>
          <w:rFonts w:hint="eastAsia" w:cs="宋体"/>
          <w:color w:val="auto"/>
          <w:spacing w:val="1"/>
          <w:highlight w:val="none"/>
        </w:rPr>
        <w:t>甲方承诺，一旦在</w:t>
      </w:r>
      <w:r>
        <w:rPr>
          <w:rFonts w:hint="eastAsia" w:cs="宋体"/>
          <w:color w:val="auto"/>
          <w:spacing w:val="1"/>
          <w:highlight w:val="none"/>
          <w:u w:val="single"/>
        </w:rPr>
        <w:t xml:space="preserve">          </w:t>
      </w:r>
      <w:r>
        <w:rPr>
          <w:rFonts w:hint="eastAsia" w:cs="宋体"/>
          <w:color w:val="auto"/>
          <w:spacing w:val="1"/>
          <w:highlight w:val="none"/>
        </w:rPr>
        <w:t>（采购项目名称</w:t>
      </w:r>
      <w:r>
        <w:rPr>
          <w:rFonts w:hint="eastAsia" w:cs="宋体"/>
          <w:color w:val="auto"/>
          <w:spacing w:val="-55"/>
          <w:w w:val="99"/>
          <w:highlight w:val="none"/>
        </w:rPr>
        <w:t>）（</w:t>
      </w:r>
      <w:r>
        <w:rPr>
          <w:rFonts w:hint="eastAsia" w:cs="宋体"/>
          <w:color w:val="auto"/>
          <w:spacing w:val="1"/>
          <w:highlight w:val="none"/>
        </w:rPr>
        <w:t>项目编号/包号为</w:t>
      </w:r>
      <w:r>
        <w:rPr>
          <w:rFonts w:hint="eastAsia" w:cs="宋体"/>
          <w:color w:val="auto"/>
          <w:spacing w:val="-55"/>
          <w:w w:val="99"/>
          <w:highlight w:val="none"/>
        </w:rPr>
        <w:t>：</w:t>
      </w:r>
      <w:r>
        <w:rPr>
          <w:rFonts w:hint="eastAsia" w:cs="宋体"/>
          <w:color w:val="auto"/>
          <w:spacing w:val="1"/>
          <w:highlight w:val="none"/>
          <w:u w:val="single"/>
        </w:rPr>
        <w:t xml:space="preserve">          </w:t>
      </w:r>
      <w:r>
        <w:rPr>
          <w:rFonts w:hint="eastAsia" w:cs="宋体"/>
          <w:color w:val="auto"/>
          <w:spacing w:val="-18"/>
          <w:highlight w:val="none"/>
        </w:rPr>
        <w:t xml:space="preserve"> </w:t>
      </w:r>
      <w:r>
        <w:rPr>
          <w:rFonts w:hint="eastAsia" w:cs="宋体"/>
          <w:color w:val="auto"/>
          <w:spacing w:val="-55"/>
          <w:w w:val="99"/>
          <w:highlight w:val="none"/>
        </w:rPr>
        <w:t>）</w:t>
      </w:r>
      <w:r>
        <w:rPr>
          <w:rFonts w:hint="eastAsia" w:cs="宋体"/>
          <w:color w:val="auto"/>
          <w:spacing w:val="1"/>
          <w:highlight w:val="none"/>
        </w:rPr>
        <w:t>采购项目</w:t>
      </w:r>
      <w:r>
        <w:rPr>
          <w:rFonts w:hint="eastAsia" w:cs="宋体"/>
          <w:color w:val="auto"/>
          <w:highlight w:val="none"/>
        </w:rPr>
        <w:t xml:space="preserve"> </w:t>
      </w:r>
      <w:r>
        <w:rPr>
          <w:rFonts w:hint="eastAsia" w:cs="宋体"/>
          <w:color w:val="auto"/>
          <w:spacing w:val="-1"/>
          <w:highlight w:val="none"/>
        </w:rPr>
        <w:t>中获得采购合同，将按照下述约定将合同项下部分内容分包给乙方：</w:t>
      </w:r>
    </w:p>
    <w:p w14:paraId="63A20FC2">
      <w:pPr>
        <w:pStyle w:val="32"/>
        <w:spacing w:before="15" w:line="360" w:lineRule="auto"/>
        <w:ind w:left="511"/>
        <w:rPr>
          <w:rFonts w:cs="宋体"/>
          <w:color w:val="auto"/>
          <w:highlight w:val="none"/>
        </w:rPr>
      </w:pPr>
      <w:r>
        <w:rPr>
          <w:rFonts w:hint="eastAsia" w:cs="宋体"/>
          <w:color w:val="auto"/>
          <w:highlight w:val="none"/>
        </w:rPr>
        <w:t>1.分包内容：</w:t>
      </w:r>
      <w:r>
        <w:rPr>
          <w:rFonts w:hint="eastAsia" w:cs="宋体"/>
          <w:color w:val="auto"/>
          <w:highlight w:val="none"/>
          <w:u w:val="single"/>
        </w:rPr>
        <w:t xml:space="preserve">          </w:t>
      </w:r>
      <w:r>
        <w:rPr>
          <w:rFonts w:hint="eastAsia" w:cs="宋体"/>
          <w:color w:val="auto"/>
          <w:highlight w:val="none"/>
        </w:rPr>
        <w:t>。</w:t>
      </w:r>
    </w:p>
    <w:p w14:paraId="5B4364B6">
      <w:pPr>
        <w:pStyle w:val="32"/>
        <w:spacing w:before="177" w:line="360" w:lineRule="auto"/>
        <w:ind w:left="503" w:right="1212" w:hanging="1"/>
        <w:rPr>
          <w:rFonts w:cs="宋体"/>
          <w:color w:val="auto"/>
          <w:highlight w:val="none"/>
        </w:rPr>
      </w:pPr>
      <w:r>
        <w:rPr>
          <w:rFonts w:hint="eastAsia" w:cs="宋体"/>
          <w:color w:val="auto"/>
          <w:highlight w:val="none"/>
        </w:rPr>
        <w:t>2.分包金额：</w:t>
      </w:r>
      <w:r>
        <w:rPr>
          <w:rFonts w:hint="eastAsia" w:cs="宋体"/>
          <w:color w:val="auto"/>
          <w:spacing w:val="1"/>
          <w:highlight w:val="none"/>
          <w:u w:val="single"/>
        </w:rPr>
        <w:t xml:space="preserve">          </w:t>
      </w:r>
      <w:r>
        <w:rPr>
          <w:rFonts w:hint="eastAsia" w:cs="宋体"/>
          <w:color w:val="auto"/>
          <w:highlight w:val="none"/>
        </w:rPr>
        <w:t>，该金额占该采购包合同金额的比例</w:t>
      </w:r>
      <w:r>
        <w:rPr>
          <w:rFonts w:hint="eastAsia" w:cs="宋体"/>
          <w:color w:val="auto"/>
          <w:spacing w:val="-1"/>
          <w:highlight w:val="none"/>
        </w:rPr>
        <w:t>为</w:t>
      </w:r>
      <w:r>
        <w:rPr>
          <w:rFonts w:hint="eastAsia" w:cs="宋体"/>
          <w:color w:val="auto"/>
          <w:spacing w:val="-1"/>
          <w:highlight w:val="none"/>
          <w:u w:val="single"/>
        </w:rPr>
        <w:t xml:space="preserve">          </w:t>
      </w:r>
      <w:r>
        <w:rPr>
          <w:rFonts w:hint="eastAsia" w:cs="宋体"/>
          <w:color w:val="auto"/>
          <w:spacing w:val="-57"/>
          <w:highlight w:val="none"/>
        </w:rPr>
        <w:t xml:space="preserve"> </w:t>
      </w:r>
      <w:r>
        <w:rPr>
          <w:rFonts w:hint="eastAsia" w:cs="宋体"/>
          <w:color w:val="auto"/>
          <w:spacing w:val="-1"/>
          <w:highlight w:val="none"/>
        </w:rPr>
        <w:t>%。</w:t>
      </w:r>
      <w:r>
        <w:rPr>
          <w:rFonts w:hint="eastAsia" w:cs="宋体"/>
          <w:color w:val="auto"/>
          <w:highlight w:val="none"/>
        </w:rPr>
        <w:t xml:space="preserve"> </w:t>
      </w:r>
      <w:r>
        <w:rPr>
          <w:rFonts w:hint="eastAsia" w:cs="宋体"/>
          <w:color w:val="auto"/>
          <w:spacing w:val="-1"/>
          <w:highlight w:val="none"/>
        </w:rPr>
        <w:t>乙方承诺将在上述情况下与甲方签订分包合同。</w:t>
      </w:r>
    </w:p>
    <w:p w14:paraId="437B6EC9">
      <w:pPr>
        <w:spacing w:before="13" w:line="360" w:lineRule="auto"/>
        <w:ind w:left="11" w:right="4" w:firstLine="477"/>
        <w:rPr>
          <w:rFonts w:ascii="宋体" w:hAnsi="宋体" w:cs="宋体"/>
          <w:color w:val="auto"/>
          <w:sz w:val="24"/>
          <w:highlight w:val="none"/>
        </w:rPr>
      </w:pPr>
      <w:r>
        <w:rPr>
          <w:rFonts w:hint="eastAsia" w:ascii="宋体" w:hAnsi="宋体" w:cs="宋体"/>
          <w:color w:val="auto"/>
          <w:spacing w:val="-1"/>
          <w:sz w:val="24"/>
          <w:highlight w:val="none"/>
        </w:rPr>
        <w:t>本协议自各方盖章之日起生效，如甲方未在</w:t>
      </w:r>
      <w:r>
        <w:rPr>
          <w:rFonts w:hint="eastAsia" w:ascii="宋体" w:hAnsi="宋体" w:cs="宋体"/>
          <w:color w:val="auto"/>
          <w:spacing w:val="-2"/>
          <w:sz w:val="24"/>
          <w:highlight w:val="none"/>
        </w:rPr>
        <w:t>该项目（采购包）成交，本协议自动终</w:t>
      </w:r>
      <w:r>
        <w:rPr>
          <w:rFonts w:hint="eastAsia" w:ascii="宋体" w:hAnsi="宋体" w:cs="宋体"/>
          <w:color w:val="auto"/>
          <w:sz w:val="24"/>
          <w:highlight w:val="none"/>
        </w:rPr>
        <w:t xml:space="preserve"> </w:t>
      </w:r>
      <w:r>
        <w:rPr>
          <w:rFonts w:hint="eastAsia" w:ascii="宋体" w:hAnsi="宋体" w:cs="宋体"/>
          <w:color w:val="auto"/>
          <w:spacing w:val="-4"/>
          <w:sz w:val="24"/>
          <w:highlight w:val="none"/>
        </w:rPr>
        <w:t>止。</w:t>
      </w:r>
    </w:p>
    <w:p w14:paraId="7155F899">
      <w:pPr>
        <w:pStyle w:val="32"/>
        <w:spacing w:line="360" w:lineRule="auto"/>
        <w:rPr>
          <w:rFonts w:cs="宋体"/>
          <w:color w:val="auto"/>
          <w:highlight w:val="none"/>
        </w:rPr>
      </w:pPr>
    </w:p>
    <w:p w14:paraId="0A2EEEC9">
      <w:pPr>
        <w:spacing w:before="104" w:line="360" w:lineRule="auto"/>
        <w:ind w:left="508"/>
        <w:rPr>
          <w:rFonts w:ascii="宋体" w:hAnsi="宋体" w:cs="宋体"/>
          <w:color w:val="auto"/>
          <w:sz w:val="24"/>
          <w:highlight w:val="none"/>
        </w:rPr>
      </w:pPr>
      <w:r>
        <w:rPr>
          <w:rFonts w:hint="eastAsia" w:ascii="宋体" w:hAnsi="宋体" w:cs="宋体"/>
          <w:color w:val="auto"/>
          <w:spacing w:val="-6"/>
          <w:sz w:val="24"/>
          <w:highlight w:val="none"/>
        </w:rPr>
        <w:t>甲方（盖章</w:t>
      </w:r>
      <w:r>
        <w:rPr>
          <w:rFonts w:hint="eastAsia" w:ascii="宋体" w:hAnsi="宋体" w:cs="宋体"/>
          <w:color w:val="auto"/>
          <w:spacing w:val="-60"/>
          <w:sz w:val="24"/>
          <w:highlight w:val="none"/>
        </w:rPr>
        <w:t>）：</w:t>
      </w:r>
      <w:r>
        <w:rPr>
          <w:rFonts w:hint="eastAsia" w:ascii="宋体" w:hAnsi="宋体" w:cs="宋体"/>
          <w:color w:val="auto"/>
          <w:spacing w:val="1"/>
          <w:sz w:val="24"/>
          <w:highlight w:val="none"/>
          <w:u w:val="single"/>
        </w:rPr>
        <w:t xml:space="preserve">          </w:t>
      </w:r>
      <w:r>
        <w:rPr>
          <w:rFonts w:hint="eastAsia" w:ascii="宋体" w:hAnsi="宋体" w:cs="宋体"/>
          <w:color w:val="auto"/>
          <w:spacing w:val="2"/>
          <w:sz w:val="24"/>
          <w:highlight w:val="none"/>
        </w:rPr>
        <w:t xml:space="preserve">                      </w:t>
      </w:r>
      <w:r>
        <w:rPr>
          <w:rFonts w:hint="eastAsia" w:ascii="宋体" w:hAnsi="宋体" w:cs="宋体"/>
          <w:color w:val="auto"/>
          <w:spacing w:val="1"/>
          <w:sz w:val="24"/>
          <w:highlight w:val="none"/>
        </w:rPr>
        <w:t xml:space="preserve">    </w:t>
      </w:r>
      <w:r>
        <w:rPr>
          <w:rFonts w:hint="eastAsia" w:ascii="宋体" w:hAnsi="宋体" w:cs="宋体"/>
          <w:color w:val="auto"/>
          <w:spacing w:val="-6"/>
          <w:sz w:val="24"/>
          <w:highlight w:val="none"/>
        </w:rPr>
        <w:t>乙方（盖章</w:t>
      </w:r>
      <w:r>
        <w:rPr>
          <w:rFonts w:hint="eastAsia" w:ascii="宋体" w:hAnsi="宋体" w:cs="宋体"/>
          <w:color w:val="auto"/>
          <w:spacing w:val="-60"/>
          <w:sz w:val="24"/>
          <w:highlight w:val="none"/>
        </w:rPr>
        <w:t>）：</w:t>
      </w:r>
      <w:r>
        <w:rPr>
          <w:rFonts w:hint="eastAsia" w:ascii="宋体" w:hAnsi="宋体" w:cs="宋体"/>
          <w:color w:val="auto"/>
          <w:sz w:val="24"/>
          <w:highlight w:val="none"/>
          <w:u w:val="single"/>
        </w:rPr>
        <w:t xml:space="preserve">           </w:t>
      </w:r>
    </w:p>
    <w:p w14:paraId="458B4965">
      <w:pPr>
        <w:pStyle w:val="32"/>
        <w:spacing w:line="360" w:lineRule="auto"/>
        <w:rPr>
          <w:rFonts w:cs="宋体"/>
          <w:color w:val="auto"/>
          <w:highlight w:val="none"/>
        </w:rPr>
      </w:pPr>
    </w:p>
    <w:p w14:paraId="0B8B8043">
      <w:pPr>
        <w:pStyle w:val="32"/>
        <w:spacing w:line="360" w:lineRule="auto"/>
        <w:rPr>
          <w:rFonts w:cs="宋体"/>
          <w:color w:val="auto"/>
          <w:highlight w:val="none"/>
        </w:rPr>
      </w:pPr>
    </w:p>
    <w:p w14:paraId="01C43248">
      <w:pPr>
        <w:spacing w:before="103" w:line="360" w:lineRule="auto"/>
        <w:ind w:left="5173"/>
        <w:rPr>
          <w:rFonts w:ascii="宋体" w:hAnsi="宋体" w:cs="宋体"/>
          <w:color w:val="auto"/>
          <w:sz w:val="24"/>
          <w:highlight w:val="none"/>
        </w:rPr>
      </w:pPr>
      <w:r>
        <w:rPr>
          <w:rFonts w:hint="eastAsia" w:ascii="宋体" w:hAnsi="宋体" w:cs="宋体"/>
          <w:color w:val="auto"/>
          <w:spacing w:val="-13"/>
          <w:sz w:val="24"/>
          <w:highlight w:val="none"/>
        </w:rPr>
        <w:t>日期：</w:t>
      </w:r>
      <w:r>
        <w:rPr>
          <w:rFonts w:hint="eastAsia" w:ascii="宋体" w:hAnsi="宋体" w:cs="宋体"/>
          <w:color w:val="auto"/>
          <w:spacing w:val="1"/>
          <w:sz w:val="24"/>
          <w:highlight w:val="none"/>
          <w:u w:val="single"/>
        </w:rPr>
        <w:t xml:space="preserve">     </w:t>
      </w:r>
      <w:r>
        <w:rPr>
          <w:rFonts w:hint="eastAsia" w:ascii="宋体" w:hAnsi="宋体" w:cs="宋体"/>
          <w:color w:val="auto"/>
          <w:spacing w:val="-59"/>
          <w:sz w:val="24"/>
          <w:highlight w:val="none"/>
        </w:rPr>
        <w:t xml:space="preserve"> </w:t>
      </w:r>
      <w:r>
        <w:rPr>
          <w:rFonts w:hint="eastAsia" w:ascii="宋体" w:hAnsi="宋体" w:cs="宋体"/>
          <w:color w:val="auto"/>
          <w:spacing w:val="-13"/>
          <w:sz w:val="24"/>
          <w:highlight w:val="none"/>
        </w:rPr>
        <w:t>年</w:t>
      </w:r>
      <w:r>
        <w:rPr>
          <w:rFonts w:hint="eastAsia" w:ascii="宋体" w:hAnsi="宋体" w:cs="宋体"/>
          <w:color w:val="auto"/>
          <w:spacing w:val="1"/>
          <w:sz w:val="24"/>
          <w:highlight w:val="none"/>
          <w:u w:val="single"/>
        </w:rPr>
        <w:t xml:space="preserve">     </w:t>
      </w:r>
      <w:r>
        <w:rPr>
          <w:rFonts w:hint="eastAsia" w:ascii="宋体" w:hAnsi="宋体" w:cs="宋体"/>
          <w:color w:val="auto"/>
          <w:spacing w:val="-13"/>
          <w:sz w:val="24"/>
          <w:highlight w:val="none"/>
        </w:rPr>
        <w:t>月</w:t>
      </w:r>
      <w:r>
        <w:rPr>
          <w:rFonts w:hint="eastAsia" w:ascii="宋体" w:hAnsi="宋体" w:cs="宋体"/>
          <w:color w:val="auto"/>
          <w:spacing w:val="1"/>
          <w:sz w:val="24"/>
          <w:highlight w:val="none"/>
          <w:u w:val="single"/>
        </w:rPr>
        <w:t xml:space="preserve">      </w:t>
      </w:r>
      <w:r>
        <w:rPr>
          <w:rFonts w:hint="eastAsia" w:ascii="宋体" w:hAnsi="宋体" w:cs="宋体"/>
          <w:color w:val="auto"/>
          <w:spacing w:val="-13"/>
          <w:sz w:val="24"/>
          <w:highlight w:val="none"/>
        </w:rPr>
        <w:t>日</w:t>
      </w:r>
    </w:p>
    <w:p w14:paraId="5EC9A083">
      <w:pPr>
        <w:pStyle w:val="32"/>
        <w:spacing w:line="360" w:lineRule="auto"/>
        <w:rPr>
          <w:rFonts w:cs="宋体"/>
          <w:color w:val="auto"/>
          <w:highlight w:val="none"/>
        </w:rPr>
      </w:pPr>
    </w:p>
    <w:p w14:paraId="781FAFCF">
      <w:pPr>
        <w:pStyle w:val="32"/>
        <w:spacing w:line="360" w:lineRule="auto"/>
        <w:rPr>
          <w:rFonts w:cs="宋体"/>
          <w:color w:val="auto"/>
          <w:highlight w:val="none"/>
        </w:rPr>
      </w:pPr>
    </w:p>
    <w:p w14:paraId="72A89075">
      <w:pPr>
        <w:spacing w:before="103" w:line="360" w:lineRule="auto"/>
        <w:ind w:left="15"/>
        <w:rPr>
          <w:rFonts w:ascii="宋体" w:hAnsi="宋体" w:cs="宋体"/>
          <w:color w:val="auto"/>
          <w:sz w:val="24"/>
          <w:highlight w:val="none"/>
        </w:rPr>
      </w:pPr>
      <w:r>
        <w:rPr>
          <w:rFonts w:hint="eastAsia" w:ascii="宋体" w:hAnsi="宋体" w:cs="宋体"/>
          <w:color w:val="auto"/>
          <w:spacing w:val="-6"/>
          <w:sz w:val="24"/>
          <w:highlight w:val="none"/>
        </w:rPr>
        <w:t>注：</w:t>
      </w:r>
    </w:p>
    <w:p w14:paraId="47BAC6E0">
      <w:pPr>
        <w:pStyle w:val="32"/>
        <w:spacing w:before="176" w:line="360" w:lineRule="auto"/>
        <w:ind w:left="8" w:hanging="8"/>
        <w:rPr>
          <w:rFonts w:cs="宋体"/>
          <w:color w:val="auto"/>
          <w:highlight w:val="none"/>
        </w:rPr>
      </w:pPr>
      <w:r>
        <w:rPr>
          <w:rFonts w:hint="eastAsia" w:cs="宋体"/>
          <w:color w:val="auto"/>
          <w:spacing w:val="-7"/>
          <w:highlight w:val="none"/>
        </w:rPr>
        <w:t>（ 1</w:t>
      </w:r>
      <w:r>
        <w:rPr>
          <w:rFonts w:hint="eastAsia" w:cs="宋体"/>
          <w:color w:val="auto"/>
          <w:spacing w:val="-6"/>
          <w:highlight w:val="none"/>
        </w:rPr>
        <w:t>）当供应商属于本部分说明中第（ 2</w:t>
      </w:r>
      <w:r>
        <w:rPr>
          <w:rFonts w:hint="eastAsia" w:cs="宋体"/>
          <w:color w:val="auto"/>
          <w:spacing w:val="-22"/>
          <w:highlight w:val="none"/>
        </w:rPr>
        <w:t xml:space="preserve"> </w:t>
      </w:r>
      <w:r>
        <w:rPr>
          <w:rFonts w:hint="eastAsia" w:cs="宋体"/>
          <w:color w:val="auto"/>
          <w:spacing w:val="-6"/>
          <w:highlight w:val="none"/>
        </w:rPr>
        <w:t>）类情形，必须提供，否则</w:t>
      </w:r>
      <w:r>
        <w:rPr>
          <w:rFonts w:hint="eastAsia" w:cs="宋体"/>
          <w:b/>
          <w:bCs/>
          <w:color w:val="auto"/>
          <w:spacing w:val="-6"/>
          <w:highlight w:val="none"/>
        </w:rPr>
        <w:t>响应</w:t>
      </w:r>
      <w:r>
        <w:rPr>
          <w:rFonts w:hint="eastAsia" w:cs="宋体"/>
          <w:b/>
          <w:bCs/>
          <w:color w:val="auto"/>
          <w:spacing w:val="-7"/>
          <w:highlight w:val="none"/>
        </w:rPr>
        <w:t>无效；</w:t>
      </w:r>
      <w:r>
        <w:rPr>
          <w:rFonts w:hint="eastAsia" w:cs="宋体"/>
          <w:color w:val="auto"/>
          <w:spacing w:val="-7"/>
          <w:highlight w:val="none"/>
        </w:rPr>
        <w:t>其他情</w:t>
      </w:r>
      <w:r>
        <w:rPr>
          <w:rFonts w:hint="eastAsia" w:cs="宋体"/>
          <w:color w:val="auto"/>
          <w:spacing w:val="-4"/>
          <w:highlight w:val="none"/>
        </w:rPr>
        <w:t>形</w:t>
      </w:r>
      <w:r>
        <w:rPr>
          <w:rFonts w:hint="eastAsia" w:cs="宋体"/>
          <w:color w:val="auto"/>
          <w:highlight w:val="none"/>
        </w:rPr>
        <w:t xml:space="preserve"> </w:t>
      </w:r>
      <w:r>
        <w:rPr>
          <w:rFonts w:hint="eastAsia" w:cs="宋体"/>
          <w:color w:val="auto"/>
          <w:spacing w:val="-1"/>
          <w:highlight w:val="none"/>
        </w:rPr>
        <w:t>无须提供；</w:t>
      </w:r>
    </w:p>
    <w:p w14:paraId="636C4847">
      <w:pPr>
        <w:pStyle w:val="32"/>
        <w:spacing w:before="176" w:line="360" w:lineRule="auto"/>
        <w:ind w:left="8" w:right="2" w:hanging="9"/>
        <w:rPr>
          <w:rFonts w:cs="宋体"/>
          <w:color w:val="auto"/>
          <w:highlight w:val="none"/>
        </w:rPr>
      </w:pPr>
      <w:r>
        <w:rPr>
          <w:rFonts w:hint="eastAsia" w:cs="宋体"/>
          <w:color w:val="auto"/>
          <w:spacing w:val="-7"/>
          <w:highlight w:val="none"/>
        </w:rPr>
        <w:t>（ 2</w:t>
      </w:r>
      <w:r>
        <w:rPr>
          <w:rFonts w:hint="eastAsia" w:cs="宋体"/>
          <w:color w:val="auto"/>
          <w:spacing w:val="-24"/>
          <w:highlight w:val="none"/>
        </w:rPr>
        <w:t xml:space="preserve"> </w:t>
      </w:r>
      <w:r>
        <w:rPr>
          <w:rFonts w:hint="eastAsia" w:cs="宋体"/>
          <w:color w:val="auto"/>
          <w:spacing w:val="-7"/>
          <w:highlight w:val="none"/>
        </w:rPr>
        <w:t>）供应商须与所有拟分包单位分别签订《分包意向协议》，每单</w:t>
      </w:r>
      <w:r>
        <w:rPr>
          <w:rFonts w:hint="eastAsia" w:cs="宋体"/>
          <w:color w:val="auto"/>
          <w:spacing w:val="-8"/>
          <w:highlight w:val="none"/>
        </w:rPr>
        <w:t>位签订一份，并在响</w:t>
      </w:r>
      <w:r>
        <w:rPr>
          <w:rFonts w:hint="eastAsia" w:cs="宋体"/>
          <w:color w:val="auto"/>
          <w:highlight w:val="none"/>
        </w:rPr>
        <w:t xml:space="preserve"> </w:t>
      </w:r>
      <w:r>
        <w:rPr>
          <w:rFonts w:hint="eastAsia" w:cs="宋体"/>
          <w:color w:val="auto"/>
          <w:spacing w:val="-2"/>
          <w:highlight w:val="none"/>
        </w:rPr>
        <w:t>应文件中提交全部协议原件，否则</w:t>
      </w:r>
      <w:r>
        <w:rPr>
          <w:rFonts w:hint="eastAsia" w:cs="宋体"/>
          <w:b/>
          <w:bCs/>
          <w:color w:val="auto"/>
          <w:spacing w:val="-2"/>
          <w:highlight w:val="none"/>
        </w:rPr>
        <w:t>响应无效</w:t>
      </w:r>
      <w:r>
        <w:rPr>
          <w:rFonts w:hint="eastAsia" w:cs="宋体"/>
          <w:color w:val="auto"/>
          <w:spacing w:val="-2"/>
          <w:highlight w:val="none"/>
        </w:rPr>
        <w:t>。</w:t>
      </w:r>
    </w:p>
    <w:p w14:paraId="0B9169DC">
      <w:pPr>
        <w:spacing w:line="360" w:lineRule="auto"/>
        <w:rPr>
          <w:rFonts w:ascii="宋体" w:hAnsi="宋体" w:cs="宋体"/>
          <w:color w:val="auto"/>
          <w:sz w:val="24"/>
          <w:highlight w:val="none"/>
        </w:rPr>
        <w:sectPr>
          <w:headerReference r:id="rId35" w:type="default"/>
          <w:footerReference r:id="rId36" w:type="default"/>
          <w:pgSz w:w="11907" w:h="16840"/>
          <w:pgMar w:top="1149" w:right="1128" w:bottom="1060" w:left="1696" w:header="875" w:footer="886" w:gutter="0"/>
          <w:cols w:space="720" w:num="1"/>
        </w:sectPr>
      </w:pPr>
    </w:p>
    <w:p w14:paraId="6496C8D4">
      <w:pPr>
        <w:pStyle w:val="32"/>
        <w:spacing w:before="307" w:line="196" w:lineRule="auto"/>
        <w:ind w:left="18"/>
        <w:outlineLvl w:val="2"/>
        <w:rPr>
          <w:rFonts w:cs="宋体"/>
          <w:color w:val="auto"/>
          <w:highlight w:val="none"/>
        </w:rPr>
      </w:pPr>
      <w:r>
        <w:rPr>
          <w:color w:val="auto"/>
          <w:spacing w:val="1"/>
          <w:highlight w:val="none"/>
        </w:rPr>
        <w:t>2-2</w:t>
      </w:r>
      <w:r>
        <w:rPr>
          <w:color w:val="auto"/>
          <w:spacing w:val="62"/>
          <w:highlight w:val="none"/>
        </w:rPr>
        <w:t xml:space="preserve"> </w:t>
      </w:r>
      <w:r>
        <w:rPr>
          <w:rFonts w:hint="eastAsia" w:cs="宋体"/>
          <w:color w:val="auto"/>
          <w:spacing w:val="1"/>
          <w:highlight w:val="none"/>
        </w:rPr>
        <w:t>其它落实政府采购政策的资格要求（如有）</w:t>
      </w:r>
    </w:p>
    <w:p w14:paraId="21893AFF">
      <w:pPr>
        <w:spacing w:line="196" w:lineRule="auto"/>
        <w:rPr>
          <w:rFonts w:ascii="微软雅黑" w:hAnsi="微软雅黑" w:eastAsia="微软雅黑" w:cs="微软雅黑"/>
          <w:color w:val="auto"/>
          <w:sz w:val="24"/>
          <w:highlight w:val="none"/>
        </w:rPr>
        <w:sectPr>
          <w:headerReference r:id="rId37" w:type="default"/>
          <w:footerReference r:id="rId38" w:type="default"/>
          <w:pgSz w:w="11907" w:h="16840"/>
          <w:pgMar w:top="1149" w:right="1133" w:bottom="1057" w:left="1701" w:header="875" w:footer="886" w:gutter="0"/>
          <w:cols w:space="720" w:num="1"/>
        </w:sectPr>
      </w:pPr>
    </w:p>
    <w:p w14:paraId="28A8FA77">
      <w:pPr>
        <w:spacing w:before="307" w:line="196" w:lineRule="auto"/>
        <w:ind w:left="18"/>
        <w:outlineLvl w:val="1"/>
        <w:rPr>
          <w:rFonts w:ascii="宋体" w:hAnsi="宋体" w:cs="宋体"/>
          <w:color w:val="auto"/>
          <w:sz w:val="24"/>
          <w:highlight w:val="none"/>
        </w:rPr>
      </w:pPr>
      <w:r>
        <w:rPr>
          <w:rFonts w:eastAsia="Times New Roman"/>
          <w:color w:val="auto"/>
          <w:spacing w:val="1"/>
          <w:sz w:val="24"/>
          <w:highlight w:val="none"/>
        </w:rPr>
        <w:t xml:space="preserve">3 </w:t>
      </w:r>
      <w:r>
        <w:rPr>
          <w:rFonts w:hint="eastAsia" w:ascii="宋体" w:hAnsi="宋体" w:cs="宋体"/>
          <w:color w:val="auto"/>
          <w:spacing w:val="1"/>
          <w:sz w:val="24"/>
          <w:highlight w:val="none"/>
        </w:rPr>
        <w:t xml:space="preserve"> 本项目的特定资格要求（如有）</w:t>
      </w:r>
    </w:p>
    <w:p w14:paraId="759D790D">
      <w:pPr>
        <w:spacing w:before="184" w:line="196" w:lineRule="auto"/>
        <w:ind w:left="18"/>
        <w:outlineLvl w:val="2"/>
        <w:rPr>
          <w:rFonts w:ascii="宋体" w:hAnsi="宋体" w:cs="宋体"/>
          <w:color w:val="auto"/>
          <w:sz w:val="24"/>
          <w:highlight w:val="none"/>
        </w:rPr>
      </w:pPr>
      <w:r>
        <w:rPr>
          <w:rFonts w:hint="eastAsia" w:ascii="宋体" w:hAnsi="宋体" w:cs="宋体"/>
          <w:color w:val="auto"/>
          <w:spacing w:val="4"/>
          <w:sz w:val="24"/>
          <w:highlight w:val="none"/>
        </w:rPr>
        <w:t>3-1  联合协议（如有）</w:t>
      </w:r>
    </w:p>
    <w:p w14:paraId="3539CF0D">
      <w:pPr>
        <w:pStyle w:val="56"/>
        <w:jc w:val="center"/>
        <w:rPr>
          <w:color w:val="auto"/>
          <w:highlight w:val="none"/>
        </w:rPr>
      </w:pPr>
      <w:r>
        <w:rPr>
          <w:color w:val="auto"/>
          <w:highlight w:val="none"/>
        </w:rPr>
        <w:t>联合协议</w:t>
      </w:r>
    </w:p>
    <w:p w14:paraId="05C8EBC9">
      <w:pPr>
        <w:spacing w:line="360" w:lineRule="auto"/>
        <w:ind w:firstLine="828" w:firstLineChars="345"/>
        <w:rPr>
          <w:rFonts w:eastAsiaTheme="minorEastAsia"/>
          <w:bCs/>
          <w:color w:val="auto"/>
          <w:highlight w:val="none"/>
        </w:rPr>
      </w:pPr>
      <w:r>
        <w:rPr>
          <w:rFonts w:eastAsiaTheme="minorEastAsia"/>
          <w:color w:val="auto"/>
          <w:sz w:val="24"/>
          <w:highlight w:val="none"/>
        </w:rPr>
        <w:t>______</w:t>
      </w:r>
      <w:r>
        <w:rPr>
          <w:rFonts w:eastAsiaTheme="minorEastAsia"/>
          <w:bCs/>
          <w:color w:val="auto"/>
          <w:sz w:val="24"/>
          <w:highlight w:val="none"/>
        </w:rPr>
        <w:t xml:space="preserve"> 、</w:t>
      </w:r>
      <w:r>
        <w:rPr>
          <w:rFonts w:eastAsiaTheme="minorEastAsia"/>
          <w:color w:val="auto"/>
          <w:sz w:val="24"/>
          <w:highlight w:val="none"/>
        </w:rPr>
        <w:t>______</w:t>
      </w:r>
      <w:r>
        <w:rPr>
          <w:rFonts w:eastAsiaTheme="minorEastAsia"/>
          <w:bCs/>
          <w:color w:val="auto"/>
          <w:sz w:val="24"/>
          <w:highlight w:val="none"/>
        </w:rPr>
        <w:t>及</w:t>
      </w:r>
      <w:r>
        <w:rPr>
          <w:rFonts w:eastAsiaTheme="minorEastAsia"/>
          <w:color w:val="auto"/>
          <w:sz w:val="24"/>
          <w:highlight w:val="none"/>
        </w:rPr>
        <w:t>______</w:t>
      </w:r>
      <w:r>
        <w:rPr>
          <w:rFonts w:eastAsiaTheme="minorEastAsia"/>
          <w:bCs/>
          <w:color w:val="auto"/>
          <w:sz w:val="24"/>
          <w:highlight w:val="none"/>
        </w:rPr>
        <w:t>就“</w:t>
      </w:r>
      <w:r>
        <w:rPr>
          <w:rFonts w:eastAsiaTheme="minorEastAsia"/>
          <w:color w:val="auto"/>
          <w:sz w:val="24"/>
          <w:highlight w:val="none"/>
        </w:rPr>
        <w:t>______</w:t>
      </w:r>
      <w:r>
        <w:rPr>
          <w:rFonts w:eastAsiaTheme="minorEastAsia"/>
          <w:bCs/>
          <w:color w:val="auto"/>
          <w:sz w:val="24"/>
          <w:highlight w:val="none"/>
        </w:rPr>
        <w:t>（项目名称）</w:t>
      </w:r>
      <w:r>
        <w:rPr>
          <w:rFonts w:eastAsiaTheme="minorEastAsia"/>
          <w:color w:val="auto"/>
          <w:sz w:val="24"/>
          <w:highlight w:val="none"/>
        </w:rPr>
        <w:t>” ______包</w:t>
      </w:r>
      <w:r>
        <w:rPr>
          <w:rFonts w:eastAsiaTheme="minorEastAsia"/>
          <w:bCs/>
          <w:color w:val="auto"/>
          <w:sz w:val="24"/>
          <w:highlight w:val="none"/>
        </w:rPr>
        <w:t>采购项目的磋商事宜，经各方充分协商一致，达成如下协议：</w:t>
      </w:r>
    </w:p>
    <w:p w14:paraId="080A2B21">
      <w:pPr>
        <w:numPr>
          <w:ilvl w:val="0"/>
          <w:numId w:val="28"/>
        </w:numPr>
        <w:spacing w:line="360" w:lineRule="auto"/>
        <w:rPr>
          <w:rFonts w:eastAsiaTheme="minorEastAsia"/>
          <w:bCs/>
          <w:color w:val="auto"/>
          <w:sz w:val="24"/>
          <w:highlight w:val="none"/>
        </w:rPr>
      </w:pPr>
      <w:r>
        <w:rPr>
          <w:rFonts w:eastAsiaTheme="minorEastAsia"/>
          <w:bCs/>
          <w:color w:val="auto"/>
          <w:sz w:val="24"/>
          <w:highlight w:val="none"/>
        </w:rPr>
        <w:t>由</w:t>
      </w:r>
      <w:r>
        <w:rPr>
          <w:rFonts w:eastAsiaTheme="minorEastAsia"/>
          <w:color w:val="auto"/>
          <w:sz w:val="24"/>
          <w:highlight w:val="none"/>
        </w:rPr>
        <w:t>____</w:t>
      </w:r>
      <w:r>
        <w:rPr>
          <w:bCs/>
          <w:color w:val="auto"/>
          <w:sz w:val="24"/>
          <w:highlight w:val="none"/>
        </w:rPr>
        <w:t>__</w:t>
      </w:r>
      <w:r>
        <w:rPr>
          <w:rFonts w:eastAsiaTheme="minorEastAsia"/>
          <w:color w:val="auto"/>
          <w:sz w:val="24"/>
          <w:highlight w:val="none"/>
        </w:rPr>
        <w:t>__</w:t>
      </w:r>
      <w:r>
        <w:rPr>
          <w:rFonts w:eastAsiaTheme="minorEastAsia"/>
          <w:bCs/>
          <w:color w:val="auto"/>
          <w:sz w:val="24"/>
          <w:highlight w:val="none"/>
        </w:rPr>
        <w:t>牵头，</w:t>
      </w:r>
      <w:r>
        <w:rPr>
          <w:rFonts w:eastAsiaTheme="minorEastAsia"/>
          <w:color w:val="auto"/>
          <w:sz w:val="24"/>
          <w:highlight w:val="none"/>
        </w:rPr>
        <w:t>___</w:t>
      </w:r>
      <w:r>
        <w:rPr>
          <w:bCs/>
          <w:color w:val="auto"/>
          <w:sz w:val="24"/>
          <w:highlight w:val="none"/>
        </w:rPr>
        <w:t>__</w:t>
      </w:r>
      <w:r>
        <w:rPr>
          <w:rFonts w:eastAsiaTheme="minorEastAsia"/>
          <w:color w:val="auto"/>
          <w:sz w:val="24"/>
          <w:highlight w:val="none"/>
        </w:rPr>
        <w:t>___</w:t>
      </w:r>
      <w:r>
        <w:rPr>
          <w:rFonts w:eastAsiaTheme="minorEastAsia"/>
          <w:bCs/>
          <w:color w:val="auto"/>
          <w:sz w:val="24"/>
          <w:highlight w:val="none"/>
        </w:rPr>
        <w:t>、</w:t>
      </w:r>
      <w:r>
        <w:rPr>
          <w:rFonts w:eastAsiaTheme="minorEastAsia"/>
          <w:color w:val="auto"/>
          <w:sz w:val="24"/>
          <w:highlight w:val="none"/>
        </w:rPr>
        <w:t>___</w:t>
      </w:r>
      <w:r>
        <w:rPr>
          <w:bCs/>
          <w:color w:val="auto"/>
          <w:sz w:val="24"/>
          <w:highlight w:val="none"/>
        </w:rPr>
        <w:t>__</w:t>
      </w:r>
      <w:r>
        <w:rPr>
          <w:rFonts w:eastAsiaTheme="minorEastAsia"/>
          <w:color w:val="auto"/>
          <w:sz w:val="24"/>
          <w:highlight w:val="none"/>
        </w:rPr>
        <w:t>___</w:t>
      </w:r>
      <w:r>
        <w:rPr>
          <w:rFonts w:eastAsiaTheme="minorEastAsia"/>
          <w:bCs/>
          <w:color w:val="auto"/>
          <w:sz w:val="24"/>
          <w:highlight w:val="none"/>
        </w:rPr>
        <w:t>参加，组成联合体共同进行采购项目的磋商工作。</w:t>
      </w:r>
    </w:p>
    <w:p w14:paraId="092551CE">
      <w:pPr>
        <w:numPr>
          <w:ilvl w:val="0"/>
          <w:numId w:val="28"/>
        </w:numPr>
        <w:spacing w:line="360" w:lineRule="auto"/>
        <w:rPr>
          <w:rFonts w:eastAsiaTheme="minorEastAsia"/>
          <w:bCs/>
          <w:color w:val="auto"/>
          <w:sz w:val="24"/>
          <w:highlight w:val="none"/>
        </w:rPr>
      </w:pPr>
      <w:r>
        <w:rPr>
          <w:rFonts w:eastAsiaTheme="minorEastAsia"/>
          <w:bCs/>
          <w:color w:val="auto"/>
          <w:sz w:val="24"/>
          <w:highlight w:val="none"/>
        </w:rPr>
        <w:t>联合体成交后，联合体各方共同与采购人签订合同，就</w:t>
      </w:r>
      <w:r>
        <w:rPr>
          <w:rFonts w:eastAsiaTheme="minorEastAsia"/>
          <w:color w:val="auto"/>
          <w:sz w:val="24"/>
          <w:szCs w:val="20"/>
          <w:highlight w:val="none"/>
        </w:rPr>
        <w:t>采购合同约定的事项</w:t>
      </w:r>
      <w:r>
        <w:rPr>
          <w:rFonts w:eastAsiaTheme="minorEastAsia"/>
          <w:bCs/>
          <w:color w:val="auto"/>
          <w:sz w:val="24"/>
          <w:highlight w:val="none"/>
        </w:rPr>
        <w:t>对采购人承担连带责任。</w:t>
      </w:r>
    </w:p>
    <w:p w14:paraId="77C003E1">
      <w:pPr>
        <w:numPr>
          <w:ilvl w:val="0"/>
          <w:numId w:val="28"/>
        </w:numPr>
        <w:spacing w:line="360" w:lineRule="auto"/>
        <w:rPr>
          <w:rFonts w:eastAsiaTheme="minorEastAsia"/>
          <w:bCs/>
          <w:color w:val="auto"/>
          <w:sz w:val="24"/>
          <w:highlight w:val="none"/>
        </w:rPr>
      </w:pPr>
      <w:r>
        <w:rPr>
          <w:rFonts w:eastAsiaTheme="minorEastAsia"/>
          <w:bCs/>
          <w:color w:val="auto"/>
          <w:sz w:val="24"/>
          <w:highlight w:val="none"/>
        </w:rPr>
        <w:t>联合体各方均同意由牵头人代表其他联合体成员单位按竞争性磋商文件要求出具《授权委托书》。</w:t>
      </w:r>
    </w:p>
    <w:p w14:paraId="1C61C9D9">
      <w:pPr>
        <w:numPr>
          <w:ilvl w:val="0"/>
          <w:numId w:val="28"/>
        </w:numPr>
        <w:spacing w:line="360" w:lineRule="auto"/>
        <w:rPr>
          <w:rFonts w:eastAsiaTheme="minorEastAsia"/>
          <w:bCs/>
          <w:color w:val="auto"/>
          <w:sz w:val="24"/>
          <w:highlight w:val="none"/>
        </w:rPr>
      </w:pPr>
      <w:r>
        <w:rPr>
          <w:rFonts w:eastAsiaTheme="minorEastAsia"/>
          <w:bCs/>
          <w:color w:val="auto"/>
          <w:sz w:val="24"/>
          <w:highlight w:val="none"/>
        </w:rPr>
        <w:t>牵头人为项目的总负责单位；组织各参加方进行项目实施工作。</w:t>
      </w:r>
    </w:p>
    <w:p w14:paraId="6E894E17">
      <w:pPr>
        <w:numPr>
          <w:ilvl w:val="0"/>
          <w:numId w:val="28"/>
        </w:numPr>
        <w:spacing w:line="360" w:lineRule="auto"/>
        <w:rPr>
          <w:rFonts w:eastAsiaTheme="minorEastAsia"/>
          <w:bCs/>
          <w:color w:val="auto"/>
          <w:sz w:val="24"/>
          <w:highlight w:val="none"/>
        </w:rPr>
      </w:pPr>
      <w:r>
        <w:rPr>
          <w:rFonts w:eastAsiaTheme="minorEastAsia"/>
          <w:color w:val="auto"/>
          <w:sz w:val="24"/>
          <w:highlight w:val="none"/>
        </w:rPr>
        <w:t>______</w:t>
      </w:r>
      <w:r>
        <w:rPr>
          <w:rFonts w:eastAsiaTheme="minorEastAsia"/>
          <w:bCs/>
          <w:color w:val="auto"/>
          <w:sz w:val="24"/>
          <w:highlight w:val="none"/>
        </w:rPr>
        <w:t>负责</w:t>
      </w:r>
      <w:r>
        <w:rPr>
          <w:rFonts w:eastAsiaTheme="minorEastAsia"/>
          <w:color w:val="auto"/>
          <w:sz w:val="24"/>
          <w:highlight w:val="none"/>
        </w:rPr>
        <w:t>______</w:t>
      </w:r>
      <w:r>
        <w:rPr>
          <w:rFonts w:eastAsiaTheme="minorEastAsia"/>
          <w:bCs/>
          <w:color w:val="auto"/>
          <w:sz w:val="24"/>
          <w:highlight w:val="none"/>
        </w:rPr>
        <w:t>，具体工作范围、内容以响应文件及合同为准。</w:t>
      </w:r>
    </w:p>
    <w:p w14:paraId="2485B467">
      <w:pPr>
        <w:numPr>
          <w:ilvl w:val="0"/>
          <w:numId w:val="28"/>
        </w:numPr>
        <w:spacing w:line="360" w:lineRule="auto"/>
        <w:rPr>
          <w:rFonts w:eastAsiaTheme="minorEastAsia"/>
          <w:bCs/>
          <w:color w:val="auto"/>
          <w:sz w:val="24"/>
          <w:highlight w:val="none"/>
        </w:rPr>
      </w:pPr>
      <w:r>
        <w:rPr>
          <w:rFonts w:eastAsiaTheme="minorEastAsia"/>
          <w:color w:val="auto"/>
          <w:sz w:val="24"/>
          <w:highlight w:val="none"/>
        </w:rPr>
        <w:t>______</w:t>
      </w:r>
      <w:r>
        <w:rPr>
          <w:rFonts w:eastAsiaTheme="minorEastAsia"/>
          <w:bCs/>
          <w:color w:val="auto"/>
          <w:sz w:val="24"/>
          <w:highlight w:val="none"/>
        </w:rPr>
        <w:t>负责</w:t>
      </w:r>
      <w:r>
        <w:rPr>
          <w:rFonts w:eastAsiaTheme="minorEastAsia"/>
          <w:color w:val="auto"/>
          <w:sz w:val="24"/>
          <w:highlight w:val="none"/>
        </w:rPr>
        <w:t>______</w:t>
      </w:r>
      <w:r>
        <w:rPr>
          <w:rFonts w:eastAsiaTheme="minorEastAsia"/>
          <w:bCs/>
          <w:color w:val="auto"/>
          <w:sz w:val="24"/>
          <w:highlight w:val="none"/>
        </w:rPr>
        <w:t>，具体工作范围、内容以响应文件及合同为准。</w:t>
      </w:r>
    </w:p>
    <w:p w14:paraId="3866AA8F">
      <w:pPr>
        <w:numPr>
          <w:ilvl w:val="0"/>
          <w:numId w:val="28"/>
        </w:numPr>
        <w:spacing w:line="360" w:lineRule="auto"/>
        <w:rPr>
          <w:rFonts w:eastAsiaTheme="minorEastAsia"/>
          <w:bCs/>
          <w:color w:val="auto"/>
          <w:sz w:val="24"/>
          <w:highlight w:val="none"/>
        </w:rPr>
      </w:pPr>
      <w:r>
        <w:rPr>
          <w:rFonts w:eastAsiaTheme="minorEastAsia"/>
          <w:color w:val="auto"/>
          <w:sz w:val="24"/>
          <w:highlight w:val="none"/>
        </w:rPr>
        <w:t>______</w:t>
      </w:r>
      <w:r>
        <w:rPr>
          <w:rFonts w:eastAsiaTheme="minorEastAsia"/>
          <w:bCs/>
          <w:color w:val="auto"/>
          <w:sz w:val="24"/>
          <w:highlight w:val="none"/>
        </w:rPr>
        <w:t>负责</w:t>
      </w:r>
      <w:r>
        <w:rPr>
          <w:rFonts w:eastAsiaTheme="minorEastAsia"/>
          <w:color w:val="auto"/>
          <w:sz w:val="24"/>
          <w:highlight w:val="none"/>
        </w:rPr>
        <w:t>______</w:t>
      </w:r>
      <w:r>
        <w:rPr>
          <w:rFonts w:eastAsiaTheme="minorEastAsia"/>
          <w:bCs/>
          <w:color w:val="auto"/>
          <w:sz w:val="24"/>
          <w:highlight w:val="none"/>
        </w:rPr>
        <w:t>（如有），具体工作范围、内容以响应文件及合同为准。</w:t>
      </w:r>
    </w:p>
    <w:p w14:paraId="55AA134E">
      <w:pPr>
        <w:numPr>
          <w:ilvl w:val="0"/>
          <w:numId w:val="28"/>
        </w:numPr>
        <w:spacing w:line="360" w:lineRule="auto"/>
        <w:rPr>
          <w:rFonts w:eastAsiaTheme="minorEastAsia"/>
          <w:color w:val="auto"/>
          <w:sz w:val="24"/>
          <w:highlight w:val="none"/>
        </w:rPr>
      </w:pPr>
      <w:r>
        <w:rPr>
          <w:rFonts w:eastAsiaTheme="minorEastAsia"/>
          <w:color w:val="auto"/>
          <w:sz w:val="24"/>
          <w:highlight w:val="none"/>
        </w:rPr>
        <w:t>本项目联合协议合同总额为______元，联合体各成员按照如下比例分摊（按联合体成员分别列明）：</w:t>
      </w:r>
    </w:p>
    <w:p w14:paraId="78B36BA1">
      <w:pPr>
        <w:tabs>
          <w:tab w:val="left" w:pos="720"/>
          <w:tab w:val="left" w:pos="900"/>
        </w:tabs>
        <w:spacing w:line="360" w:lineRule="auto"/>
        <w:ind w:left="851"/>
        <w:rPr>
          <w:rFonts w:eastAsiaTheme="minorEastAsia"/>
          <w:color w:val="auto"/>
          <w:sz w:val="24"/>
          <w:szCs w:val="20"/>
          <w:highlight w:val="none"/>
        </w:rPr>
      </w:pPr>
      <w:r>
        <w:rPr>
          <w:rFonts w:eastAsiaTheme="minorEastAsia"/>
          <w:color w:val="auto"/>
          <w:sz w:val="24"/>
          <w:szCs w:val="20"/>
          <w:highlight w:val="none"/>
        </w:rPr>
        <w:t>（1）</w:t>
      </w:r>
      <w:r>
        <w:rPr>
          <w:rFonts w:eastAsiaTheme="minorEastAsia"/>
          <w:color w:val="auto"/>
          <w:sz w:val="24"/>
          <w:highlight w:val="none"/>
        </w:rPr>
        <w:t>______</w:t>
      </w:r>
      <w:r>
        <w:rPr>
          <w:rFonts w:eastAsiaTheme="minorEastAsia"/>
          <w:color w:val="auto"/>
          <w:sz w:val="24"/>
          <w:szCs w:val="20"/>
          <w:highlight w:val="none"/>
        </w:rPr>
        <w:t>为□大型企业□中型企业、□小微企业（包含监狱企业、残疾人福利性单位）、□其他，合同金额为</w:t>
      </w:r>
      <w:r>
        <w:rPr>
          <w:rFonts w:eastAsiaTheme="minorEastAsia"/>
          <w:color w:val="auto"/>
          <w:sz w:val="24"/>
          <w:highlight w:val="none"/>
        </w:rPr>
        <w:t>______</w:t>
      </w:r>
      <w:r>
        <w:rPr>
          <w:rFonts w:eastAsiaTheme="minorEastAsia"/>
          <w:color w:val="auto"/>
          <w:sz w:val="24"/>
          <w:szCs w:val="20"/>
          <w:highlight w:val="none"/>
        </w:rPr>
        <w:t>元；</w:t>
      </w:r>
    </w:p>
    <w:p w14:paraId="1634E698">
      <w:pPr>
        <w:tabs>
          <w:tab w:val="left" w:pos="720"/>
          <w:tab w:val="left" w:pos="900"/>
        </w:tabs>
        <w:spacing w:line="360" w:lineRule="auto"/>
        <w:ind w:left="851"/>
        <w:rPr>
          <w:rFonts w:eastAsiaTheme="minorEastAsia"/>
          <w:color w:val="auto"/>
          <w:sz w:val="24"/>
          <w:szCs w:val="20"/>
          <w:highlight w:val="none"/>
        </w:rPr>
      </w:pPr>
      <w:r>
        <w:rPr>
          <w:rFonts w:eastAsiaTheme="minorEastAsia"/>
          <w:color w:val="auto"/>
          <w:sz w:val="24"/>
          <w:szCs w:val="20"/>
          <w:highlight w:val="none"/>
        </w:rPr>
        <w:t>（2）</w:t>
      </w:r>
      <w:r>
        <w:rPr>
          <w:rFonts w:eastAsiaTheme="minorEastAsia"/>
          <w:color w:val="auto"/>
          <w:sz w:val="24"/>
          <w:highlight w:val="none"/>
        </w:rPr>
        <w:t>______</w:t>
      </w:r>
      <w:r>
        <w:rPr>
          <w:rFonts w:eastAsiaTheme="minorEastAsia"/>
          <w:color w:val="auto"/>
          <w:sz w:val="24"/>
          <w:szCs w:val="20"/>
          <w:highlight w:val="none"/>
        </w:rPr>
        <w:t>为□大型企业□中型企业、□小微企业（包含监狱企业、残疾人福利性单位）、□其他，合同金额为</w:t>
      </w:r>
      <w:r>
        <w:rPr>
          <w:rFonts w:eastAsiaTheme="minorEastAsia"/>
          <w:color w:val="auto"/>
          <w:sz w:val="24"/>
          <w:highlight w:val="none"/>
        </w:rPr>
        <w:t>______</w:t>
      </w:r>
      <w:r>
        <w:rPr>
          <w:rFonts w:eastAsiaTheme="minorEastAsia"/>
          <w:color w:val="auto"/>
          <w:sz w:val="24"/>
          <w:szCs w:val="20"/>
          <w:highlight w:val="none"/>
        </w:rPr>
        <w:t>元；</w:t>
      </w:r>
    </w:p>
    <w:p w14:paraId="067F064D">
      <w:pPr>
        <w:tabs>
          <w:tab w:val="left" w:pos="720"/>
          <w:tab w:val="left" w:pos="900"/>
        </w:tabs>
        <w:spacing w:line="360" w:lineRule="auto"/>
        <w:ind w:left="851"/>
        <w:rPr>
          <w:rFonts w:eastAsiaTheme="minorEastAsia"/>
          <w:color w:val="auto"/>
          <w:sz w:val="24"/>
          <w:szCs w:val="20"/>
          <w:highlight w:val="none"/>
        </w:rPr>
      </w:pPr>
      <w:r>
        <w:rPr>
          <w:rFonts w:eastAsiaTheme="minorEastAsia"/>
          <w:color w:val="auto"/>
          <w:sz w:val="24"/>
          <w:szCs w:val="20"/>
          <w:highlight w:val="none"/>
        </w:rPr>
        <w:t>（…）</w:t>
      </w:r>
      <w:r>
        <w:rPr>
          <w:rFonts w:eastAsiaTheme="minorEastAsia"/>
          <w:color w:val="auto"/>
          <w:sz w:val="24"/>
          <w:highlight w:val="none"/>
        </w:rPr>
        <w:t>______</w:t>
      </w:r>
      <w:r>
        <w:rPr>
          <w:rFonts w:eastAsiaTheme="minorEastAsia"/>
          <w:color w:val="auto"/>
          <w:sz w:val="24"/>
          <w:szCs w:val="20"/>
          <w:highlight w:val="none"/>
        </w:rPr>
        <w:t>为□大型企业□中型企业、□小微企业（包含监狱企业、残疾人福利性单位）、□其他，合同金额为</w:t>
      </w:r>
      <w:r>
        <w:rPr>
          <w:rFonts w:eastAsiaTheme="minorEastAsia"/>
          <w:color w:val="auto"/>
          <w:sz w:val="24"/>
          <w:highlight w:val="none"/>
        </w:rPr>
        <w:t>______</w:t>
      </w:r>
      <w:r>
        <w:rPr>
          <w:rFonts w:eastAsiaTheme="minorEastAsia"/>
          <w:color w:val="auto"/>
          <w:sz w:val="24"/>
          <w:szCs w:val="20"/>
          <w:highlight w:val="none"/>
        </w:rPr>
        <w:t>元。</w:t>
      </w:r>
    </w:p>
    <w:p w14:paraId="52216A79">
      <w:pPr>
        <w:numPr>
          <w:ilvl w:val="0"/>
          <w:numId w:val="28"/>
        </w:numPr>
        <w:tabs>
          <w:tab w:val="left" w:pos="993"/>
        </w:tabs>
        <w:spacing w:line="360" w:lineRule="auto"/>
        <w:rPr>
          <w:rFonts w:eastAsiaTheme="minorEastAsia"/>
          <w:bCs/>
          <w:color w:val="auto"/>
          <w:sz w:val="24"/>
          <w:highlight w:val="none"/>
        </w:rPr>
      </w:pPr>
      <w:r>
        <w:rPr>
          <w:rFonts w:eastAsiaTheme="minorEastAsia"/>
          <w:color w:val="auto"/>
          <w:sz w:val="24"/>
          <w:szCs w:val="20"/>
          <w:highlight w:val="none"/>
        </w:rPr>
        <w:t>以联合体形式参加政府采购活动的，联合体各方不得再单独参加或者与其他供应商另外组成联合体参加同一合同项下的政府采购活动。</w:t>
      </w:r>
    </w:p>
    <w:p w14:paraId="66FE8E21">
      <w:pPr>
        <w:numPr>
          <w:ilvl w:val="0"/>
          <w:numId w:val="28"/>
        </w:numPr>
        <w:spacing w:line="360" w:lineRule="auto"/>
        <w:rPr>
          <w:rFonts w:eastAsiaTheme="minorEastAsia"/>
          <w:bCs/>
          <w:color w:val="auto"/>
          <w:sz w:val="24"/>
          <w:highlight w:val="none"/>
        </w:rPr>
      </w:pPr>
      <w:r>
        <w:rPr>
          <w:rFonts w:eastAsiaTheme="minorEastAsia"/>
          <w:bCs/>
          <w:color w:val="auto"/>
          <w:sz w:val="24"/>
          <w:highlight w:val="none"/>
        </w:rPr>
        <w:t>其他约定（如有）：</w:t>
      </w:r>
      <w:r>
        <w:rPr>
          <w:rFonts w:eastAsiaTheme="minorEastAsia"/>
          <w:color w:val="auto"/>
          <w:sz w:val="24"/>
          <w:highlight w:val="none"/>
        </w:rPr>
        <w:t>______。</w:t>
      </w:r>
    </w:p>
    <w:p w14:paraId="4E9F7096">
      <w:pPr>
        <w:tabs>
          <w:tab w:val="left" w:pos="780"/>
        </w:tabs>
        <w:spacing w:line="360" w:lineRule="auto"/>
        <w:ind w:left="180" w:firstLine="480" w:firstLineChars="200"/>
        <w:rPr>
          <w:color w:val="auto"/>
          <w:sz w:val="24"/>
          <w:highlight w:val="none"/>
        </w:rPr>
      </w:pPr>
      <w:r>
        <w:rPr>
          <w:rFonts w:eastAsiaTheme="minorEastAsia"/>
          <w:bCs/>
          <w:color w:val="auto"/>
          <w:sz w:val="24"/>
          <w:highlight w:val="none"/>
        </w:rPr>
        <w:t>本协议自各方盖章后生效，采购合同履行完毕后自动失效。如未成交，本协议自动终止。</w:t>
      </w:r>
      <w:r>
        <w:rPr>
          <w:rFonts w:eastAsiaTheme="minorEastAsia"/>
          <w:color w:val="auto"/>
          <w:sz w:val="24"/>
          <w:highlight w:val="none"/>
        </w:rPr>
        <w:br w:type="page"/>
      </w:r>
    </w:p>
    <w:p w14:paraId="55AF1A36">
      <w:pPr>
        <w:spacing w:line="360" w:lineRule="auto"/>
        <w:ind w:firstLine="471"/>
        <w:rPr>
          <w:color w:val="auto"/>
          <w:sz w:val="24"/>
          <w:highlight w:val="none"/>
        </w:rPr>
      </w:pPr>
      <w:r>
        <w:rPr>
          <w:color w:val="auto"/>
          <w:sz w:val="24"/>
          <w:highlight w:val="none"/>
        </w:rPr>
        <w:t>联合体牵头人名称：</w:t>
      </w:r>
      <w:r>
        <w:rPr>
          <w:color w:val="auto"/>
          <w:sz w:val="24"/>
          <w:szCs w:val="20"/>
          <w:highlight w:val="none"/>
        </w:rPr>
        <w:t>______</w:t>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ab/>
      </w:r>
      <w:r>
        <w:rPr>
          <w:color w:val="auto"/>
          <w:sz w:val="24"/>
          <w:highlight w:val="none"/>
        </w:rPr>
        <w:t xml:space="preserve"> 联合体成员名称：</w:t>
      </w:r>
      <w:r>
        <w:rPr>
          <w:color w:val="auto"/>
          <w:sz w:val="24"/>
          <w:szCs w:val="20"/>
          <w:highlight w:val="none"/>
        </w:rPr>
        <w:t>______</w:t>
      </w:r>
    </w:p>
    <w:p w14:paraId="398D5CCA">
      <w:pPr>
        <w:spacing w:line="360" w:lineRule="auto"/>
        <w:ind w:firstLine="471"/>
        <w:rPr>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盖章：</w:t>
      </w:r>
      <w:r>
        <w:rPr>
          <w:color w:val="auto"/>
          <w:sz w:val="24"/>
          <w:szCs w:val="20"/>
          <w:highlight w:val="none"/>
        </w:rPr>
        <w:t>______</w:t>
      </w:r>
    </w:p>
    <w:p w14:paraId="7F2D7CAF">
      <w:pPr>
        <w:spacing w:line="360" w:lineRule="auto"/>
        <w:ind w:firstLine="471"/>
        <w:rPr>
          <w:color w:val="auto"/>
          <w:sz w:val="24"/>
          <w:highlight w:val="none"/>
        </w:rPr>
      </w:pPr>
    </w:p>
    <w:p w14:paraId="0F153479">
      <w:pPr>
        <w:spacing w:line="360" w:lineRule="auto"/>
        <w:ind w:firstLine="471"/>
        <w:rPr>
          <w:color w:val="auto"/>
          <w:sz w:val="24"/>
          <w:highlight w:val="none"/>
        </w:rPr>
      </w:pPr>
    </w:p>
    <w:p w14:paraId="3B8AB2D7">
      <w:pPr>
        <w:spacing w:line="360" w:lineRule="auto"/>
        <w:ind w:firstLine="471"/>
        <w:rPr>
          <w:color w:val="auto"/>
          <w:sz w:val="24"/>
          <w:highlight w:val="none"/>
        </w:rPr>
      </w:pPr>
      <w:r>
        <w:rPr>
          <w:color w:val="auto"/>
          <w:sz w:val="24"/>
          <w:highlight w:val="none"/>
        </w:rPr>
        <w:t>联合体成员名称：</w:t>
      </w:r>
      <w:r>
        <w:rPr>
          <w:color w:val="auto"/>
          <w:sz w:val="24"/>
          <w:szCs w:val="20"/>
          <w:highlight w:val="none"/>
        </w:rPr>
        <w:t>______</w:t>
      </w:r>
    </w:p>
    <w:p w14:paraId="52FBB460">
      <w:pPr>
        <w:widowControl/>
        <w:ind w:firstLine="480" w:firstLineChars="200"/>
        <w:jc w:val="left"/>
        <w:rPr>
          <w:rFonts w:eastAsiaTheme="minorEastAsia"/>
          <w:color w:val="auto"/>
          <w:sz w:val="24"/>
          <w:highlight w:val="none"/>
        </w:rPr>
      </w:pPr>
      <w:r>
        <w:rPr>
          <w:color w:val="auto"/>
          <w:sz w:val="24"/>
          <w:highlight w:val="none"/>
        </w:rPr>
        <w:t>盖章：</w:t>
      </w:r>
      <w:r>
        <w:rPr>
          <w:color w:val="auto"/>
          <w:sz w:val="24"/>
          <w:szCs w:val="20"/>
          <w:highlight w:val="none"/>
        </w:rPr>
        <w:t>______</w:t>
      </w:r>
      <w:r>
        <w:rPr>
          <w:color w:val="auto"/>
          <w:sz w:val="24"/>
          <w:highlight w:val="none"/>
        </w:rPr>
        <w:t xml:space="preserve">        </w:t>
      </w:r>
      <w:r>
        <w:rPr>
          <w:rFonts w:eastAsiaTheme="minorEastAsia"/>
          <w:color w:val="auto"/>
          <w:sz w:val="24"/>
          <w:highlight w:val="none"/>
        </w:rPr>
        <w:t xml:space="preserve"> </w:t>
      </w:r>
    </w:p>
    <w:p w14:paraId="1D43B1A6">
      <w:pPr>
        <w:spacing w:line="360" w:lineRule="auto"/>
        <w:ind w:left="480"/>
        <w:jc w:val="right"/>
        <w:rPr>
          <w:rFonts w:eastAsiaTheme="minorEastAsia"/>
          <w:color w:val="auto"/>
          <w:sz w:val="24"/>
          <w:highlight w:val="none"/>
        </w:rPr>
      </w:pPr>
    </w:p>
    <w:p w14:paraId="490300ED">
      <w:pPr>
        <w:spacing w:line="360" w:lineRule="auto"/>
        <w:ind w:left="480"/>
        <w:jc w:val="right"/>
        <w:rPr>
          <w:rFonts w:eastAsiaTheme="minorEastAsia"/>
          <w:color w:val="auto"/>
          <w:sz w:val="24"/>
          <w:highlight w:val="none"/>
        </w:rPr>
      </w:pPr>
      <w:r>
        <w:rPr>
          <w:rFonts w:eastAsiaTheme="minorEastAsia"/>
          <w:color w:val="auto"/>
          <w:sz w:val="24"/>
          <w:szCs w:val="20"/>
          <w:highlight w:val="none"/>
        </w:rPr>
        <w:t>日期：</w:t>
      </w:r>
      <w:r>
        <w:rPr>
          <w:rFonts w:eastAsiaTheme="minorEastAsia"/>
          <w:color w:val="auto"/>
          <w:sz w:val="24"/>
          <w:highlight w:val="none"/>
        </w:rPr>
        <w:t>______</w:t>
      </w:r>
      <w:r>
        <w:rPr>
          <w:rFonts w:eastAsiaTheme="minorEastAsia"/>
          <w:color w:val="auto"/>
          <w:sz w:val="24"/>
          <w:szCs w:val="20"/>
          <w:highlight w:val="none"/>
        </w:rPr>
        <w:t>年</w:t>
      </w:r>
      <w:r>
        <w:rPr>
          <w:rFonts w:eastAsiaTheme="minorEastAsia"/>
          <w:color w:val="auto"/>
          <w:sz w:val="24"/>
          <w:highlight w:val="none"/>
        </w:rPr>
        <w:t>______</w:t>
      </w:r>
      <w:r>
        <w:rPr>
          <w:rFonts w:eastAsiaTheme="minorEastAsia"/>
          <w:color w:val="auto"/>
          <w:sz w:val="24"/>
          <w:szCs w:val="20"/>
          <w:highlight w:val="none"/>
        </w:rPr>
        <w:t>月</w:t>
      </w:r>
      <w:r>
        <w:rPr>
          <w:rFonts w:eastAsiaTheme="minorEastAsia"/>
          <w:color w:val="auto"/>
          <w:sz w:val="24"/>
          <w:highlight w:val="none"/>
        </w:rPr>
        <w:t>______</w:t>
      </w:r>
      <w:r>
        <w:rPr>
          <w:rFonts w:eastAsiaTheme="minorEastAsia"/>
          <w:color w:val="auto"/>
          <w:sz w:val="24"/>
          <w:szCs w:val="20"/>
          <w:highlight w:val="none"/>
        </w:rPr>
        <w:t>日</w:t>
      </w:r>
    </w:p>
    <w:p w14:paraId="134752DA">
      <w:pPr>
        <w:spacing w:line="360" w:lineRule="auto"/>
        <w:ind w:left="480"/>
        <w:jc w:val="right"/>
        <w:rPr>
          <w:rFonts w:ascii="宋体" w:hAnsi="宋体" w:cs="宋体"/>
          <w:color w:val="auto"/>
          <w:sz w:val="24"/>
          <w:highlight w:val="none"/>
        </w:rPr>
      </w:pPr>
    </w:p>
    <w:p w14:paraId="32422500">
      <w:pPr>
        <w:spacing w:line="360" w:lineRule="auto"/>
        <w:ind w:left="480"/>
        <w:jc w:val="right"/>
        <w:rPr>
          <w:rFonts w:ascii="宋体" w:hAnsi="宋体" w:cs="宋体"/>
          <w:b/>
          <w:color w:val="auto"/>
          <w:sz w:val="24"/>
          <w:highlight w:val="none"/>
        </w:rPr>
      </w:pPr>
    </w:p>
    <w:p w14:paraId="2E92467F">
      <w:pPr>
        <w:tabs>
          <w:tab w:val="left" w:pos="8280"/>
        </w:tabs>
        <w:spacing w:line="360" w:lineRule="auto"/>
        <w:ind w:firstLine="480"/>
        <w:rPr>
          <w:rFonts w:ascii="宋体" w:hAnsi="宋体" w:cs="宋体"/>
          <w:color w:val="auto"/>
          <w:sz w:val="24"/>
          <w:highlight w:val="none"/>
        </w:rPr>
      </w:pPr>
    </w:p>
    <w:p w14:paraId="3CA73347">
      <w:pPr>
        <w:pStyle w:val="56"/>
        <w:rPr>
          <w:rFonts w:cs="宋体"/>
          <w:color w:val="auto"/>
          <w:highlight w:val="none"/>
        </w:rPr>
      </w:pPr>
    </w:p>
    <w:p w14:paraId="75670D05">
      <w:pPr>
        <w:rPr>
          <w:color w:val="auto"/>
          <w:highlight w:val="none"/>
        </w:rPr>
      </w:pPr>
    </w:p>
    <w:p w14:paraId="0D6B7E0B">
      <w:pPr>
        <w:tabs>
          <w:tab w:val="left" w:pos="8280"/>
        </w:tabs>
        <w:spacing w:line="360" w:lineRule="auto"/>
        <w:ind w:firstLine="480"/>
        <w:rPr>
          <w:rFonts w:ascii="宋体" w:hAnsi="宋体" w:cs="宋体"/>
          <w:color w:val="auto"/>
          <w:sz w:val="24"/>
          <w:highlight w:val="none"/>
        </w:rPr>
      </w:pPr>
    </w:p>
    <w:p w14:paraId="6FCF1DF8">
      <w:pPr>
        <w:pStyle w:val="32"/>
        <w:rPr>
          <w:color w:val="auto"/>
          <w:highlight w:val="none"/>
        </w:rPr>
      </w:pPr>
      <w:r>
        <w:rPr>
          <w:rFonts w:hint="eastAsia"/>
          <w:color w:val="auto"/>
          <w:highlight w:val="none"/>
        </w:rPr>
        <w:t>注：</w:t>
      </w:r>
      <w:r>
        <w:rPr>
          <w:rFonts w:cs="Bookman Old Style"/>
          <w:color w:val="auto"/>
          <w:highlight w:val="none"/>
        </w:rPr>
        <w:t>1.</w:t>
      </w:r>
      <w:r>
        <w:rPr>
          <w:rFonts w:cs="Bookman Old Style"/>
          <w:color w:val="auto"/>
          <w:spacing w:val="29"/>
          <w:highlight w:val="none"/>
        </w:rPr>
        <w:t xml:space="preserve"> </w:t>
      </w:r>
      <w:r>
        <w:rPr>
          <w:color w:val="auto"/>
          <w:highlight w:val="none"/>
        </w:rPr>
        <w:t>如本项目（包）接受供应商以联合体形式参加采购活动，且供应商以联合体形</w:t>
      </w:r>
      <w:r>
        <w:rPr>
          <w:color w:val="auto"/>
          <w:spacing w:val="-111"/>
          <w:highlight w:val="none"/>
        </w:rPr>
        <w:t xml:space="preserve"> </w:t>
      </w:r>
      <w:r>
        <w:rPr>
          <w:color w:val="auto"/>
          <w:spacing w:val="-6"/>
          <w:highlight w:val="none"/>
        </w:rPr>
        <w:t>式参与时，须提供《联合协议》，否则响应无效。</w:t>
      </w:r>
    </w:p>
    <w:p w14:paraId="77BDB936">
      <w:pPr>
        <w:pStyle w:val="32"/>
        <w:ind w:firstLine="480" w:firstLineChars="200"/>
        <w:rPr>
          <w:color w:val="auto"/>
          <w:highlight w:val="none"/>
        </w:rPr>
      </w:pPr>
      <w:r>
        <w:rPr>
          <w:rFonts w:cs="Bookman Old Style"/>
          <w:color w:val="auto"/>
          <w:highlight w:val="none"/>
        </w:rPr>
        <w:t>2.</w:t>
      </w:r>
      <w:r>
        <w:rPr>
          <w:rFonts w:cs="Bookman Old Style"/>
          <w:color w:val="auto"/>
          <w:spacing w:val="44"/>
          <w:highlight w:val="none"/>
        </w:rPr>
        <w:t xml:space="preserve"> </w:t>
      </w:r>
      <w:r>
        <w:rPr>
          <w:color w:val="auto"/>
          <w:highlight w:val="none"/>
        </w:rPr>
        <w:t>联合体各方成员需在本协议上共同盖章。</w:t>
      </w:r>
    </w:p>
    <w:p w14:paraId="4857F40D">
      <w:pPr>
        <w:spacing w:line="360" w:lineRule="auto"/>
        <w:ind w:left="719" w:leftChars="228" w:hanging="240" w:hangingChars="100"/>
        <w:rPr>
          <w:rFonts w:ascii="宋体" w:hAnsi="宋体" w:cs="宋体"/>
          <w:color w:val="auto"/>
          <w:sz w:val="24"/>
          <w:highlight w:val="none"/>
        </w:rPr>
        <w:sectPr>
          <w:footerReference r:id="rId39" w:type="default"/>
          <w:pgSz w:w="11907" w:h="16840"/>
          <w:pgMar w:top="1149" w:right="1133" w:bottom="1057" w:left="1701" w:header="875" w:footer="886" w:gutter="0"/>
          <w:cols w:space="720" w:num="1"/>
        </w:sectPr>
      </w:pPr>
    </w:p>
    <w:p w14:paraId="713A76C7">
      <w:pPr>
        <w:pStyle w:val="32"/>
        <w:spacing w:before="307" w:line="201" w:lineRule="auto"/>
        <w:ind w:left="18"/>
        <w:outlineLvl w:val="2"/>
        <w:rPr>
          <w:rFonts w:cs="微软雅黑"/>
          <w:color w:val="auto"/>
          <w:highlight w:val="none"/>
        </w:rPr>
      </w:pPr>
      <w:r>
        <w:rPr>
          <w:color w:val="auto"/>
          <w:spacing w:val="1"/>
          <w:highlight w:val="none"/>
        </w:rPr>
        <w:t>3-2</w:t>
      </w:r>
      <w:r>
        <w:rPr>
          <w:color w:val="auto"/>
          <w:spacing w:val="67"/>
          <w:highlight w:val="none"/>
        </w:rPr>
        <w:t xml:space="preserve"> </w:t>
      </w:r>
      <w:r>
        <w:rPr>
          <w:rFonts w:cs="微软雅黑"/>
          <w:color w:val="auto"/>
          <w:spacing w:val="1"/>
          <w:highlight w:val="none"/>
        </w:rPr>
        <w:t>其他特定资格要求</w:t>
      </w:r>
    </w:p>
    <w:p w14:paraId="6AEBAB3F">
      <w:pPr>
        <w:spacing w:line="201" w:lineRule="auto"/>
        <w:rPr>
          <w:rFonts w:ascii="微软雅黑" w:hAnsi="微软雅黑" w:eastAsia="微软雅黑" w:cs="微软雅黑"/>
          <w:color w:val="auto"/>
          <w:sz w:val="24"/>
          <w:highlight w:val="none"/>
        </w:rPr>
      </w:pPr>
    </w:p>
    <w:p w14:paraId="6E1592EF">
      <w:pPr>
        <w:pStyle w:val="82"/>
        <w:tabs>
          <w:tab w:val="left" w:pos="5580"/>
        </w:tabs>
        <w:snapToGrid w:val="0"/>
        <w:spacing w:after="0" w:line="360" w:lineRule="auto"/>
        <w:ind w:left="0" w:leftChars="0" w:firstLine="480"/>
        <w:rPr>
          <w:rFonts w:asciiTheme="minorEastAsia" w:hAnsiTheme="minorEastAsia" w:eastAsiaTheme="minorEastAsia" w:cstheme="minorEastAsia"/>
          <w:color w:val="auto"/>
          <w:szCs w:val="24"/>
          <w:highlight w:val="none"/>
        </w:rPr>
      </w:pPr>
      <w:r>
        <w:rPr>
          <w:rFonts w:hint="eastAsia" w:asciiTheme="minorEastAsia" w:hAnsiTheme="minorEastAsia" w:eastAsiaTheme="minorEastAsia" w:cstheme="minorEastAsia"/>
          <w:color w:val="auto"/>
          <w:szCs w:val="24"/>
          <w:highlight w:val="none"/>
        </w:rPr>
        <w:t>3.2.1供应商须具有建设行政主管部门颁发的建筑工程施工总承包三级及以上资质，并具备有效的《安全生产许可证》；（提供证明材料加盖单位公章）</w:t>
      </w:r>
    </w:p>
    <w:p w14:paraId="4CB2CF30">
      <w:pPr>
        <w:spacing w:line="360" w:lineRule="auto"/>
        <w:ind w:left="210" w:leftChars="100" w:firstLine="225" w:firstLineChars="94"/>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3.2.2项目经理须具有建筑工程专业二级及以上注册建造师执业资格，具备有效的安全生产考核合格证书（B本），且未在其他工程项目中担任项目负责人；（提供证明材及承诺书加盖单位公章）</w:t>
      </w:r>
    </w:p>
    <w:p w14:paraId="02C341BA">
      <w:pPr>
        <w:shd w:val="clear" w:color="auto" w:fill="FFFFFF"/>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3.2.3在“信用中国”网站（www.creditchina.gov.cn）中被列入失信被执行人、重大税收违法案件当事人名单、政府采购严重违法失信行为记录名单的被执行人，在“中国政府采购网” 网站（www.ccgp.gov.cn）被列为失信供应商，不得参与本项目投标；（提供证明材料加盖单位公章）</w:t>
      </w:r>
    </w:p>
    <w:p w14:paraId="17BD3585">
      <w:pPr>
        <w:spacing w:line="360" w:lineRule="auto"/>
        <w:ind w:left="210" w:leftChars="100" w:firstLine="225" w:firstLineChars="94"/>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3.2.4供应商经营状态：在近三年（2022年</w:t>
      </w:r>
      <w:r>
        <w:rPr>
          <w:rFonts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sz w:val="24"/>
          <w:highlight w:val="none"/>
        </w:rPr>
        <w:t>月1日至响应文件提交截止时间前）没有骗取中标和严重违约，没有处于被责令停业，投标资格被取消，财产被接管、冻结，破产状态；（提供承诺书加盖单位公章）</w:t>
      </w:r>
    </w:p>
    <w:p w14:paraId="50BAE498">
      <w:pPr>
        <w:spacing w:line="360" w:lineRule="auto"/>
        <w:ind w:left="210" w:leftChars="100" w:firstLine="225" w:firstLineChars="94"/>
        <w:rPr>
          <w:color w:val="auto"/>
          <w:highlight w:val="none"/>
        </w:rPr>
        <w:sectPr>
          <w:pgSz w:w="11907" w:h="16840"/>
          <w:pgMar w:top="1149" w:right="1133" w:bottom="1057" w:left="1701" w:header="875" w:footer="886" w:gutter="0"/>
          <w:cols w:space="720" w:num="1"/>
        </w:sectPr>
      </w:pPr>
      <w:r>
        <w:rPr>
          <w:rFonts w:hint="eastAsia" w:asciiTheme="minorEastAsia" w:hAnsiTheme="minorEastAsia" w:eastAsiaTheme="minorEastAsia" w:cstheme="minorEastAsia"/>
          <w:color w:val="auto"/>
          <w:sz w:val="24"/>
          <w:highlight w:val="none"/>
        </w:rPr>
        <w:t>3.2.5单位负责人为同一人或者存在直接控股、管理关系的不同供应商，不得同时参加本项目；（提供承诺书加盖单位公章）</w:t>
      </w:r>
    </w:p>
    <w:p w14:paraId="2CE06B52">
      <w:pPr>
        <w:pStyle w:val="32"/>
        <w:spacing w:before="307" w:line="201" w:lineRule="auto"/>
        <w:ind w:left="12"/>
        <w:outlineLvl w:val="1"/>
        <w:rPr>
          <w:rFonts w:cs="宋体"/>
          <w:color w:val="auto"/>
          <w:highlight w:val="none"/>
        </w:rPr>
      </w:pPr>
      <w:r>
        <w:rPr>
          <w:color w:val="auto"/>
          <w:spacing w:val="1"/>
          <w:highlight w:val="none"/>
        </w:rPr>
        <w:t>4</w:t>
      </w:r>
      <w:r>
        <w:rPr>
          <w:color w:val="auto"/>
          <w:spacing w:val="57"/>
          <w:highlight w:val="none"/>
        </w:rPr>
        <w:t xml:space="preserve"> </w:t>
      </w:r>
      <w:r>
        <w:rPr>
          <w:rFonts w:hint="eastAsia" w:cs="宋体"/>
          <w:color w:val="auto"/>
          <w:spacing w:val="1"/>
          <w:highlight w:val="none"/>
        </w:rPr>
        <w:t>磋商保证金凭证/交款单据（如有）</w:t>
      </w:r>
    </w:p>
    <w:p w14:paraId="311C12A2">
      <w:pPr>
        <w:spacing w:line="201" w:lineRule="auto"/>
        <w:rPr>
          <w:rFonts w:ascii="微软雅黑" w:hAnsi="微软雅黑" w:eastAsia="微软雅黑" w:cs="微软雅黑"/>
          <w:color w:val="auto"/>
          <w:sz w:val="24"/>
          <w:highlight w:val="none"/>
        </w:rPr>
        <w:sectPr>
          <w:footerReference r:id="rId40" w:type="default"/>
          <w:pgSz w:w="11907" w:h="16840"/>
          <w:pgMar w:top="1149" w:right="1133" w:bottom="1060" w:left="1701" w:header="875" w:footer="886" w:gutter="0"/>
          <w:cols w:space="720" w:num="1"/>
        </w:sectPr>
      </w:pPr>
    </w:p>
    <w:p w14:paraId="1D0398A3">
      <w:pPr>
        <w:shd w:val="clear" w:color="auto" w:fill="FFFFFF"/>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 xml:space="preserve">5  </w:t>
      </w:r>
      <w:bookmarkEnd w:id="1818"/>
      <w:bookmarkEnd w:id="1819"/>
      <w:r>
        <w:rPr>
          <w:rFonts w:hint="eastAsia" w:ascii="宋体" w:hAnsi="宋体" w:cs="宋体"/>
          <w:color w:val="auto"/>
          <w:sz w:val="24"/>
          <w:highlight w:val="none"/>
        </w:rPr>
        <w:t>响应书</w:t>
      </w:r>
      <w:bookmarkEnd w:id="1820"/>
      <w:bookmarkEnd w:id="1821"/>
      <w:bookmarkEnd w:id="1822"/>
      <w:bookmarkEnd w:id="1823"/>
      <w:bookmarkEnd w:id="1824"/>
      <w:bookmarkEnd w:id="1825"/>
      <w:bookmarkEnd w:id="1826"/>
      <w:bookmarkEnd w:id="1827"/>
      <w:bookmarkEnd w:id="1828"/>
      <w:bookmarkEnd w:id="1829"/>
      <w:r>
        <w:rPr>
          <w:rFonts w:hint="eastAsia" w:ascii="宋体" w:hAnsi="宋体" w:cs="宋体"/>
          <w:color w:val="auto"/>
          <w:sz w:val="24"/>
          <w:highlight w:val="none"/>
        </w:rPr>
        <w:t>（实质性格式）</w:t>
      </w:r>
    </w:p>
    <w:p w14:paraId="2E035924">
      <w:pPr>
        <w:shd w:val="clear" w:color="auto" w:fill="FFFFFF"/>
        <w:tabs>
          <w:tab w:val="left" w:pos="5580"/>
        </w:tabs>
        <w:spacing w:line="360" w:lineRule="auto"/>
        <w:rPr>
          <w:rFonts w:ascii="宋体" w:hAnsi="宋体" w:cs="宋体"/>
          <w:color w:val="auto"/>
          <w:sz w:val="24"/>
          <w:highlight w:val="none"/>
        </w:rPr>
      </w:pPr>
    </w:p>
    <w:p w14:paraId="517F8F32">
      <w:pPr>
        <w:shd w:val="clear" w:color="auto" w:fill="FFFFFF"/>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响应书</w:t>
      </w:r>
    </w:p>
    <w:p w14:paraId="25A55831">
      <w:pPr>
        <w:shd w:val="clear" w:color="auto" w:fill="FFFFFF"/>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（采购人或采购代理机构）</w:t>
      </w:r>
    </w:p>
    <w:p w14:paraId="53352046">
      <w:pPr>
        <w:shd w:val="clear" w:color="auto" w:fill="FFFFFF"/>
        <w:tabs>
          <w:tab w:val="left" w:pos="5580"/>
        </w:tabs>
        <w:spacing w:line="360" w:lineRule="auto"/>
        <w:rPr>
          <w:rFonts w:ascii="宋体" w:hAnsi="宋体" w:cs="宋体"/>
          <w:color w:val="auto"/>
          <w:sz w:val="24"/>
          <w:szCs w:val="20"/>
          <w:highlight w:val="none"/>
        </w:rPr>
      </w:pPr>
    </w:p>
    <w:p w14:paraId="3823FA6B">
      <w:pPr>
        <w:shd w:val="clear" w:color="auto" w:fill="FFFFFF"/>
        <w:tabs>
          <w:tab w:val="left" w:pos="5580"/>
        </w:tabs>
        <w:spacing w:line="360" w:lineRule="auto"/>
        <w:ind w:firstLine="408"/>
        <w:rPr>
          <w:rFonts w:ascii="宋体" w:hAnsi="宋体" w:cs="宋体"/>
          <w:color w:val="auto"/>
          <w:sz w:val="24"/>
          <w:szCs w:val="20"/>
          <w:highlight w:val="none"/>
        </w:rPr>
      </w:pPr>
      <w:r>
        <w:rPr>
          <w:rFonts w:hint="eastAsia" w:ascii="宋体" w:hAnsi="宋体" w:cs="宋体"/>
          <w:color w:val="auto"/>
          <w:sz w:val="24"/>
          <w:szCs w:val="20"/>
          <w:highlight w:val="none"/>
        </w:rPr>
        <w:t>我方参加你方就</w:t>
      </w:r>
      <w:r>
        <w:rPr>
          <w:rFonts w:hint="eastAsia" w:ascii="宋体" w:hAnsi="宋体" w:cs="宋体"/>
          <w:color w:val="auto"/>
          <w:sz w:val="24"/>
          <w:highlight w:val="none"/>
        </w:rPr>
        <w:t>______</w:t>
      </w:r>
      <w:r>
        <w:rPr>
          <w:rFonts w:hint="eastAsia" w:ascii="宋体" w:hAnsi="宋体" w:cs="宋体"/>
          <w:color w:val="auto"/>
          <w:sz w:val="24"/>
          <w:szCs w:val="20"/>
          <w:highlight w:val="none"/>
        </w:rPr>
        <w:t>（项目名称，项目编号/包号）组织的采购活动，并对此项目进行磋商。</w:t>
      </w:r>
    </w:p>
    <w:p w14:paraId="574A9E4E">
      <w:pPr>
        <w:shd w:val="clear" w:color="auto" w:fill="FFFFFF"/>
        <w:tabs>
          <w:tab w:val="left" w:pos="5580"/>
        </w:tabs>
        <w:spacing w:line="360" w:lineRule="auto"/>
        <w:ind w:firstLine="408"/>
        <w:rPr>
          <w:rFonts w:ascii="宋体" w:hAnsi="宋体" w:cs="宋体"/>
          <w:color w:val="auto"/>
          <w:sz w:val="24"/>
          <w:szCs w:val="20"/>
          <w:highlight w:val="none"/>
        </w:rPr>
      </w:pPr>
      <w:r>
        <w:rPr>
          <w:rFonts w:hint="eastAsia" w:ascii="宋体" w:hAnsi="宋体" w:cs="宋体"/>
          <w:color w:val="auto"/>
          <w:sz w:val="24"/>
          <w:szCs w:val="20"/>
          <w:highlight w:val="none"/>
        </w:rPr>
        <w:t>1. 我方</w:t>
      </w:r>
      <w:r>
        <w:rPr>
          <w:rFonts w:hint="eastAsia" w:ascii="宋体" w:hAnsi="宋体" w:cs="宋体"/>
          <w:color w:val="auto"/>
          <w:sz w:val="24"/>
          <w:highlight w:val="none"/>
        </w:rPr>
        <w:t>已详细审查全部竞争性磋商文件</w:t>
      </w:r>
      <w:r>
        <w:rPr>
          <w:rFonts w:hint="eastAsia" w:ascii="宋体" w:hAnsi="宋体" w:cs="宋体"/>
          <w:color w:val="auto"/>
          <w:sz w:val="24"/>
          <w:szCs w:val="20"/>
          <w:highlight w:val="none"/>
        </w:rPr>
        <w:t>，自愿参与磋商并承诺如下：</w:t>
      </w:r>
    </w:p>
    <w:p w14:paraId="64A80275">
      <w:pPr>
        <w:shd w:val="clear" w:color="auto" w:fill="FFFFFF"/>
        <w:tabs>
          <w:tab w:val="left" w:pos="720"/>
          <w:tab w:val="left" w:pos="900"/>
        </w:tabs>
        <w:spacing w:line="360" w:lineRule="auto"/>
        <w:ind w:left="360" w:firstLine="72" w:firstLineChars="30"/>
        <w:rPr>
          <w:rFonts w:ascii="宋体" w:hAnsi="宋体" w:cs="宋体"/>
          <w:color w:val="auto"/>
          <w:sz w:val="24"/>
          <w:szCs w:val="20"/>
          <w:highlight w:val="none"/>
        </w:rPr>
      </w:pPr>
      <w:r>
        <w:rPr>
          <w:rFonts w:hint="eastAsia" w:ascii="宋体" w:hAnsi="宋体" w:cs="宋体"/>
          <w:color w:val="auto"/>
          <w:sz w:val="24"/>
          <w:szCs w:val="20"/>
          <w:highlight w:val="none"/>
        </w:rPr>
        <w:t>（1）本响应有效期为自提交响应文件的截止之日起</w:t>
      </w:r>
      <w:r>
        <w:rPr>
          <w:rFonts w:hint="eastAsia" w:ascii="宋体" w:hAnsi="宋体" w:cs="宋体"/>
          <w:color w:val="auto"/>
          <w:sz w:val="24"/>
          <w:highlight w:val="none"/>
        </w:rPr>
        <w:t>______</w:t>
      </w:r>
      <w:r>
        <w:rPr>
          <w:rFonts w:hint="eastAsia" w:ascii="宋体" w:hAnsi="宋体" w:cs="宋体"/>
          <w:color w:val="auto"/>
          <w:sz w:val="24"/>
          <w:szCs w:val="20"/>
          <w:highlight w:val="none"/>
        </w:rPr>
        <w:t>个日历日。</w:t>
      </w:r>
    </w:p>
    <w:p w14:paraId="1C732077">
      <w:pPr>
        <w:shd w:val="clear" w:color="auto" w:fill="FFFFFF"/>
        <w:tabs>
          <w:tab w:val="left" w:pos="720"/>
          <w:tab w:val="left" w:pos="900"/>
        </w:tabs>
        <w:spacing w:line="360" w:lineRule="auto"/>
        <w:ind w:left="360" w:firstLine="72" w:firstLineChars="30"/>
        <w:rPr>
          <w:rFonts w:ascii="宋体" w:hAnsi="宋体" w:cs="宋体"/>
          <w:color w:val="auto"/>
          <w:sz w:val="24"/>
          <w:szCs w:val="20"/>
          <w:highlight w:val="none"/>
        </w:rPr>
      </w:pPr>
      <w:r>
        <w:rPr>
          <w:rFonts w:hint="eastAsia" w:ascii="宋体" w:hAnsi="宋体" w:cs="宋体"/>
          <w:color w:val="auto"/>
          <w:sz w:val="24"/>
          <w:szCs w:val="20"/>
          <w:highlight w:val="none"/>
        </w:rPr>
        <w:t>（2）除合同条款及采购需求偏离表列出的偏离外，我方响应竞争性磋商文件的全部要求。</w:t>
      </w:r>
    </w:p>
    <w:p w14:paraId="07B14688">
      <w:pPr>
        <w:shd w:val="clear" w:color="auto" w:fill="FFFFFF"/>
        <w:tabs>
          <w:tab w:val="left" w:pos="5580"/>
        </w:tabs>
        <w:spacing w:line="360" w:lineRule="auto"/>
        <w:ind w:firstLine="420" w:firstLineChars="175"/>
        <w:rPr>
          <w:rFonts w:ascii="宋体" w:hAnsi="宋体" w:cs="宋体"/>
          <w:color w:val="auto"/>
          <w:sz w:val="24"/>
          <w:szCs w:val="20"/>
          <w:highlight w:val="none"/>
        </w:rPr>
      </w:pPr>
      <w:r>
        <w:rPr>
          <w:rFonts w:hint="eastAsia" w:ascii="宋体" w:hAnsi="宋体" w:cs="宋体"/>
          <w:color w:val="auto"/>
          <w:sz w:val="24"/>
          <w:szCs w:val="20"/>
          <w:highlight w:val="none"/>
        </w:rPr>
        <w:t>（3）我方已提供的全部文件资料是真实、准确的，并对此承担一切法律后果。</w:t>
      </w:r>
    </w:p>
    <w:p w14:paraId="36EB85F4">
      <w:pPr>
        <w:shd w:val="clear" w:color="auto" w:fill="FFFFFF"/>
        <w:tabs>
          <w:tab w:val="left" w:pos="5580"/>
        </w:tabs>
        <w:spacing w:line="360" w:lineRule="auto"/>
        <w:ind w:firstLine="420" w:firstLineChars="175"/>
        <w:rPr>
          <w:rFonts w:ascii="宋体" w:hAnsi="宋体" w:cs="宋体"/>
          <w:color w:val="auto"/>
          <w:sz w:val="24"/>
          <w:highlight w:val="none"/>
        </w:rPr>
      </w:pPr>
      <w:r>
        <w:rPr>
          <w:rFonts w:hint="eastAsia" w:ascii="宋体" w:hAnsi="宋体" w:cs="宋体"/>
          <w:color w:val="auto"/>
          <w:sz w:val="24"/>
          <w:szCs w:val="20"/>
          <w:highlight w:val="none"/>
        </w:rPr>
        <w:t>（4）如我方成交，我方将在法律规定的期限内与你方签订合同，按照竞争性磋商文件要求提交履约保证金，并在合同约定的期限内完成合同规定的全部义务。</w:t>
      </w:r>
    </w:p>
    <w:p w14:paraId="047EC47A">
      <w:pPr>
        <w:shd w:val="clear" w:color="auto" w:fill="FFFFFF"/>
        <w:spacing w:line="360" w:lineRule="auto"/>
        <w:ind w:left="420"/>
        <w:rPr>
          <w:rFonts w:ascii="宋体" w:hAnsi="宋体" w:cs="宋体"/>
          <w:color w:val="auto"/>
          <w:sz w:val="24"/>
          <w:highlight w:val="none"/>
        </w:rPr>
      </w:pPr>
      <w:r>
        <w:rPr>
          <w:rFonts w:hint="eastAsia" w:ascii="宋体" w:hAnsi="宋体" w:cs="宋体"/>
          <w:color w:val="auto"/>
          <w:sz w:val="24"/>
          <w:highlight w:val="none"/>
        </w:rPr>
        <w:t>2. 其他补充条款（如有）：______。</w:t>
      </w:r>
    </w:p>
    <w:p w14:paraId="0E441FD7">
      <w:pPr>
        <w:shd w:val="clear" w:color="auto" w:fill="FFFFFF"/>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与本磋商有关的一切正式往来信函请寄：</w:t>
      </w:r>
    </w:p>
    <w:p w14:paraId="66863253">
      <w:pPr>
        <w:shd w:val="clear" w:color="auto" w:fill="FFFFFF"/>
        <w:tabs>
          <w:tab w:val="left" w:pos="5580"/>
        </w:tabs>
        <w:spacing w:line="360" w:lineRule="auto"/>
        <w:ind w:left="420"/>
        <w:rPr>
          <w:rFonts w:ascii="宋体" w:hAnsi="宋体" w:cs="宋体"/>
          <w:color w:val="auto"/>
          <w:sz w:val="24"/>
          <w:szCs w:val="20"/>
          <w:highlight w:val="none"/>
        </w:rPr>
      </w:pPr>
    </w:p>
    <w:p w14:paraId="45459556">
      <w:pPr>
        <w:shd w:val="clear" w:color="auto" w:fill="FFFFFF"/>
        <w:tabs>
          <w:tab w:val="left" w:pos="5580"/>
        </w:tabs>
        <w:spacing w:line="360" w:lineRule="auto"/>
        <w:ind w:left="420"/>
        <w:rPr>
          <w:rFonts w:ascii="宋体" w:hAnsi="宋体" w:cs="宋体"/>
          <w:color w:val="auto"/>
          <w:sz w:val="24"/>
          <w:szCs w:val="20"/>
          <w:highlight w:val="none"/>
        </w:rPr>
      </w:pPr>
      <w:r>
        <w:rPr>
          <w:rFonts w:hint="eastAsia" w:ascii="宋体" w:hAnsi="宋体" w:cs="宋体"/>
          <w:color w:val="auto"/>
          <w:sz w:val="24"/>
          <w:szCs w:val="20"/>
          <w:highlight w:val="none"/>
        </w:rPr>
        <w:t>地址</w:t>
      </w:r>
      <w:r>
        <w:rPr>
          <w:rFonts w:hint="eastAsia" w:ascii="宋体" w:hAnsi="宋体" w:cs="宋体"/>
          <w:bCs/>
          <w:color w:val="auto"/>
          <w:sz w:val="24"/>
          <w:highlight w:val="none"/>
        </w:rPr>
        <w:t>_________________________</w:t>
      </w:r>
      <w:r>
        <w:rPr>
          <w:rFonts w:hint="eastAsia" w:ascii="宋体" w:hAnsi="宋体" w:cs="宋体"/>
          <w:color w:val="auto"/>
          <w:sz w:val="24"/>
          <w:szCs w:val="20"/>
          <w:highlight w:val="none"/>
        </w:rPr>
        <w:t xml:space="preserve">      传   真</w:t>
      </w:r>
      <w:r>
        <w:rPr>
          <w:rFonts w:hint="eastAsia" w:ascii="宋体" w:hAnsi="宋体" w:cs="宋体"/>
          <w:bCs/>
          <w:color w:val="auto"/>
          <w:sz w:val="24"/>
          <w:highlight w:val="none"/>
        </w:rPr>
        <w:t>_________________________</w:t>
      </w:r>
    </w:p>
    <w:p w14:paraId="197ECF66">
      <w:pPr>
        <w:shd w:val="clear" w:color="auto" w:fill="FFFFFF"/>
        <w:tabs>
          <w:tab w:val="left" w:pos="5580"/>
        </w:tabs>
        <w:spacing w:line="360" w:lineRule="auto"/>
        <w:ind w:left="420"/>
        <w:rPr>
          <w:rFonts w:ascii="宋体" w:hAnsi="宋体" w:cs="宋体"/>
          <w:color w:val="auto"/>
          <w:sz w:val="24"/>
          <w:szCs w:val="20"/>
          <w:highlight w:val="none"/>
        </w:rPr>
      </w:pPr>
      <w:r>
        <w:rPr>
          <w:rFonts w:hint="eastAsia" w:ascii="宋体" w:hAnsi="宋体" w:cs="宋体"/>
          <w:color w:val="auto"/>
          <w:sz w:val="24"/>
          <w:szCs w:val="20"/>
          <w:highlight w:val="none"/>
        </w:rPr>
        <w:t>电话</w:t>
      </w:r>
      <w:r>
        <w:rPr>
          <w:rFonts w:hint="eastAsia" w:ascii="宋体" w:hAnsi="宋体" w:cs="宋体"/>
          <w:bCs/>
          <w:color w:val="auto"/>
          <w:sz w:val="24"/>
          <w:highlight w:val="none"/>
        </w:rPr>
        <w:t>_________________________</w:t>
      </w:r>
      <w:r>
        <w:rPr>
          <w:rFonts w:hint="eastAsia" w:ascii="宋体" w:hAnsi="宋体" w:cs="宋体"/>
          <w:color w:val="auto"/>
          <w:sz w:val="24"/>
          <w:szCs w:val="20"/>
          <w:highlight w:val="none"/>
        </w:rPr>
        <w:t xml:space="preserve">      电子函件</w:t>
      </w:r>
      <w:r>
        <w:rPr>
          <w:rFonts w:hint="eastAsia" w:ascii="宋体" w:hAnsi="宋体" w:cs="宋体"/>
          <w:bCs/>
          <w:color w:val="auto"/>
          <w:sz w:val="24"/>
          <w:highlight w:val="none"/>
        </w:rPr>
        <w:t>_________________________</w:t>
      </w:r>
    </w:p>
    <w:p w14:paraId="30E736A6">
      <w:pPr>
        <w:shd w:val="clear" w:color="auto" w:fill="FFFFFF"/>
        <w:tabs>
          <w:tab w:val="left" w:pos="5580"/>
        </w:tabs>
        <w:spacing w:line="360" w:lineRule="auto"/>
        <w:ind w:left="420"/>
        <w:rPr>
          <w:rFonts w:ascii="宋体" w:hAnsi="宋体" w:cs="宋体"/>
          <w:color w:val="auto"/>
          <w:sz w:val="24"/>
          <w:szCs w:val="20"/>
          <w:highlight w:val="none"/>
        </w:rPr>
      </w:pPr>
    </w:p>
    <w:p w14:paraId="312859CB">
      <w:pPr>
        <w:shd w:val="clear" w:color="auto" w:fill="FFFFFF"/>
        <w:tabs>
          <w:tab w:val="left" w:pos="5580"/>
        </w:tabs>
        <w:spacing w:line="360" w:lineRule="auto"/>
        <w:ind w:left="420"/>
        <w:rPr>
          <w:rFonts w:ascii="宋体" w:hAnsi="宋体" w:cs="宋体"/>
          <w:color w:val="auto"/>
          <w:sz w:val="24"/>
          <w:szCs w:val="20"/>
          <w:highlight w:val="none"/>
        </w:rPr>
      </w:pPr>
    </w:p>
    <w:p w14:paraId="74099244">
      <w:pPr>
        <w:shd w:val="clear" w:color="auto" w:fill="FFFFFF"/>
        <w:tabs>
          <w:tab w:val="left" w:pos="5580"/>
        </w:tabs>
        <w:spacing w:line="360" w:lineRule="auto"/>
        <w:ind w:left="420"/>
        <w:rPr>
          <w:rFonts w:ascii="宋体" w:hAnsi="宋体" w:cs="宋体"/>
          <w:color w:val="auto"/>
          <w:sz w:val="24"/>
          <w:szCs w:val="20"/>
          <w:highlight w:val="none"/>
        </w:rPr>
      </w:pPr>
    </w:p>
    <w:p w14:paraId="2E3D2C85">
      <w:pPr>
        <w:shd w:val="clear" w:color="auto" w:fill="FFFFFF"/>
        <w:autoSpaceDE w:val="0"/>
        <w:autoSpaceDN w:val="0"/>
        <w:adjustRightInd w:val="0"/>
        <w:snapToGrid w:val="0"/>
        <w:spacing w:before="25" w:after="25" w:line="360" w:lineRule="auto"/>
        <w:ind w:right="360" w:firstLine="360" w:firstLineChars="150"/>
        <w:rPr>
          <w:rFonts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w:t>
      </w:r>
      <w:r>
        <w:rPr>
          <w:rFonts w:hint="eastAsia" w:ascii="宋体" w:hAnsi="宋体" w:cs="宋体"/>
          <w:color w:val="auto"/>
          <w:sz w:val="24"/>
          <w:highlight w:val="none"/>
        </w:rPr>
        <w:t>______</w:t>
      </w:r>
    </w:p>
    <w:p w14:paraId="7BE1C0DB">
      <w:pPr>
        <w:shd w:val="clear" w:color="auto" w:fill="FFFFFF"/>
        <w:tabs>
          <w:tab w:val="left" w:pos="5580"/>
        </w:tabs>
        <w:spacing w:line="360" w:lineRule="auto"/>
        <w:ind w:firstLine="360" w:firstLineChars="150"/>
        <w:rPr>
          <w:rFonts w:ascii="宋体" w:hAnsi="宋体" w:cs="宋体"/>
          <w:color w:val="auto"/>
          <w:sz w:val="24"/>
          <w:szCs w:val="20"/>
          <w:highlight w:val="none"/>
        </w:rPr>
      </w:pPr>
      <w:r>
        <w:rPr>
          <w:rFonts w:hint="eastAsia" w:ascii="宋体" w:hAnsi="宋体" w:cs="宋体"/>
          <w:color w:val="auto"/>
          <w:sz w:val="24"/>
          <w:szCs w:val="20"/>
          <w:highlight w:val="none"/>
        </w:rPr>
        <w:t xml:space="preserve">日期：____年____月____日  </w:t>
      </w:r>
    </w:p>
    <w:p w14:paraId="1EB089E5">
      <w:pPr>
        <w:shd w:val="clear" w:color="auto" w:fill="FFFFFF"/>
        <w:tabs>
          <w:tab w:val="left" w:pos="5580"/>
        </w:tabs>
        <w:spacing w:line="360" w:lineRule="auto"/>
        <w:ind w:left="420"/>
        <w:jc w:val="left"/>
        <w:rPr>
          <w:rFonts w:ascii="宋体" w:hAnsi="宋体" w:cs="宋体"/>
          <w:color w:val="auto"/>
          <w:sz w:val="24"/>
          <w:szCs w:val="20"/>
          <w:highlight w:val="none"/>
        </w:rPr>
      </w:pPr>
    </w:p>
    <w:p w14:paraId="75A6E53D">
      <w:pPr>
        <w:shd w:val="clear" w:color="auto" w:fill="FFFFFF"/>
        <w:tabs>
          <w:tab w:val="left" w:pos="360"/>
        </w:tabs>
        <w:snapToGrid w:val="0"/>
        <w:spacing w:line="360" w:lineRule="auto"/>
        <w:outlineLvl w:val="1"/>
        <w:rPr>
          <w:rFonts w:ascii="宋体" w:hAnsi="宋体" w:cs="宋体"/>
          <w:color w:val="auto"/>
          <w:sz w:val="24"/>
          <w:highlight w:val="none"/>
        </w:rPr>
      </w:pPr>
      <w:r>
        <w:rPr>
          <w:rFonts w:hint="eastAsia" w:ascii="宋体" w:hAnsi="宋体" w:cs="宋体"/>
          <w:b/>
          <w:color w:val="auto"/>
          <w:sz w:val="24"/>
          <w:szCs w:val="20"/>
          <w:highlight w:val="none"/>
        </w:rPr>
        <w:br w:type="page"/>
      </w:r>
      <w:bookmarkStart w:id="1830" w:name="_Hlt520356243"/>
      <w:bookmarkEnd w:id="1830"/>
      <w:bookmarkStart w:id="1831" w:name="_Hlt520355938"/>
      <w:bookmarkEnd w:id="1831"/>
      <w:bookmarkStart w:id="1832" w:name="_Toc150774762"/>
      <w:bookmarkStart w:id="1833" w:name="_Toc226337253"/>
      <w:bookmarkStart w:id="1834" w:name="_Toc264969247"/>
      <w:bookmarkStart w:id="1835" w:name="_Toc480942350"/>
      <w:bookmarkStart w:id="1836" w:name="_Toc127151557"/>
      <w:bookmarkStart w:id="1837" w:name="_Toc142311059"/>
      <w:bookmarkStart w:id="1838" w:name="_Toc305158899"/>
      <w:bookmarkStart w:id="1839" w:name="_Toc195842922"/>
      <w:bookmarkStart w:id="1840" w:name="_Ref467988705"/>
      <w:bookmarkStart w:id="1841" w:name="_Toc226309801"/>
      <w:bookmarkStart w:id="1842" w:name="_Toc226965747"/>
      <w:bookmarkStart w:id="1843" w:name="_Toc226965830"/>
      <w:bookmarkStart w:id="1844" w:name="_Toc265228395"/>
      <w:bookmarkStart w:id="1845" w:name="_Toc520356218"/>
      <w:bookmarkStart w:id="1846" w:name="_Toc305158825"/>
      <w:bookmarkStart w:id="1847" w:name="_Toc150480795"/>
      <w:r>
        <w:rPr>
          <w:rFonts w:hint="eastAsia" w:ascii="宋体" w:hAnsi="宋体" w:cs="宋体"/>
          <w:color w:val="auto"/>
          <w:sz w:val="24"/>
          <w:highlight w:val="none"/>
        </w:rPr>
        <w:t>6  授权委托书（实质性格式）</w:t>
      </w:r>
    </w:p>
    <w:p w14:paraId="1EB54734">
      <w:pPr>
        <w:shd w:val="clear" w:color="auto" w:fill="FFFFFF"/>
        <w:autoSpaceDE w:val="0"/>
        <w:autoSpaceDN w:val="0"/>
        <w:adjustRightIn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授权委托书</w:t>
      </w:r>
    </w:p>
    <w:p w14:paraId="2B795B0D">
      <w:pPr>
        <w:shd w:val="clear" w:color="auto" w:fill="FFFFFF"/>
        <w:spacing w:line="360" w:lineRule="auto"/>
        <w:ind w:firstLine="420"/>
        <w:rPr>
          <w:rFonts w:ascii="宋体" w:hAnsi="宋体" w:cs="宋体"/>
          <w:color w:val="auto"/>
          <w:sz w:val="24"/>
          <w:szCs w:val="20"/>
          <w:highlight w:val="none"/>
        </w:rPr>
      </w:pPr>
      <w:r>
        <w:rPr>
          <w:rFonts w:hint="eastAsia" w:ascii="宋体" w:hAnsi="宋体" w:cs="宋体"/>
          <w:color w:val="auto"/>
          <w:sz w:val="24"/>
          <w:szCs w:val="20"/>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69A6CE4C">
      <w:pPr>
        <w:shd w:val="clear" w:color="auto" w:fill="FFFFFF"/>
        <w:spacing w:line="360" w:lineRule="auto"/>
        <w:ind w:firstLine="420"/>
        <w:rPr>
          <w:rFonts w:ascii="宋体" w:hAnsi="宋体" w:cs="宋体"/>
          <w:color w:val="auto"/>
          <w:sz w:val="24"/>
          <w:szCs w:val="20"/>
          <w:highlight w:val="none"/>
        </w:rPr>
      </w:pPr>
      <w:r>
        <w:rPr>
          <w:rFonts w:hint="eastAsia" w:ascii="宋体" w:hAnsi="宋体" w:cs="宋体"/>
          <w:color w:val="auto"/>
          <w:sz w:val="24"/>
          <w:szCs w:val="20"/>
          <w:highlight w:val="none"/>
        </w:rPr>
        <w:t>委托期限：自本授权委托书签署之日起至响应有效期届满之日止。</w:t>
      </w:r>
    </w:p>
    <w:p w14:paraId="3F452BE0">
      <w:pPr>
        <w:shd w:val="clear" w:color="auto" w:fill="FFFFFF"/>
        <w:spacing w:line="360" w:lineRule="auto"/>
        <w:ind w:firstLine="420"/>
        <w:rPr>
          <w:rFonts w:ascii="宋体" w:hAnsi="宋体" w:cs="宋体"/>
          <w:color w:val="auto"/>
          <w:sz w:val="24"/>
          <w:szCs w:val="20"/>
          <w:highlight w:val="none"/>
        </w:rPr>
      </w:pPr>
      <w:r>
        <w:rPr>
          <w:rFonts w:hint="eastAsia" w:ascii="宋体" w:hAnsi="宋体" w:cs="宋体"/>
          <w:color w:val="auto"/>
          <w:sz w:val="24"/>
          <w:szCs w:val="20"/>
          <w:highlight w:val="none"/>
        </w:rPr>
        <w:t>代理人无转委托权。</w:t>
      </w:r>
      <w:r>
        <w:rPr>
          <w:rFonts w:hint="eastAsia" w:ascii="宋体" w:hAnsi="宋体" w:cs="宋体"/>
          <w:color w:val="auto"/>
          <w:sz w:val="24"/>
          <w:szCs w:val="20"/>
          <w:highlight w:val="none"/>
        </w:rPr>
        <w:cr/>
      </w:r>
    </w:p>
    <w:p w14:paraId="5BB10A4A">
      <w:pPr>
        <w:shd w:val="clear" w:color="auto" w:fill="FFFFFF"/>
        <w:spacing w:line="360" w:lineRule="auto"/>
        <w:rPr>
          <w:rFonts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w:t>
      </w:r>
      <w:r>
        <w:rPr>
          <w:rFonts w:hint="eastAsia" w:ascii="宋体" w:hAnsi="宋体" w:cs="宋体"/>
          <w:color w:val="auto"/>
          <w:sz w:val="24"/>
          <w:szCs w:val="20"/>
          <w:highlight w:val="none"/>
        </w:rPr>
        <w:t>______________</w:t>
      </w:r>
    </w:p>
    <w:p w14:paraId="31E49186">
      <w:pPr>
        <w:shd w:val="clear" w:color="auto" w:fill="FFFFFF"/>
        <w:spacing w:line="360" w:lineRule="auto"/>
        <w:rPr>
          <w:rFonts w:ascii="宋体" w:hAnsi="宋体" w:cs="宋体"/>
          <w:color w:val="auto"/>
          <w:sz w:val="24"/>
          <w:szCs w:val="20"/>
          <w:highlight w:val="none"/>
        </w:rPr>
      </w:pPr>
      <w:r>
        <w:rPr>
          <w:rFonts w:hint="eastAsia" w:ascii="宋体" w:hAnsi="宋体" w:cs="宋体"/>
          <w:color w:val="auto"/>
          <w:sz w:val="24"/>
          <w:szCs w:val="20"/>
          <w:highlight w:val="none"/>
        </w:rPr>
        <w:t>法定代表人（单位负责人）（</w:t>
      </w:r>
      <w:r>
        <w:rPr>
          <w:rFonts w:hint="eastAsia" w:ascii="宋体" w:hAnsi="宋体" w:cs="宋体"/>
          <w:color w:val="auto"/>
          <w:sz w:val="24"/>
          <w:highlight w:val="none"/>
        </w:rPr>
        <w:t>签字</w:t>
      </w:r>
      <w:r>
        <w:rPr>
          <w:rFonts w:hint="eastAsia" w:ascii="宋体" w:hAnsi="宋体" w:cs="宋体"/>
          <w:color w:val="auto"/>
          <w:sz w:val="24"/>
          <w:szCs w:val="20"/>
          <w:highlight w:val="none"/>
        </w:rPr>
        <w:t>或签章）：______________</w:t>
      </w:r>
    </w:p>
    <w:p w14:paraId="28AF96F3">
      <w:pPr>
        <w:shd w:val="clear" w:color="auto" w:fill="FFFFFF"/>
        <w:autoSpaceDE w:val="0"/>
        <w:autoSpaceDN w:val="0"/>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委托代理人（签字</w:t>
      </w:r>
      <w:r>
        <w:rPr>
          <w:rFonts w:hint="eastAsia" w:ascii="宋体" w:hAnsi="宋体" w:cs="宋体"/>
          <w:color w:val="auto"/>
          <w:sz w:val="24"/>
          <w:szCs w:val="20"/>
          <w:highlight w:val="none"/>
        </w:rPr>
        <w:t>或签章</w:t>
      </w:r>
      <w:r>
        <w:rPr>
          <w:rFonts w:hint="eastAsia" w:ascii="宋体" w:hAnsi="宋体" w:cs="宋体"/>
          <w:color w:val="auto"/>
          <w:sz w:val="24"/>
          <w:highlight w:val="none"/>
        </w:rPr>
        <w:t>）：</w:t>
      </w:r>
      <w:r>
        <w:rPr>
          <w:rFonts w:hint="eastAsia" w:ascii="宋体" w:hAnsi="宋体" w:cs="宋体"/>
          <w:color w:val="auto"/>
          <w:sz w:val="24"/>
          <w:szCs w:val="20"/>
          <w:highlight w:val="none"/>
        </w:rPr>
        <w:t>______________</w:t>
      </w:r>
      <w:r>
        <w:rPr>
          <w:rFonts w:hint="eastAsia" w:ascii="宋体" w:hAnsi="宋体" w:cs="宋体"/>
          <w:color w:val="auto"/>
          <w:sz w:val="24"/>
          <w:highlight w:val="none"/>
          <w:lang w:val="zh-CN"/>
        </w:rPr>
        <w:t xml:space="preserve">        </w:t>
      </w:r>
    </w:p>
    <w:p w14:paraId="733EB6E0">
      <w:pPr>
        <w:shd w:val="clear" w:color="auto" w:fill="FFFFFF"/>
        <w:autoSpaceDE w:val="0"/>
        <w:autoSpaceDN w:val="0"/>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日期：</w:t>
      </w:r>
      <w:r>
        <w:rPr>
          <w:rFonts w:hint="eastAsia" w:ascii="宋体" w:hAnsi="宋体" w:cs="宋体"/>
          <w:color w:val="auto"/>
          <w:sz w:val="24"/>
          <w:szCs w:val="20"/>
          <w:highlight w:val="none"/>
        </w:rPr>
        <w:t>____</w:t>
      </w:r>
      <w:r>
        <w:rPr>
          <w:rFonts w:hint="eastAsia" w:ascii="宋体" w:hAnsi="宋体" w:cs="宋体"/>
          <w:color w:val="auto"/>
          <w:sz w:val="24"/>
          <w:highlight w:val="none"/>
        </w:rPr>
        <w:t>年</w:t>
      </w:r>
      <w:r>
        <w:rPr>
          <w:rFonts w:hint="eastAsia" w:ascii="宋体" w:hAnsi="宋体" w:cs="宋体"/>
          <w:color w:val="auto"/>
          <w:sz w:val="24"/>
          <w:szCs w:val="20"/>
          <w:highlight w:val="none"/>
        </w:rPr>
        <w:t>____</w:t>
      </w:r>
      <w:r>
        <w:rPr>
          <w:rFonts w:hint="eastAsia" w:ascii="宋体" w:hAnsi="宋体" w:cs="宋体"/>
          <w:color w:val="auto"/>
          <w:sz w:val="24"/>
          <w:highlight w:val="none"/>
        </w:rPr>
        <w:t>月</w:t>
      </w:r>
      <w:r>
        <w:rPr>
          <w:rFonts w:hint="eastAsia" w:ascii="宋体" w:hAnsi="宋体" w:cs="宋体"/>
          <w:color w:val="auto"/>
          <w:sz w:val="24"/>
          <w:szCs w:val="20"/>
          <w:highlight w:val="none"/>
        </w:rPr>
        <w:t>____</w:t>
      </w:r>
      <w:r>
        <w:rPr>
          <w:rFonts w:hint="eastAsia" w:ascii="宋体" w:hAnsi="宋体" w:cs="宋体"/>
          <w:color w:val="auto"/>
          <w:sz w:val="24"/>
          <w:highlight w:val="none"/>
        </w:rPr>
        <w:t>日</w:t>
      </w:r>
    </w:p>
    <w:p w14:paraId="47FA9DF8">
      <w:pPr>
        <w:shd w:val="clear" w:color="auto" w:fill="FFFFFF"/>
        <w:tabs>
          <w:tab w:val="left" w:pos="5580"/>
        </w:tabs>
        <w:spacing w:line="360" w:lineRule="auto"/>
        <w:ind w:firstLine="480" w:firstLineChars="200"/>
        <w:rPr>
          <w:rFonts w:ascii="宋体" w:hAnsi="宋体" w:cs="宋体"/>
          <w:color w:val="auto"/>
          <w:sz w:val="24"/>
          <w:szCs w:val="20"/>
          <w:highlight w:val="none"/>
        </w:rPr>
      </w:pPr>
    </w:p>
    <w:p w14:paraId="748B10D3">
      <w:pPr>
        <w:shd w:val="clear" w:color="auto" w:fill="FFFFFF"/>
        <w:tabs>
          <w:tab w:val="left" w:pos="5580"/>
        </w:tabs>
        <w:spacing w:line="360" w:lineRule="auto"/>
        <w:jc w:val="left"/>
        <w:rPr>
          <w:rFonts w:ascii="宋体" w:hAnsi="宋体" w:cs="宋体"/>
          <w:color w:val="auto"/>
          <w:sz w:val="24"/>
          <w:szCs w:val="20"/>
          <w:highlight w:val="none"/>
        </w:rPr>
      </w:pPr>
      <w:r>
        <w:rPr>
          <w:rFonts w:hint="eastAsia" w:ascii="宋体" w:hAnsi="宋体" w:cs="宋体"/>
          <w:color w:val="auto"/>
          <w:sz w:val="24"/>
          <w:szCs w:val="20"/>
          <w:highlight w:val="none"/>
        </w:rPr>
        <w:t>附：法定代表人（单位负责人）及委托代理人身份证明文件电子件：</w:t>
      </w:r>
    </w:p>
    <w:tbl>
      <w:tblPr>
        <w:tblStyle w:val="8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14:paraId="418D3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161177C6">
            <w:pPr>
              <w:shd w:val="clear" w:color="auto" w:fill="FFFFFF"/>
              <w:tabs>
                <w:tab w:val="left" w:pos="5580"/>
              </w:tabs>
              <w:spacing w:line="360" w:lineRule="auto"/>
              <w:jc w:val="left"/>
              <w:rPr>
                <w:rFonts w:ascii="宋体" w:hAnsi="宋体" w:cs="宋体"/>
                <w:color w:val="auto"/>
                <w:sz w:val="24"/>
                <w:szCs w:val="20"/>
                <w:highlight w:val="none"/>
              </w:rPr>
            </w:pPr>
          </w:p>
          <w:p w14:paraId="372CA9FE">
            <w:pPr>
              <w:shd w:val="clear" w:color="auto" w:fill="FFFFFF"/>
              <w:tabs>
                <w:tab w:val="left" w:pos="5580"/>
              </w:tabs>
              <w:spacing w:line="360" w:lineRule="auto"/>
              <w:jc w:val="left"/>
              <w:rPr>
                <w:rFonts w:ascii="宋体" w:hAnsi="宋体" w:cs="宋体"/>
                <w:color w:val="auto"/>
                <w:sz w:val="24"/>
                <w:szCs w:val="20"/>
                <w:highlight w:val="none"/>
              </w:rPr>
            </w:pPr>
          </w:p>
          <w:p w14:paraId="47823E8E">
            <w:pPr>
              <w:shd w:val="clear" w:color="auto" w:fill="FFFFFF"/>
              <w:tabs>
                <w:tab w:val="left" w:pos="5580"/>
              </w:tabs>
              <w:spacing w:line="360" w:lineRule="auto"/>
              <w:jc w:val="left"/>
              <w:rPr>
                <w:rFonts w:ascii="宋体" w:hAnsi="宋体" w:cs="宋体"/>
                <w:color w:val="auto"/>
                <w:sz w:val="24"/>
                <w:szCs w:val="20"/>
                <w:highlight w:val="none"/>
              </w:rPr>
            </w:pPr>
          </w:p>
          <w:p w14:paraId="6AA699C9">
            <w:pPr>
              <w:shd w:val="clear" w:color="auto" w:fill="FFFFFF"/>
              <w:tabs>
                <w:tab w:val="left" w:pos="5580"/>
              </w:tabs>
              <w:spacing w:line="360" w:lineRule="auto"/>
              <w:jc w:val="left"/>
              <w:rPr>
                <w:rFonts w:ascii="宋体" w:hAnsi="宋体" w:cs="宋体"/>
                <w:color w:val="auto"/>
                <w:sz w:val="24"/>
                <w:szCs w:val="20"/>
                <w:highlight w:val="none"/>
              </w:rPr>
            </w:pPr>
          </w:p>
          <w:p w14:paraId="1466A9CF">
            <w:pPr>
              <w:shd w:val="clear" w:color="auto" w:fill="FFFFFF"/>
              <w:tabs>
                <w:tab w:val="left" w:pos="5580"/>
              </w:tabs>
              <w:spacing w:line="360" w:lineRule="auto"/>
              <w:jc w:val="left"/>
              <w:rPr>
                <w:rFonts w:ascii="宋体" w:hAnsi="宋体" w:cs="宋体"/>
                <w:color w:val="auto"/>
                <w:sz w:val="24"/>
                <w:szCs w:val="20"/>
                <w:highlight w:val="none"/>
              </w:rPr>
            </w:pPr>
          </w:p>
        </w:tc>
      </w:tr>
    </w:tbl>
    <w:p w14:paraId="60D1A3D3">
      <w:pPr>
        <w:widowControl/>
        <w:shd w:val="clear" w:color="auto" w:fill="FFFFFF"/>
        <w:spacing w:line="360" w:lineRule="auto"/>
        <w:jc w:val="left"/>
        <w:rPr>
          <w:rFonts w:ascii="宋体" w:hAnsi="宋体" w:cs="宋体"/>
          <w:color w:val="auto"/>
          <w:sz w:val="24"/>
          <w:highlight w:val="none"/>
        </w:rPr>
      </w:pPr>
      <w:r>
        <w:rPr>
          <w:rFonts w:hint="eastAsia" w:ascii="宋体" w:hAnsi="宋体" w:cs="宋体"/>
          <w:color w:val="auto"/>
          <w:sz w:val="24"/>
          <w:highlight w:val="none"/>
        </w:rPr>
        <w:t>说明：</w:t>
      </w:r>
    </w:p>
    <w:p w14:paraId="6586BC87">
      <w:pPr>
        <w:widowControl/>
        <w:shd w:val="clear" w:color="auto" w:fill="FFFFFF"/>
        <w:spacing w:line="360" w:lineRule="auto"/>
        <w:jc w:val="left"/>
        <w:rPr>
          <w:rFonts w:ascii="宋体" w:hAnsi="宋体" w:cs="宋体"/>
          <w:color w:val="auto"/>
          <w:sz w:val="24"/>
          <w:highlight w:val="none"/>
        </w:rPr>
      </w:pPr>
      <w:r>
        <w:rPr>
          <w:rFonts w:hint="eastAsia" w:ascii="宋体" w:hAnsi="宋体" w:cs="宋体"/>
          <w:color w:val="auto"/>
          <w:sz w:val="24"/>
          <w:highlight w:val="none"/>
        </w:rPr>
        <w:t>1.若供应商为事业单位或其他组织或分支机构，则法定代表人（单位负责人）处的签署人可为单位负责人。</w:t>
      </w:r>
    </w:p>
    <w:p w14:paraId="7CFB6FF0">
      <w:pPr>
        <w:widowControl/>
        <w:shd w:val="clear" w:color="auto" w:fill="FFFFFF"/>
        <w:spacing w:line="360" w:lineRule="auto"/>
        <w:jc w:val="left"/>
        <w:rPr>
          <w:rFonts w:ascii="宋体" w:hAnsi="宋体" w:cs="宋体"/>
          <w:color w:val="auto"/>
          <w:sz w:val="24"/>
          <w:highlight w:val="none"/>
        </w:rPr>
      </w:pPr>
      <w:r>
        <w:rPr>
          <w:rFonts w:hint="eastAsia" w:ascii="宋体" w:hAnsi="宋体" w:cs="宋体"/>
          <w:color w:val="auto"/>
          <w:sz w:val="24"/>
          <w:highlight w:val="none"/>
        </w:rPr>
        <w:t>2.若响应文件中签字之处均为法定代表人（单位负责人）本人签署，则可不提供本《授权委托书》，但须提供《法定代表人（单位负责人）身份证明》；否则，不需要提供《法定代表人（单位负责人）身份证明》。</w:t>
      </w:r>
    </w:p>
    <w:p w14:paraId="550255C7">
      <w:pPr>
        <w:widowControl/>
        <w:shd w:val="clear" w:color="auto" w:fill="FFFFFF"/>
        <w:spacing w:line="360" w:lineRule="auto"/>
        <w:jc w:val="left"/>
        <w:rPr>
          <w:rFonts w:ascii="宋体" w:hAnsi="宋体" w:cs="宋体"/>
          <w:color w:val="auto"/>
          <w:sz w:val="24"/>
          <w:highlight w:val="none"/>
        </w:rPr>
      </w:pPr>
      <w:r>
        <w:rPr>
          <w:rFonts w:hint="eastAsia" w:ascii="宋体" w:hAnsi="宋体" w:cs="宋体"/>
          <w:color w:val="auto"/>
          <w:sz w:val="24"/>
          <w:highlight w:val="none"/>
        </w:rPr>
        <w:t>3.供应商为自然人的情形，可不提供本《授权委托书》。</w:t>
      </w:r>
    </w:p>
    <w:p w14:paraId="55A19C6B">
      <w:pPr>
        <w:widowControl/>
        <w:shd w:val="clear" w:color="auto" w:fill="FFFFFF"/>
        <w:spacing w:line="360" w:lineRule="auto"/>
        <w:jc w:val="left"/>
        <w:rPr>
          <w:rFonts w:ascii="宋体" w:hAnsi="宋体" w:cs="宋体"/>
          <w:color w:val="auto"/>
          <w:sz w:val="30"/>
          <w:szCs w:val="30"/>
          <w:highlight w:val="none"/>
        </w:rPr>
      </w:pPr>
      <w:r>
        <w:rPr>
          <w:rFonts w:hint="eastAsia" w:ascii="宋体" w:hAnsi="宋体" w:cs="宋体"/>
          <w:color w:val="auto"/>
          <w:sz w:val="24"/>
          <w:highlight w:val="none"/>
        </w:rPr>
        <w:t>4.供应商应随本《授权委托书》同时提供法定代表人（单位负责人）及委托代理人的有效的身份证、护照等身份证明文件电子件。提供身份证的，应同时提供身份证</w:t>
      </w:r>
      <w:r>
        <w:rPr>
          <w:rFonts w:hint="eastAsia" w:ascii="宋体" w:hAnsi="宋体" w:cs="宋体"/>
          <w:b/>
          <w:bCs/>
          <w:color w:val="auto"/>
          <w:sz w:val="24"/>
          <w:highlight w:val="none"/>
        </w:rPr>
        <w:t>双面</w:t>
      </w:r>
      <w:r>
        <w:rPr>
          <w:rFonts w:hint="eastAsia" w:ascii="宋体" w:hAnsi="宋体" w:cs="宋体"/>
          <w:color w:val="auto"/>
          <w:sz w:val="24"/>
          <w:highlight w:val="none"/>
        </w:rPr>
        <w:t>电子件。</w:t>
      </w:r>
      <w:r>
        <w:rPr>
          <w:rFonts w:hint="eastAsia" w:ascii="宋体" w:hAnsi="宋体" w:cs="宋体"/>
          <w:color w:val="auto"/>
          <w:sz w:val="24"/>
          <w:highlight w:val="none"/>
        </w:rPr>
        <w:br w:type="page"/>
      </w:r>
    </w:p>
    <w:p w14:paraId="33FA88A4">
      <w:pPr>
        <w:shd w:val="clear" w:color="auto" w:fill="FFFFFF"/>
        <w:autoSpaceDE w:val="0"/>
        <w:autoSpaceDN w:val="0"/>
        <w:adjustRightIn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法定代表人（单位负责人）身份证明</w:t>
      </w:r>
    </w:p>
    <w:p w14:paraId="2D58D844">
      <w:pPr>
        <w:shd w:val="clear" w:color="auto" w:fill="FFFFFF"/>
        <w:kinsoku w:val="0"/>
        <w:overflowPunct w:val="0"/>
        <w:spacing w:line="200" w:lineRule="exact"/>
        <w:rPr>
          <w:rFonts w:ascii="宋体" w:hAnsi="宋体" w:cs="宋体"/>
          <w:color w:val="auto"/>
          <w:sz w:val="20"/>
          <w:szCs w:val="20"/>
          <w:highlight w:val="none"/>
        </w:rPr>
      </w:pPr>
    </w:p>
    <w:p w14:paraId="446D76A1">
      <w:pPr>
        <w:shd w:val="clear" w:color="auto" w:fill="FFFFFF"/>
        <w:tabs>
          <w:tab w:val="left" w:pos="5580"/>
        </w:tabs>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szCs w:val="20"/>
          <w:highlight w:val="none"/>
        </w:rPr>
        <w:t>____</w:t>
      </w:r>
      <w:r>
        <w:rPr>
          <w:rFonts w:hint="eastAsia" w:ascii="宋体" w:hAnsi="宋体" w:cs="宋体"/>
          <w:color w:val="auto"/>
          <w:sz w:val="24"/>
          <w:highlight w:val="none"/>
        </w:rPr>
        <w:t>（采购人或采购代理机构）</w:t>
      </w:r>
    </w:p>
    <w:p w14:paraId="366CD4BB">
      <w:pPr>
        <w:pStyle w:val="32"/>
        <w:shd w:val="clear" w:color="auto" w:fill="FFFFFF"/>
        <w:tabs>
          <w:tab w:val="left" w:pos="2412"/>
          <w:tab w:val="left" w:pos="3883"/>
          <w:tab w:val="left" w:pos="5352"/>
          <w:tab w:val="left" w:pos="6821"/>
        </w:tabs>
        <w:kinsoku w:val="0"/>
        <w:overflowPunct w:val="0"/>
        <w:spacing w:line="335" w:lineRule="exact"/>
        <w:ind w:firstLine="480" w:firstLineChars="200"/>
        <w:rPr>
          <w:rFonts w:cs="宋体"/>
          <w:color w:val="auto"/>
          <w:highlight w:val="none"/>
        </w:rPr>
      </w:pPr>
      <w:r>
        <w:rPr>
          <w:rFonts w:hint="eastAsia" w:cs="宋体"/>
          <w:color w:val="auto"/>
          <w:highlight w:val="none"/>
        </w:rPr>
        <w:t>兹证明，</w:t>
      </w:r>
    </w:p>
    <w:p w14:paraId="0829E666">
      <w:pPr>
        <w:pStyle w:val="32"/>
        <w:shd w:val="clear" w:color="auto" w:fill="FFFFFF"/>
        <w:tabs>
          <w:tab w:val="left" w:pos="1690"/>
          <w:tab w:val="left" w:pos="3400"/>
          <w:tab w:val="left" w:pos="5110"/>
          <w:tab w:val="left" w:pos="6821"/>
        </w:tabs>
        <w:kinsoku w:val="0"/>
        <w:overflowPunct w:val="0"/>
        <w:spacing w:line="335" w:lineRule="exact"/>
        <w:rPr>
          <w:rFonts w:cs="宋体"/>
          <w:color w:val="auto"/>
          <w:highlight w:val="none"/>
        </w:rPr>
      </w:pPr>
      <w:r>
        <w:rPr>
          <w:rFonts w:hint="eastAsia" w:cs="宋体"/>
          <w:color w:val="auto"/>
          <w:highlight w:val="none"/>
        </w:rPr>
        <w:t>姓名：</w:t>
      </w:r>
      <w:r>
        <w:rPr>
          <w:rFonts w:hint="eastAsia" w:cs="宋体"/>
          <w:color w:val="auto"/>
          <w:szCs w:val="20"/>
          <w:highlight w:val="none"/>
        </w:rPr>
        <w:t>____</w:t>
      </w:r>
      <w:r>
        <w:rPr>
          <w:rFonts w:hint="eastAsia" w:cs="宋体"/>
          <w:color w:val="auto"/>
          <w:highlight w:val="none"/>
        </w:rPr>
        <w:t>性别：</w:t>
      </w:r>
      <w:r>
        <w:rPr>
          <w:rFonts w:hint="eastAsia" w:cs="宋体"/>
          <w:color w:val="auto"/>
          <w:szCs w:val="20"/>
          <w:highlight w:val="none"/>
        </w:rPr>
        <w:t>____</w:t>
      </w:r>
      <w:r>
        <w:rPr>
          <w:rFonts w:hint="eastAsia" w:cs="宋体"/>
          <w:color w:val="auto"/>
          <w:highlight w:val="none"/>
        </w:rPr>
        <w:t>年龄：</w:t>
      </w:r>
      <w:r>
        <w:rPr>
          <w:rFonts w:hint="eastAsia" w:cs="宋体"/>
          <w:color w:val="auto"/>
          <w:szCs w:val="20"/>
          <w:highlight w:val="none"/>
        </w:rPr>
        <w:t>____</w:t>
      </w:r>
      <w:r>
        <w:rPr>
          <w:rFonts w:hint="eastAsia" w:cs="宋体"/>
          <w:color w:val="auto"/>
          <w:highlight w:val="none"/>
        </w:rPr>
        <w:t>职务：</w:t>
      </w:r>
      <w:r>
        <w:rPr>
          <w:rFonts w:hint="eastAsia" w:cs="宋体"/>
          <w:color w:val="auto"/>
          <w:szCs w:val="20"/>
          <w:highlight w:val="none"/>
        </w:rPr>
        <w:t>____</w:t>
      </w:r>
    </w:p>
    <w:p w14:paraId="4A789013">
      <w:pPr>
        <w:pStyle w:val="32"/>
        <w:shd w:val="clear" w:color="auto" w:fill="FFFFFF"/>
        <w:tabs>
          <w:tab w:val="left" w:pos="2412"/>
          <w:tab w:val="left" w:pos="3883"/>
          <w:tab w:val="left" w:pos="5352"/>
          <w:tab w:val="left" w:pos="6821"/>
        </w:tabs>
        <w:kinsoku w:val="0"/>
        <w:overflowPunct w:val="0"/>
        <w:spacing w:line="335" w:lineRule="exact"/>
        <w:rPr>
          <w:rFonts w:cs="宋体"/>
          <w:color w:val="auto"/>
          <w:highlight w:val="none"/>
        </w:rPr>
      </w:pPr>
    </w:p>
    <w:p w14:paraId="0E3C0B83">
      <w:pPr>
        <w:pStyle w:val="32"/>
        <w:shd w:val="clear" w:color="auto" w:fill="FFFFFF"/>
        <w:tabs>
          <w:tab w:val="clear" w:pos="567"/>
        </w:tabs>
        <w:kinsoku w:val="0"/>
        <w:overflowPunct w:val="0"/>
        <w:spacing w:line="335" w:lineRule="exact"/>
        <w:rPr>
          <w:rFonts w:cs="宋体"/>
          <w:color w:val="auto"/>
          <w:highlight w:val="none"/>
        </w:rPr>
      </w:pPr>
      <w:r>
        <w:rPr>
          <w:rFonts w:hint="eastAsia" w:cs="宋体"/>
          <w:color w:val="auto"/>
          <w:highlight w:val="none"/>
        </w:rPr>
        <w:t>系</w:t>
      </w:r>
      <w:r>
        <w:rPr>
          <w:rFonts w:hint="eastAsia" w:cs="宋体"/>
          <w:color w:val="auto"/>
          <w:szCs w:val="20"/>
          <w:highlight w:val="none"/>
        </w:rPr>
        <w:t>__________</w:t>
      </w:r>
      <w:r>
        <w:rPr>
          <w:rFonts w:hint="eastAsia" w:cs="宋体"/>
          <w:color w:val="auto"/>
          <w:highlight w:val="none"/>
        </w:rPr>
        <w:t>（供应商名称）的法定代表人（单位负责人）。</w:t>
      </w:r>
    </w:p>
    <w:p w14:paraId="30925591">
      <w:pPr>
        <w:pStyle w:val="32"/>
        <w:shd w:val="clear" w:color="auto" w:fill="FFFFFF"/>
        <w:tabs>
          <w:tab w:val="left" w:pos="2412"/>
          <w:tab w:val="left" w:pos="3883"/>
          <w:tab w:val="left" w:pos="5352"/>
          <w:tab w:val="left" w:pos="6821"/>
        </w:tabs>
        <w:kinsoku w:val="0"/>
        <w:overflowPunct w:val="0"/>
        <w:spacing w:line="335" w:lineRule="exact"/>
        <w:rPr>
          <w:rFonts w:cs="宋体"/>
          <w:color w:val="auto"/>
          <w:highlight w:val="none"/>
        </w:rPr>
      </w:pPr>
    </w:p>
    <w:p w14:paraId="78E95F42">
      <w:pPr>
        <w:pStyle w:val="32"/>
        <w:shd w:val="clear" w:color="auto" w:fill="FFFFFF"/>
        <w:tabs>
          <w:tab w:val="left" w:pos="2412"/>
          <w:tab w:val="left" w:pos="3883"/>
          <w:tab w:val="left" w:pos="5352"/>
          <w:tab w:val="left" w:pos="6821"/>
        </w:tabs>
        <w:kinsoku w:val="0"/>
        <w:overflowPunct w:val="0"/>
        <w:spacing w:line="335" w:lineRule="exact"/>
        <w:rPr>
          <w:rFonts w:cs="宋体"/>
          <w:color w:val="auto"/>
          <w:highlight w:val="none"/>
        </w:rPr>
      </w:pPr>
    </w:p>
    <w:p w14:paraId="2BF86109">
      <w:pPr>
        <w:pStyle w:val="32"/>
        <w:shd w:val="clear" w:color="auto" w:fill="FFFFFF"/>
        <w:tabs>
          <w:tab w:val="left" w:pos="2412"/>
          <w:tab w:val="left" w:pos="3883"/>
          <w:tab w:val="left" w:pos="5352"/>
          <w:tab w:val="left" w:pos="6821"/>
        </w:tabs>
        <w:kinsoku w:val="0"/>
        <w:overflowPunct w:val="0"/>
        <w:spacing w:line="335" w:lineRule="exact"/>
        <w:rPr>
          <w:rFonts w:cs="宋体"/>
          <w:color w:val="auto"/>
          <w:highlight w:val="none"/>
        </w:rPr>
      </w:pPr>
    </w:p>
    <w:p w14:paraId="72AF6C0F">
      <w:pPr>
        <w:pStyle w:val="32"/>
        <w:shd w:val="clear" w:color="auto" w:fill="FFFFFF"/>
        <w:kinsoku w:val="0"/>
        <w:overflowPunct w:val="0"/>
        <w:spacing w:line="583" w:lineRule="auto"/>
        <w:ind w:right="-46"/>
        <w:rPr>
          <w:rFonts w:cs="宋体"/>
          <w:color w:val="auto"/>
          <w:spacing w:val="-3"/>
          <w:highlight w:val="none"/>
        </w:rPr>
      </w:pPr>
      <w:r>
        <w:rPr>
          <w:rFonts w:hint="eastAsia" w:cs="宋体"/>
          <w:color w:val="auto"/>
          <w:highlight w:val="none"/>
        </w:rPr>
        <w:t>附：法定代表人（单位负责人）身份证或护照等身份证明文件电子件：</w:t>
      </w:r>
    </w:p>
    <w:tbl>
      <w:tblPr>
        <w:tblStyle w:val="83"/>
        <w:tblW w:w="861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3"/>
      </w:tblGrid>
      <w:tr w14:paraId="1A9E8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8613" w:type="dxa"/>
          </w:tcPr>
          <w:p w14:paraId="4ED17AD4">
            <w:pPr>
              <w:shd w:val="clear" w:color="auto" w:fill="FFFFFF"/>
              <w:tabs>
                <w:tab w:val="left" w:pos="5580"/>
              </w:tabs>
              <w:spacing w:line="360" w:lineRule="auto"/>
              <w:jc w:val="left"/>
              <w:rPr>
                <w:rFonts w:ascii="宋体" w:hAnsi="宋体" w:cs="宋体"/>
                <w:color w:val="auto"/>
                <w:sz w:val="24"/>
                <w:szCs w:val="20"/>
                <w:highlight w:val="none"/>
              </w:rPr>
            </w:pPr>
          </w:p>
          <w:p w14:paraId="5561E8C3">
            <w:pPr>
              <w:shd w:val="clear" w:color="auto" w:fill="FFFFFF"/>
              <w:tabs>
                <w:tab w:val="left" w:pos="5580"/>
              </w:tabs>
              <w:spacing w:line="360" w:lineRule="auto"/>
              <w:jc w:val="left"/>
              <w:rPr>
                <w:rFonts w:ascii="宋体" w:hAnsi="宋体" w:cs="宋体"/>
                <w:color w:val="auto"/>
                <w:sz w:val="24"/>
                <w:szCs w:val="20"/>
                <w:highlight w:val="none"/>
              </w:rPr>
            </w:pPr>
          </w:p>
          <w:p w14:paraId="282B6133">
            <w:pPr>
              <w:shd w:val="clear" w:color="auto" w:fill="FFFFFF"/>
              <w:tabs>
                <w:tab w:val="left" w:pos="5580"/>
              </w:tabs>
              <w:spacing w:line="360" w:lineRule="auto"/>
              <w:jc w:val="left"/>
              <w:rPr>
                <w:rFonts w:ascii="宋体" w:hAnsi="宋体" w:cs="宋体"/>
                <w:color w:val="auto"/>
                <w:sz w:val="24"/>
                <w:szCs w:val="20"/>
                <w:highlight w:val="none"/>
              </w:rPr>
            </w:pPr>
          </w:p>
          <w:p w14:paraId="233CABA2">
            <w:pPr>
              <w:shd w:val="clear" w:color="auto" w:fill="FFFFFF"/>
              <w:tabs>
                <w:tab w:val="left" w:pos="5580"/>
              </w:tabs>
              <w:spacing w:line="360" w:lineRule="auto"/>
              <w:jc w:val="left"/>
              <w:rPr>
                <w:rFonts w:ascii="宋体" w:hAnsi="宋体" w:cs="宋体"/>
                <w:color w:val="auto"/>
                <w:sz w:val="24"/>
                <w:szCs w:val="20"/>
                <w:highlight w:val="none"/>
              </w:rPr>
            </w:pPr>
          </w:p>
          <w:p w14:paraId="699131FA">
            <w:pPr>
              <w:shd w:val="clear" w:color="auto" w:fill="FFFFFF"/>
              <w:tabs>
                <w:tab w:val="left" w:pos="5580"/>
              </w:tabs>
              <w:spacing w:line="360" w:lineRule="auto"/>
              <w:jc w:val="left"/>
              <w:rPr>
                <w:rFonts w:ascii="宋体" w:hAnsi="宋体" w:cs="宋体"/>
                <w:color w:val="auto"/>
                <w:sz w:val="24"/>
                <w:szCs w:val="20"/>
                <w:highlight w:val="none"/>
              </w:rPr>
            </w:pPr>
          </w:p>
          <w:p w14:paraId="023732A5">
            <w:pPr>
              <w:shd w:val="clear" w:color="auto" w:fill="FFFFFF"/>
              <w:tabs>
                <w:tab w:val="left" w:pos="5580"/>
              </w:tabs>
              <w:spacing w:line="360" w:lineRule="auto"/>
              <w:jc w:val="left"/>
              <w:rPr>
                <w:rFonts w:ascii="宋体" w:hAnsi="宋体" w:cs="宋体"/>
                <w:color w:val="auto"/>
                <w:sz w:val="24"/>
                <w:szCs w:val="20"/>
                <w:highlight w:val="none"/>
              </w:rPr>
            </w:pPr>
          </w:p>
        </w:tc>
      </w:tr>
    </w:tbl>
    <w:p w14:paraId="4F1B6CF4">
      <w:pPr>
        <w:pStyle w:val="32"/>
        <w:shd w:val="clear" w:color="auto" w:fill="FFFFFF"/>
        <w:kinsoku w:val="0"/>
        <w:overflowPunct w:val="0"/>
        <w:spacing w:line="583" w:lineRule="auto"/>
        <w:ind w:right="4305"/>
        <w:rPr>
          <w:rFonts w:cs="宋体"/>
          <w:color w:val="auto"/>
          <w:spacing w:val="-3"/>
          <w:highlight w:val="none"/>
        </w:rPr>
      </w:pPr>
    </w:p>
    <w:p w14:paraId="6A2FA7AD">
      <w:pPr>
        <w:pStyle w:val="32"/>
        <w:shd w:val="clear" w:color="auto" w:fill="FFFFFF"/>
        <w:kinsoku w:val="0"/>
        <w:overflowPunct w:val="0"/>
        <w:spacing w:line="583" w:lineRule="auto"/>
        <w:ind w:right="4305"/>
        <w:rPr>
          <w:rFonts w:cs="宋体"/>
          <w:color w:val="auto"/>
          <w:spacing w:val="-3"/>
          <w:highlight w:val="none"/>
        </w:rPr>
      </w:pPr>
    </w:p>
    <w:p w14:paraId="41408C49">
      <w:pPr>
        <w:pStyle w:val="32"/>
        <w:shd w:val="clear" w:color="auto" w:fill="FFFFFF"/>
        <w:kinsoku w:val="0"/>
        <w:overflowPunct w:val="0"/>
        <w:spacing w:line="583" w:lineRule="auto"/>
        <w:ind w:right="4305"/>
        <w:rPr>
          <w:rFonts w:cs="宋体"/>
          <w:color w:val="auto"/>
          <w:spacing w:val="-3"/>
          <w:highlight w:val="none"/>
        </w:rPr>
      </w:pPr>
    </w:p>
    <w:p w14:paraId="6452B0B2">
      <w:pPr>
        <w:shd w:val="clear" w:color="auto" w:fill="FFFFFF"/>
        <w:autoSpaceDE w:val="0"/>
        <w:autoSpaceDN w:val="0"/>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w:t>
      </w:r>
      <w:r>
        <w:rPr>
          <w:rFonts w:hint="eastAsia" w:ascii="宋体" w:hAnsi="宋体" w:cs="宋体"/>
          <w:color w:val="auto"/>
          <w:sz w:val="24"/>
          <w:highlight w:val="none"/>
        </w:rPr>
        <w:t>______</w:t>
      </w:r>
    </w:p>
    <w:p w14:paraId="5351973F">
      <w:pPr>
        <w:shd w:val="clear" w:color="auto" w:fill="FFFFFF"/>
        <w:autoSpaceDE w:val="0"/>
        <w:autoSpaceDN w:val="0"/>
        <w:adjustRightInd w:val="0"/>
        <w:snapToGrid w:val="0"/>
        <w:spacing w:line="360" w:lineRule="auto"/>
        <w:rPr>
          <w:rFonts w:ascii="宋体" w:hAnsi="宋体" w:cs="宋体"/>
          <w:color w:val="auto"/>
          <w:sz w:val="24"/>
          <w:highlight w:val="none"/>
          <w:lang w:val="zh-CN"/>
        </w:rPr>
      </w:pPr>
      <w:r>
        <w:rPr>
          <w:rFonts w:hint="eastAsia" w:ascii="宋体" w:hAnsi="宋体" w:cs="宋体"/>
          <w:color w:val="auto"/>
          <w:spacing w:val="-3"/>
          <w:sz w:val="24"/>
          <w:highlight w:val="none"/>
        </w:rPr>
        <w:t>法定代表人（</w:t>
      </w:r>
      <w:r>
        <w:rPr>
          <w:rFonts w:hint="eastAsia" w:ascii="宋体" w:hAnsi="宋体" w:cs="宋体"/>
          <w:color w:val="auto"/>
          <w:sz w:val="24"/>
          <w:highlight w:val="none"/>
        </w:rPr>
        <w:t>单位负责人</w:t>
      </w:r>
      <w:r>
        <w:rPr>
          <w:rFonts w:hint="eastAsia" w:ascii="宋体" w:hAnsi="宋体" w:cs="宋体"/>
          <w:color w:val="auto"/>
          <w:spacing w:val="-3"/>
          <w:sz w:val="24"/>
          <w:highlight w:val="none"/>
        </w:rPr>
        <w:t>）（签字</w:t>
      </w:r>
      <w:r>
        <w:rPr>
          <w:rFonts w:hint="eastAsia" w:ascii="宋体" w:hAnsi="宋体" w:cs="宋体"/>
          <w:color w:val="auto"/>
          <w:sz w:val="24"/>
          <w:szCs w:val="20"/>
          <w:highlight w:val="none"/>
        </w:rPr>
        <w:t>或签章</w:t>
      </w:r>
      <w:r>
        <w:rPr>
          <w:rFonts w:hint="eastAsia" w:ascii="宋体" w:hAnsi="宋体" w:cs="宋体"/>
          <w:color w:val="auto"/>
          <w:spacing w:val="-3"/>
          <w:sz w:val="24"/>
          <w:highlight w:val="none"/>
        </w:rPr>
        <w:t>）：</w:t>
      </w:r>
      <w:r>
        <w:rPr>
          <w:rFonts w:hint="eastAsia" w:ascii="宋体" w:hAnsi="宋体" w:cs="宋体"/>
          <w:color w:val="auto"/>
          <w:sz w:val="24"/>
          <w:highlight w:val="none"/>
        </w:rPr>
        <w:t>______</w:t>
      </w:r>
    </w:p>
    <w:p w14:paraId="7C242C04">
      <w:pPr>
        <w:shd w:val="clear" w:color="auto" w:fill="FFFFFF"/>
        <w:autoSpaceDE w:val="0"/>
        <w:autoSpaceDN w:val="0"/>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日期：</w:t>
      </w:r>
      <w:r>
        <w:rPr>
          <w:rFonts w:hint="eastAsia" w:ascii="宋体" w:hAnsi="宋体" w:cs="宋体"/>
          <w:color w:val="auto"/>
          <w:sz w:val="24"/>
          <w:szCs w:val="20"/>
          <w:highlight w:val="none"/>
        </w:rPr>
        <w:t>____年____月____日</w:t>
      </w:r>
    </w:p>
    <w:p w14:paraId="12B99762">
      <w:pPr>
        <w:widowControl/>
        <w:shd w:val="clear" w:color="auto" w:fill="FFFFFF"/>
        <w:jc w:val="left"/>
        <w:rPr>
          <w:rFonts w:ascii="宋体" w:hAnsi="宋体" w:cs="宋体"/>
          <w:i/>
          <w:color w:val="auto"/>
          <w:sz w:val="24"/>
          <w:szCs w:val="20"/>
          <w:highlight w:val="none"/>
          <w:u w:val="single"/>
        </w:rPr>
      </w:pPr>
    </w:p>
    <w:p w14:paraId="74F13CE0">
      <w:pPr>
        <w:widowControl/>
        <w:shd w:val="clear" w:color="auto" w:fill="FFFFFF"/>
        <w:jc w:val="left"/>
        <w:rPr>
          <w:rFonts w:ascii="宋体" w:hAnsi="宋体" w:cs="宋体"/>
          <w:color w:val="auto"/>
          <w:sz w:val="24"/>
          <w:szCs w:val="20"/>
          <w:highlight w:val="none"/>
        </w:rPr>
      </w:pPr>
      <w:r>
        <w:rPr>
          <w:rFonts w:hint="eastAsia" w:ascii="宋体" w:hAnsi="宋体" w:cs="宋体"/>
          <w:color w:val="auto"/>
          <w:sz w:val="24"/>
          <w:szCs w:val="20"/>
          <w:highlight w:val="none"/>
        </w:rPr>
        <w:br w:type="page"/>
      </w:r>
    </w:p>
    <w:p w14:paraId="65B95901">
      <w:pPr>
        <w:shd w:val="clear" w:color="auto" w:fill="FFFFFF"/>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7  报价一览表</w:t>
      </w:r>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p w14:paraId="1298707B">
      <w:pPr>
        <w:shd w:val="clear" w:color="auto" w:fill="FFFFFF"/>
        <w:jc w:val="center"/>
        <w:rPr>
          <w:rFonts w:ascii="宋体" w:hAnsi="宋体" w:cs="宋体"/>
          <w:b/>
          <w:color w:val="auto"/>
          <w:sz w:val="36"/>
          <w:szCs w:val="36"/>
          <w:highlight w:val="none"/>
        </w:rPr>
      </w:pPr>
      <w:bookmarkStart w:id="1848" w:name="_Toc305158900"/>
      <w:bookmarkStart w:id="1849" w:name="_Toc226965831"/>
      <w:bookmarkStart w:id="1850" w:name="_Toc305158826"/>
      <w:bookmarkStart w:id="1851" w:name="_Toc226965748"/>
      <w:bookmarkStart w:id="1852" w:name="_Toc164608672"/>
      <w:bookmarkStart w:id="1853" w:name="_Toc164608827"/>
      <w:bookmarkStart w:id="1854" w:name="_Toc195842923"/>
      <w:bookmarkStart w:id="1855" w:name="_Toc226337254"/>
      <w:bookmarkStart w:id="1856" w:name="_Toc226309802"/>
      <w:bookmarkStart w:id="1857" w:name="_Toc265228396"/>
      <w:bookmarkStart w:id="1858" w:name="_Toc264969248"/>
      <w:r>
        <w:rPr>
          <w:rFonts w:hint="eastAsia" w:ascii="宋体" w:hAnsi="宋体" w:cs="宋体"/>
          <w:b/>
          <w:color w:val="auto"/>
          <w:sz w:val="36"/>
          <w:szCs w:val="36"/>
          <w:highlight w:val="none"/>
        </w:rPr>
        <w:t>报价一览表</w:t>
      </w:r>
      <w:bookmarkEnd w:id="1848"/>
      <w:bookmarkEnd w:id="1849"/>
      <w:bookmarkEnd w:id="1850"/>
      <w:bookmarkEnd w:id="1851"/>
      <w:bookmarkEnd w:id="1852"/>
      <w:bookmarkEnd w:id="1853"/>
      <w:bookmarkEnd w:id="1854"/>
      <w:bookmarkEnd w:id="1855"/>
      <w:bookmarkEnd w:id="1856"/>
      <w:bookmarkEnd w:id="1857"/>
      <w:bookmarkEnd w:id="1858"/>
    </w:p>
    <w:p w14:paraId="7D1FCE7C">
      <w:pPr>
        <w:shd w:val="clear" w:color="auto" w:fill="FFFFFF"/>
        <w:tabs>
          <w:tab w:val="left" w:pos="1800"/>
          <w:tab w:val="left" w:pos="5580"/>
        </w:tabs>
        <w:spacing w:line="360" w:lineRule="auto"/>
        <w:jc w:val="left"/>
        <w:rPr>
          <w:rFonts w:ascii="宋体" w:hAnsi="宋体" w:cs="宋体"/>
          <w:color w:val="auto"/>
          <w:sz w:val="24"/>
          <w:highlight w:val="none"/>
        </w:rPr>
      </w:pPr>
    </w:p>
    <w:p w14:paraId="484166E7">
      <w:pPr>
        <w:tabs>
          <w:tab w:val="left" w:pos="1800"/>
          <w:tab w:val="left" w:pos="5580"/>
        </w:tabs>
        <w:spacing w:line="360" w:lineRule="auto"/>
        <w:ind w:firstLine="240" w:firstLineChars="100"/>
        <w:jc w:val="left"/>
        <w:rPr>
          <w:rFonts w:ascii="宋体" w:hAnsi="宋体"/>
          <w:color w:val="auto"/>
          <w:sz w:val="24"/>
          <w:highlight w:val="none"/>
          <w:u w:val="single"/>
        </w:rPr>
      </w:pPr>
      <w:r>
        <w:rPr>
          <w:rFonts w:ascii="宋体" w:hAnsi="宋体"/>
          <w:color w:val="auto"/>
          <w:sz w:val="24"/>
          <w:highlight w:val="none"/>
        </w:rPr>
        <w:t>项目</w:t>
      </w:r>
      <w:r>
        <w:rPr>
          <w:rFonts w:hint="eastAsia" w:ascii="宋体" w:hAnsi="宋体"/>
          <w:color w:val="auto"/>
          <w:sz w:val="24"/>
          <w:highlight w:val="none"/>
        </w:rPr>
        <w:t>代理</w:t>
      </w:r>
      <w:r>
        <w:rPr>
          <w:rFonts w:ascii="宋体" w:hAnsi="宋体"/>
          <w:color w:val="auto"/>
          <w:sz w:val="24"/>
          <w:highlight w:val="none"/>
        </w:rPr>
        <w:t>编号：___________     项目名称：___________</w:t>
      </w:r>
    </w:p>
    <w:tbl>
      <w:tblPr>
        <w:tblStyle w:val="83"/>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95"/>
        <w:gridCol w:w="3827"/>
        <w:gridCol w:w="1985"/>
        <w:gridCol w:w="2453"/>
      </w:tblGrid>
      <w:tr w14:paraId="7ABF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95" w:type="dxa"/>
            <w:vMerge w:val="restart"/>
            <w:tcBorders>
              <w:top w:val="single" w:color="auto" w:sz="4" w:space="0"/>
              <w:left w:val="single" w:color="auto" w:sz="4" w:space="0"/>
              <w:bottom w:val="single" w:color="auto" w:sz="4" w:space="0"/>
              <w:right w:val="single" w:color="auto" w:sz="4" w:space="0"/>
            </w:tcBorders>
            <w:vAlign w:val="center"/>
          </w:tcPr>
          <w:p w14:paraId="10158F80">
            <w:pPr>
              <w:shd w:val="clear" w:color="auto" w:fill="FFFFFF"/>
              <w:tabs>
                <w:tab w:val="left" w:pos="5580"/>
              </w:tabs>
              <w:jc w:val="center"/>
              <w:rPr>
                <w:b/>
                <w:color w:val="auto"/>
                <w:sz w:val="24"/>
                <w:highlight w:val="none"/>
              </w:rPr>
            </w:pPr>
            <w:r>
              <w:rPr>
                <w:rFonts w:hint="eastAsia"/>
                <w:b/>
                <w:color w:val="auto"/>
                <w:sz w:val="24"/>
                <w:highlight w:val="none"/>
              </w:rPr>
              <w:t>序号</w:t>
            </w:r>
          </w:p>
        </w:tc>
        <w:tc>
          <w:tcPr>
            <w:tcW w:w="3827" w:type="dxa"/>
            <w:vMerge w:val="restart"/>
            <w:tcBorders>
              <w:top w:val="single" w:color="auto" w:sz="4" w:space="0"/>
              <w:left w:val="single" w:color="auto" w:sz="4" w:space="0"/>
              <w:bottom w:val="single" w:color="auto" w:sz="4" w:space="0"/>
              <w:right w:val="single" w:color="auto" w:sz="4" w:space="0"/>
            </w:tcBorders>
            <w:vAlign w:val="center"/>
          </w:tcPr>
          <w:p w14:paraId="262EE457">
            <w:pPr>
              <w:shd w:val="clear" w:color="auto" w:fill="FFFFFF"/>
              <w:tabs>
                <w:tab w:val="left" w:pos="5580"/>
              </w:tabs>
              <w:jc w:val="center"/>
              <w:rPr>
                <w:b/>
                <w:color w:val="auto"/>
                <w:sz w:val="24"/>
                <w:highlight w:val="none"/>
              </w:rPr>
            </w:pPr>
            <w:r>
              <w:rPr>
                <w:rFonts w:hint="eastAsia"/>
                <w:b/>
                <w:color w:val="auto"/>
                <w:sz w:val="24"/>
                <w:highlight w:val="none"/>
              </w:rPr>
              <w:t>供应商名称</w:t>
            </w:r>
          </w:p>
        </w:tc>
        <w:tc>
          <w:tcPr>
            <w:tcW w:w="4438" w:type="dxa"/>
            <w:gridSpan w:val="2"/>
            <w:tcBorders>
              <w:top w:val="single" w:color="auto" w:sz="4" w:space="0"/>
              <w:left w:val="single" w:color="auto" w:sz="4" w:space="0"/>
              <w:bottom w:val="single" w:color="auto" w:sz="4" w:space="0"/>
              <w:right w:val="single" w:color="auto" w:sz="4" w:space="0"/>
            </w:tcBorders>
            <w:vAlign w:val="center"/>
          </w:tcPr>
          <w:p w14:paraId="6FFA91FA">
            <w:pPr>
              <w:shd w:val="clear" w:color="auto" w:fill="FFFFFF"/>
              <w:tabs>
                <w:tab w:val="left" w:pos="5580"/>
              </w:tabs>
              <w:jc w:val="center"/>
              <w:rPr>
                <w:b/>
                <w:color w:val="auto"/>
                <w:sz w:val="24"/>
                <w:highlight w:val="none"/>
              </w:rPr>
            </w:pPr>
            <w:r>
              <w:rPr>
                <w:rFonts w:hint="eastAsia"/>
                <w:b/>
                <w:color w:val="auto"/>
                <w:sz w:val="24"/>
                <w:highlight w:val="none"/>
              </w:rPr>
              <w:t>报价</w:t>
            </w:r>
          </w:p>
        </w:tc>
      </w:tr>
      <w:tr w14:paraId="22A2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95" w:type="dxa"/>
            <w:vMerge w:val="continue"/>
            <w:tcBorders>
              <w:top w:val="single" w:color="auto" w:sz="4" w:space="0"/>
              <w:left w:val="single" w:color="auto" w:sz="4" w:space="0"/>
              <w:bottom w:val="single" w:color="auto" w:sz="4" w:space="0"/>
              <w:right w:val="single" w:color="auto" w:sz="4" w:space="0"/>
            </w:tcBorders>
            <w:vAlign w:val="center"/>
          </w:tcPr>
          <w:p w14:paraId="11A4EE34">
            <w:pPr>
              <w:widowControl/>
              <w:shd w:val="clear" w:color="auto" w:fill="FFFFFF"/>
              <w:jc w:val="left"/>
              <w:rPr>
                <w:b/>
                <w:color w:val="auto"/>
                <w:sz w:val="24"/>
                <w:highlight w:val="none"/>
              </w:rPr>
            </w:pPr>
          </w:p>
        </w:tc>
        <w:tc>
          <w:tcPr>
            <w:tcW w:w="3827" w:type="dxa"/>
            <w:vMerge w:val="continue"/>
            <w:tcBorders>
              <w:top w:val="single" w:color="auto" w:sz="4" w:space="0"/>
              <w:left w:val="single" w:color="auto" w:sz="4" w:space="0"/>
              <w:bottom w:val="single" w:color="auto" w:sz="4" w:space="0"/>
              <w:right w:val="single" w:color="auto" w:sz="4" w:space="0"/>
            </w:tcBorders>
            <w:vAlign w:val="center"/>
          </w:tcPr>
          <w:p w14:paraId="7F52FB42">
            <w:pPr>
              <w:widowControl/>
              <w:shd w:val="clear" w:color="auto" w:fill="FFFFFF"/>
              <w:jc w:val="left"/>
              <w:rPr>
                <w:b/>
                <w:color w:val="auto"/>
                <w:sz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2D7DFFEC">
            <w:pPr>
              <w:shd w:val="clear" w:color="auto" w:fill="FFFFFF"/>
              <w:tabs>
                <w:tab w:val="left" w:pos="5580"/>
              </w:tabs>
              <w:jc w:val="center"/>
              <w:rPr>
                <w:b/>
                <w:color w:val="auto"/>
                <w:sz w:val="24"/>
                <w:highlight w:val="none"/>
              </w:rPr>
            </w:pPr>
            <w:r>
              <w:rPr>
                <w:rFonts w:hint="eastAsia"/>
                <w:b/>
                <w:color w:val="auto"/>
                <w:sz w:val="24"/>
                <w:highlight w:val="none"/>
              </w:rPr>
              <w:t>大写</w:t>
            </w:r>
          </w:p>
        </w:tc>
        <w:tc>
          <w:tcPr>
            <w:tcW w:w="2453" w:type="dxa"/>
            <w:tcBorders>
              <w:top w:val="single" w:color="auto" w:sz="4" w:space="0"/>
              <w:left w:val="single" w:color="auto" w:sz="4" w:space="0"/>
              <w:bottom w:val="single" w:color="auto" w:sz="4" w:space="0"/>
              <w:right w:val="single" w:color="auto" w:sz="4" w:space="0"/>
            </w:tcBorders>
            <w:vAlign w:val="center"/>
          </w:tcPr>
          <w:p w14:paraId="55CFDEC5">
            <w:pPr>
              <w:shd w:val="clear" w:color="auto" w:fill="FFFFFF"/>
              <w:tabs>
                <w:tab w:val="left" w:pos="5580"/>
              </w:tabs>
              <w:jc w:val="center"/>
              <w:rPr>
                <w:b/>
                <w:color w:val="auto"/>
                <w:sz w:val="24"/>
                <w:highlight w:val="none"/>
              </w:rPr>
            </w:pPr>
            <w:r>
              <w:rPr>
                <w:rFonts w:hint="eastAsia"/>
                <w:b/>
                <w:color w:val="auto"/>
                <w:sz w:val="24"/>
                <w:highlight w:val="none"/>
              </w:rPr>
              <w:t>小写</w:t>
            </w:r>
          </w:p>
        </w:tc>
      </w:tr>
      <w:tr w14:paraId="0D9FD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95" w:type="dxa"/>
            <w:tcBorders>
              <w:top w:val="single" w:color="auto" w:sz="4" w:space="0"/>
              <w:left w:val="single" w:color="auto" w:sz="4" w:space="0"/>
              <w:bottom w:val="single" w:color="auto" w:sz="4" w:space="0"/>
              <w:right w:val="single" w:color="auto" w:sz="4" w:space="0"/>
            </w:tcBorders>
            <w:vAlign w:val="center"/>
          </w:tcPr>
          <w:p w14:paraId="3C79DB2B">
            <w:pPr>
              <w:shd w:val="clear" w:color="auto" w:fill="FFFFFF"/>
              <w:tabs>
                <w:tab w:val="left" w:pos="5580"/>
              </w:tabs>
              <w:jc w:val="center"/>
              <w:rPr>
                <w:color w:val="auto"/>
                <w:sz w:val="24"/>
                <w:highlight w:val="none"/>
              </w:rPr>
            </w:pPr>
          </w:p>
        </w:tc>
        <w:tc>
          <w:tcPr>
            <w:tcW w:w="3827" w:type="dxa"/>
            <w:tcBorders>
              <w:top w:val="single" w:color="auto" w:sz="4" w:space="0"/>
              <w:left w:val="single" w:color="auto" w:sz="4" w:space="0"/>
              <w:bottom w:val="single" w:color="auto" w:sz="4" w:space="0"/>
              <w:right w:val="single" w:color="auto" w:sz="4" w:space="0"/>
            </w:tcBorders>
            <w:vAlign w:val="center"/>
          </w:tcPr>
          <w:p w14:paraId="29D9E3D4">
            <w:pPr>
              <w:shd w:val="clear" w:color="auto" w:fill="FFFFFF"/>
              <w:tabs>
                <w:tab w:val="left" w:pos="5580"/>
              </w:tabs>
              <w:jc w:val="center"/>
              <w:rPr>
                <w:color w:val="auto"/>
                <w:sz w:val="24"/>
                <w:highlight w:val="none"/>
              </w:rPr>
            </w:pPr>
          </w:p>
        </w:tc>
        <w:tc>
          <w:tcPr>
            <w:tcW w:w="1985" w:type="dxa"/>
            <w:tcBorders>
              <w:top w:val="single" w:color="auto" w:sz="4" w:space="0"/>
              <w:left w:val="single" w:color="auto" w:sz="4" w:space="0"/>
              <w:bottom w:val="single" w:color="auto" w:sz="4" w:space="0"/>
              <w:right w:val="single" w:color="auto" w:sz="4" w:space="0"/>
            </w:tcBorders>
            <w:vAlign w:val="center"/>
          </w:tcPr>
          <w:p w14:paraId="27060260">
            <w:pPr>
              <w:shd w:val="clear" w:color="auto" w:fill="FFFFFF"/>
              <w:tabs>
                <w:tab w:val="left" w:pos="5580"/>
              </w:tabs>
              <w:jc w:val="center"/>
              <w:rPr>
                <w:color w:val="auto"/>
                <w:sz w:val="24"/>
                <w:highlight w:val="none"/>
              </w:rPr>
            </w:pPr>
          </w:p>
        </w:tc>
        <w:tc>
          <w:tcPr>
            <w:tcW w:w="2453" w:type="dxa"/>
            <w:tcBorders>
              <w:top w:val="single" w:color="auto" w:sz="4" w:space="0"/>
              <w:left w:val="single" w:color="auto" w:sz="4" w:space="0"/>
              <w:bottom w:val="single" w:color="auto" w:sz="4" w:space="0"/>
              <w:right w:val="single" w:color="auto" w:sz="4" w:space="0"/>
            </w:tcBorders>
            <w:vAlign w:val="center"/>
          </w:tcPr>
          <w:p w14:paraId="2C95E5DB">
            <w:pPr>
              <w:shd w:val="clear" w:color="auto" w:fill="FFFFFF"/>
              <w:tabs>
                <w:tab w:val="left" w:pos="5580"/>
              </w:tabs>
              <w:jc w:val="center"/>
              <w:rPr>
                <w:color w:val="auto"/>
                <w:sz w:val="24"/>
                <w:highlight w:val="none"/>
              </w:rPr>
            </w:pPr>
          </w:p>
        </w:tc>
      </w:tr>
    </w:tbl>
    <w:p w14:paraId="485E4C28">
      <w:pPr>
        <w:shd w:val="clear" w:color="auto" w:fill="FFFFFF"/>
        <w:autoSpaceDE w:val="0"/>
        <w:autoSpaceDN w:val="0"/>
        <w:adjustRightInd w:val="0"/>
        <w:jc w:val="left"/>
        <w:rPr>
          <w:rFonts w:ascii="宋体" w:hAnsi="宋体" w:cs="宋体"/>
          <w:color w:val="auto"/>
          <w:kern w:val="0"/>
          <w:sz w:val="24"/>
          <w:highlight w:val="none"/>
        </w:rPr>
      </w:pPr>
    </w:p>
    <w:p w14:paraId="649C878D">
      <w:pPr>
        <w:shd w:val="clear" w:color="auto" w:fill="FFFFFF"/>
        <w:autoSpaceDE w:val="0"/>
        <w:autoSpaceDN w:val="0"/>
        <w:adjustRightInd w:val="0"/>
        <w:jc w:val="left"/>
        <w:rPr>
          <w:rFonts w:ascii="宋体" w:hAnsi="宋体" w:cs="宋体"/>
          <w:color w:val="auto"/>
          <w:sz w:val="24"/>
          <w:szCs w:val="20"/>
          <w:highlight w:val="none"/>
        </w:rPr>
      </w:pPr>
      <w:r>
        <w:rPr>
          <w:rFonts w:hint="eastAsia" w:ascii="宋体" w:hAnsi="宋体" w:cs="宋体"/>
          <w:color w:val="auto"/>
          <w:kern w:val="0"/>
          <w:sz w:val="24"/>
          <w:highlight w:val="none"/>
        </w:rPr>
        <w:t>注：1</w:t>
      </w:r>
      <w:r>
        <w:rPr>
          <w:rFonts w:hint="eastAsia" w:ascii="宋体" w:hAnsi="宋体" w:cs="宋体"/>
          <w:color w:val="auto"/>
          <w:sz w:val="24"/>
          <w:szCs w:val="20"/>
          <w:highlight w:val="none"/>
        </w:rPr>
        <w:t>.此表中，每包的报价应和《分项报价表》中的总价相一致。</w:t>
      </w:r>
    </w:p>
    <w:p w14:paraId="64091113">
      <w:pPr>
        <w:pStyle w:val="32"/>
        <w:ind w:firstLine="480" w:firstLineChars="200"/>
        <w:rPr>
          <w:rFonts w:cs="宋体"/>
          <w:color w:val="auto"/>
          <w:highlight w:val="none"/>
        </w:rPr>
      </w:pPr>
      <w:r>
        <w:rPr>
          <w:rFonts w:hint="eastAsia" w:cs="宋体"/>
          <w:color w:val="auto"/>
          <w:highlight w:val="none"/>
        </w:rPr>
        <w:t>2.本表必须按包分别填写。</w:t>
      </w:r>
    </w:p>
    <w:p w14:paraId="4AE0F279">
      <w:pPr>
        <w:shd w:val="clear" w:color="auto" w:fill="FFFFFF"/>
        <w:tabs>
          <w:tab w:val="left" w:pos="5580"/>
        </w:tabs>
        <w:ind w:firstLine="480" w:firstLineChars="200"/>
        <w:rPr>
          <w:rFonts w:ascii="宋体" w:hAnsi="宋体" w:cs="宋体"/>
          <w:color w:val="auto"/>
          <w:sz w:val="24"/>
          <w:szCs w:val="20"/>
          <w:highlight w:val="none"/>
        </w:rPr>
      </w:pPr>
    </w:p>
    <w:p w14:paraId="32C2ED5D">
      <w:pPr>
        <w:shd w:val="clear" w:color="auto" w:fill="FFFFFF"/>
        <w:autoSpaceDE w:val="0"/>
        <w:autoSpaceDN w:val="0"/>
        <w:adjustRightInd w:val="0"/>
        <w:snapToGrid w:val="0"/>
        <w:spacing w:before="25" w:after="25" w:line="360" w:lineRule="auto"/>
        <w:rPr>
          <w:rFonts w:ascii="宋体" w:hAnsi="宋体" w:cs="宋体"/>
          <w:color w:val="auto"/>
          <w:sz w:val="24"/>
          <w:highlight w:val="none"/>
          <w:lang w:val="zh-CN"/>
        </w:rPr>
      </w:pPr>
    </w:p>
    <w:p w14:paraId="7B18E7B7">
      <w:pPr>
        <w:shd w:val="clear" w:color="auto" w:fill="FFFFFF"/>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lang w:val="zh-CN"/>
        </w:rPr>
        <w:t xml:space="preserve">   </w:t>
      </w:r>
    </w:p>
    <w:p w14:paraId="057E5D02">
      <w:pPr>
        <w:shd w:val="clear" w:color="auto" w:fill="FFFFFF"/>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w:t>
      </w:r>
      <w:r>
        <w:rPr>
          <w:rFonts w:hint="eastAsia" w:ascii="宋体" w:hAnsi="宋体" w:cs="宋体"/>
          <w:color w:val="auto"/>
          <w:sz w:val="24"/>
          <w:highlight w:val="none"/>
        </w:rPr>
        <w:t>___________</w:t>
      </w:r>
    </w:p>
    <w:p w14:paraId="5BC2BD36">
      <w:pPr>
        <w:shd w:val="clear" w:color="auto" w:fill="FFFFFF"/>
        <w:autoSpaceDE w:val="0"/>
        <w:autoSpaceDN w:val="0"/>
        <w:adjustRightInd w:val="0"/>
        <w:snapToGrid w:val="0"/>
        <w:spacing w:line="360" w:lineRule="auto"/>
        <w:rPr>
          <w:rFonts w:ascii="宋体" w:hAnsi="宋体" w:cs="宋体"/>
          <w:color w:val="auto"/>
          <w:sz w:val="24"/>
          <w:highlight w:val="none"/>
          <w:lang w:val="zh-CN"/>
        </w:rPr>
      </w:pPr>
      <w:r>
        <w:rPr>
          <w:rFonts w:hint="eastAsia" w:ascii="宋体" w:hAnsi="宋体" w:cs="宋体"/>
          <w:color w:val="auto"/>
          <w:sz w:val="24"/>
          <w:highlight w:val="none"/>
        </w:rPr>
        <w:t>日期：</w:t>
      </w:r>
      <w:r>
        <w:rPr>
          <w:rFonts w:hint="eastAsia" w:ascii="宋体" w:hAnsi="宋体" w:cs="宋体"/>
          <w:color w:val="auto"/>
          <w:sz w:val="24"/>
          <w:szCs w:val="20"/>
          <w:highlight w:val="none"/>
        </w:rPr>
        <w:t>____年____月____日</w:t>
      </w:r>
    </w:p>
    <w:p w14:paraId="58E1B641">
      <w:pPr>
        <w:shd w:val="clear" w:color="auto" w:fill="FFFFFF"/>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szCs w:val="20"/>
          <w:highlight w:val="none"/>
        </w:rPr>
        <w:t xml:space="preserve">  </w:t>
      </w:r>
    </w:p>
    <w:p w14:paraId="6619BC32">
      <w:pPr>
        <w:widowControl/>
        <w:shd w:val="clear" w:color="auto" w:fill="FFFFFF"/>
        <w:jc w:val="left"/>
        <w:rPr>
          <w:rFonts w:ascii="宋体" w:hAnsi="宋体" w:cs="宋体"/>
          <w:color w:val="auto"/>
          <w:sz w:val="24"/>
          <w:szCs w:val="20"/>
          <w:highlight w:val="none"/>
        </w:rPr>
        <w:sectPr>
          <w:pgSz w:w="11907" w:h="16840"/>
          <w:pgMar w:top="1417" w:right="1417" w:bottom="1417" w:left="1417" w:header="851" w:footer="851" w:gutter="0"/>
          <w:cols w:space="720" w:num="1"/>
          <w:docGrid w:linePitch="462" w:charSpace="0"/>
        </w:sectPr>
      </w:pPr>
      <w:bookmarkStart w:id="1859" w:name="_Toc305158901"/>
      <w:bookmarkStart w:id="1860" w:name="_Toc150480796"/>
      <w:bookmarkStart w:id="1861" w:name="_Toc226965832"/>
      <w:bookmarkStart w:id="1862" w:name="_Toc226337255"/>
      <w:bookmarkStart w:id="1863" w:name="_Toc195842924"/>
      <w:bookmarkStart w:id="1864" w:name="_Toc305158827"/>
      <w:bookmarkStart w:id="1865" w:name="_Toc265228397"/>
      <w:bookmarkStart w:id="1866" w:name="_Toc142311060"/>
      <w:bookmarkStart w:id="1867" w:name="_Toc226965749"/>
      <w:bookmarkStart w:id="1868" w:name="_Toc264969249"/>
      <w:bookmarkStart w:id="1869" w:name="_Toc226309803"/>
      <w:bookmarkStart w:id="1870" w:name="_Toc150774763"/>
      <w:bookmarkStart w:id="1871" w:name="_Toc127151558"/>
    </w:p>
    <w:p w14:paraId="0455A92D">
      <w:pPr>
        <w:pStyle w:val="32"/>
        <w:rPr>
          <w:color w:val="auto"/>
          <w:highlight w:val="none"/>
        </w:rPr>
      </w:pPr>
    </w:p>
    <w:p w14:paraId="6547E31C">
      <w:pPr>
        <w:shd w:val="clear" w:color="auto" w:fill="FFFFFF"/>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 xml:space="preserve">8 </w:t>
      </w:r>
      <w:bookmarkEnd w:id="1859"/>
      <w:bookmarkEnd w:id="1860"/>
      <w:bookmarkEnd w:id="1861"/>
      <w:bookmarkEnd w:id="1862"/>
      <w:bookmarkEnd w:id="1863"/>
      <w:bookmarkEnd w:id="1864"/>
      <w:bookmarkEnd w:id="1865"/>
      <w:bookmarkEnd w:id="1866"/>
      <w:bookmarkEnd w:id="1867"/>
      <w:bookmarkEnd w:id="1868"/>
      <w:bookmarkEnd w:id="1869"/>
      <w:bookmarkEnd w:id="1870"/>
      <w:bookmarkEnd w:id="1871"/>
      <w:r>
        <w:rPr>
          <w:rFonts w:hint="eastAsia" w:ascii="宋体" w:hAnsi="宋体" w:cs="宋体"/>
          <w:color w:val="auto"/>
          <w:sz w:val="24"/>
          <w:highlight w:val="none"/>
        </w:rPr>
        <w:t>已标价工程量清单（响应报价）</w:t>
      </w:r>
    </w:p>
    <w:p w14:paraId="11E0991E">
      <w:pPr>
        <w:spacing w:after="68" w:line="259" w:lineRule="auto"/>
        <w:rPr>
          <w:rFonts w:ascii="宋体" w:hAnsi="宋体" w:cs="宋体"/>
          <w:color w:val="auto"/>
          <w:highlight w:val="none"/>
        </w:rPr>
      </w:pPr>
    </w:p>
    <w:p w14:paraId="705ED59C">
      <w:pPr>
        <w:spacing w:line="326" w:lineRule="auto"/>
        <w:ind w:left="10"/>
        <w:rPr>
          <w:rFonts w:ascii="宋体" w:hAnsi="宋体" w:cs="宋体"/>
          <w:color w:val="auto"/>
          <w:highlight w:val="none"/>
        </w:rPr>
      </w:pPr>
      <w:r>
        <w:rPr>
          <w:rFonts w:hint="eastAsia" w:ascii="宋体" w:hAnsi="宋体" w:cs="宋体"/>
          <w:color w:val="auto"/>
          <w:highlight w:val="none"/>
        </w:rPr>
        <w:t xml:space="preserve">说明：已标价工程量清单按第七章“工程量清单”中的相关清单表格式填写。构成合同文件的已标价工程量清单包括第七章“工程量清单”有关工程量清单、响应报价以及其他说明的内容。 </w:t>
      </w:r>
    </w:p>
    <w:p w14:paraId="0135A6FB">
      <w:pPr>
        <w:spacing w:before="103" w:line="315" w:lineRule="auto"/>
        <w:ind w:left="169" w:right="4678" w:hanging="52"/>
        <w:rPr>
          <w:rFonts w:ascii="宋体" w:hAnsi="宋体" w:cs="宋体"/>
          <w:color w:val="auto"/>
          <w:sz w:val="24"/>
          <w:highlight w:val="none"/>
        </w:rPr>
      </w:pPr>
    </w:p>
    <w:p w14:paraId="62C7B46B">
      <w:pPr>
        <w:spacing w:line="315" w:lineRule="auto"/>
        <w:rPr>
          <w:rFonts w:ascii="微软雅黑" w:hAnsi="微软雅黑" w:eastAsia="微软雅黑" w:cs="微软雅黑"/>
          <w:color w:val="auto"/>
          <w:sz w:val="24"/>
          <w:highlight w:val="none"/>
        </w:rPr>
        <w:sectPr>
          <w:headerReference r:id="rId41" w:type="default"/>
          <w:footerReference r:id="rId42" w:type="default"/>
          <w:pgSz w:w="11907" w:h="16840"/>
          <w:pgMar w:top="1149" w:right="1021" w:bottom="1060" w:left="1588" w:header="875" w:footer="886" w:gutter="0"/>
          <w:cols w:space="720" w:num="1"/>
        </w:sectPr>
      </w:pPr>
    </w:p>
    <w:p w14:paraId="22615D44">
      <w:pPr>
        <w:tabs>
          <w:tab w:val="left" w:pos="1800"/>
          <w:tab w:val="left" w:pos="5580"/>
        </w:tabs>
        <w:ind w:firstLine="480" w:firstLineChars="200"/>
        <w:jc w:val="left"/>
        <w:rPr>
          <w:rFonts w:ascii="宋体" w:hAnsi="宋体" w:cs="宋体"/>
          <w:color w:val="auto"/>
          <w:sz w:val="24"/>
          <w:highlight w:val="none"/>
        </w:rPr>
      </w:pPr>
    </w:p>
    <w:p w14:paraId="0C43BEDE">
      <w:pPr>
        <w:shd w:val="clear" w:color="auto" w:fill="FFFFFF"/>
        <w:tabs>
          <w:tab w:val="left" w:pos="360"/>
        </w:tabs>
        <w:snapToGrid w:val="0"/>
        <w:spacing w:line="360" w:lineRule="auto"/>
        <w:outlineLvl w:val="1"/>
        <w:rPr>
          <w:rFonts w:ascii="宋体" w:hAnsi="宋体" w:cs="宋体"/>
          <w:color w:val="auto"/>
          <w:sz w:val="24"/>
          <w:szCs w:val="20"/>
          <w:highlight w:val="none"/>
        </w:rPr>
      </w:pPr>
      <w:bookmarkStart w:id="1872" w:name="_Toc142311062"/>
      <w:bookmarkStart w:id="1873" w:name="_Toc226965835"/>
      <w:bookmarkStart w:id="1874" w:name="_Toc265228400"/>
      <w:bookmarkStart w:id="1875" w:name="_Toc150774765"/>
      <w:bookmarkStart w:id="1876" w:name="_Toc226965752"/>
      <w:bookmarkStart w:id="1877" w:name="_Toc150480798"/>
      <w:bookmarkStart w:id="1878" w:name="_Toc305158830"/>
      <w:bookmarkStart w:id="1879" w:name="_Toc226337258"/>
      <w:bookmarkStart w:id="1880" w:name="_Toc226309806"/>
      <w:bookmarkStart w:id="1881" w:name="_Toc127151562"/>
      <w:bookmarkStart w:id="1882" w:name="_Toc264969252"/>
      <w:bookmarkStart w:id="1883" w:name="_Toc305158904"/>
      <w:bookmarkStart w:id="1884" w:name="_Toc195842927"/>
      <w:bookmarkStart w:id="1885" w:name="_Toc127151561"/>
      <w:bookmarkStart w:id="1886" w:name="_Toc226337257"/>
      <w:bookmarkStart w:id="1887" w:name="_Toc265228399"/>
      <w:bookmarkStart w:id="1888" w:name="_Toc305158829"/>
      <w:bookmarkStart w:id="1889" w:name="_Toc264969251"/>
      <w:bookmarkStart w:id="1890" w:name="_Toc195842926"/>
      <w:bookmarkStart w:id="1891" w:name="_Toc226965751"/>
      <w:bookmarkStart w:id="1892" w:name="_Toc142311061"/>
      <w:bookmarkStart w:id="1893" w:name="_Toc226965834"/>
      <w:bookmarkStart w:id="1894" w:name="_Toc226309805"/>
      <w:bookmarkStart w:id="1895" w:name="_Toc150774764"/>
      <w:bookmarkStart w:id="1896" w:name="_Toc150480797"/>
      <w:bookmarkStart w:id="1897" w:name="_Toc305158903"/>
      <w:r>
        <w:rPr>
          <w:rFonts w:hint="eastAsia" w:ascii="宋体" w:hAnsi="宋体" w:cs="宋体"/>
          <w:color w:val="auto"/>
          <w:sz w:val="24"/>
          <w:highlight w:val="none"/>
        </w:rPr>
        <w:t>9 合同条款偏离表</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r>
        <w:rPr>
          <w:rFonts w:hint="eastAsia" w:ascii="宋体" w:hAnsi="宋体" w:cs="宋体"/>
          <w:color w:val="auto"/>
          <w:sz w:val="24"/>
          <w:highlight w:val="none"/>
        </w:rPr>
        <w:t>（实质性格式）</w:t>
      </w:r>
    </w:p>
    <w:p w14:paraId="1DFDF0DD">
      <w:pPr>
        <w:shd w:val="clear" w:color="auto" w:fill="FFFFFF"/>
        <w:spacing w:line="360" w:lineRule="auto"/>
        <w:rPr>
          <w:rFonts w:ascii="宋体" w:hAnsi="宋体" w:cs="宋体"/>
          <w:color w:val="auto"/>
          <w:sz w:val="24"/>
          <w:szCs w:val="20"/>
          <w:highlight w:val="none"/>
        </w:rPr>
      </w:pPr>
    </w:p>
    <w:p w14:paraId="320E1A30">
      <w:pPr>
        <w:shd w:val="clear" w:color="auto" w:fill="FFFFFF"/>
        <w:tabs>
          <w:tab w:val="left" w:pos="2775"/>
          <w:tab w:val="center" w:pos="4153"/>
        </w:tabs>
        <w:autoSpaceDE w:val="0"/>
        <w:autoSpaceDN w:val="0"/>
        <w:adjustRightInd w:val="0"/>
        <w:spacing w:line="360" w:lineRule="auto"/>
        <w:jc w:val="left"/>
        <w:rPr>
          <w:rFonts w:ascii="宋体" w:hAnsi="宋体" w:cs="宋体"/>
          <w:b/>
          <w:color w:val="auto"/>
          <w:sz w:val="36"/>
          <w:szCs w:val="36"/>
          <w:highlight w:val="none"/>
        </w:rPr>
      </w:pPr>
      <w:r>
        <w:rPr>
          <w:rFonts w:hint="eastAsia" w:ascii="宋体" w:hAnsi="宋体" w:cs="宋体"/>
          <w:color w:val="auto"/>
          <w:sz w:val="36"/>
          <w:szCs w:val="36"/>
          <w:highlight w:val="none"/>
        </w:rPr>
        <w:tab/>
      </w:r>
      <w:r>
        <w:rPr>
          <w:rFonts w:hint="eastAsia" w:ascii="宋体" w:hAnsi="宋体" w:cs="宋体"/>
          <w:b/>
          <w:color w:val="auto"/>
          <w:sz w:val="36"/>
          <w:szCs w:val="36"/>
          <w:highlight w:val="none"/>
        </w:rPr>
        <w:tab/>
      </w:r>
      <w:r>
        <w:rPr>
          <w:rFonts w:hint="eastAsia" w:ascii="宋体" w:hAnsi="宋体" w:cs="宋体"/>
          <w:b/>
          <w:color w:val="auto"/>
          <w:sz w:val="36"/>
          <w:szCs w:val="36"/>
          <w:highlight w:val="none"/>
        </w:rPr>
        <w:t>合同条款偏离表</w:t>
      </w:r>
    </w:p>
    <w:p w14:paraId="620F7D5A">
      <w:pPr>
        <w:shd w:val="clear" w:color="auto" w:fill="FFFFFF"/>
        <w:spacing w:line="360" w:lineRule="auto"/>
        <w:rPr>
          <w:rFonts w:ascii="宋体" w:hAnsi="宋体" w:cs="宋体"/>
          <w:color w:val="auto"/>
          <w:sz w:val="24"/>
          <w:szCs w:val="20"/>
          <w:highlight w:val="none"/>
        </w:rPr>
      </w:pPr>
    </w:p>
    <w:p w14:paraId="0748BE57">
      <w:pPr>
        <w:shd w:val="clear" w:color="auto" w:fill="FFFFFF"/>
        <w:tabs>
          <w:tab w:val="left" w:pos="1800"/>
          <w:tab w:val="left" w:pos="5580"/>
        </w:tabs>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项目编号：_______________     项目名称：_______________</w:t>
      </w:r>
    </w:p>
    <w:tbl>
      <w:tblPr>
        <w:tblStyle w:val="8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0"/>
        <w:gridCol w:w="1980"/>
        <w:gridCol w:w="1981"/>
        <w:gridCol w:w="2427"/>
        <w:gridCol w:w="782"/>
      </w:tblGrid>
      <w:tr w14:paraId="6A8E1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CBABE84">
            <w:pPr>
              <w:shd w:val="clear" w:color="auto" w:fill="FFFFFF"/>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90" w:type="dxa"/>
            <w:vAlign w:val="center"/>
          </w:tcPr>
          <w:p w14:paraId="732B7630">
            <w:pPr>
              <w:shd w:val="clear" w:color="auto" w:fill="FFFFFF"/>
              <w:adjustRightInd w:val="0"/>
              <w:snapToGrid w:val="0"/>
              <w:jc w:val="center"/>
              <w:rPr>
                <w:rFonts w:ascii="宋体" w:hAnsi="宋体" w:cs="宋体"/>
                <w:color w:val="auto"/>
                <w:sz w:val="24"/>
                <w:highlight w:val="none"/>
              </w:rPr>
            </w:pPr>
            <w:r>
              <w:rPr>
                <w:rFonts w:hint="eastAsia" w:ascii="宋体" w:hAnsi="宋体" w:cs="宋体"/>
                <w:color w:val="auto"/>
                <w:sz w:val="24"/>
                <w:szCs w:val="21"/>
                <w:highlight w:val="none"/>
              </w:rPr>
              <w:t>竞争性磋商文件</w:t>
            </w:r>
            <w:r>
              <w:rPr>
                <w:rFonts w:hint="eastAsia" w:ascii="宋体" w:hAnsi="宋体" w:cs="宋体"/>
                <w:color w:val="auto"/>
                <w:sz w:val="24"/>
                <w:highlight w:val="none"/>
              </w:rPr>
              <w:t>条目号（页码）</w:t>
            </w:r>
          </w:p>
        </w:tc>
        <w:tc>
          <w:tcPr>
            <w:tcW w:w="1980" w:type="dxa"/>
            <w:vAlign w:val="center"/>
          </w:tcPr>
          <w:p w14:paraId="6561FE08">
            <w:pPr>
              <w:shd w:val="clear" w:color="auto" w:fill="FFFFFF"/>
              <w:adjustRightInd w:val="0"/>
              <w:snapToGrid w:val="0"/>
              <w:jc w:val="center"/>
              <w:rPr>
                <w:rFonts w:ascii="宋体" w:hAnsi="宋体" w:cs="宋体"/>
                <w:color w:val="auto"/>
                <w:sz w:val="24"/>
                <w:highlight w:val="none"/>
              </w:rPr>
            </w:pPr>
            <w:r>
              <w:rPr>
                <w:rFonts w:hint="eastAsia" w:ascii="宋体" w:hAnsi="宋体" w:cs="宋体"/>
                <w:color w:val="auto"/>
                <w:sz w:val="24"/>
                <w:szCs w:val="21"/>
                <w:highlight w:val="none"/>
              </w:rPr>
              <w:t>竞争性磋商文件</w:t>
            </w:r>
            <w:r>
              <w:rPr>
                <w:rFonts w:hint="eastAsia" w:ascii="宋体" w:hAnsi="宋体" w:cs="宋体"/>
                <w:color w:val="auto"/>
                <w:sz w:val="24"/>
                <w:highlight w:val="none"/>
              </w:rPr>
              <w:t>要求</w:t>
            </w:r>
          </w:p>
        </w:tc>
        <w:tc>
          <w:tcPr>
            <w:tcW w:w="1981" w:type="dxa"/>
            <w:vAlign w:val="center"/>
          </w:tcPr>
          <w:p w14:paraId="7B5B56A3">
            <w:pPr>
              <w:shd w:val="clear" w:color="auto" w:fill="FFFFFF"/>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响应文件内容</w:t>
            </w:r>
          </w:p>
        </w:tc>
        <w:tc>
          <w:tcPr>
            <w:tcW w:w="2427" w:type="dxa"/>
            <w:vAlign w:val="center"/>
          </w:tcPr>
          <w:p w14:paraId="7A17B455">
            <w:pPr>
              <w:shd w:val="clear" w:color="auto" w:fill="FFFFFF"/>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偏离情况</w:t>
            </w:r>
          </w:p>
        </w:tc>
        <w:tc>
          <w:tcPr>
            <w:tcW w:w="782" w:type="dxa"/>
            <w:vAlign w:val="center"/>
          </w:tcPr>
          <w:p w14:paraId="7A6E0A4D">
            <w:pPr>
              <w:shd w:val="clear" w:color="auto" w:fill="FFFFFF"/>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说明</w:t>
            </w:r>
          </w:p>
        </w:tc>
      </w:tr>
      <w:tr w14:paraId="775F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shd w:val="clear" w:color="auto" w:fill="auto"/>
            <w:vAlign w:val="center"/>
          </w:tcPr>
          <w:p w14:paraId="68C9288B">
            <w:pPr>
              <w:shd w:val="clear" w:color="auto" w:fill="FFFFFF"/>
              <w:adjustRightInd w:val="0"/>
              <w:snapToGrid w:val="0"/>
              <w:jc w:val="left"/>
              <w:rPr>
                <w:rFonts w:ascii="宋体" w:hAnsi="宋体" w:cs="宋体"/>
                <w:b/>
                <w:bCs/>
                <w:color w:val="auto"/>
                <w:sz w:val="24"/>
                <w:highlight w:val="none"/>
              </w:rPr>
            </w:pPr>
            <w:r>
              <w:rPr>
                <w:rFonts w:hint="eastAsia" w:ascii="宋体" w:hAnsi="宋体" w:cs="宋体"/>
                <w:b/>
                <w:bCs/>
                <w:color w:val="auto"/>
                <w:sz w:val="24"/>
                <w:highlight w:val="none"/>
              </w:rPr>
              <w:t>对本项目合同条款的偏离情况(</w:t>
            </w:r>
            <w:r>
              <w:rPr>
                <w:rFonts w:hint="eastAsia" w:ascii="宋体" w:hAnsi="宋体" w:cs="宋体"/>
                <w:color w:val="auto"/>
                <w:sz w:val="24"/>
                <w:highlight w:val="none"/>
              </w:rPr>
              <w:t>应进行选择，未选择</w:t>
            </w:r>
            <w:r>
              <w:rPr>
                <w:rFonts w:hint="eastAsia" w:ascii="宋体" w:hAnsi="宋体" w:cs="宋体"/>
                <w:b/>
                <w:bCs/>
                <w:color w:val="auto"/>
                <w:sz w:val="24"/>
                <w:highlight w:val="none"/>
              </w:rPr>
              <w:t>响应无效):</w:t>
            </w:r>
          </w:p>
          <w:p w14:paraId="08255522">
            <w:pPr>
              <w:shd w:val="clear" w:color="auto" w:fill="FFFFFF"/>
              <w:adjustRightInd w:val="0"/>
              <w:snapToGrid w:val="0"/>
              <w:jc w:val="left"/>
              <w:rPr>
                <w:rFonts w:ascii="宋体" w:hAnsi="宋体" w:cs="宋体"/>
                <w:color w:val="auto"/>
                <w:sz w:val="24"/>
                <w:highlight w:val="none"/>
              </w:rPr>
            </w:pPr>
            <w:r>
              <w:rPr>
                <w:rFonts w:hint="eastAsia" w:ascii="宋体" w:hAnsi="宋体" w:cs="宋体"/>
                <w:b/>
                <w:color w:val="auto"/>
                <w:sz w:val="24"/>
                <w:highlight w:val="none"/>
              </w:rPr>
              <w:t>□无偏离</w:t>
            </w:r>
            <w:r>
              <w:rPr>
                <w:rFonts w:hint="eastAsia" w:ascii="宋体" w:hAnsi="宋体" w:cs="宋体"/>
                <w:color w:val="auto"/>
                <w:sz w:val="24"/>
                <w:highlight w:val="none"/>
              </w:rPr>
              <w:t>(如无偏离，仅选择无偏离即可;无偏离即为对合同条款中的所有要求，均视作供应商已对之理解和响应。)</w:t>
            </w:r>
          </w:p>
          <w:p w14:paraId="1B3FBDC3">
            <w:pPr>
              <w:shd w:val="clear" w:color="auto" w:fill="FFFFFF"/>
              <w:adjustRightInd w:val="0"/>
              <w:snapToGrid w:val="0"/>
              <w:jc w:val="left"/>
              <w:rPr>
                <w:rFonts w:ascii="宋体" w:hAnsi="宋体" w:cs="宋体"/>
                <w:color w:val="auto"/>
                <w:sz w:val="24"/>
                <w:highlight w:val="none"/>
              </w:rPr>
            </w:pPr>
            <w:r>
              <w:rPr>
                <w:rFonts w:hint="eastAsia" w:ascii="宋体" w:hAnsi="宋体" w:cs="宋体"/>
                <w:b/>
                <w:color w:val="auto"/>
                <w:sz w:val="24"/>
                <w:highlight w:val="none"/>
              </w:rPr>
              <w:t>□有偏离</w:t>
            </w:r>
            <w:r>
              <w:rPr>
                <w:rFonts w:hint="eastAsia" w:ascii="宋体" w:hAnsi="宋体" w:cs="宋体"/>
                <w:color w:val="auto"/>
                <w:sz w:val="24"/>
                <w:highlight w:val="none"/>
              </w:rPr>
              <w:t>(如有偏离，则应在本表中对负偏离项逐一列明，否则</w:t>
            </w:r>
            <w:r>
              <w:rPr>
                <w:rFonts w:hint="eastAsia" w:ascii="宋体" w:hAnsi="宋体" w:cs="宋体"/>
                <w:b/>
                <w:bCs/>
                <w:color w:val="auto"/>
                <w:sz w:val="24"/>
                <w:highlight w:val="none"/>
              </w:rPr>
              <w:t>响应无效</w:t>
            </w:r>
            <w:r>
              <w:rPr>
                <w:rFonts w:hint="eastAsia" w:ascii="宋体" w:hAnsi="宋体" w:cs="宋体"/>
                <w:color w:val="auto"/>
                <w:sz w:val="24"/>
                <w:highlight w:val="none"/>
              </w:rPr>
              <w:t>；对合同条款中的所有要求，除本表列明的偏离外，均视作供应商已对之理解和响应。)</w:t>
            </w:r>
          </w:p>
        </w:tc>
      </w:tr>
      <w:tr w14:paraId="57067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DC13E9E">
            <w:pPr>
              <w:shd w:val="clear" w:color="auto" w:fill="FFFFFF"/>
              <w:adjustRightInd w:val="0"/>
              <w:snapToGrid w:val="0"/>
              <w:jc w:val="center"/>
              <w:rPr>
                <w:rFonts w:ascii="宋体" w:hAnsi="宋体" w:cs="宋体"/>
                <w:color w:val="auto"/>
                <w:sz w:val="24"/>
                <w:highlight w:val="none"/>
              </w:rPr>
            </w:pPr>
          </w:p>
        </w:tc>
        <w:tc>
          <w:tcPr>
            <w:tcW w:w="1290" w:type="dxa"/>
            <w:vAlign w:val="center"/>
          </w:tcPr>
          <w:p w14:paraId="698C09A4">
            <w:pPr>
              <w:shd w:val="clear" w:color="auto" w:fill="FFFFFF"/>
              <w:adjustRightInd w:val="0"/>
              <w:snapToGrid w:val="0"/>
              <w:jc w:val="center"/>
              <w:rPr>
                <w:rFonts w:ascii="宋体" w:hAnsi="宋体" w:cs="宋体"/>
                <w:color w:val="auto"/>
                <w:sz w:val="24"/>
                <w:highlight w:val="none"/>
              </w:rPr>
            </w:pPr>
          </w:p>
        </w:tc>
        <w:tc>
          <w:tcPr>
            <w:tcW w:w="1980" w:type="dxa"/>
            <w:vAlign w:val="center"/>
          </w:tcPr>
          <w:p w14:paraId="3C5AB50A">
            <w:pPr>
              <w:shd w:val="clear" w:color="auto" w:fill="FFFFFF"/>
              <w:adjustRightInd w:val="0"/>
              <w:snapToGrid w:val="0"/>
              <w:jc w:val="center"/>
              <w:rPr>
                <w:rFonts w:ascii="宋体" w:hAnsi="宋体" w:cs="宋体"/>
                <w:color w:val="auto"/>
                <w:sz w:val="24"/>
                <w:highlight w:val="none"/>
              </w:rPr>
            </w:pPr>
          </w:p>
        </w:tc>
        <w:tc>
          <w:tcPr>
            <w:tcW w:w="1981" w:type="dxa"/>
            <w:vAlign w:val="center"/>
          </w:tcPr>
          <w:p w14:paraId="7EE02003">
            <w:pPr>
              <w:shd w:val="clear" w:color="auto" w:fill="FFFFFF"/>
              <w:adjustRightInd w:val="0"/>
              <w:snapToGrid w:val="0"/>
              <w:jc w:val="center"/>
              <w:rPr>
                <w:rFonts w:ascii="宋体" w:hAnsi="宋体" w:cs="宋体"/>
                <w:color w:val="auto"/>
                <w:sz w:val="24"/>
                <w:highlight w:val="none"/>
              </w:rPr>
            </w:pPr>
          </w:p>
        </w:tc>
        <w:tc>
          <w:tcPr>
            <w:tcW w:w="2427" w:type="dxa"/>
            <w:vAlign w:val="center"/>
          </w:tcPr>
          <w:p w14:paraId="77391C0E">
            <w:pPr>
              <w:shd w:val="clear" w:color="auto" w:fill="FFFFFF"/>
              <w:adjustRightInd w:val="0"/>
              <w:snapToGrid w:val="0"/>
              <w:jc w:val="center"/>
              <w:rPr>
                <w:rFonts w:ascii="宋体" w:hAnsi="宋体" w:cs="宋体"/>
                <w:color w:val="auto"/>
                <w:sz w:val="24"/>
                <w:highlight w:val="none"/>
              </w:rPr>
            </w:pPr>
          </w:p>
        </w:tc>
        <w:tc>
          <w:tcPr>
            <w:tcW w:w="782" w:type="dxa"/>
            <w:vAlign w:val="center"/>
          </w:tcPr>
          <w:p w14:paraId="64F646C9">
            <w:pPr>
              <w:shd w:val="clear" w:color="auto" w:fill="FFFFFF"/>
              <w:adjustRightInd w:val="0"/>
              <w:snapToGrid w:val="0"/>
              <w:jc w:val="center"/>
              <w:rPr>
                <w:rFonts w:ascii="宋体" w:hAnsi="宋体" w:cs="宋体"/>
                <w:color w:val="auto"/>
                <w:sz w:val="24"/>
                <w:highlight w:val="none"/>
              </w:rPr>
            </w:pPr>
          </w:p>
        </w:tc>
      </w:tr>
      <w:tr w14:paraId="766E6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E11BBA9">
            <w:pPr>
              <w:shd w:val="clear" w:color="auto" w:fill="FFFFFF"/>
              <w:adjustRightInd w:val="0"/>
              <w:snapToGrid w:val="0"/>
              <w:jc w:val="center"/>
              <w:rPr>
                <w:rFonts w:ascii="宋体" w:hAnsi="宋体" w:cs="宋体"/>
                <w:color w:val="auto"/>
                <w:sz w:val="24"/>
                <w:highlight w:val="none"/>
              </w:rPr>
            </w:pPr>
          </w:p>
        </w:tc>
        <w:tc>
          <w:tcPr>
            <w:tcW w:w="1290" w:type="dxa"/>
            <w:vAlign w:val="center"/>
          </w:tcPr>
          <w:p w14:paraId="795913FD">
            <w:pPr>
              <w:shd w:val="clear" w:color="auto" w:fill="FFFFFF"/>
              <w:adjustRightInd w:val="0"/>
              <w:snapToGrid w:val="0"/>
              <w:jc w:val="center"/>
              <w:rPr>
                <w:rFonts w:ascii="宋体" w:hAnsi="宋体" w:cs="宋体"/>
                <w:color w:val="auto"/>
                <w:sz w:val="24"/>
                <w:highlight w:val="none"/>
              </w:rPr>
            </w:pPr>
          </w:p>
        </w:tc>
        <w:tc>
          <w:tcPr>
            <w:tcW w:w="1980" w:type="dxa"/>
            <w:vAlign w:val="center"/>
          </w:tcPr>
          <w:p w14:paraId="6960C9B1">
            <w:pPr>
              <w:shd w:val="clear" w:color="auto" w:fill="FFFFFF"/>
              <w:adjustRightInd w:val="0"/>
              <w:snapToGrid w:val="0"/>
              <w:jc w:val="center"/>
              <w:rPr>
                <w:rFonts w:ascii="宋体" w:hAnsi="宋体" w:cs="宋体"/>
                <w:color w:val="auto"/>
                <w:sz w:val="24"/>
                <w:highlight w:val="none"/>
              </w:rPr>
            </w:pPr>
          </w:p>
        </w:tc>
        <w:tc>
          <w:tcPr>
            <w:tcW w:w="1981" w:type="dxa"/>
            <w:vAlign w:val="center"/>
          </w:tcPr>
          <w:p w14:paraId="41268403">
            <w:pPr>
              <w:shd w:val="clear" w:color="auto" w:fill="FFFFFF"/>
              <w:adjustRightInd w:val="0"/>
              <w:snapToGrid w:val="0"/>
              <w:jc w:val="center"/>
              <w:rPr>
                <w:rFonts w:ascii="宋体" w:hAnsi="宋体" w:cs="宋体"/>
                <w:color w:val="auto"/>
                <w:sz w:val="24"/>
                <w:highlight w:val="none"/>
              </w:rPr>
            </w:pPr>
          </w:p>
        </w:tc>
        <w:tc>
          <w:tcPr>
            <w:tcW w:w="2427" w:type="dxa"/>
            <w:vAlign w:val="center"/>
          </w:tcPr>
          <w:p w14:paraId="7DA33277">
            <w:pPr>
              <w:shd w:val="clear" w:color="auto" w:fill="FFFFFF"/>
              <w:adjustRightInd w:val="0"/>
              <w:snapToGrid w:val="0"/>
              <w:jc w:val="center"/>
              <w:rPr>
                <w:rFonts w:ascii="宋体" w:hAnsi="宋体" w:cs="宋体"/>
                <w:color w:val="auto"/>
                <w:sz w:val="24"/>
                <w:highlight w:val="none"/>
              </w:rPr>
            </w:pPr>
          </w:p>
        </w:tc>
        <w:tc>
          <w:tcPr>
            <w:tcW w:w="782" w:type="dxa"/>
            <w:vAlign w:val="center"/>
          </w:tcPr>
          <w:p w14:paraId="78D3F517">
            <w:pPr>
              <w:shd w:val="clear" w:color="auto" w:fill="FFFFFF"/>
              <w:adjustRightInd w:val="0"/>
              <w:snapToGrid w:val="0"/>
              <w:jc w:val="center"/>
              <w:rPr>
                <w:rFonts w:ascii="宋体" w:hAnsi="宋体" w:cs="宋体"/>
                <w:color w:val="auto"/>
                <w:sz w:val="24"/>
                <w:highlight w:val="none"/>
              </w:rPr>
            </w:pPr>
          </w:p>
        </w:tc>
      </w:tr>
      <w:tr w14:paraId="64384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4BBD910">
            <w:pPr>
              <w:shd w:val="clear" w:color="auto" w:fill="FFFFFF"/>
              <w:adjustRightInd w:val="0"/>
              <w:snapToGrid w:val="0"/>
              <w:jc w:val="center"/>
              <w:rPr>
                <w:rFonts w:ascii="宋体" w:hAnsi="宋体" w:cs="宋体"/>
                <w:color w:val="auto"/>
                <w:sz w:val="24"/>
                <w:highlight w:val="none"/>
              </w:rPr>
            </w:pPr>
          </w:p>
        </w:tc>
        <w:tc>
          <w:tcPr>
            <w:tcW w:w="1290" w:type="dxa"/>
            <w:vAlign w:val="center"/>
          </w:tcPr>
          <w:p w14:paraId="3582FEA0">
            <w:pPr>
              <w:shd w:val="clear" w:color="auto" w:fill="FFFFFF"/>
              <w:adjustRightInd w:val="0"/>
              <w:snapToGrid w:val="0"/>
              <w:jc w:val="center"/>
              <w:rPr>
                <w:rFonts w:ascii="宋体" w:hAnsi="宋体" w:cs="宋体"/>
                <w:color w:val="auto"/>
                <w:sz w:val="24"/>
                <w:highlight w:val="none"/>
              </w:rPr>
            </w:pPr>
          </w:p>
        </w:tc>
        <w:tc>
          <w:tcPr>
            <w:tcW w:w="1980" w:type="dxa"/>
            <w:vAlign w:val="center"/>
          </w:tcPr>
          <w:p w14:paraId="7D6F025C">
            <w:pPr>
              <w:shd w:val="clear" w:color="auto" w:fill="FFFFFF"/>
              <w:adjustRightInd w:val="0"/>
              <w:snapToGrid w:val="0"/>
              <w:jc w:val="center"/>
              <w:rPr>
                <w:rFonts w:ascii="宋体" w:hAnsi="宋体" w:cs="宋体"/>
                <w:color w:val="auto"/>
                <w:sz w:val="24"/>
                <w:highlight w:val="none"/>
              </w:rPr>
            </w:pPr>
          </w:p>
        </w:tc>
        <w:tc>
          <w:tcPr>
            <w:tcW w:w="1981" w:type="dxa"/>
            <w:vAlign w:val="center"/>
          </w:tcPr>
          <w:p w14:paraId="26BA7324">
            <w:pPr>
              <w:shd w:val="clear" w:color="auto" w:fill="FFFFFF"/>
              <w:adjustRightInd w:val="0"/>
              <w:snapToGrid w:val="0"/>
              <w:jc w:val="center"/>
              <w:rPr>
                <w:rFonts w:ascii="宋体" w:hAnsi="宋体" w:cs="宋体"/>
                <w:color w:val="auto"/>
                <w:sz w:val="24"/>
                <w:highlight w:val="none"/>
              </w:rPr>
            </w:pPr>
          </w:p>
        </w:tc>
        <w:tc>
          <w:tcPr>
            <w:tcW w:w="2427" w:type="dxa"/>
            <w:vAlign w:val="center"/>
          </w:tcPr>
          <w:p w14:paraId="59DFFF52">
            <w:pPr>
              <w:shd w:val="clear" w:color="auto" w:fill="FFFFFF"/>
              <w:adjustRightInd w:val="0"/>
              <w:snapToGrid w:val="0"/>
              <w:jc w:val="center"/>
              <w:rPr>
                <w:rFonts w:ascii="宋体" w:hAnsi="宋体" w:cs="宋体"/>
                <w:color w:val="auto"/>
                <w:sz w:val="24"/>
                <w:highlight w:val="none"/>
              </w:rPr>
            </w:pPr>
          </w:p>
        </w:tc>
        <w:tc>
          <w:tcPr>
            <w:tcW w:w="782" w:type="dxa"/>
            <w:vAlign w:val="center"/>
          </w:tcPr>
          <w:p w14:paraId="0152E56E">
            <w:pPr>
              <w:shd w:val="clear" w:color="auto" w:fill="FFFFFF"/>
              <w:adjustRightInd w:val="0"/>
              <w:snapToGrid w:val="0"/>
              <w:jc w:val="center"/>
              <w:rPr>
                <w:rFonts w:ascii="宋体" w:hAnsi="宋体" w:cs="宋体"/>
                <w:color w:val="auto"/>
                <w:sz w:val="24"/>
                <w:highlight w:val="none"/>
              </w:rPr>
            </w:pPr>
          </w:p>
        </w:tc>
      </w:tr>
      <w:tr w14:paraId="09ED7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EA25F59">
            <w:pPr>
              <w:shd w:val="clear" w:color="auto" w:fill="FFFFFF"/>
              <w:adjustRightInd w:val="0"/>
              <w:snapToGrid w:val="0"/>
              <w:jc w:val="center"/>
              <w:rPr>
                <w:rFonts w:ascii="宋体" w:hAnsi="宋体" w:cs="宋体"/>
                <w:color w:val="auto"/>
                <w:sz w:val="24"/>
                <w:highlight w:val="none"/>
              </w:rPr>
            </w:pPr>
          </w:p>
        </w:tc>
        <w:tc>
          <w:tcPr>
            <w:tcW w:w="1290" w:type="dxa"/>
            <w:vAlign w:val="center"/>
          </w:tcPr>
          <w:p w14:paraId="1630B38C">
            <w:pPr>
              <w:shd w:val="clear" w:color="auto" w:fill="FFFFFF"/>
              <w:adjustRightInd w:val="0"/>
              <w:snapToGrid w:val="0"/>
              <w:jc w:val="center"/>
              <w:rPr>
                <w:rFonts w:ascii="宋体" w:hAnsi="宋体" w:cs="宋体"/>
                <w:color w:val="auto"/>
                <w:sz w:val="24"/>
                <w:highlight w:val="none"/>
              </w:rPr>
            </w:pPr>
          </w:p>
        </w:tc>
        <w:tc>
          <w:tcPr>
            <w:tcW w:w="1980" w:type="dxa"/>
            <w:vAlign w:val="center"/>
          </w:tcPr>
          <w:p w14:paraId="6564D002">
            <w:pPr>
              <w:shd w:val="clear" w:color="auto" w:fill="FFFFFF"/>
              <w:adjustRightInd w:val="0"/>
              <w:snapToGrid w:val="0"/>
              <w:jc w:val="center"/>
              <w:rPr>
                <w:rFonts w:ascii="宋体" w:hAnsi="宋体" w:cs="宋体"/>
                <w:color w:val="auto"/>
                <w:sz w:val="24"/>
                <w:highlight w:val="none"/>
              </w:rPr>
            </w:pPr>
          </w:p>
        </w:tc>
        <w:tc>
          <w:tcPr>
            <w:tcW w:w="1981" w:type="dxa"/>
            <w:vAlign w:val="center"/>
          </w:tcPr>
          <w:p w14:paraId="678CC7DF">
            <w:pPr>
              <w:shd w:val="clear" w:color="auto" w:fill="FFFFFF"/>
              <w:adjustRightInd w:val="0"/>
              <w:snapToGrid w:val="0"/>
              <w:jc w:val="center"/>
              <w:rPr>
                <w:rFonts w:ascii="宋体" w:hAnsi="宋体" w:cs="宋体"/>
                <w:color w:val="auto"/>
                <w:sz w:val="24"/>
                <w:highlight w:val="none"/>
              </w:rPr>
            </w:pPr>
          </w:p>
        </w:tc>
        <w:tc>
          <w:tcPr>
            <w:tcW w:w="2427" w:type="dxa"/>
            <w:vAlign w:val="center"/>
          </w:tcPr>
          <w:p w14:paraId="1EDCAC7A">
            <w:pPr>
              <w:shd w:val="clear" w:color="auto" w:fill="FFFFFF"/>
              <w:adjustRightInd w:val="0"/>
              <w:snapToGrid w:val="0"/>
              <w:jc w:val="center"/>
              <w:rPr>
                <w:rFonts w:ascii="宋体" w:hAnsi="宋体" w:cs="宋体"/>
                <w:color w:val="auto"/>
                <w:sz w:val="24"/>
                <w:highlight w:val="none"/>
              </w:rPr>
            </w:pPr>
          </w:p>
        </w:tc>
        <w:tc>
          <w:tcPr>
            <w:tcW w:w="782" w:type="dxa"/>
            <w:vAlign w:val="center"/>
          </w:tcPr>
          <w:p w14:paraId="12D17E78">
            <w:pPr>
              <w:shd w:val="clear" w:color="auto" w:fill="FFFFFF"/>
              <w:adjustRightInd w:val="0"/>
              <w:snapToGrid w:val="0"/>
              <w:jc w:val="center"/>
              <w:rPr>
                <w:rFonts w:ascii="宋体" w:hAnsi="宋体" w:cs="宋体"/>
                <w:color w:val="auto"/>
                <w:sz w:val="24"/>
                <w:highlight w:val="none"/>
              </w:rPr>
            </w:pPr>
          </w:p>
        </w:tc>
      </w:tr>
    </w:tbl>
    <w:p w14:paraId="756C0850">
      <w:pPr>
        <w:shd w:val="clear" w:color="auto" w:fill="FFFFFF"/>
        <w:tabs>
          <w:tab w:val="left" w:pos="1800"/>
          <w:tab w:val="left" w:pos="5580"/>
        </w:tabs>
        <w:jc w:val="left"/>
        <w:rPr>
          <w:rFonts w:ascii="宋体" w:hAnsi="宋体" w:cs="宋体"/>
          <w:color w:val="auto"/>
          <w:sz w:val="24"/>
          <w:highlight w:val="none"/>
        </w:rPr>
      </w:pPr>
    </w:p>
    <w:p w14:paraId="4C87D4A1">
      <w:pPr>
        <w:shd w:val="clear" w:color="auto" w:fill="FFFFFF"/>
        <w:tabs>
          <w:tab w:val="left" w:pos="1800"/>
          <w:tab w:val="left" w:pos="5580"/>
        </w:tabs>
        <w:jc w:val="left"/>
        <w:rPr>
          <w:rFonts w:ascii="宋体" w:hAnsi="宋体" w:cs="宋体"/>
          <w:color w:val="auto"/>
          <w:sz w:val="24"/>
          <w:highlight w:val="none"/>
        </w:rPr>
      </w:pPr>
      <w:r>
        <w:rPr>
          <w:rFonts w:hint="eastAsia" w:ascii="宋体" w:hAnsi="宋体" w:cs="宋体"/>
          <w:color w:val="auto"/>
          <w:sz w:val="24"/>
          <w:highlight w:val="none"/>
        </w:rPr>
        <w:t>注：“偏离情况”列应据实填写“正偏离”或“负偏离”。</w:t>
      </w:r>
    </w:p>
    <w:p w14:paraId="11F5102A">
      <w:pPr>
        <w:shd w:val="clear" w:color="auto" w:fill="FFFFFF"/>
        <w:spacing w:line="360" w:lineRule="auto"/>
        <w:rPr>
          <w:rFonts w:ascii="宋体" w:hAnsi="宋体" w:cs="宋体"/>
          <w:color w:val="auto"/>
          <w:sz w:val="24"/>
          <w:szCs w:val="20"/>
          <w:highlight w:val="none"/>
        </w:rPr>
      </w:pPr>
    </w:p>
    <w:p w14:paraId="0179CF69">
      <w:pPr>
        <w:shd w:val="clear" w:color="auto" w:fill="FFFFFF"/>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w:t>
      </w:r>
      <w:r>
        <w:rPr>
          <w:rFonts w:hint="eastAsia" w:ascii="宋体" w:hAnsi="宋体" w:cs="宋体"/>
          <w:color w:val="auto"/>
          <w:sz w:val="24"/>
          <w:highlight w:val="none"/>
        </w:rPr>
        <w:t>_______________</w:t>
      </w:r>
    </w:p>
    <w:p w14:paraId="3916B2CE">
      <w:pPr>
        <w:shd w:val="clear" w:color="auto" w:fill="FFFFFF"/>
        <w:autoSpaceDE w:val="0"/>
        <w:autoSpaceDN w:val="0"/>
        <w:adjustRightInd w:val="0"/>
        <w:snapToGrid w:val="0"/>
        <w:spacing w:before="25" w:after="25" w:line="360" w:lineRule="auto"/>
        <w:rPr>
          <w:rFonts w:ascii="宋体" w:hAnsi="宋体" w:cs="宋体"/>
          <w:color w:val="auto"/>
          <w:sz w:val="24"/>
          <w:highlight w:val="none"/>
          <w:lang w:val="zh-CN"/>
        </w:rPr>
      </w:pPr>
      <w:r>
        <w:rPr>
          <w:rFonts w:hint="eastAsia" w:ascii="宋体" w:hAnsi="宋体" w:cs="宋体"/>
          <w:color w:val="auto"/>
          <w:sz w:val="24"/>
          <w:szCs w:val="20"/>
          <w:highlight w:val="none"/>
        </w:rPr>
        <w:t xml:space="preserve">日期：____年____月____日    </w:t>
      </w:r>
    </w:p>
    <w:p w14:paraId="36D66380">
      <w:pPr>
        <w:shd w:val="clear" w:color="auto" w:fill="FFFFFF"/>
        <w:tabs>
          <w:tab w:val="left" w:pos="360"/>
        </w:tabs>
        <w:snapToGrid w:val="0"/>
        <w:spacing w:line="360" w:lineRule="auto"/>
        <w:outlineLvl w:val="1"/>
        <w:rPr>
          <w:rFonts w:ascii="宋体" w:hAnsi="宋体" w:cs="宋体"/>
          <w:color w:val="auto"/>
          <w:sz w:val="24"/>
          <w:szCs w:val="20"/>
          <w:highlight w:val="none"/>
        </w:rPr>
      </w:pPr>
      <w:r>
        <w:rPr>
          <w:rFonts w:hint="eastAsia" w:ascii="宋体" w:hAnsi="宋体" w:cs="宋体"/>
          <w:color w:val="auto"/>
          <w:sz w:val="24"/>
          <w:szCs w:val="20"/>
          <w:highlight w:val="none"/>
        </w:rPr>
        <w:br w:type="page"/>
      </w:r>
      <w:r>
        <w:rPr>
          <w:rFonts w:hint="eastAsia" w:ascii="宋体" w:hAnsi="宋体" w:cs="宋体"/>
          <w:color w:val="auto"/>
          <w:sz w:val="24"/>
          <w:highlight w:val="none"/>
        </w:rPr>
        <w:t xml:space="preserve">10 </w:t>
      </w:r>
      <w:bookmarkEnd w:id="1885"/>
      <w:bookmarkEnd w:id="1886"/>
      <w:bookmarkEnd w:id="1887"/>
      <w:bookmarkEnd w:id="1888"/>
      <w:bookmarkEnd w:id="1889"/>
      <w:bookmarkEnd w:id="1890"/>
      <w:bookmarkEnd w:id="1891"/>
      <w:bookmarkEnd w:id="1892"/>
      <w:bookmarkEnd w:id="1893"/>
      <w:bookmarkEnd w:id="1894"/>
      <w:bookmarkEnd w:id="1895"/>
      <w:bookmarkEnd w:id="1896"/>
      <w:bookmarkEnd w:id="1897"/>
      <w:r>
        <w:rPr>
          <w:rFonts w:hint="eastAsia" w:ascii="宋体" w:hAnsi="宋体" w:cs="宋体"/>
          <w:color w:val="auto"/>
          <w:sz w:val="24"/>
          <w:highlight w:val="none"/>
        </w:rPr>
        <w:t>采购需求偏离表（实质性格式）</w:t>
      </w:r>
    </w:p>
    <w:p w14:paraId="59B4028F">
      <w:pPr>
        <w:shd w:val="clear" w:color="auto" w:fill="FFFFFF"/>
        <w:autoSpaceDE w:val="0"/>
        <w:autoSpaceDN w:val="0"/>
        <w:adjustRightInd w:val="0"/>
        <w:spacing w:line="36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采购需求偏离表</w:t>
      </w:r>
    </w:p>
    <w:p w14:paraId="69D318B7">
      <w:pPr>
        <w:shd w:val="clear" w:color="auto" w:fill="FFFFFF"/>
        <w:tabs>
          <w:tab w:val="left" w:pos="1800"/>
          <w:tab w:val="left" w:pos="5580"/>
        </w:tabs>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项目编号：_______________     项目名称：_______________</w:t>
      </w:r>
    </w:p>
    <w:tbl>
      <w:tblPr>
        <w:tblStyle w:val="8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D895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2680C7B">
            <w:pPr>
              <w:shd w:val="clear" w:color="auto" w:fill="FFFFFF"/>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482" w:type="dxa"/>
            <w:vAlign w:val="center"/>
          </w:tcPr>
          <w:p w14:paraId="4CB3A905">
            <w:pPr>
              <w:shd w:val="clear" w:color="auto" w:fill="FFFFFF"/>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竞争性磋商文件条目号(页码)</w:t>
            </w:r>
          </w:p>
        </w:tc>
        <w:tc>
          <w:tcPr>
            <w:tcW w:w="2384" w:type="dxa"/>
            <w:vAlign w:val="center"/>
          </w:tcPr>
          <w:p w14:paraId="2367F298">
            <w:pPr>
              <w:shd w:val="clear" w:color="auto" w:fill="FFFFFF"/>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竞争性磋商文件要求</w:t>
            </w:r>
          </w:p>
        </w:tc>
        <w:tc>
          <w:tcPr>
            <w:tcW w:w="2126" w:type="dxa"/>
            <w:vAlign w:val="center"/>
          </w:tcPr>
          <w:p w14:paraId="65D27986">
            <w:pPr>
              <w:shd w:val="clear" w:color="auto" w:fill="FFFFFF"/>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响应内容</w:t>
            </w:r>
          </w:p>
        </w:tc>
        <w:tc>
          <w:tcPr>
            <w:tcW w:w="1875" w:type="dxa"/>
            <w:vAlign w:val="center"/>
          </w:tcPr>
          <w:p w14:paraId="568CEE62">
            <w:pPr>
              <w:shd w:val="clear" w:color="auto" w:fill="FFFFFF"/>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偏离情况</w:t>
            </w:r>
          </w:p>
        </w:tc>
        <w:tc>
          <w:tcPr>
            <w:tcW w:w="1009" w:type="dxa"/>
            <w:vAlign w:val="center"/>
          </w:tcPr>
          <w:p w14:paraId="77A2043C">
            <w:pPr>
              <w:shd w:val="clear" w:color="auto" w:fill="FFFFFF"/>
              <w:adjustRightInd w:val="0"/>
              <w:snapToGrid w:val="0"/>
              <w:jc w:val="center"/>
              <w:rPr>
                <w:rFonts w:ascii="宋体" w:hAnsi="宋体" w:cs="宋体"/>
                <w:color w:val="auto"/>
                <w:sz w:val="24"/>
                <w:highlight w:val="none"/>
              </w:rPr>
            </w:pPr>
            <w:r>
              <w:rPr>
                <w:rFonts w:hint="eastAsia" w:ascii="宋体" w:hAnsi="宋体" w:cs="宋体"/>
                <w:color w:val="auto"/>
                <w:sz w:val="24"/>
                <w:highlight w:val="none"/>
              </w:rPr>
              <w:t>说明</w:t>
            </w:r>
          </w:p>
        </w:tc>
      </w:tr>
      <w:tr w14:paraId="651F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98602C0">
            <w:pPr>
              <w:shd w:val="clear" w:color="auto" w:fill="FFFFFF"/>
              <w:adjustRightInd w:val="0"/>
              <w:snapToGrid w:val="0"/>
              <w:jc w:val="center"/>
              <w:rPr>
                <w:rFonts w:ascii="宋体" w:hAnsi="宋体" w:cs="宋体"/>
                <w:color w:val="auto"/>
                <w:sz w:val="24"/>
                <w:highlight w:val="none"/>
              </w:rPr>
            </w:pPr>
          </w:p>
        </w:tc>
        <w:tc>
          <w:tcPr>
            <w:tcW w:w="1482" w:type="dxa"/>
            <w:vAlign w:val="center"/>
          </w:tcPr>
          <w:p w14:paraId="65244D86">
            <w:pPr>
              <w:shd w:val="clear" w:color="auto" w:fill="FFFFFF"/>
              <w:adjustRightInd w:val="0"/>
              <w:snapToGrid w:val="0"/>
              <w:jc w:val="center"/>
              <w:rPr>
                <w:rFonts w:ascii="宋体" w:hAnsi="宋体" w:cs="宋体"/>
                <w:color w:val="auto"/>
                <w:sz w:val="24"/>
                <w:highlight w:val="none"/>
              </w:rPr>
            </w:pPr>
          </w:p>
        </w:tc>
        <w:tc>
          <w:tcPr>
            <w:tcW w:w="2384" w:type="dxa"/>
            <w:vAlign w:val="center"/>
          </w:tcPr>
          <w:p w14:paraId="3CBEFC59">
            <w:pPr>
              <w:shd w:val="clear" w:color="auto" w:fill="FFFFFF"/>
              <w:adjustRightInd w:val="0"/>
              <w:snapToGrid w:val="0"/>
              <w:jc w:val="center"/>
              <w:rPr>
                <w:rFonts w:ascii="宋体" w:hAnsi="宋体" w:cs="宋体"/>
                <w:color w:val="auto"/>
                <w:sz w:val="24"/>
                <w:highlight w:val="none"/>
              </w:rPr>
            </w:pPr>
          </w:p>
        </w:tc>
        <w:tc>
          <w:tcPr>
            <w:tcW w:w="2126" w:type="dxa"/>
            <w:vAlign w:val="center"/>
          </w:tcPr>
          <w:p w14:paraId="05E3C70A">
            <w:pPr>
              <w:shd w:val="clear" w:color="auto" w:fill="FFFFFF"/>
              <w:adjustRightInd w:val="0"/>
              <w:snapToGrid w:val="0"/>
              <w:jc w:val="center"/>
              <w:rPr>
                <w:rFonts w:ascii="宋体" w:hAnsi="宋体" w:cs="宋体"/>
                <w:color w:val="auto"/>
                <w:sz w:val="24"/>
                <w:highlight w:val="none"/>
              </w:rPr>
            </w:pPr>
          </w:p>
        </w:tc>
        <w:tc>
          <w:tcPr>
            <w:tcW w:w="1875" w:type="dxa"/>
            <w:vAlign w:val="center"/>
          </w:tcPr>
          <w:p w14:paraId="0E5782E8">
            <w:pPr>
              <w:shd w:val="clear" w:color="auto" w:fill="FFFFFF"/>
              <w:adjustRightInd w:val="0"/>
              <w:snapToGrid w:val="0"/>
              <w:jc w:val="center"/>
              <w:rPr>
                <w:rFonts w:ascii="宋体" w:hAnsi="宋体" w:cs="宋体"/>
                <w:color w:val="auto"/>
                <w:sz w:val="24"/>
                <w:highlight w:val="none"/>
              </w:rPr>
            </w:pPr>
          </w:p>
        </w:tc>
        <w:tc>
          <w:tcPr>
            <w:tcW w:w="1009" w:type="dxa"/>
            <w:vAlign w:val="center"/>
          </w:tcPr>
          <w:p w14:paraId="4E45C191">
            <w:pPr>
              <w:shd w:val="clear" w:color="auto" w:fill="FFFFFF"/>
              <w:adjustRightInd w:val="0"/>
              <w:snapToGrid w:val="0"/>
              <w:jc w:val="center"/>
              <w:rPr>
                <w:rFonts w:ascii="宋体" w:hAnsi="宋体" w:cs="宋体"/>
                <w:color w:val="auto"/>
                <w:sz w:val="24"/>
                <w:highlight w:val="none"/>
              </w:rPr>
            </w:pPr>
          </w:p>
        </w:tc>
      </w:tr>
      <w:tr w14:paraId="54DE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C909F21">
            <w:pPr>
              <w:shd w:val="clear" w:color="auto" w:fill="FFFFFF"/>
              <w:adjustRightInd w:val="0"/>
              <w:snapToGrid w:val="0"/>
              <w:jc w:val="center"/>
              <w:rPr>
                <w:rFonts w:ascii="宋体" w:hAnsi="宋体" w:cs="宋体"/>
                <w:color w:val="auto"/>
                <w:sz w:val="24"/>
                <w:highlight w:val="none"/>
              </w:rPr>
            </w:pPr>
          </w:p>
        </w:tc>
        <w:tc>
          <w:tcPr>
            <w:tcW w:w="1482" w:type="dxa"/>
            <w:vAlign w:val="center"/>
          </w:tcPr>
          <w:p w14:paraId="23355F2D">
            <w:pPr>
              <w:shd w:val="clear" w:color="auto" w:fill="FFFFFF"/>
              <w:adjustRightInd w:val="0"/>
              <w:snapToGrid w:val="0"/>
              <w:jc w:val="center"/>
              <w:rPr>
                <w:rFonts w:ascii="宋体" w:hAnsi="宋体" w:cs="宋体"/>
                <w:color w:val="auto"/>
                <w:sz w:val="24"/>
                <w:highlight w:val="none"/>
              </w:rPr>
            </w:pPr>
          </w:p>
        </w:tc>
        <w:tc>
          <w:tcPr>
            <w:tcW w:w="2384" w:type="dxa"/>
            <w:vAlign w:val="center"/>
          </w:tcPr>
          <w:p w14:paraId="5190FEF0">
            <w:pPr>
              <w:shd w:val="clear" w:color="auto" w:fill="FFFFFF"/>
              <w:adjustRightInd w:val="0"/>
              <w:snapToGrid w:val="0"/>
              <w:jc w:val="center"/>
              <w:rPr>
                <w:rFonts w:ascii="宋体" w:hAnsi="宋体" w:cs="宋体"/>
                <w:color w:val="auto"/>
                <w:sz w:val="24"/>
                <w:highlight w:val="none"/>
              </w:rPr>
            </w:pPr>
          </w:p>
        </w:tc>
        <w:tc>
          <w:tcPr>
            <w:tcW w:w="2126" w:type="dxa"/>
            <w:vAlign w:val="center"/>
          </w:tcPr>
          <w:p w14:paraId="429122DE">
            <w:pPr>
              <w:shd w:val="clear" w:color="auto" w:fill="FFFFFF"/>
              <w:adjustRightInd w:val="0"/>
              <w:snapToGrid w:val="0"/>
              <w:jc w:val="center"/>
              <w:rPr>
                <w:rFonts w:ascii="宋体" w:hAnsi="宋体" w:cs="宋体"/>
                <w:color w:val="auto"/>
                <w:sz w:val="24"/>
                <w:highlight w:val="none"/>
              </w:rPr>
            </w:pPr>
          </w:p>
        </w:tc>
        <w:tc>
          <w:tcPr>
            <w:tcW w:w="1875" w:type="dxa"/>
            <w:vAlign w:val="center"/>
          </w:tcPr>
          <w:p w14:paraId="54F364C8">
            <w:pPr>
              <w:shd w:val="clear" w:color="auto" w:fill="FFFFFF"/>
              <w:adjustRightInd w:val="0"/>
              <w:snapToGrid w:val="0"/>
              <w:jc w:val="center"/>
              <w:rPr>
                <w:rFonts w:ascii="宋体" w:hAnsi="宋体" w:cs="宋体"/>
                <w:color w:val="auto"/>
                <w:sz w:val="24"/>
                <w:highlight w:val="none"/>
              </w:rPr>
            </w:pPr>
          </w:p>
        </w:tc>
        <w:tc>
          <w:tcPr>
            <w:tcW w:w="1009" w:type="dxa"/>
            <w:vAlign w:val="center"/>
          </w:tcPr>
          <w:p w14:paraId="186E2719">
            <w:pPr>
              <w:shd w:val="clear" w:color="auto" w:fill="FFFFFF"/>
              <w:adjustRightInd w:val="0"/>
              <w:snapToGrid w:val="0"/>
              <w:jc w:val="center"/>
              <w:rPr>
                <w:rFonts w:ascii="宋体" w:hAnsi="宋体" w:cs="宋体"/>
                <w:color w:val="auto"/>
                <w:sz w:val="24"/>
                <w:highlight w:val="none"/>
              </w:rPr>
            </w:pPr>
          </w:p>
        </w:tc>
      </w:tr>
      <w:tr w14:paraId="41DA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CB0D8B6">
            <w:pPr>
              <w:shd w:val="clear" w:color="auto" w:fill="FFFFFF"/>
              <w:adjustRightInd w:val="0"/>
              <w:snapToGrid w:val="0"/>
              <w:jc w:val="center"/>
              <w:rPr>
                <w:rFonts w:ascii="宋体" w:hAnsi="宋体" w:cs="宋体"/>
                <w:color w:val="auto"/>
                <w:sz w:val="24"/>
                <w:highlight w:val="none"/>
              </w:rPr>
            </w:pPr>
          </w:p>
        </w:tc>
        <w:tc>
          <w:tcPr>
            <w:tcW w:w="1482" w:type="dxa"/>
            <w:vAlign w:val="center"/>
          </w:tcPr>
          <w:p w14:paraId="2776B5B4">
            <w:pPr>
              <w:shd w:val="clear" w:color="auto" w:fill="FFFFFF"/>
              <w:adjustRightInd w:val="0"/>
              <w:snapToGrid w:val="0"/>
              <w:jc w:val="center"/>
              <w:rPr>
                <w:rFonts w:ascii="宋体" w:hAnsi="宋体" w:cs="宋体"/>
                <w:color w:val="auto"/>
                <w:sz w:val="24"/>
                <w:highlight w:val="none"/>
              </w:rPr>
            </w:pPr>
          </w:p>
        </w:tc>
        <w:tc>
          <w:tcPr>
            <w:tcW w:w="2384" w:type="dxa"/>
            <w:vAlign w:val="center"/>
          </w:tcPr>
          <w:p w14:paraId="10259056">
            <w:pPr>
              <w:shd w:val="clear" w:color="auto" w:fill="FFFFFF"/>
              <w:adjustRightInd w:val="0"/>
              <w:snapToGrid w:val="0"/>
              <w:jc w:val="center"/>
              <w:rPr>
                <w:rFonts w:ascii="宋体" w:hAnsi="宋体" w:cs="宋体"/>
                <w:color w:val="auto"/>
                <w:sz w:val="24"/>
                <w:highlight w:val="none"/>
              </w:rPr>
            </w:pPr>
          </w:p>
        </w:tc>
        <w:tc>
          <w:tcPr>
            <w:tcW w:w="2126" w:type="dxa"/>
            <w:vAlign w:val="center"/>
          </w:tcPr>
          <w:p w14:paraId="0C1EF3D5">
            <w:pPr>
              <w:shd w:val="clear" w:color="auto" w:fill="FFFFFF"/>
              <w:adjustRightInd w:val="0"/>
              <w:snapToGrid w:val="0"/>
              <w:jc w:val="center"/>
              <w:rPr>
                <w:rFonts w:ascii="宋体" w:hAnsi="宋体" w:cs="宋体"/>
                <w:color w:val="auto"/>
                <w:sz w:val="24"/>
                <w:highlight w:val="none"/>
              </w:rPr>
            </w:pPr>
          </w:p>
        </w:tc>
        <w:tc>
          <w:tcPr>
            <w:tcW w:w="1875" w:type="dxa"/>
            <w:vAlign w:val="center"/>
          </w:tcPr>
          <w:p w14:paraId="1A7CFBE3">
            <w:pPr>
              <w:shd w:val="clear" w:color="auto" w:fill="FFFFFF"/>
              <w:adjustRightInd w:val="0"/>
              <w:snapToGrid w:val="0"/>
              <w:jc w:val="center"/>
              <w:rPr>
                <w:rFonts w:ascii="宋体" w:hAnsi="宋体" w:cs="宋体"/>
                <w:color w:val="auto"/>
                <w:sz w:val="24"/>
                <w:highlight w:val="none"/>
              </w:rPr>
            </w:pPr>
          </w:p>
        </w:tc>
        <w:tc>
          <w:tcPr>
            <w:tcW w:w="1009" w:type="dxa"/>
            <w:vAlign w:val="center"/>
          </w:tcPr>
          <w:p w14:paraId="47D7EE35">
            <w:pPr>
              <w:shd w:val="clear" w:color="auto" w:fill="FFFFFF"/>
              <w:adjustRightInd w:val="0"/>
              <w:snapToGrid w:val="0"/>
              <w:jc w:val="center"/>
              <w:rPr>
                <w:rFonts w:ascii="宋体" w:hAnsi="宋体" w:cs="宋体"/>
                <w:color w:val="auto"/>
                <w:sz w:val="24"/>
                <w:highlight w:val="none"/>
              </w:rPr>
            </w:pPr>
          </w:p>
        </w:tc>
      </w:tr>
      <w:tr w14:paraId="024B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F55EC7D">
            <w:pPr>
              <w:shd w:val="clear" w:color="auto" w:fill="FFFFFF"/>
              <w:adjustRightInd w:val="0"/>
              <w:snapToGrid w:val="0"/>
              <w:jc w:val="center"/>
              <w:rPr>
                <w:rFonts w:ascii="宋体" w:hAnsi="宋体" w:cs="宋体"/>
                <w:color w:val="auto"/>
                <w:sz w:val="24"/>
                <w:highlight w:val="none"/>
              </w:rPr>
            </w:pPr>
          </w:p>
        </w:tc>
        <w:tc>
          <w:tcPr>
            <w:tcW w:w="1482" w:type="dxa"/>
            <w:vAlign w:val="center"/>
          </w:tcPr>
          <w:p w14:paraId="4E5E69FA">
            <w:pPr>
              <w:shd w:val="clear" w:color="auto" w:fill="FFFFFF"/>
              <w:adjustRightInd w:val="0"/>
              <w:snapToGrid w:val="0"/>
              <w:jc w:val="center"/>
              <w:rPr>
                <w:rFonts w:ascii="宋体" w:hAnsi="宋体" w:cs="宋体"/>
                <w:color w:val="auto"/>
                <w:sz w:val="24"/>
                <w:highlight w:val="none"/>
              </w:rPr>
            </w:pPr>
          </w:p>
        </w:tc>
        <w:tc>
          <w:tcPr>
            <w:tcW w:w="2384" w:type="dxa"/>
            <w:vAlign w:val="center"/>
          </w:tcPr>
          <w:p w14:paraId="17146B52">
            <w:pPr>
              <w:shd w:val="clear" w:color="auto" w:fill="FFFFFF"/>
              <w:adjustRightInd w:val="0"/>
              <w:snapToGrid w:val="0"/>
              <w:jc w:val="center"/>
              <w:rPr>
                <w:rFonts w:ascii="宋体" w:hAnsi="宋体" w:cs="宋体"/>
                <w:color w:val="auto"/>
                <w:sz w:val="24"/>
                <w:highlight w:val="none"/>
              </w:rPr>
            </w:pPr>
          </w:p>
        </w:tc>
        <w:tc>
          <w:tcPr>
            <w:tcW w:w="2126" w:type="dxa"/>
            <w:vAlign w:val="center"/>
          </w:tcPr>
          <w:p w14:paraId="0565F7EB">
            <w:pPr>
              <w:shd w:val="clear" w:color="auto" w:fill="FFFFFF"/>
              <w:adjustRightInd w:val="0"/>
              <w:snapToGrid w:val="0"/>
              <w:jc w:val="center"/>
              <w:rPr>
                <w:rFonts w:ascii="宋体" w:hAnsi="宋体" w:cs="宋体"/>
                <w:color w:val="auto"/>
                <w:sz w:val="24"/>
                <w:highlight w:val="none"/>
              </w:rPr>
            </w:pPr>
          </w:p>
        </w:tc>
        <w:tc>
          <w:tcPr>
            <w:tcW w:w="1875" w:type="dxa"/>
            <w:vAlign w:val="center"/>
          </w:tcPr>
          <w:p w14:paraId="33E49EA8">
            <w:pPr>
              <w:shd w:val="clear" w:color="auto" w:fill="FFFFFF"/>
              <w:adjustRightInd w:val="0"/>
              <w:snapToGrid w:val="0"/>
              <w:jc w:val="center"/>
              <w:rPr>
                <w:rFonts w:ascii="宋体" w:hAnsi="宋体" w:cs="宋体"/>
                <w:color w:val="auto"/>
                <w:sz w:val="24"/>
                <w:highlight w:val="none"/>
              </w:rPr>
            </w:pPr>
          </w:p>
        </w:tc>
        <w:tc>
          <w:tcPr>
            <w:tcW w:w="1009" w:type="dxa"/>
            <w:vAlign w:val="center"/>
          </w:tcPr>
          <w:p w14:paraId="64A753EB">
            <w:pPr>
              <w:shd w:val="clear" w:color="auto" w:fill="FFFFFF"/>
              <w:adjustRightInd w:val="0"/>
              <w:snapToGrid w:val="0"/>
              <w:jc w:val="center"/>
              <w:rPr>
                <w:rFonts w:ascii="宋体" w:hAnsi="宋体" w:cs="宋体"/>
                <w:color w:val="auto"/>
                <w:sz w:val="24"/>
                <w:highlight w:val="none"/>
              </w:rPr>
            </w:pPr>
          </w:p>
        </w:tc>
      </w:tr>
      <w:tr w14:paraId="5E63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72ED60">
            <w:pPr>
              <w:shd w:val="clear" w:color="auto" w:fill="FFFFFF"/>
              <w:adjustRightInd w:val="0"/>
              <w:snapToGrid w:val="0"/>
              <w:jc w:val="center"/>
              <w:rPr>
                <w:rFonts w:ascii="宋体" w:hAnsi="宋体" w:cs="宋体"/>
                <w:color w:val="auto"/>
                <w:sz w:val="24"/>
                <w:highlight w:val="none"/>
              </w:rPr>
            </w:pPr>
          </w:p>
        </w:tc>
        <w:tc>
          <w:tcPr>
            <w:tcW w:w="1482" w:type="dxa"/>
            <w:vAlign w:val="center"/>
          </w:tcPr>
          <w:p w14:paraId="00094071">
            <w:pPr>
              <w:shd w:val="clear" w:color="auto" w:fill="FFFFFF"/>
              <w:adjustRightInd w:val="0"/>
              <w:snapToGrid w:val="0"/>
              <w:jc w:val="center"/>
              <w:rPr>
                <w:rFonts w:ascii="宋体" w:hAnsi="宋体" w:cs="宋体"/>
                <w:color w:val="auto"/>
                <w:sz w:val="24"/>
                <w:highlight w:val="none"/>
              </w:rPr>
            </w:pPr>
          </w:p>
        </w:tc>
        <w:tc>
          <w:tcPr>
            <w:tcW w:w="2384" w:type="dxa"/>
            <w:vAlign w:val="center"/>
          </w:tcPr>
          <w:p w14:paraId="7DF9DAE1">
            <w:pPr>
              <w:shd w:val="clear" w:color="auto" w:fill="FFFFFF"/>
              <w:adjustRightInd w:val="0"/>
              <w:snapToGrid w:val="0"/>
              <w:jc w:val="center"/>
              <w:rPr>
                <w:rFonts w:ascii="宋体" w:hAnsi="宋体" w:cs="宋体"/>
                <w:color w:val="auto"/>
                <w:sz w:val="24"/>
                <w:highlight w:val="none"/>
              </w:rPr>
            </w:pPr>
          </w:p>
        </w:tc>
        <w:tc>
          <w:tcPr>
            <w:tcW w:w="2126" w:type="dxa"/>
            <w:vAlign w:val="center"/>
          </w:tcPr>
          <w:p w14:paraId="754EF3E8">
            <w:pPr>
              <w:shd w:val="clear" w:color="auto" w:fill="FFFFFF"/>
              <w:adjustRightInd w:val="0"/>
              <w:snapToGrid w:val="0"/>
              <w:jc w:val="center"/>
              <w:rPr>
                <w:rFonts w:ascii="宋体" w:hAnsi="宋体" w:cs="宋体"/>
                <w:color w:val="auto"/>
                <w:sz w:val="24"/>
                <w:highlight w:val="none"/>
              </w:rPr>
            </w:pPr>
          </w:p>
        </w:tc>
        <w:tc>
          <w:tcPr>
            <w:tcW w:w="1875" w:type="dxa"/>
            <w:vAlign w:val="center"/>
          </w:tcPr>
          <w:p w14:paraId="70EFF0CE">
            <w:pPr>
              <w:shd w:val="clear" w:color="auto" w:fill="FFFFFF"/>
              <w:adjustRightInd w:val="0"/>
              <w:snapToGrid w:val="0"/>
              <w:jc w:val="center"/>
              <w:rPr>
                <w:rFonts w:ascii="宋体" w:hAnsi="宋体" w:cs="宋体"/>
                <w:color w:val="auto"/>
                <w:sz w:val="24"/>
                <w:highlight w:val="none"/>
              </w:rPr>
            </w:pPr>
          </w:p>
        </w:tc>
        <w:tc>
          <w:tcPr>
            <w:tcW w:w="1009" w:type="dxa"/>
            <w:vAlign w:val="center"/>
          </w:tcPr>
          <w:p w14:paraId="3FF613D6">
            <w:pPr>
              <w:shd w:val="clear" w:color="auto" w:fill="FFFFFF"/>
              <w:adjustRightInd w:val="0"/>
              <w:snapToGrid w:val="0"/>
              <w:jc w:val="center"/>
              <w:rPr>
                <w:rFonts w:ascii="宋体" w:hAnsi="宋体" w:cs="宋体"/>
                <w:color w:val="auto"/>
                <w:sz w:val="24"/>
                <w:highlight w:val="none"/>
              </w:rPr>
            </w:pPr>
          </w:p>
        </w:tc>
      </w:tr>
      <w:tr w14:paraId="173D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334169A">
            <w:pPr>
              <w:shd w:val="clear" w:color="auto" w:fill="FFFFFF"/>
              <w:adjustRightInd w:val="0"/>
              <w:snapToGrid w:val="0"/>
              <w:jc w:val="center"/>
              <w:rPr>
                <w:rFonts w:ascii="宋体" w:hAnsi="宋体" w:cs="宋体"/>
                <w:color w:val="auto"/>
                <w:sz w:val="24"/>
                <w:highlight w:val="none"/>
              </w:rPr>
            </w:pPr>
          </w:p>
        </w:tc>
        <w:tc>
          <w:tcPr>
            <w:tcW w:w="1482" w:type="dxa"/>
            <w:vAlign w:val="center"/>
          </w:tcPr>
          <w:p w14:paraId="7053CDA9">
            <w:pPr>
              <w:shd w:val="clear" w:color="auto" w:fill="FFFFFF"/>
              <w:adjustRightInd w:val="0"/>
              <w:snapToGrid w:val="0"/>
              <w:jc w:val="center"/>
              <w:rPr>
                <w:rFonts w:ascii="宋体" w:hAnsi="宋体" w:cs="宋体"/>
                <w:color w:val="auto"/>
                <w:sz w:val="24"/>
                <w:highlight w:val="none"/>
              </w:rPr>
            </w:pPr>
          </w:p>
        </w:tc>
        <w:tc>
          <w:tcPr>
            <w:tcW w:w="2384" w:type="dxa"/>
            <w:vAlign w:val="center"/>
          </w:tcPr>
          <w:p w14:paraId="5A05C3AE">
            <w:pPr>
              <w:shd w:val="clear" w:color="auto" w:fill="FFFFFF"/>
              <w:adjustRightInd w:val="0"/>
              <w:snapToGrid w:val="0"/>
              <w:jc w:val="center"/>
              <w:rPr>
                <w:rFonts w:ascii="宋体" w:hAnsi="宋体" w:cs="宋体"/>
                <w:color w:val="auto"/>
                <w:sz w:val="24"/>
                <w:highlight w:val="none"/>
              </w:rPr>
            </w:pPr>
          </w:p>
        </w:tc>
        <w:tc>
          <w:tcPr>
            <w:tcW w:w="2126" w:type="dxa"/>
            <w:vAlign w:val="center"/>
          </w:tcPr>
          <w:p w14:paraId="2A30CAA5">
            <w:pPr>
              <w:shd w:val="clear" w:color="auto" w:fill="FFFFFF"/>
              <w:adjustRightInd w:val="0"/>
              <w:snapToGrid w:val="0"/>
              <w:jc w:val="center"/>
              <w:rPr>
                <w:rFonts w:ascii="宋体" w:hAnsi="宋体" w:cs="宋体"/>
                <w:color w:val="auto"/>
                <w:sz w:val="24"/>
                <w:highlight w:val="none"/>
              </w:rPr>
            </w:pPr>
          </w:p>
        </w:tc>
        <w:tc>
          <w:tcPr>
            <w:tcW w:w="1875" w:type="dxa"/>
            <w:vAlign w:val="center"/>
          </w:tcPr>
          <w:p w14:paraId="2CDAED04">
            <w:pPr>
              <w:shd w:val="clear" w:color="auto" w:fill="FFFFFF"/>
              <w:adjustRightInd w:val="0"/>
              <w:snapToGrid w:val="0"/>
              <w:jc w:val="center"/>
              <w:rPr>
                <w:rFonts w:ascii="宋体" w:hAnsi="宋体" w:cs="宋体"/>
                <w:color w:val="auto"/>
                <w:sz w:val="24"/>
                <w:highlight w:val="none"/>
              </w:rPr>
            </w:pPr>
          </w:p>
        </w:tc>
        <w:tc>
          <w:tcPr>
            <w:tcW w:w="1009" w:type="dxa"/>
            <w:vAlign w:val="center"/>
          </w:tcPr>
          <w:p w14:paraId="65C37A75">
            <w:pPr>
              <w:shd w:val="clear" w:color="auto" w:fill="FFFFFF"/>
              <w:adjustRightInd w:val="0"/>
              <w:snapToGrid w:val="0"/>
              <w:jc w:val="center"/>
              <w:rPr>
                <w:rFonts w:ascii="宋体" w:hAnsi="宋体" w:cs="宋体"/>
                <w:color w:val="auto"/>
                <w:sz w:val="24"/>
                <w:highlight w:val="none"/>
              </w:rPr>
            </w:pPr>
          </w:p>
        </w:tc>
      </w:tr>
    </w:tbl>
    <w:p w14:paraId="386FA0C9">
      <w:pPr>
        <w:shd w:val="clear" w:color="auto" w:fill="FFFFFF"/>
        <w:tabs>
          <w:tab w:val="left" w:pos="1800"/>
          <w:tab w:val="left" w:pos="5580"/>
        </w:tabs>
        <w:spacing w:line="360" w:lineRule="auto"/>
        <w:ind w:firstLine="360" w:firstLineChars="150"/>
        <w:jc w:val="left"/>
        <w:rPr>
          <w:rFonts w:ascii="宋体" w:hAnsi="宋体" w:cs="宋体"/>
          <w:color w:val="auto"/>
          <w:sz w:val="24"/>
          <w:highlight w:val="none"/>
          <w:u w:val="single"/>
        </w:rPr>
      </w:pPr>
    </w:p>
    <w:p w14:paraId="2D7800CF">
      <w:pPr>
        <w:shd w:val="clear" w:color="auto" w:fill="FFFFFF"/>
        <w:tabs>
          <w:tab w:val="left" w:pos="1800"/>
          <w:tab w:val="left" w:pos="5580"/>
        </w:tabs>
        <w:spacing w:line="360" w:lineRule="auto"/>
        <w:ind w:firstLine="360" w:firstLineChars="150"/>
        <w:jc w:val="left"/>
        <w:rPr>
          <w:rFonts w:ascii="宋体" w:hAnsi="宋体" w:cs="宋体"/>
          <w:color w:val="auto"/>
          <w:sz w:val="24"/>
          <w:highlight w:val="none"/>
          <w:u w:val="single"/>
        </w:rPr>
      </w:pPr>
    </w:p>
    <w:p w14:paraId="6FC3CB1B">
      <w:pPr>
        <w:shd w:val="clear" w:color="auto" w:fill="FFFFFF"/>
        <w:tabs>
          <w:tab w:val="left" w:pos="1800"/>
          <w:tab w:val="left" w:pos="5580"/>
        </w:tabs>
        <w:jc w:val="left"/>
        <w:rPr>
          <w:rFonts w:ascii="宋体" w:hAnsi="宋体" w:cs="宋体"/>
          <w:color w:val="auto"/>
          <w:sz w:val="24"/>
          <w:highlight w:val="none"/>
        </w:rPr>
      </w:pPr>
      <w:r>
        <w:rPr>
          <w:rFonts w:hint="eastAsia" w:ascii="宋体" w:hAnsi="宋体" w:cs="宋体"/>
          <w:color w:val="auto"/>
          <w:sz w:val="24"/>
          <w:highlight w:val="none"/>
        </w:rPr>
        <w:t>注：</w:t>
      </w:r>
    </w:p>
    <w:p w14:paraId="4553B6B5">
      <w:pPr>
        <w:shd w:val="clear" w:color="auto" w:fill="FFFFFF"/>
        <w:tabs>
          <w:tab w:val="left" w:pos="1800"/>
          <w:tab w:val="left" w:pos="5580"/>
        </w:tabs>
        <w:jc w:val="left"/>
        <w:rPr>
          <w:rFonts w:ascii="宋体" w:hAnsi="宋体" w:cs="宋体"/>
          <w:color w:val="auto"/>
          <w:sz w:val="24"/>
          <w:highlight w:val="none"/>
        </w:rPr>
      </w:pPr>
      <w:r>
        <w:rPr>
          <w:rFonts w:hint="eastAsia" w:ascii="宋体" w:hAnsi="宋体" w:cs="宋体"/>
          <w:color w:val="auto"/>
          <w:sz w:val="24"/>
          <w:highlight w:val="none"/>
        </w:rPr>
        <w:t>1. 对竞争性磋商文件中的所有商务、技术要求，除本表所列明的所有偏离外，均视作供应商已对之理解和响应。此表中若无任何文字说明，内容为空白的，</w:t>
      </w:r>
      <w:r>
        <w:rPr>
          <w:rFonts w:hint="eastAsia" w:ascii="宋体" w:hAnsi="宋体" w:cs="宋体"/>
          <w:b/>
          <w:color w:val="auto"/>
          <w:sz w:val="24"/>
          <w:highlight w:val="none"/>
        </w:rPr>
        <w:t>响应无效</w:t>
      </w:r>
      <w:r>
        <w:rPr>
          <w:rFonts w:hint="eastAsia" w:ascii="宋体" w:hAnsi="宋体" w:cs="宋体"/>
          <w:color w:val="auto"/>
          <w:sz w:val="24"/>
          <w:highlight w:val="none"/>
        </w:rPr>
        <w:t>。</w:t>
      </w:r>
    </w:p>
    <w:p w14:paraId="379506CF">
      <w:pPr>
        <w:shd w:val="clear" w:color="auto" w:fill="FFFFFF"/>
        <w:tabs>
          <w:tab w:val="left" w:pos="1800"/>
          <w:tab w:val="left" w:pos="5580"/>
        </w:tabs>
        <w:jc w:val="left"/>
        <w:rPr>
          <w:rFonts w:ascii="宋体" w:hAnsi="宋体" w:cs="宋体"/>
          <w:color w:val="auto"/>
          <w:sz w:val="24"/>
          <w:highlight w:val="none"/>
        </w:rPr>
      </w:pPr>
      <w:r>
        <w:rPr>
          <w:rFonts w:hint="eastAsia" w:ascii="宋体" w:hAnsi="宋体" w:cs="宋体"/>
          <w:color w:val="auto"/>
          <w:sz w:val="24"/>
          <w:highlight w:val="none"/>
        </w:rPr>
        <w:t>2.“偏离情况”列应据实填写“无偏离”、“正偏离”或“负偏离”。</w:t>
      </w:r>
    </w:p>
    <w:p w14:paraId="6B3310DB">
      <w:pPr>
        <w:shd w:val="clear" w:color="auto" w:fill="FFFFFF"/>
        <w:tabs>
          <w:tab w:val="left" w:pos="1800"/>
          <w:tab w:val="left" w:pos="5580"/>
        </w:tabs>
        <w:jc w:val="left"/>
        <w:rPr>
          <w:rFonts w:ascii="宋体" w:hAnsi="宋体" w:cs="宋体"/>
          <w:color w:val="auto"/>
          <w:sz w:val="24"/>
          <w:highlight w:val="none"/>
        </w:rPr>
      </w:pPr>
    </w:p>
    <w:p w14:paraId="211AA3B6">
      <w:pPr>
        <w:shd w:val="clear" w:color="auto" w:fill="FFFFFF"/>
        <w:rPr>
          <w:rFonts w:ascii="宋体" w:hAnsi="宋体" w:cs="宋体"/>
          <w:color w:val="auto"/>
          <w:sz w:val="24"/>
          <w:szCs w:val="20"/>
          <w:highlight w:val="none"/>
        </w:rPr>
      </w:pPr>
    </w:p>
    <w:p w14:paraId="1607443A">
      <w:pPr>
        <w:shd w:val="clear" w:color="auto" w:fill="FFFFFF"/>
        <w:autoSpaceDE w:val="0"/>
        <w:autoSpaceDN w:val="0"/>
        <w:adjustRightInd w:val="0"/>
        <w:snapToGrid w:val="0"/>
        <w:spacing w:before="25" w:after="25" w:line="360" w:lineRule="auto"/>
        <w:ind w:right="360"/>
        <w:jc w:val="left"/>
        <w:rPr>
          <w:rFonts w:ascii="宋体" w:hAnsi="宋体" w:cs="宋体"/>
          <w:color w:val="auto"/>
          <w:sz w:val="24"/>
          <w:highlight w:val="none"/>
          <w:lang w:val="zh-CN"/>
        </w:rPr>
      </w:pPr>
      <w:r>
        <w:rPr>
          <w:rFonts w:hint="eastAsia" w:ascii="宋体" w:hAnsi="宋体" w:cs="宋体"/>
          <w:color w:val="auto"/>
          <w:sz w:val="24"/>
          <w:highlight w:val="none"/>
        </w:rPr>
        <w:t>供应商名称（加盖公章）</w:t>
      </w:r>
      <w:r>
        <w:rPr>
          <w:rFonts w:hint="eastAsia" w:ascii="宋体" w:hAnsi="宋体" w:cs="宋体"/>
          <w:color w:val="auto"/>
          <w:sz w:val="24"/>
          <w:highlight w:val="none"/>
          <w:lang w:val="zh-CN"/>
        </w:rPr>
        <w:t>：</w:t>
      </w:r>
      <w:r>
        <w:rPr>
          <w:rFonts w:hint="eastAsia" w:ascii="宋体" w:hAnsi="宋体" w:cs="宋体"/>
          <w:color w:val="auto"/>
          <w:sz w:val="24"/>
          <w:highlight w:val="none"/>
        </w:rPr>
        <w:t>______</w:t>
      </w:r>
    </w:p>
    <w:p w14:paraId="2FD12702">
      <w:pPr>
        <w:shd w:val="clear" w:color="auto" w:fill="FFFFFF"/>
        <w:autoSpaceDE w:val="0"/>
        <w:autoSpaceDN w:val="0"/>
        <w:adjustRightInd w:val="0"/>
        <w:snapToGrid w:val="0"/>
        <w:spacing w:before="25" w:after="25" w:line="360" w:lineRule="auto"/>
        <w:ind w:right="360"/>
        <w:jc w:val="left"/>
        <w:rPr>
          <w:rFonts w:ascii="宋体" w:hAnsi="宋体" w:cs="宋体"/>
          <w:color w:val="auto"/>
          <w:sz w:val="24"/>
          <w:szCs w:val="20"/>
          <w:highlight w:val="none"/>
        </w:rPr>
      </w:pPr>
      <w:r>
        <w:rPr>
          <w:rFonts w:hint="eastAsia" w:ascii="宋体" w:hAnsi="宋体" w:cs="宋体"/>
          <w:color w:val="auto"/>
          <w:sz w:val="24"/>
          <w:szCs w:val="20"/>
          <w:highlight w:val="none"/>
        </w:rPr>
        <w:t xml:space="preserve">日期：____年____月____日 </w:t>
      </w:r>
    </w:p>
    <w:p w14:paraId="05D24B93">
      <w:pPr>
        <w:shd w:val="clear" w:color="auto" w:fill="FFFFFF"/>
        <w:tabs>
          <w:tab w:val="left" w:pos="360"/>
        </w:tabs>
        <w:snapToGrid w:val="0"/>
        <w:spacing w:line="360" w:lineRule="auto"/>
        <w:outlineLvl w:val="1"/>
        <w:rPr>
          <w:rFonts w:ascii="宋体" w:hAnsi="宋体" w:cs="宋体"/>
          <w:color w:val="auto"/>
          <w:sz w:val="24"/>
          <w:szCs w:val="20"/>
          <w:highlight w:val="none"/>
        </w:rPr>
      </w:pPr>
      <w:r>
        <w:rPr>
          <w:rFonts w:hint="eastAsia" w:ascii="宋体" w:hAnsi="宋体" w:cs="宋体"/>
          <w:color w:val="auto"/>
          <w:sz w:val="24"/>
          <w:szCs w:val="20"/>
          <w:highlight w:val="none"/>
        </w:rPr>
        <w:br w:type="page"/>
      </w:r>
      <w:r>
        <w:rPr>
          <w:rFonts w:hint="eastAsia" w:ascii="宋体" w:hAnsi="宋体" w:cs="宋体"/>
          <w:color w:val="auto"/>
          <w:sz w:val="24"/>
          <w:szCs w:val="20"/>
          <w:highlight w:val="none"/>
        </w:rPr>
        <w:t>11 竞争性磋商文件要求提供或供应商认为应附的其他材料</w:t>
      </w:r>
    </w:p>
    <w:p w14:paraId="6FAA03B1">
      <w:pPr>
        <w:shd w:val="clear" w:color="auto" w:fill="FFFFFF"/>
        <w:tabs>
          <w:tab w:val="left" w:pos="360"/>
        </w:tabs>
        <w:snapToGrid w:val="0"/>
        <w:spacing w:line="360" w:lineRule="auto"/>
        <w:outlineLvl w:val="1"/>
        <w:rPr>
          <w:color w:val="auto"/>
          <w:sz w:val="24"/>
          <w:highlight w:val="none"/>
        </w:rPr>
      </w:pPr>
      <w:r>
        <w:rPr>
          <w:rFonts w:hint="eastAsia"/>
          <w:color w:val="auto"/>
          <w:sz w:val="24"/>
          <w:highlight w:val="none"/>
        </w:rPr>
        <w:t>11-1 供应商信息采集表</w:t>
      </w:r>
    </w:p>
    <w:tbl>
      <w:tblPr>
        <w:tblStyle w:val="8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7"/>
      </w:tblGrid>
      <w:tr w14:paraId="44D7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96" w:type="dxa"/>
          </w:tcPr>
          <w:p w14:paraId="685C8D77">
            <w:pPr>
              <w:tabs>
                <w:tab w:val="left" w:pos="360"/>
              </w:tabs>
              <w:snapToGrid w:val="0"/>
              <w:spacing w:line="360" w:lineRule="auto"/>
              <w:ind w:left="5250"/>
              <w:jc w:val="center"/>
              <w:outlineLvl w:val="1"/>
              <w:rPr>
                <w:color w:val="auto"/>
                <w:sz w:val="24"/>
                <w:highlight w:val="none"/>
              </w:rPr>
            </w:pPr>
            <w:r>
              <w:rPr>
                <w:rFonts w:hint="eastAsia" w:ascii="FZSSK--GBK1-0" w:hAnsi="FZSSK--GBK1-0" w:eastAsia="FZSSK--GBK1-0"/>
                <w:color w:val="auto"/>
                <w:sz w:val="24"/>
                <w:highlight w:val="none"/>
              </w:rPr>
              <w:t>供应商名称</w:t>
            </w:r>
          </w:p>
        </w:tc>
        <w:tc>
          <w:tcPr>
            <w:tcW w:w="3096" w:type="dxa"/>
          </w:tcPr>
          <w:p w14:paraId="41AC0B49">
            <w:pPr>
              <w:tabs>
                <w:tab w:val="left" w:pos="360"/>
              </w:tabs>
              <w:snapToGrid w:val="0"/>
              <w:spacing w:line="360" w:lineRule="auto"/>
              <w:ind w:left="5250"/>
              <w:jc w:val="center"/>
              <w:outlineLvl w:val="1"/>
              <w:rPr>
                <w:rFonts w:eastAsia="FZSSK--GBK1-0"/>
                <w:color w:val="auto"/>
                <w:sz w:val="24"/>
                <w:highlight w:val="none"/>
              </w:rPr>
            </w:pPr>
            <w:r>
              <w:rPr>
                <w:rFonts w:hint="eastAsia" w:ascii="FZSSK--GBK1-0" w:hAnsi="FZSSK--GBK1-0" w:eastAsia="FZSSK--GBK1-0"/>
                <w:color w:val="auto"/>
                <w:sz w:val="24"/>
                <w:highlight w:val="none"/>
              </w:rPr>
              <w:t>供应商所属性别</w:t>
            </w:r>
          </w:p>
        </w:tc>
        <w:tc>
          <w:tcPr>
            <w:tcW w:w="3097" w:type="dxa"/>
          </w:tcPr>
          <w:p w14:paraId="0039CF6F">
            <w:pPr>
              <w:tabs>
                <w:tab w:val="left" w:pos="360"/>
              </w:tabs>
              <w:snapToGrid w:val="0"/>
              <w:spacing w:line="360" w:lineRule="auto"/>
              <w:ind w:left="5250"/>
              <w:jc w:val="center"/>
              <w:outlineLvl w:val="1"/>
              <w:rPr>
                <w:color w:val="auto"/>
                <w:sz w:val="24"/>
                <w:highlight w:val="none"/>
              </w:rPr>
            </w:pPr>
            <w:r>
              <w:rPr>
                <w:rFonts w:hint="eastAsia" w:ascii="FZSSK--GBK1-0" w:hAnsi="FZSSK--GBK1-0" w:eastAsia="FZSSK--GBK1-0"/>
                <w:color w:val="auto"/>
                <w:sz w:val="24"/>
                <w:highlight w:val="none"/>
              </w:rPr>
              <w:t>外商投资类型</w:t>
            </w:r>
          </w:p>
        </w:tc>
      </w:tr>
      <w:tr w14:paraId="586D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18C81342">
            <w:pPr>
              <w:tabs>
                <w:tab w:val="left" w:pos="360"/>
              </w:tabs>
              <w:snapToGrid w:val="0"/>
              <w:spacing w:line="360" w:lineRule="auto"/>
              <w:ind w:left="5250"/>
              <w:outlineLvl w:val="1"/>
              <w:rPr>
                <w:color w:val="auto"/>
                <w:sz w:val="24"/>
                <w:highlight w:val="none"/>
              </w:rPr>
            </w:pPr>
          </w:p>
        </w:tc>
        <w:tc>
          <w:tcPr>
            <w:tcW w:w="3096" w:type="dxa"/>
          </w:tcPr>
          <w:p w14:paraId="4E977935">
            <w:pPr>
              <w:tabs>
                <w:tab w:val="left" w:pos="360"/>
              </w:tabs>
              <w:snapToGrid w:val="0"/>
              <w:spacing w:line="360" w:lineRule="auto"/>
              <w:ind w:left="5250"/>
              <w:outlineLvl w:val="1"/>
              <w:rPr>
                <w:color w:val="auto"/>
                <w:sz w:val="24"/>
                <w:highlight w:val="none"/>
              </w:rPr>
            </w:pPr>
          </w:p>
        </w:tc>
        <w:tc>
          <w:tcPr>
            <w:tcW w:w="3097" w:type="dxa"/>
          </w:tcPr>
          <w:p w14:paraId="2411C2DE">
            <w:pPr>
              <w:tabs>
                <w:tab w:val="left" w:pos="360"/>
              </w:tabs>
              <w:snapToGrid w:val="0"/>
              <w:spacing w:line="360" w:lineRule="auto"/>
              <w:ind w:left="5250"/>
              <w:outlineLvl w:val="1"/>
              <w:rPr>
                <w:color w:val="auto"/>
                <w:sz w:val="24"/>
                <w:highlight w:val="none"/>
              </w:rPr>
            </w:pPr>
          </w:p>
        </w:tc>
      </w:tr>
      <w:tr w14:paraId="69F6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7CAB65AB">
            <w:pPr>
              <w:tabs>
                <w:tab w:val="left" w:pos="360"/>
              </w:tabs>
              <w:snapToGrid w:val="0"/>
              <w:spacing w:line="360" w:lineRule="auto"/>
              <w:ind w:left="5250"/>
              <w:outlineLvl w:val="1"/>
              <w:rPr>
                <w:color w:val="auto"/>
                <w:sz w:val="24"/>
                <w:highlight w:val="none"/>
              </w:rPr>
            </w:pPr>
          </w:p>
        </w:tc>
        <w:tc>
          <w:tcPr>
            <w:tcW w:w="3096" w:type="dxa"/>
          </w:tcPr>
          <w:p w14:paraId="56685392">
            <w:pPr>
              <w:tabs>
                <w:tab w:val="left" w:pos="360"/>
              </w:tabs>
              <w:snapToGrid w:val="0"/>
              <w:spacing w:line="360" w:lineRule="auto"/>
              <w:ind w:left="5250"/>
              <w:outlineLvl w:val="1"/>
              <w:rPr>
                <w:color w:val="auto"/>
                <w:sz w:val="24"/>
                <w:highlight w:val="none"/>
              </w:rPr>
            </w:pPr>
          </w:p>
        </w:tc>
        <w:tc>
          <w:tcPr>
            <w:tcW w:w="3097" w:type="dxa"/>
          </w:tcPr>
          <w:p w14:paraId="7B5AEB04">
            <w:pPr>
              <w:tabs>
                <w:tab w:val="left" w:pos="360"/>
              </w:tabs>
              <w:snapToGrid w:val="0"/>
              <w:spacing w:line="360" w:lineRule="auto"/>
              <w:ind w:left="5250"/>
              <w:outlineLvl w:val="1"/>
              <w:rPr>
                <w:color w:val="auto"/>
                <w:sz w:val="24"/>
                <w:highlight w:val="none"/>
              </w:rPr>
            </w:pPr>
          </w:p>
        </w:tc>
      </w:tr>
      <w:tr w14:paraId="770A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96" w:type="dxa"/>
          </w:tcPr>
          <w:p w14:paraId="42607A32">
            <w:pPr>
              <w:tabs>
                <w:tab w:val="left" w:pos="360"/>
              </w:tabs>
              <w:snapToGrid w:val="0"/>
              <w:spacing w:line="360" w:lineRule="auto"/>
              <w:ind w:left="5250"/>
              <w:outlineLvl w:val="1"/>
              <w:rPr>
                <w:color w:val="auto"/>
                <w:sz w:val="24"/>
                <w:highlight w:val="none"/>
              </w:rPr>
            </w:pPr>
          </w:p>
        </w:tc>
        <w:tc>
          <w:tcPr>
            <w:tcW w:w="3096" w:type="dxa"/>
          </w:tcPr>
          <w:p w14:paraId="0A3CA5BC">
            <w:pPr>
              <w:tabs>
                <w:tab w:val="left" w:pos="360"/>
              </w:tabs>
              <w:snapToGrid w:val="0"/>
              <w:spacing w:line="360" w:lineRule="auto"/>
              <w:ind w:left="5250"/>
              <w:outlineLvl w:val="1"/>
              <w:rPr>
                <w:color w:val="auto"/>
                <w:sz w:val="24"/>
                <w:highlight w:val="none"/>
              </w:rPr>
            </w:pPr>
          </w:p>
        </w:tc>
        <w:tc>
          <w:tcPr>
            <w:tcW w:w="3097" w:type="dxa"/>
          </w:tcPr>
          <w:p w14:paraId="53AEE168">
            <w:pPr>
              <w:tabs>
                <w:tab w:val="left" w:pos="360"/>
              </w:tabs>
              <w:snapToGrid w:val="0"/>
              <w:spacing w:line="360" w:lineRule="auto"/>
              <w:ind w:left="5250"/>
              <w:outlineLvl w:val="1"/>
              <w:rPr>
                <w:color w:val="auto"/>
                <w:sz w:val="24"/>
                <w:highlight w:val="none"/>
              </w:rPr>
            </w:pPr>
          </w:p>
        </w:tc>
      </w:tr>
    </w:tbl>
    <w:p w14:paraId="5D027A0F">
      <w:pPr>
        <w:shd w:val="clear" w:color="auto" w:fill="FFFFFF"/>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注：1.供应商如为联合体，则应填写联合体各成员信息。</w:t>
      </w:r>
    </w:p>
    <w:p w14:paraId="43118C8E">
      <w:pPr>
        <w:shd w:val="clear" w:color="auto" w:fill="FFFFFF"/>
        <w:tabs>
          <w:tab w:val="left" w:pos="360"/>
        </w:tabs>
        <w:snapToGrid w:val="0"/>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2.供应商所属性别请填写“男”或“女”，指拥有供应商51%以上绝对所有权的性</w:t>
      </w:r>
    </w:p>
    <w:p w14:paraId="134A0E23">
      <w:pPr>
        <w:shd w:val="clear" w:color="auto" w:fill="FFFFFF"/>
        <w:tabs>
          <w:tab w:val="left" w:pos="360"/>
        </w:tabs>
        <w:snapToGrid w:val="0"/>
        <w:spacing w:line="360" w:lineRule="auto"/>
        <w:outlineLvl w:val="1"/>
        <w:rPr>
          <w:rFonts w:ascii="宋体" w:hAnsi="宋体" w:cs="宋体"/>
          <w:color w:val="auto"/>
          <w:sz w:val="24"/>
          <w:highlight w:val="none"/>
        </w:rPr>
      </w:pPr>
      <w:r>
        <w:rPr>
          <w:rFonts w:hint="eastAsia" w:ascii="宋体" w:hAnsi="宋体" w:cs="宋体"/>
          <w:color w:val="auto"/>
          <w:sz w:val="24"/>
          <w:highlight w:val="none"/>
        </w:rPr>
        <w:t>别；绝对所有权拥有者可以是一个人，也可以是多人合计计算。</w:t>
      </w:r>
    </w:p>
    <w:p w14:paraId="1B0D136F">
      <w:pPr>
        <w:shd w:val="clear" w:color="auto" w:fill="FFFFFF"/>
        <w:tabs>
          <w:tab w:val="left" w:pos="360"/>
        </w:tabs>
        <w:snapToGrid w:val="0"/>
        <w:spacing w:line="360" w:lineRule="auto"/>
        <w:ind w:firstLine="480" w:firstLineChars="200"/>
        <w:outlineLvl w:val="1"/>
        <w:rPr>
          <w:rFonts w:ascii="宋体" w:hAnsi="宋体" w:cs="宋体"/>
          <w:color w:val="auto"/>
          <w:sz w:val="24"/>
          <w:highlight w:val="none"/>
        </w:rPr>
      </w:pPr>
      <w:r>
        <w:rPr>
          <w:rFonts w:hint="eastAsia" w:ascii="宋体" w:hAnsi="宋体" w:cs="宋体"/>
          <w:color w:val="auto"/>
          <w:sz w:val="24"/>
          <w:highlight w:val="none"/>
        </w:rPr>
        <w:t>3.外商投资类型请填写“外商单独投资”、“外商部分投资”或“内资”。</w:t>
      </w:r>
    </w:p>
    <w:p w14:paraId="5FAF3E12">
      <w:pPr>
        <w:widowControl/>
        <w:shd w:val="clear" w:color="auto" w:fill="FFFFFF"/>
        <w:jc w:val="left"/>
        <w:rPr>
          <w:b/>
          <w:color w:val="auto"/>
          <w:sz w:val="36"/>
          <w:szCs w:val="36"/>
          <w:highlight w:val="none"/>
        </w:rPr>
      </w:pPr>
    </w:p>
    <w:p w14:paraId="60ED33F2">
      <w:pPr>
        <w:widowControl/>
        <w:shd w:val="clear" w:color="auto" w:fill="FFFFFF"/>
        <w:jc w:val="left"/>
        <w:rPr>
          <w:b/>
          <w:color w:val="auto"/>
          <w:sz w:val="36"/>
          <w:szCs w:val="36"/>
          <w:highlight w:val="none"/>
        </w:rPr>
      </w:pPr>
      <w:r>
        <w:rPr>
          <w:b/>
          <w:color w:val="auto"/>
          <w:sz w:val="36"/>
          <w:szCs w:val="36"/>
          <w:highlight w:val="none"/>
        </w:rPr>
        <w:br w:type="page"/>
      </w:r>
    </w:p>
    <w:p w14:paraId="06EEAAFA">
      <w:pPr>
        <w:shd w:val="clear" w:color="auto" w:fill="FFFFFF"/>
        <w:tabs>
          <w:tab w:val="left" w:pos="360"/>
        </w:tabs>
        <w:snapToGrid w:val="0"/>
        <w:spacing w:line="360" w:lineRule="auto"/>
        <w:outlineLvl w:val="1"/>
        <w:rPr>
          <w:color w:val="auto"/>
          <w:sz w:val="24"/>
          <w:highlight w:val="none"/>
        </w:rPr>
      </w:pPr>
      <w:r>
        <w:rPr>
          <w:rFonts w:hint="eastAsia"/>
          <w:color w:val="auto"/>
          <w:sz w:val="24"/>
          <w:highlight w:val="none"/>
        </w:rPr>
        <w:t>12</w:t>
      </w:r>
      <w:r>
        <w:rPr>
          <w:color w:val="auto"/>
          <w:sz w:val="24"/>
          <w:highlight w:val="none"/>
        </w:rPr>
        <w:t xml:space="preserve">  最后报价一览表</w:t>
      </w:r>
    </w:p>
    <w:p w14:paraId="0D21E70E">
      <w:pPr>
        <w:widowControl/>
        <w:shd w:val="clear" w:color="auto" w:fill="FFFFFF"/>
        <w:jc w:val="left"/>
        <w:rPr>
          <w:color w:val="auto"/>
          <w:kern w:val="0"/>
          <w:sz w:val="24"/>
          <w:szCs w:val="20"/>
          <w:highlight w:val="none"/>
        </w:rPr>
      </w:pPr>
    </w:p>
    <w:p w14:paraId="68A9BA55">
      <w:pPr>
        <w:shd w:val="clear" w:color="auto" w:fill="FFFFFF"/>
        <w:spacing w:line="360" w:lineRule="exact"/>
        <w:ind w:firstLine="720"/>
        <w:jc w:val="center"/>
        <w:rPr>
          <w:b/>
          <w:color w:val="auto"/>
          <w:sz w:val="36"/>
          <w:szCs w:val="36"/>
          <w:highlight w:val="none"/>
        </w:rPr>
      </w:pPr>
      <w:r>
        <w:rPr>
          <w:rFonts w:hint="eastAsia"/>
          <w:b/>
          <w:color w:val="auto"/>
          <w:sz w:val="36"/>
          <w:szCs w:val="36"/>
          <w:highlight w:val="none"/>
        </w:rPr>
        <w:t>最后报价一览表</w:t>
      </w:r>
    </w:p>
    <w:p w14:paraId="525E3C33">
      <w:pPr>
        <w:shd w:val="clear" w:color="auto" w:fill="FFFFFF"/>
        <w:tabs>
          <w:tab w:val="left" w:pos="1800"/>
          <w:tab w:val="left" w:pos="5580"/>
        </w:tabs>
        <w:spacing w:line="360" w:lineRule="auto"/>
        <w:jc w:val="left"/>
        <w:rPr>
          <w:color w:val="auto"/>
          <w:sz w:val="24"/>
          <w:highlight w:val="none"/>
        </w:rPr>
      </w:pPr>
    </w:p>
    <w:p w14:paraId="04384AE5">
      <w:pPr>
        <w:shd w:val="clear" w:color="auto" w:fill="FFFFFF"/>
        <w:tabs>
          <w:tab w:val="left" w:pos="1800"/>
          <w:tab w:val="left" w:pos="5580"/>
        </w:tabs>
        <w:spacing w:line="360" w:lineRule="auto"/>
        <w:ind w:firstLine="360" w:firstLineChars="150"/>
        <w:jc w:val="left"/>
        <w:rPr>
          <w:color w:val="auto"/>
          <w:sz w:val="24"/>
          <w:highlight w:val="none"/>
        </w:rPr>
      </w:pPr>
      <w:r>
        <w:rPr>
          <w:color w:val="auto"/>
          <w:sz w:val="24"/>
          <w:highlight w:val="none"/>
        </w:rPr>
        <w:t>项目</w:t>
      </w:r>
      <w:r>
        <w:rPr>
          <w:rFonts w:hint="eastAsia"/>
          <w:color w:val="auto"/>
          <w:sz w:val="24"/>
          <w:highlight w:val="none"/>
        </w:rPr>
        <w:t>代理</w:t>
      </w:r>
      <w:r>
        <w:rPr>
          <w:color w:val="auto"/>
          <w:sz w:val="24"/>
          <w:highlight w:val="none"/>
        </w:rPr>
        <w:t>编号：_______________     项目名称：_______________</w:t>
      </w:r>
    </w:p>
    <w:tbl>
      <w:tblPr>
        <w:tblStyle w:val="83"/>
        <w:tblW w:w="8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4"/>
        <w:gridCol w:w="2964"/>
        <w:gridCol w:w="1714"/>
        <w:gridCol w:w="1526"/>
        <w:gridCol w:w="1460"/>
      </w:tblGrid>
      <w:tr w14:paraId="3A25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1144" w:type="dxa"/>
            <w:vMerge w:val="restart"/>
            <w:vAlign w:val="center"/>
          </w:tcPr>
          <w:p w14:paraId="7E9DE8E9">
            <w:pPr>
              <w:shd w:val="clear" w:color="auto" w:fill="FFFFFF"/>
              <w:tabs>
                <w:tab w:val="left" w:pos="5580"/>
              </w:tabs>
              <w:jc w:val="center"/>
              <w:rPr>
                <w:b/>
                <w:color w:val="auto"/>
                <w:sz w:val="24"/>
                <w:highlight w:val="none"/>
              </w:rPr>
            </w:pPr>
            <w:r>
              <w:rPr>
                <w:b/>
                <w:color w:val="auto"/>
                <w:sz w:val="24"/>
                <w:highlight w:val="none"/>
              </w:rPr>
              <w:t>序号</w:t>
            </w:r>
          </w:p>
        </w:tc>
        <w:tc>
          <w:tcPr>
            <w:tcW w:w="2964" w:type="dxa"/>
            <w:vMerge w:val="restart"/>
            <w:vAlign w:val="center"/>
          </w:tcPr>
          <w:p w14:paraId="0AFD3BEB">
            <w:pPr>
              <w:shd w:val="clear" w:color="auto" w:fill="FFFFFF"/>
              <w:tabs>
                <w:tab w:val="left" w:pos="5580"/>
              </w:tabs>
              <w:jc w:val="center"/>
              <w:rPr>
                <w:b/>
                <w:color w:val="auto"/>
                <w:sz w:val="24"/>
                <w:highlight w:val="none"/>
              </w:rPr>
            </w:pPr>
            <w:r>
              <w:rPr>
                <w:b/>
                <w:color w:val="auto"/>
                <w:sz w:val="24"/>
                <w:highlight w:val="none"/>
              </w:rPr>
              <w:t>供应商名称</w:t>
            </w:r>
          </w:p>
        </w:tc>
        <w:tc>
          <w:tcPr>
            <w:tcW w:w="3240" w:type="dxa"/>
            <w:gridSpan w:val="2"/>
            <w:vAlign w:val="center"/>
          </w:tcPr>
          <w:p w14:paraId="2FF050DB">
            <w:pPr>
              <w:shd w:val="clear" w:color="auto" w:fill="FFFFFF"/>
              <w:tabs>
                <w:tab w:val="left" w:pos="5580"/>
              </w:tabs>
              <w:jc w:val="center"/>
              <w:rPr>
                <w:b/>
                <w:color w:val="auto"/>
                <w:sz w:val="24"/>
                <w:highlight w:val="none"/>
              </w:rPr>
            </w:pPr>
            <w:r>
              <w:rPr>
                <w:b/>
                <w:color w:val="auto"/>
                <w:sz w:val="24"/>
                <w:highlight w:val="none"/>
              </w:rPr>
              <w:t>最后报价</w:t>
            </w:r>
          </w:p>
        </w:tc>
        <w:tc>
          <w:tcPr>
            <w:tcW w:w="1460" w:type="dxa"/>
            <w:vMerge w:val="restart"/>
            <w:vAlign w:val="center"/>
          </w:tcPr>
          <w:p w14:paraId="315ABB06">
            <w:pPr>
              <w:shd w:val="clear" w:color="auto" w:fill="FFFFFF"/>
              <w:tabs>
                <w:tab w:val="left" w:pos="5580"/>
              </w:tabs>
              <w:jc w:val="center"/>
              <w:rPr>
                <w:b/>
                <w:color w:val="auto"/>
                <w:sz w:val="24"/>
                <w:highlight w:val="none"/>
              </w:rPr>
            </w:pPr>
            <w:r>
              <w:rPr>
                <w:b/>
                <w:color w:val="auto"/>
                <w:sz w:val="24"/>
                <w:highlight w:val="none"/>
              </w:rPr>
              <w:t>其他</w:t>
            </w:r>
          </w:p>
          <w:p w14:paraId="00C5AA61">
            <w:pPr>
              <w:shd w:val="clear" w:color="auto" w:fill="FFFFFF"/>
              <w:tabs>
                <w:tab w:val="left" w:pos="5580"/>
              </w:tabs>
              <w:jc w:val="center"/>
              <w:rPr>
                <w:b/>
                <w:color w:val="auto"/>
                <w:sz w:val="24"/>
                <w:highlight w:val="none"/>
              </w:rPr>
            </w:pPr>
            <w:r>
              <w:rPr>
                <w:b/>
                <w:color w:val="auto"/>
                <w:sz w:val="24"/>
                <w:highlight w:val="none"/>
              </w:rPr>
              <w:t>声明</w:t>
            </w:r>
          </w:p>
        </w:tc>
      </w:tr>
      <w:tr w14:paraId="5F8B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1144" w:type="dxa"/>
            <w:vMerge w:val="continue"/>
            <w:vAlign w:val="center"/>
          </w:tcPr>
          <w:p w14:paraId="5BEF0394">
            <w:pPr>
              <w:shd w:val="clear" w:color="auto" w:fill="FFFFFF"/>
              <w:tabs>
                <w:tab w:val="left" w:pos="5580"/>
              </w:tabs>
              <w:jc w:val="center"/>
              <w:rPr>
                <w:color w:val="auto"/>
                <w:sz w:val="24"/>
                <w:highlight w:val="none"/>
              </w:rPr>
            </w:pPr>
          </w:p>
        </w:tc>
        <w:tc>
          <w:tcPr>
            <w:tcW w:w="2964" w:type="dxa"/>
            <w:vMerge w:val="continue"/>
            <w:vAlign w:val="center"/>
          </w:tcPr>
          <w:p w14:paraId="7B692D96">
            <w:pPr>
              <w:shd w:val="clear" w:color="auto" w:fill="FFFFFF"/>
              <w:tabs>
                <w:tab w:val="left" w:pos="5580"/>
              </w:tabs>
              <w:jc w:val="center"/>
              <w:rPr>
                <w:color w:val="auto"/>
                <w:sz w:val="24"/>
                <w:highlight w:val="none"/>
              </w:rPr>
            </w:pPr>
          </w:p>
        </w:tc>
        <w:tc>
          <w:tcPr>
            <w:tcW w:w="1714" w:type="dxa"/>
            <w:vAlign w:val="center"/>
          </w:tcPr>
          <w:p w14:paraId="0D06D81E">
            <w:pPr>
              <w:shd w:val="clear" w:color="auto" w:fill="FFFFFF"/>
              <w:tabs>
                <w:tab w:val="left" w:pos="5580"/>
              </w:tabs>
              <w:jc w:val="center"/>
              <w:rPr>
                <w:b/>
                <w:color w:val="auto"/>
                <w:sz w:val="24"/>
                <w:highlight w:val="none"/>
              </w:rPr>
            </w:pPr>
            <w:r>
              <w:rPr>
                <w:b/>
                <w:color w:val="auto"/>
                <w:sz w:val="24"/>
                <w:highlight w:val="none"/>
              </w:rPr>
              <w:t>大写</w:t>
            </w:r>
          </w:p>
        </w:tc>
        <w:tc>
          <w:tcPr>
            <w:tcW w:w="1526" w:type="dxa"/>
            <w:vAlign w:val="center"/>
          </w:tcPr>
          <w:p w14:paraId="5A9DBDDB">
            <w:pPr>
              <w:shd w:val="clear" w:color="auto" w:fill="FFFFFF"/>
              <w:tabs>
                <w:tab w:val="left" w:pos="5580"/>
              </w:tabs>
              <w:jc w:val="center"/>
              <w:rPr>
                <w:b/>
                <w:color w:val="auto"/>
                <w:sz w:val="24"/>
                <w:highlight w:val="none"/>
              </w:rPr>
            </w:pPr>
            <w:r>
              <w:rPr>
                <w:b/>
                <w:color w:val="auto"/>
                <w:sz w:val="24"/>
                <w:highlight w:val="none"/>
              </w:rPr>
              <w:t>小写</w:t>
            </w:r>
          </w:p>
        </w:tc>
        <w:tc>
          <w:tcPr>
            <w:tcW w:w="1460" w:type="dxa"/>
            <w:vMerge w:val="continue"/>
            <w:vAlign w:val="center"/>
          </w:tcPr>
          <w:p w14:paraId="708954EB">
            <w:pPr>
              <w:shd w:val="clear" w:color="auto" w:fill="FFFFFF"/>
              <w:tabs>
                <w:tab w:val="left" w:pos="5580"/>
              </w:tabs>
              <w:ind w:firstLine="482"/>
              <w:jc w:val="center"/>
              <w:rPr>
                <w:b/>
                <w:color w:val="auto"/>
                <w:sz w:val="24"/>
                <w:highlight w:val="none"/>
              </w:rPr>
            </w:pPr>
          </w:p>
        </w:tc>
      </w:tr>
      <w:tr w14:paraId="5513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1144" w:type="dxa"/>
            <w:vAlign w:val="center"/>
          </w:tcPr>
          <w:p w14:paraId="0EFE0446">
            <w:pPr>
              <w:shd w:val="clear" w:color="auto" w:fill="FFFFFF"/>
              <w:tabs>
                <w:tab w:val="left" w:pos="5580"/>
              </w:tabs>
              <w:jc w:val="center"/>
              <w:rPr>
                <w:color w:val="auto"/>
                <w:sz w:val="24"/>
                <w:highlight w:val="none"/>
              </w:rPr>
            </w:pPr>
          </w:p>
        </w:tc>
        <w:tc>
          <w:tcPr>
            <w:tcW w:w="2964" w:type="dxa"/>
            <w:vAlign w:val="center"/>
          </w:tcPr>
          <w:p w14:paraId="41F6A2E2">
            <w:pPr>
              <w:shd w:val="clear" w:color="auto" w:fill="FFFFFF"/>
              <w:tabs>
                <w:tab w:val="left" w:pos="5580"/>
              </w:tabs>
              <w:jc w:val="center"/>
              <w:rPr>
                <w:color w:val="auto"/>
                <w:sz w:val="24"/>
                <w:highlight w:val="none"/>
              </w:rPr>
            </w:pPr>
          </w:p>
        </w:tc>
        <w:tc>
          <w:tcPr>
            <w:tcW w:w="1714" w:type="dxa"/>
            <w:vAlign w:val="center"/>
          </w:tcPr>
          <w:p w14:paraId="2DD38D72">
            <w:pPr>
              <w:shd w:val="clear" w:color="auto" w:fill="FFFFFF"/>
              <w:tabs>
                <w:tab w:val="left" w:pos="5580"/>
              </w:tabs>
              <w:jc w:val="center"/>
              <w:rPr>
                <w:color w:val="auto"/>
                <w:sz w:val="24"/>
                <w:highlight w:val="none"/>
              </w:rPr>
            </w:pPr>
          </w:p>
        </w:tc>
        <w:tc>
          <w:tcPr>
            <w:tcW w:w="1526" w:type="dxa"/>
            <w:vAlign w:val="center"/>
          </w:tcPr>
          <w:p w14:paraId="27E623FC">
            <w:pPr>
              <w:shd w:val="clear" w:color="auto" w:fill="FFFFFF"/>
              <w:tabs>
                <w:tab w:val="left" w:pos="5580"/>
              </w:tabs>
              <w:jc w:val="center"/>
              <w:rPr>
                <w:color w:val="auto"/>
                <w:sz w:val="24"/>
                <w:highlight w:val="none"/>
              </w:rPr>
            </w:pPr>
          </w:p>
        </w:tc>
        <w:tc>
          <w:tcPr>
            <w:tcW w:w="1460" w:type="dxa"/>
            <w:vAlign w:val="center"/>
          </w:tcPr>
          <w:p w14:paraId="42FF3EA8">
            <w:pPr>
              <w:shd w:val="clear" w:color="auto" w:fill="FFFFFF"/>
              <w:tabs>
                <w:tab w:val="left" w:pos="5580"/>
              </w:tabs>
              <w:jc w:val="center"/>
              <w:rPr>
                <w:color w:val="auto"/>
                <w:sz w:val="24"/>
                <w:highlight w:val="none"/>
              </w:rPr>
            </w:pPr>
          </w:p>
        </w:tc>
      </w:tr>
    </w:tbl>
    <w:p w14:paraId="6AB3F14F">
      <w:pPr>
        <w:shd w:val="clear" w:color="auto" w:fill="FFFFFF"/>
        <w:autoSpaceDE w:val="0"/>
        <w:autoSpaceDN w:val="0"/>
        <w:adjustRightInd w:val="0"/>
        <w:jc w:val="left"/>
        <w:rPr>
          <w:color w:val="auto"/>
          <w:kern w:val="0"/>
          <w:sz w:val="24"/>
          <w:highlight w:val="none"/>
        </w:rPr>
      </w:pPr>
    </w:p>
    <w:p w14:paraId="143D5EBC">
      <w:pPr>
        <w:shd w:val="clear" w:color="auto" w:fill="FFFFFF"/>
        <w:autoSpaceDE w:val="0"/>
        <w:autoSpaceDN w:val="0"/>
        <w:adjustRightInd w:val="0"/>
        <w:snapToGrid w:val="0"/>
        <w:spacing w:before="25" w:after="25" w:line="360" w:lineRule="auto"/>
        <w:rPr>
          <w:color w:val="auto"/>
          <w:kern w:val="0"/>
          <w:sz w:val="24"/>
          <w:highlight w:val="none"/>
        </w:rPr>
      </w:pPr>
      <w:r>
        <w:rPr>
          <w:color w:val="auto"/>
          <w:kern w:val="0"/>
          <w:sz w:val="24"/>
          <w:highlight w:val="none"/>
        </w:rPr>
        <w:t>注：</w:t>
      </w:r>
      <w:r>
        <w:rPr>
          <w:rFonts w:hint="eastAsia"/>
          <w:color w:val="auto"/>
          <w:kern w:val="0"/>
          <w:sz w:val="24"/>
          <w:highlight w:val="none"/>
        </w:rPr>
        <w:t xml:space="preserve">  1.此表中 ，每包的最后报价应和《最后分项报价表》 中的总价相一致。 </w:t>
      </w:r>
    </w:p>
    <w:p w14:paraId="11680F84">
      <w:pPr>
        <w:shd w:val="clear" w:color="auto" w:fill="FFFFFF"/>
        <w:autoSpaceDE w:val="0"/>
        <w:autoSpaceDN w:val="0"/>
        <w:adjustRightInd w:val="0"/>
        <w:snapToGrid w:val="0"/>
        <w:spacing w:before="25" w:after="25" w:line="360" w:lineRule="auto"/>
        <w:ind w:firstLine="720" w:firstLineChars="300"/>
        <w:rPr>
          <w:color w:val="auto"/>
          <w:kern w:val="0"/>
          <w:sz w:val="24"/>
          <w:highlight w:val="none"/>
        </w:rPr>
      </w:pPr>
      <w:r>
        <w:rPr>
          <w:rFonts w:hint="eastAsia"/>
          <w:color w:val="auto"/>
          <w:kern w:val="0"/>
          <w:sz w:val="24"/>
          <w:highlight w:val="none"/>
        </w:rPr>
        <w:t>2.本表必须按包分别填写。</w:t>
      </w:r>
    </w:p>
    <w:p w14:paraId="6027FDCA">
      <w:pPr>
        <w:shd w:val="clear" w:color="auto" w:fill="FFFFFF"/>
        <w:autoSpaceDE w:val="0"/>
        <w:autoSpaceDN w:val="0"/>
        <w:adjustRightInd w:val="0"/>
        <w:snapToGrid w:val="0"/>
        <w:spacing w:before="25" w:after="25" w:line="360" w:lineRule="auto"/>
        <w:ind w:firstLine="720" w:firstLineChars="300"/>
        <w:rPr>
          <w:color w:val="auto"/>
          <w:kern w:val="0"/>
          <w:sz w:val="24"/>
          <w:highlight w:val="none"/>
        </w:rPr>
      </w:pPr>
      <w:r>
        <w:rPr>
          <w:rFonts w:hint="eastAsia"/>
          <w:color w:val="auto"/>
          <w:kern w:val="0"/>
          <w:sz w:val="24"/>
          <w:highlight w:val="none"/>
        </w:rPr>
        <w:t>3.此表无需在响应文件中提交，磋商后供应商按磋商小组要求提交。</w:t>
      </w:r>
    </w:p>
    <w:p w14:paraId="7940091E">
      <w:pPr>
        <w:shd w:val="clear" w:color="auto" w:fill="FFFFFF"/>
        <w:autoSpaceDE w:val="0"/>
        <w:autoSpaceDN w:val="0"/>
        <w:adjustRightInd w:val="0"/>
        <w:snapToGrid w:val="0"/>
        <w:spacing w:before="25" w:after="25" w:line="360" w:lineRule="auto"/>
        <w:rPr>
          <w:color w:val="auto"/>
          <w:sz w:val="24"/>
          <w:highlight w:val="none"/>
        </w:rPr>
      </w:pPr>
    </w:p>
    <w:p w14:paraId="28AAC2D4">
      <w:pPr>
        <w:shd w:val="clear" w:color="auto" w:fill="FFFFFF"/>
        <w:autoSpaceDE w:val="0"/>
        <w:autoSpaceDN w:val="0"/>
        <w:adjustRightInd w:val="0"/>
        <w:snapToGrid w:val="0"/>
        <w:spacing w:before="25" w:after="25" w:line="360" w:lineRule="auto"/>
        <w:rPr>
          <w:color w:val="auto"/>
          <w:sz w:val="24"/>
          <w:highlight w:val="none"/>
        </w:rPr>
      </w:pPr>
    </w:p>
    <w:p w14:paraId="3A010D77">
      <w:pPr>
        <w:shd w:val="clear" w:color="auto" w:fill="FFFFFF"/>
        <w:autoSpaceDE w:val="0"/>
        <w:autoSpaceDN w:val="0"/>
        <w:adjustRightInd w:val="0"/>
        <w:snapToGrid w:val="0"/>
        <w:spacing w:before="25" w:after="25" w:line="360" w:lineRule="auto"/>
        <w:rPr>
          <w:color w:val="auto"/>
          <w:sz w:val="24"/>
          <w:highlight w:val="none"/>
          <w:lang w:val="zh-CN"/>
        </w:rPr>
      </w:pPr>
      <w:r>
        <w:rPr>
          <w:color w:val="auto"/>
          <w:sz w:val="24"/>
          <w:highlight w:val="none"/>
        </w:rPr>
        <w:t>供应商授权代表签字（或加盖供应商公章）</w:t>
      </w:r>
      <w:r>
        <w:rPr>
          <w:color w:val="auto"/>
          <w:sz w:val="24"/>
          <w:highlight w:val="none"/>
          <w:lang w:val="zh-CN"/>
        </w:rPr>
        <w:t xml:space="preserve">：___________ </w:t>
      </w:r>
    </w:p>
    <w:p w14:paraId="556E6EE3">
      <w:pPr>
        <w:widowControl/>
        <w:shd w:val="clear" w:color="auto" w:fill="FFFFFF"/>
        <w:jc w:val="left"/>
        <w:rPr>
          <w:color w:val="auto"/>
          <w:sz w:val="24"/>
          <w:szCs w:val="20"/>
          <w:highlight w:val="none"/>
        </w:rPr>
      </w:pPr>
      <w:r>
        <w:rPr>
          <w:color w:val="auto"/>
          <w:sz w:val="24"/>
          <w:szCs w:val="20"/>
          <w:highlight w:val="none"/>
        </w:rPr>
        <w:t xml:space="preserve">日期：____年____月____日   </w:t>
      </w:r>
    </w:p>
    <w:p w14:paraId="08A0E072">
      <w:pPr>
        <w:widowControl/>
        <w:shd w:val="clear" w:color="auto" w:fill="FFFFFF"/>
        <w:jc w:val="left"/>
        <w:rPr>
          <w:color w:val="auto"/>
          <w:sz w:val="24"/>
          <w:szCs w:val="20"/>
          <w:highlight w:val="none"/>
        </w:rPr>
      </w:pPr>
      <w:r>
        <w:rPr>
          <w:color w:val="auto"/>
          <w:sz w:val="24"/>
          <w:szCs w:val="20"/>
          <w:highlight w:val="none"/>
        </w:rPr>
        <w:br w:type="page"/>
      </w:r>
    </w:p>
    <w:p w14:paraId="1ECF310F">
      <w:pPr>
        <w:shd w:val="clear" w:color="auto" w:fill="FFFFFF"/>
        <w:tabs>
          <w:tab w:val="left" w:pos="360"/>
        </w:tabs>
        <w:snapToGrid w:val="0"/>
        <w:spacing w:line="360" w:lineRule="auto"/>
        <w:outlineLvl w:val="1"/>
        <w:rPr>
          <w:color w:val="auto"/>
          <w:sz w:val="24"/>
          <w:highlight w:val="none"/>
        </w:rPr>
      </w:pPr>
      <w:r>
        <w:rPr>
          <w:rFonts w:hint="eastAsia"/>
          <w:color w:val="auto"/>
          <w:sz w:val="24"/>
          <w:highlight w:val="none"/>
        </w:rPr>
        <w:t>12</w:t>
      </w:r>
      <w:r>
        <w:rPr>
          <w:color w:val="auto"/>
          <w:sz w:val="24"/>
          <w:highlight w:val="none"/>
        </w:rPr>
        <w:t xml:space="preserve">  最后分项报价表</w:t>
      </w:r>
      <w:r>
        <w:rPr>
          <w:rFonts w:hint="eastAsia"/>
          <w:color w:val="auto"/>
          <w:sz w:val="24"/>
          <w:highlight w:val="none"/>
        </w:rPr>
        <w:t>（实质性格式，磋商后提交）</w:t>
      </w:r>
    </w:p>
    <w:p w14:paraId="0D99D668">
      <w:pPr>
        <w:shd w:val="clear" w:color="auto" w:fill="FFFFFF"/>
        <w:spacing w:line="360" w:lineRule="exact"/>
        <w:jc w:val="center"/>
        <w:rPr>
          <w:color w:val="auto"/>
          <w:sz w:val="36"/>
          <w:szCs w:val="36"/>
          <w:highlight w:val="none"/>
        </w:rPr>
      </w:pPr>
      <w:r>
        <w:rPr>
          <w:color w:val="auto"/>
          <w:sz w:val="36"/>
          <w:szCs w:val="36"/>
          <w:highlight w:val="none"/>
        </w:rPr>
        <w:t>最后分项报价表</w:t>
      </w:r>
    </w:p>
    <w:p w14:paraId="61C311F8">
      <w:pPr>
        <w:shd w:val="clear" w:color="auto" w:fill="FFFFFF"/>
        <w:spacing w:line="260" w:lineRule="exact"/>
        <w:jc w:val="center"/>
        <w:rPr>
          <w:color w:val="auto"/>
          <w:sz w:val="36"/>
          <w:szCs w:val="36"/>
          <w:highlight w:val="none"/>
        </w:rPr>
      </w:pPr>
    </w:p>
    <w:p w14:paraId="13954E28">
      <w:pPr>
        <w:shd w:val="clear" w:color="auto" w:fill="FFFFFF"/>
        <w:tabs>
          <w:tab w:val="left" w:pos="1800"/>
          <w:tab w:val="left" w:pos="5580"/>
        </w:tabs>
        <w:rPr>
          <w:color w:val="auto"/>
          <w:sz w:val="24"/>
          <w:highlight w:val="none"/>
        </w:rPr>
      </w:pPr>
    </w:p>
    <w:p w14:paraId="61E4200F">
      <w:pPr>
        <w:shd w:val="clear" w:color="auto" w:fill="FFFFFF"/>
        <w:tabs>
          <w:tab w:val="left" w:pos="1800"/>
          <w:tab w:val="left" w:pos="5580"/>
        </w:tabs>
        <w:rPr>
          <w:color w:val="auto"/>
          <w:sz w:val="24"/>
          <w:highlight w:val="none"/>
        </w:rPr>
      </w:pPr>
      <w:r>
        <w:rPr>
          <w:color w:val="auto"/>
          <w:sz w:val="24"/>
          <w:highlight w:val="none"/>
        </w:rPr>
        <w:t>项目</w:t>
      </w:r>
      <w:r>
        <w:rPr>
          <w:rFonts w:hint="eastAsia"/>
          <w:color w:val="auto"/>
          <w:sz w:val="24"/>
          <w:highlight w:val="none"/>
        </w:rPr>
        <w:t>代理</w:t>
      </w:r>
      <w:r>
        <w:rPr>
          <w:color w:val="auto"/>
          <w:sz w:val="24"/>
          <w:highlight w:val="none"/>
        </w:rPr>
        <w:t xml:space="preserve">编号：_________ </w:t>
      </w:r>
      <w:r>
        <w:rPr>
          <w:rFonts w:hint="eastAsia"/>
          <w:color w:val="auto"/>
          <w:sz w:val="24"/>
          <w:highlight w:val="none"/>
        </w:rPr>
        <w:t xml:space="preserve">    </w:t>
      </w:r>
      <w:r>
        <w:rPr>
          <w:color w:val="auto"/>
          <w:sz w:val="24"/>
          <w:highlight w:val="none"/>
        </w:rPr>
        <w:t>项目名称：_________报价单位：人民币元</w:t>
      </w:r>
    </w:p>
    <w:p w14:paraId="07AEBCE3">
      <w:pPr>
        <w:shd w:val="clear" w:color="auto" w:fill="FFFFFF"/>
        <w:tabs>
          <w:tab w:val="left" w:pos="1800"/>
          <w:tab w:val="left" w:pos="5580"/>
        </w:tabs>
        <w:rPr>
          <w:color w:val="auto"/>
          <w:sz w:val="24"/>
          <w:highlight w:val="none"/>
        </w:rPr>
      </w:pPr>
    </w:p>
    <w:tbl>
      <w:tblPr>
        <w:tblStyle w:val="83"/>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5330"/>
        <w:gridCol w:w="1562"/>
        <w:gridCol w:w="1063"/>
      </w:tblGrid>
      <w:tr w14:paraId="17A8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703" w:type="dxa"/>
            <w:vAlign w:val="center"/>
          </w:tcPr>
          <w:p w14:paraId="55911759">
            <w:pPr>
              <w:shd w:val="clear" w:color="auto" w:fill="FFFFFF"/>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5330" w:type="dxa"/>
            <w:vAlign w:val="center"/>
          </w:tcPr>
          <w:p w14:paraId="3A3984BA">
            <w:pPr>
              <w:shd w:val="clear" w:color="auto" w:fill="FFFFFF"/>
              <w:adjustRightInd w:val="0"/>
              <w:snapToGrid w:val="0"/>
              <w:jc w:val="left"/>
              <w:rPr>
                <w:rFonts w:ascii="宋体" w:hAnsi="宋体" w:cs="宋体"/>
                <w:bCs/>
                <w:color w:val="auto"/>
                <w:sz w:val="24"/>
                <w:highlight w:val="none"/>
              </w:rPr>
            </w:pPr>
            <w:r>
              <w:rPr>
                <w:rFonts w:hint="eastAsia" w:ascii="宋体" w:hAnsi="宋体" w:cs="宋体"/>
                <w:bCs/>
                <w:color w:val="auto"/>
                <w:sz w:val="24"/>
                <w:highlight w:val="none"/>
              </w:rPr>
              <w:t>最后报价计算过程或说明（可以填写按第一次报价下浮/上浮比例，也可以填写相对第一次报价某部分价格变化情况）</w:t>
            </w:r>
          </w:p>
        </w:tc>
        <w:tc>
          <w:tcPr>
            <w:tcW w:w="1562" w:type="dxa"/>
            <w:vAlign w:val="center"/>
          </w:tcPr>
          <w:p w14:paraId="4BA5B3C7">
            <w:pPr>
              <w:shd w:val="clear" w:color="auto" w:fill="FFFFFF"/>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总价（元）</w:t>
            </w:r>
          </w:p>
        </w:tc>
        <w:tc>
          <w:tcPr>
            <w:tcW w:w="1063" w:type="dxa"/>
            <w:vAlign w:val="center"/>
          </w:tcPr>
          <w:p w14:paraId="2EEEBBD3">
            <w:pPr>
              <w:shd w:val="clear" w:color="auto" w:fill="FFFFFF"/>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备注</w:t>
            </w:r>
          </w:p>
        </w:tc>
      </w:tr>
      <w:tr w14:paraId="20C2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703" w:type="dxa"/>
            <w:vAlign w:val="center"/>
          </w:tcPr>
          <w:p w14:paraId="31C547E3">
            <w:pPr>
              <w:shd w:val="clear" w:color="auto" w:fill="FFFFFF"/>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5330" w:type="dxa"/>
            <w:vAlign w:val="center"/>
          </w:tcPr>
          <w:p w14:paraId="7863A2C8">
            <w:pPr>
              <w:shd w:val="clear" w:color="auto" w:fill="FFFFFF"/>
              <w:adjustRightInd w:val="0"/>
              <w:snapToGrid w:val="0"/>
              <w:jc w:val="left"/>
              <w:rPr>
                <w:rFonts w:ascii="宋体" w:hAnsi="宋体" w:cs="宋体"/>
                <w:bCs/>
                <w:color w:val="auto"/>
                <w:sz w:val="24"/>
                <w:highlight w:val="none"/>
              </w:rPr>
            </w:pPr>
          </w:p>
        </w:tc>
        <w:tc>
          <w:tcPr>
            <w:tcW w:w="1562" w:type="dxa"/>
            <w:vAlign w:val="center"/>
          </w:tcPr>
          <w:p w14:paraId="2168D243">
            <w:pPr>
              <w:shd w:val="clear" w:color="auto" w:fill="FFFFFF"/>
              <w:adjustRightInd w:val="0"/>
              <w:snapToGrid w:val="0"/>
              <w:jc w:val="left"/>
              <w:rPr>
                <w:rFonts w:ascii="宋体" w:hAnsi="宋体" w:cs="宋体"/>
                <w:bCs/>
                <w:color w:val="auto"/>
                <w:sz w:val="24"/>
                <w:highlight w:val="none"/>
              </w:rPr>
            </w:pPr>
          </w:p>
        </w:tc>
        <w:tc>
          <w:tcPr>
            <w:tcW w:w="1063" w:type="dxa"/>
            <w:vAlign w:val="center"/>
          </w:tcPr>
          <w:p w14:paraId="4D5714B4">
            <w:pPr>
              <w:shd w:val="clear" w:color="auto" w:fill="FFFFFF"/>
              <w:adjustRightInd w:val="0"/>
              <w:snapToGrid w:val="0"/>
              <w:jc w:val="left"/>
              <w:rPr>
                <w:rFonts w:ascii="宋体" w:hAnsi="宋体" w:cs="宋体"/>
                <w:bCs/>
                <w:color w:val="auto"/>
                <w:sz w:val="24"/>
                <w:highlight w:val="none"/>
              </w:rPr>
            </w:pPr>
          </w:p>
        </w:tc>
      </w:tr>
      <w:tr w14:paraId="666E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33" w:type="dxa"/>
            <w:gridSpan w:val="2"/>
            <w:vAlign w:val="center"/>
          </w:tcPr>
          <w:p w14:paraId="512D222A">
            <w:pPr>
              <w:shd w:val="clear" w:color="auto" w:fill="FFFFFF"/>
              <w:adjustRightInd w:val="0"/>
              <w:snapToGrid w:val="0"/>
              <w:jc w:val="right"/>
              <w:rPr>
                <w:color w:val="auto"/>
                <w:sz w:val="24"/>
                <w:highlight w:val="none"/>
              </w:rPr>
            </w:pPr>
            <w:r>
              <w:rPr>
                <w:rFonts w:hint="eastAsia"/>
                <w:color w:val="auto"/>
                <w:sz w:val="24"/>
                <w:highlight w:val="none"/>
              </w:rPr>
              <w:t>合计</w:t>
            </w:r>
            <w:r>
              <w:rPr>
                <w:color w:val="auto"/>
                <w:sz w:val="24"/>
                <w:highlight w:val="none"/>
              </w:rPr>
              <w:t>（元）</w:t>
            </w:r>
          </w:p>
        </w:tc>
        <w:tc>
          <w:tcPr>
            <w:tcW w:w="1562" w:type="dxa"/>
            <w:vAlign w:val="center"/>
          </w:tcPr>
          <w:p w14:paraId="4B848D8F">
            <w:pPr>
              <w:shd w:val="clear" w:color="auto" w:fill="FFFFFF"/>
              <w:adjustRightInd w:val="0"/>
              <w:snapToGrid w:val="0"/>
              <w:jc w:val="left"/>
              <w:rPr>
                <w:color w:val="auto"/>
                <w:sz w:val="24"/>
                <w:highlight w:val="none"/>
              </w:rPr>
            </w:pPr>
          </w:p>
        </w:tc>
        <w:tc>
          <w:tcPr>
            <w:tcW w:w="1063" w:type="dxa"/>
            <w:vAlign w:val="center"/>
          </w:tcPr>
          <w:p w14:paraId="37377ACB">
            <w:pPr>
              <w:shd w:val="clear" w:color="auto" w:fill="FFFFFF"/>
              <w:adjustRightInd w:val="0"/>
              <w:snapToGrid w:val="0"/>
              <w:jc w:val="left"/>
              <w:rPr>
                <w:color w:val="auto"/>
                <w:sz w:val="24"/>
                <w:highlight w:val="none"/>
              </w:rPr>
            </w:pPr>
          </w:p>
        </w:tc>
      </w:tr>
    </w:tbl>
    <w:p w14:paraId="3D32B639">
      <w:pPr>
        <w:widowControl/>
        <w:shd w:val="clear" w:color="auto" w:fill="FFFFFF"/>
        <w:jc w:val="left"/>
        <w:rPr>
          <w:rFonts w:ascii="宋体" w:hAnsi="宋体" w:cs="宋体"/>
          <w:b/>
          <w:color w:val="auto"/>
          <w:sz w:val="36"/>
          <w:szCs w:val="36"/>
          <w:highlight w:val="none"/>
        </w:rPr>
      </w:pPr>
    </w:p>
    <w:p w14:paraId="5D857F53">
      <w:pPr>
        <w:widowControl/>
        <w:shd w:val="clear" w:color="auto" w:fill="FFFFFF"/>
        <w:jc w:val="left"/>
        <w:rPr>
          <w:rFonts w:ascii="宋体" w:hAnsi="宋体" w:cs="宋体"/>
          <w:b/>
          <w:color w:val="auto"/>
          <w:sz w:val="36"/>
          <w:szCs w:val="36"/>
          <w:highlight w:val="none"/>
        </w:rPr>
      </w:pPr>
    </w:p>
    <w:p w14:paraId="65726C17">
      <w:pPr>
        <w:widowControl/>
        <w:shd w:val="clear" w:color="auto" w:fill="FFFFFF"/>
        <w:jc w:val="left"/>
        <w:rPr>
          <w:rFonts w:ascii="宋体" w:hAnsi="宋体" w:cs="宋体"/>
          <w:b/>
          <w:color w:val="auto"/>
          <w:sz w:val="36"/>
          <w:szCs w:val="36"/>
          <w:highlight w:val="none"/>
        </w:rPr>
      </w:pPr>
    </w:p>
    <w:p w14:paraId="71A99F7F">
      <w:pPr>
        <w:shd w:val="clear" w:color="auto" w:fill="FFFFFF"/>
        <w:autoSpaceDE w:val="0"/>
        <w:autoSpaceDN w:val="0"/>
        <w:adjustRightInd w:val="0"/>
        <w:snapToGrid w:val="0"/>
        <w:spacing w:before="25" w:after="25" w:line="360" w:lineRule="auto"/>
        <w:rPr>
          <w:color w:val="auto"/>
          <w:sz w:val="24"/>
          <w:highlight w:val="none"/>
          <w:lang w:val="zh-CN"/>
        </w:rPr>
      </w:pPr>
      <w:r>
        <w:rPr>
          <w:color w:val="auto"/>
          <w:kern w:val="0"/>
          <w:sz w:val="24"/>
          <w:highlight w:val="none"/>
        </w:rPr>
        <w:t>供应商授权代表签字（或加盖供应商公章）</w:t>
      </w:r>
      <w:r>
        <w:rPr>
          <w:color w:val="auto"/>
          <w:sz w:val="24"/>
          <w:highlight w:val="none"/>
          <w:lang w:val="zh-CN"/>
        </w:rPr>
        <w:t xml:space="preserve">：____________ </w:t>
      </w:r>
    </w:p>
    <w:p w14:paraId="1358AF9E">
      <w:pPr>
        <w:widowControl/>
        <w:shd w:val="clear" w:color="auto" w:fill="FFFFFF"/>
        <w:jc w:val="left"/>
        <w:rPr>
          <w:color w:val="auto"/>
          <w:sz w:val="24"/>
          <w:szCs w:val="20"/>
          <w:highlight w:val="none"/>
        </w:rPr>
      </w:pPr>
      <w:r>
        <w:rPr>
          <w:color w:val="auto"/>
          <w:sz w:val="24"/>
          <w:szCs w:val="20"/>
          <w:highlight w:val="none"/>
        </w:rPr>
        <w:t xml:space="preserve">日期：____年____月____日  </w:t>
      </w:r>
    </w:p>
    <w:p w14:paraId="4C560A34">
      <w:pPr>
        <w:widowControl/>
        <w:shd w:val="clear" w:color="auto" w:fill="FFFFFF"/>
        <w:jc w:val="left"/>
        <w:rPr>
          <w:color w:val="auto"/>
          <w:sz w:val="24"/>
          <w:szCs w:val="20"/>
          <w:highlight w:val="none"/>
        </w:rPr>
      </w:pPr>
    </w:p>
    <w:p w14:paraId="1BD24383">
      <w:pPr>
        <w:rPr>
          <w:color w:val="auto"/>
          <w:sz w:val="24"/>
          <w:szCs w:val="20"/>
          <w:highlight w:val="none"/>
        </w:rPr>
      </w:pPr>
      <w:r>
        <w:rPr>
          <w:rFonts w:hint="eastAsia"/>
          <w:color w:val="auto"/>
          <w:sz w:val="24"/>
          <w:szCs w:val="20"/>
          <w:highlight w:val="none"/>
        </w:rPr>
        <w:br w:type="page"/>
      </w:r>
    </w:p>
    <w:p w14:paraId="6C74AB2A">
      <w:pPr>
        <w:widowControl/>
        <w:shd w:val="clear" w:color="auto" w:fill="FFFFFF"/>
        <w:jc w:val="left"/>
        <w:rPr>
          <w:color w:val="auto"/>
          <w:sz w:val="24"/>
          <w:szCs w:val="20"/>
          <w:highlight w:val="none"/>
        </w:rPr>
      </w:pPr>
      <w:r>
        <w:rPr>
          <w:rFonts w:hint="eastAsia"/>
          <w:color w:val="auto"/>
          <w:sz w:val="24"/>
          <w:szCs w:val="20"/>
          <w:highlight w:val="none"/>
        </w:rPr>
        <w:t>14 最后报价构成表（如有，磋商后提交）</w:t>
      </w:r>
    </w:p>
    <w:p w14:paraId="52D75B66">
      <w:pPr>
        <w:widowControl/>
        <w:shd w:val="clear" w:color="auto" w:fill="FFFFFF"/>
        <w:jc w:val="left"/>
        <w:rPr>
          <w:color w:val="auto"/>
          <w:sz w:val="24"/>
          <w:szCs w:val="20"/>
          <w:highlight w:val="none"/>
        </w:rPr>
      </w:pPr>
      <w:r>
        <w:rPr>
          <w:rFonts w:hint="eastAsia"/>
          <w:color w:val="auto"/>
          <w:sz w:val="24"/>
          <w:szCs w:val="20"/>
          <w:highlight w:val="none"/>
        </w:rPr>
        <w:t>14-1 最终报价中分包情况说明</w:t>
      </w:r>
    </w:p>
    <w:p w14:paraId="2ADA3CAF">
      <w:pPr>
        <w:widowControl/>
        <w:shd w:val="clear" w:color="auto" w:fill="FFFFFF"/>
        <w:jc w:val="left"/>
        <w:rPr>
          <w:color w:val="auto"/>
          <w:sz w:val="24"/>
          <w:szCs w:val="20"/>
          <w:highlight w:val="none"/>
        </w:rPr>
      </w:pPr>
    </w:p>
    <w:tbl>
      <w:tblPr>
        <w:tblStyle w:val="83"/>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730"/>
        <w:gridCol w:w="2237"/>
        <w:gridCol w:w="1988"/>
      </w:tblGrid>
      <w:tr w14:paraId="0B8D3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3" w:type="dxa"/>
            <w:vAlign w:val="center"/>
          </w:tcPr>
          <w:p w14:paraId="1156DD3E">
            <w:pPr>
              <w:shd w:val="clear" w:color="auto" w:fill="FFFFFF"/>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3730" w:type="dxa"/>
            <w:vAlign w:val="center"/>
          </w:tcPr>
          <w:p w14:paraId="4C725AEE">
            <w:pPr>
              <w:shd w:val="clear" w:color="auto" w:fill="FFFFFF"/>
              <w:adjustRightInd w:val="0"/>
              <w:snapToGrid w:val="0"/>
              <w:jc w:val="left"/>
              <w:rPr>
                <w:rFonts w:ascii="宋体" w:hAnsi="宋体" w:cs="宋体"/>
                <w:bCs/>
                <w:color w:val="auto"/>
                <w:sz w:val="24"/>
                <w:highlight w:val="none"/>
              </w:rPr>
            </w:pPr>
            <w:r>
              <w:rPr>
                <w:rFonts w:hint="eastAsia" w:ascii="宋体" w:hAnsi="宋体" w:cs="宋体"/>
                <w:bCs/>
                <w:color w:val="auto"/>
                <w:sz w:val="24"/>
                <w:highlight w:val="none"/>
              </w:rPr>
              <w:t>分包承担主体名称</w:t>
            </w:r>
          </w:p>
        </w:tc>
        <w:tc>
          <w:tcPr>
            <w:tcW w:w="2237" w:type="dxa"/>
            <w:vAlign w:val="center"/>
          </w:tcPr>
          <w:p w14:paraId="5A173A45">
            <w:pPr>
              <w:jc w:val="center"/>
              <w:rPr>
                <w:rFonts w:ascii="FZSSK--GBK1-0" w:hAnsi="FZSSK--GBK1-0" w:eastAsia="FZSSK--GBK1-0"/>
                <w:color w:val="auto"/>
                <w:sz w:val="24"/>
                <w:highlight w:val="none"/>
              </w:rPr>
            </w:pPr>
            <w:r>
              <w:rPr>
                <w:rFonts w:hint="eastAsia" w:ascii="FZSSK--GBK1-0" w:hAnsi="FZSSK--GBK1-0" w:eastAsia="FZSSK--GBK1-0"/>
                <w:color w:val="auto"/>
                <w:sz w:val="24"/>
                <w:highlight w:val="none"/>
              </w:rPr>
              <w:t>分包承担主体类型</w:t>
            </w:r>
          </w:p>
          <w:p w14:paraId="482352CA">
            <w:pPr>
              <w:jc w:val="center"/>
              <w:rPr>
                <w:rFonts w:ascii="宋体" w:hAnsi="宋体" w:cs="宋体"/>
                <w:bCs/>
                <w:color w:val="auto"/>
                <w:sz w:val="24"/>
                <w:highlight w:val="none"/>
              </w:rPr>
            </w:pPr>
            <w:r>
              <w:rPr>
                <w:rFonts w:hint="eastAsia" w:ascii="FZSSK--GBK1-0" w:hAnsi="FZSSK--GBK1-0" w:eastAsia="FZSSK--GBK1-0"/>
                <w:color w:val="auto"/>
                <w:sz w:val="24"/>
                <w:highlight w:val="none"/>
              </w:rPr>
              <w:t>（选择）</w:t>
            </w:r>
          </w:p>
        </w:tc>
        <w:tc>
          <w:tcPr>
            <w:tcW w:w="1988" w:type="dxa"/>
            <w:vAlign w:val="center"/>
          </w:tcPr>
          <w:p w14:paraId="0E2BF48A">
            <w:pPr>
              <w:shd w:val="clear" w:color="auto" w:fill="FFFFFF"/>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拟分包合同金额</w:t>
            </w:r>
          </w:p>
          <w:p w14:paraId="47510DDA">
            <w:pPr>
              <w:shd w:val="clear" w:color="auto" w:fill="FFFFFF"/>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（人民币元）</w:t>
            </w:r>
          </w:p>
        </w:tc>
      </w:tr>
      <w:tr w14:paraId="73E48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03" w:type="dxa"/>
            <w:vAlign w:val="center"/>
          </w:tcPr>
          <w:p w14:paraId="433BA055">
            <w:pPr>
              <w:shd w:val="clear" w:color="auto" w:fill="FFFFFF"/>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3730" w:type="dxa"/>
            <w:vAlign w:val="center"/>
          </w:tcPr>
          <w:p w14:paraId="6182ADF3">
            <w:pPr>
              <w:shd w:val="clear" w:color="auto" w:fill="FFFFFF"/>
              <w:adjustRightInd w:val="0"/>
              <w:snapToGrid w:val="0"/>
              <w:jc w:val="left"/>
              <w:rPr>
                <w:rFonts w:ascii="宋体" w:hAnsi="宋体" w:cs="宋体"/>
                <w:bCs/>
                <w:color w:val="auto"/>
                <w:sz w:val="24"/>
                <w:highlight w:val="none"/>
              </w:rPr>
            </w:pPr>
          </w:p>
        </w:tc>
        <w:tc>
          <w:tcPr>
            <w:tcW w:w="2237" w:type="dxa"/>
            <w:vAlign w:val="center"/>
          </w:tcPr>
          <w:p w14:paraId="6D5831A5">
            <w:pPr>
              <w:jc w:val="center"/>
              <w:rPr>
                <w:rFonts w:ascii="FZSSK--GBK1-0" w:hAnsi="FZSSK--GBK1-0" w:eastAsia="FZSSK--GBK1-0"/>
                <w:color w:val="auto"/>
                <w:sz w:val="24"/>
                <w:highlight w:val="none"/>
              </w:rPr>
            </w:pPr>
            <w:r>
              <w:rPr>
                <w:rFonts w:hint="eastAsia" w:ascii="DejaVuSans" w:hAnsi="DejaVuSans" w:eastAsia="DejaVuSans"/>
                <w:color w:val="auto"/>
                <w:sz w:val="24"/>
                <w:highlight w:val="none"/>
              </w:rPr>
              <w:t>□</w:t>
            </w:r>
            <w:r>
              <w:rPr>
                <w:rFonts w:hint="eastAsia" w:ascii="FZSSK--GBK1-0" w:hAnsi="FZSSK--GBK1-0" w:eastAsia="FZSSK--GBK1-0"/>
                <w:color w:val="auto"/>
                <w:sz w:val="24"/>
                <w:highlight w:val="none"/>
              </w:rPr>
              <w:t>中型企业</w:t>
            </w:r>
          </w:p>
          <w:p w14:paraId="6B757622">
            <w:pPr>
              <w:jc w:val="center"/>
              <w:rPr>
                <w:rFonts w:ascii="FZSSK--GBK1-0" w:hAnsi="FZSSK--GBK1-0" w:eastAsia="FZSSK--GBK1-0"/>
                <w:color w:val="auto"/>
                <w:sz w:val="24"/>
                <w:highlight w:val="none"/>
              </w:rPr>
            </w:pPr>
            <w:r>
              <w:rPr>
                <w:rFonts w:hint="eastAsia" w:ascii="DejaVuSans" w:hAnsi="DejaVuSans" w:eastAsia="DejaVuSans"/>
                <w:color w:val="auto"/>
                <w:sz w:val="24"/>
                <w:highlight w:val="none"/>
              </w:rPr>
              <w:t>□</w:t>
            </w:r>
            <w:r>
              <w:rPr>
                <w:rFonts w:hint="eastAsia" w:ascii="FZSSK--GBK1-0" w:hAnsi="FZSSK--GBK1-0" w:eastAsia="FZSSK--GBK1-0"/>
                <w:color w:val="auto"/>
                <w:sz w:val="24"/>
                <w:highlight w:val="none"/>
              </w:rPr>
              <w:t>小微企业</w:t>
            </w:r>
          </w:p>
          <w:p w14:paraId="1441E579">
            <w:pPr>
              <w:shd w:val="clear" w:color="auto" w:fill="FFFFFF"/>
              <w:adjustRightInd w:val="0"/>
              <w:snapToGrid w:val="0"/>
              <w:jc w:val="center"/>
              <w:rPr>
                <w:rFonts w:ascii="宋体" w:hAnsi="宋体" w:cs="宋体"/>
                <w:bCs/>
                <w:color w:val="auto"/>
                <w:sz w:val="24"/>
                <w:highlight w:val="none"/>
              </w:rPr>
            </w:pPr>
            <w:r>
              <w:rPr>
                <w:rFonts w:hint="eastAsia" w:ascii="DejaVuSans" w:hAnsi="DejaVuSans" w:eastAsia="DejaVuSans"/>
                <w:color w:val="auto"/>
                <w:sz w:val="24"/>
                <w:highlight w:val="none"/>
              </w:rPr>
              <w:t>□</w:t>
            </w:r>
            <w:r>
              <w:rPr>
                <w:rFonts w:hint="eastAsia" w:ascii="FZSSK--GBK1-0" w:hAnsi="FZSSK--GBK1-0" w:eastAsia="FZSSK--GBK1-0"/>
                <w:color w:val="auto"/>
                <w:sz w:val="24"/>
                <w:highlight w:val="none"/>
              </w:rPr>
              <w:t>其他</w:t>
            </w:r>
          </w:p>
        </w:tc>
        <w:tc>
          <w:tcPr>
            <w:tcW w:w="1988" w:type="dxa"/>
            <w:vAlign w:val="center"/>
          </w:tcPr>
          <w:p w14:paraId="3F0D14D2">
            <w:pPr>
              <w:shd w:val="clear" w:color="auto" w:fill="FFFFFF"/>
              <w:adjustRightInd w:val="0"/>
              <w:snapToGrid w:val="0"/>
              <w:jc w:val="center"/>
              <w:rPr>
                <w:rFonts w:ascii="宋体" w:hAnsi="宋体" w:cs="宋体"/>
                <w:bCs/>
                <w:color w:val="auto"/>
                <w:sz w:val="24"/>
                <w:highlight w:val="none"/>
              </w:rPr>
            </w:pPr>
          </w:p>
        </w:tc>
      </w:tr>
      <w:tr w14:paraId="4E53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3" w:type="dxa"/>
            <w:vAlign w:val="center"/>
          </w:tcPr>
          <w:p w14:paraId="216EF809">
            <w:pPr>
              <w:shd w:val="clear" w:color="auto" w:fill="FFFFFF"/>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3730" w:type="dxa"/>
            <w:vAlign w:val="center"/>
          </w:tcPr>
          <w:p w14:paraId="392E3AC6">
            <w:pPr>
              <w:shd w:val="clear" w:color="auto" w:fill="FFFFFF"/>
              <w:adjustRightInd w:val="0"/>
              <w:snapToGrid w:val="0"/>
              <w:jc w:val="left"/>
              <w:rPr>
                <w:rFonts w:ascii="宋体" w:hAnsi="宋体" w:cs="宋体"/>
                <w:bCs/>
                <w:color w:val="auto"/>
                <w:sz w:val="24"/>
                <w:highlight w:val="none"/>
              </w:rPr>
            </w:pPr>
          </w:p>
        </w:tc>
        <w:tc>
          <w:tcPr>
            <w:tcW w:w="2237" w:type="dxa"/>
            <w:vAlign w:val="center"/>
          </w:tcPr>
          <w:p w14:paraId="3D919F0A">
            <w:pPr>
              <w:jc w:val="center"/>
              <w:rPr>
                <w:rFonts w:ascii="FZSSK--GBK1-0" w:hAnsi="FZSSK--GBK1-0" w:eastAsia="FZSSK--GBK1-0"/>
                <w:color w:val="auto"/>
                <w:sz w:val="24"/>
                <w:highlight w:val="none"/>
              </w:rPr>
            </w:pPr>
            <w:r>
              <w:rPr>
                <w:rFonts w:hint="eastAsia" w:ascii="DejaVuSans" w:hAnsi="DejaVuSans" w:eastAsia="DejaVuSans"/>
                <w:color w:val="auto"/>
                <w:sz w:val="24"/>
                <w:highlight w:val="none"/>
              </w:rPr>
              <w:t>□</w:t>
            </w:r>
            <w:r>
              <w:rPr>
                <w:rFonts w:hint="eastAsia" w:ascii="FZSSK--GBK1-0" w:hAnsi="FZSSK--GBK1-0" w:eastAsia="FZSSK--GBK1-0"/>
                <w:color w:val="auto"/>
                <w:sz w:val="24"/>
                <w:highlight w:val="none"/>
              </w:rPr>
              <w:t>中型企业</w:t>
            </w:r>
          </w:p>
          <w:p w14:paraId="168F05B2">
            <w:pPr>
              <w:jc w:val="center"/>
              <w:rPr>
                <w:rFonts w:ascii="FZSSK--GBK1-0" w:hAnsi="FZSSK--GBK1-0" w:eastAsia="FZSSK--GBK1-0"/>
                <w:color w:val="auto"/>
                <w:sz w:val="24"/>
                <w:highlight w:val="none"/>
              </w:rPr>
            </w:pPr>
            <w:r>
              <w:rPr>
                <w:rFonts w:hint="eastAsia" w:ascii="DejaVuSans" w:hAnsi="DejaVuSans" w:eastAsia="DejaVuSans"/>
                <w:color w:val="auto"/>
                <w:sz w:val="24"/>
                <w:highlight w:val="none"/>
              </w:rPr>
              <w:t>□</w:t>
            </w:r>
            <w:r>
              <w:rPr>
                <w:rFonts w:hint="eastAsia" w:ascii="FZSSK--GBK1-0" w:hAnsi="FZSSK--GBK1-0" w:eastAsia="FZSSK--GBK1-0"/>
                <w:color w:val="auto"/>
                <w:sz w:val="24"/>
                <w:highlight w:val="none"/>
              </w:rPr>
              <w:t>小微企业</w:t>
            </w:r>
          </w:p>
          <w:p w14:paraId="07DA46F3">
            <w:pPr>
              <w:shd w:val="clear" w:color="auto" w:fill="FFFFFF"/>
              <w:adjustRightInd w:val="0"/>
              <w:snapToGrid w:val="0"/>
              <w:jc w:val="center"/>
              <w:rPr>
                <w:rFonts w:ascii="宋体" w:hAnsi="宋体" w:cs="宋体"/>
                <w:bCs/>
                <w:color w:val="auto"/>
                <w:sz w:val="24"/>
                <w:highlight w:val="none"/>
              </w:rPr>
            </w:pPr>
            <w:r>
              <w:rPr>
                <w:rFonts w:hint="eastAsia" w:ascii="DejaVuSans" w:hAnsi="DejaVuSans" w:eastAsia="DejaVuSans"/>
                <w:color w:val="auto"/>
                <w:sz w:val="24"/>
                <w:highlight w:val="none"/>
              </w:rPr>
              <w:t>□</w:t>
            </w:r>
            <w:r>
              <w:rPr>
                <w:rFonts w:hint="eastAsia" w:ascii="FZSSK--GBK1-0" w:hAnsi="FZSSK--GBK1-0" w:eastAsia="FZSSK--GBK1-0"/>
                <w:color w:val="auto"/>
                <w:sz w:val="24"/>
                <w:highlight w:val="none"/>
              </w:rPr>
              <w:t>其他</w:t>
            </w:r>
          </w:p>
        </w:tc>
        <w:tc>
          <w:tcPr>
            <w:tcW w:w="1988" w:type="dxa"/>
            <w:vAlign w:val="center"/>
          </w:tcPr>
          <w:p w14:paraId="5BE07E1D">
            <w:pPr>
              <w:shd w:val="clear" w:color="auto" w:fill="FFFFFF"/>
              <w:adjustRightInd w:val="0"/>
              <w:snapToGrid w:val="0"/>
              <w:jc w:val="left"/>
              <w:rPr>
                <w:rFonts w:ascii="宋体" w:hAnsi="宋体" w:cs="宋体"/>
                <w:bCs/>
                <w:color w:val="auto"/>
                <w:sz w:val="24"/>
                <w:highlight w:val="none"/>
              </w:rPr>
            </w:pPr>
          </w:p>
        </w:tc>
      </w:tr>
      <w:tr w14:paraId="7CD4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03" w:type="dxa"/>
            <w:vAlign w:val="center"/>
          </w:tcPr>
          <w:p w14:paraId="643F7C4E">
            <w:pPr>
              <w:shd w:val="clear" w:color="auto" w:fill="FFFFFF"/>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w:t>
            </w:r>
          </w:p>
        </w:tc>
        <w:tc>
          <w:tcPr>
            <w:tcW w:w="3730" w:type="dxa"/>
            <w:vAlign w:val="center"/>
          </w:tcPr>
          <w:p w14:paraId="7290B977">
            <w:pPr>
              <w:shd w:val="clear" w:color="auto" w:fill="FFFFFF"/>
              <w:adjustRightInd w:val="0"/>
              <w:snapToGrid w:val="0"/>
              <w:jc w:val="left"/>
              <w:rPr>
                <w:rFonts w:ascii="宋体" w:hAnsi="宋体" w:cs="宋体"/>
                <w:bCs/>
                <w:color w:val="auto"/>
                <w:sz w:val="24"/>
                <w:highlight w:val="none"/>
              </w:rPr>
            </w:pPr>
          </w:p>
        </w:tc>
        <w:tc>
          <w:tcPr>
            <w:tcW w:w="2237" w:type="dxa"/>
            <w:vAlign w:val="center"/>
          </w:tcPr>
          <w:p w14:paraId="3527F11C">
            <w:pPr>
              <w:shd w:val="clear" w:color="auto" w:fill="FFFFFF"/>
              <w:adjustRightInd w:val="0"/>
              <w:snapToGrid w:val="0"/>
              <w:jc w:val="center"/>
              <w:rPr>
                <w:rFonts w:ascii="宋体" w:hAnsi="宋体" w:cs="宋体"/>
                <w:bCs/>
                <w:color w:val="auto"/>
                <w:sz w:val="24"/>
                <w:highlight w:val="none"/>
              </w:rPr>
            </w:pPr>
          </w:p>
        </w:tc>
        <w:tc>
          <w:tcPr>
            <w:tcW w:w="1988" w:type="dxa"/>
            <w:vAlign w:val="center"/>
          </w:tcPr>
          <w:p w14:paraId="585981C8">
            <w:pPr>
              <w:shd w:val="clear" w:color="auto" w:fill="FFFFFF"/>
              <w:adjustRightInd w:val="0"/>
              <w:snapToGrid w:val="0"/>
              <w:jc w:val="left"/>
              <w:rPr>
                <w:rFonts w:ascii="宋体" w:hAnsi="宋体" w:cs="宋体"/>
                <w:bCs/>
                <w:color w:val="auto"/>
                <w:sz w:val="24"/>
                <w:highlight w:val="none"/>
              </w:rPr>
            </w:pPr>
          </w:p>
        </w:tc>
      </w:tr>
      <w:tr w14:paraId="3128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670" w:type="dxa"/>
            <w:gridSpan w:val="3"/>
            <w:vAlign w:val="center"/>
          </w:tcPr>
          <w:p w14:paraId="091DAD21">
            <w:pPr>
              <w:shd w:val="clear" w:color="auto" w:fill="FFFFFF"/>
              <w:adjustRightInd w:val="0"/>
              <w:snapToGrid w:val="0"/>
              <w:jc w:val="center"/>
              <w:rPr>
                <w:color w:val="auto"/>
                <w:sz w:val="24"/>
                <w:highlight w:val="none"/>
              </w:rPr>
            </w:pPr>
            <w:r>
              <w:rPr>
                <w:rFonts w:hint="eastAsia"/>
                <w:color w:val="auto"/>
                <w:sz w:val="24"/>
                <w:highlight w:val="none"/>
              </w:rPr>
              <w:t>合计</w:t>
            </w:r>
          </w:p>
        </w:tc>
        <w:tc>
          <w:tcPr>
            <w:tcW w:w="1988" w:type="dxa"/>
            <w:vAlign w:val="center"/>
          </w:tcPr>
          <w:p w14:paraId="528771E0">
            <w:pPr>
              <w:shd w:val="clear" w:color="auto" w:fill="FFFFFF"/>
              <w:adjustRightInd w:val="0"/>
              <w:snapToGrid w:val="0"/>
              <w:jc w:val="left"/>
              <w:rPr>
                <w:color w:val="auto"/>
                <w:sz w:val="24"/>
                <w:highlight w:val="none"/>
              </w:rPr>
            </w:pPr>
          </w:p>
        </w:tc>
      </w:tr>
    </w:tbl>
    <w:p w14:paraId="7A2835AC">
      <w:pPr>
        <w:widowControl/>
        <w:shd w:val="clear" w:color="auto" w:fill="FFFFFF"/>
        <w:jc w:val="left"/>
        <w:rPr>
          <w:color w:val="auto"/>
          <w:sz w:val="24"/>
          <w:szCs w:val="20"/>
          <w:highlight w:val="none"/>
        </w:rPr>
      </w:pPr>
    </w:p>
    <w:p w14:paraId="73A009DB">
      <w:pPr>
        <w:widowControl/>
        <w:shd w:val="clear" w:color="auto" w:fill="FFFFFF"/>
        <w:jc w:val="left"/>
        <w:rPr>
          <w:color w:val="auto"/>
          <w:sz w:val="24"/>
          <w:szCs w:val="20"/>
          <w:highlight w:val="none"/>
        </w:rPr>
      </w:pPr>
      <w:r>
        <w:rPr>
          <w:rFonts w:hint="eastAsia"/>
          <w:color w:val="auto"/>
          <w:sz w:val="24"/>
          <w:szCs w:val="20"/>
          <w:highlight w:val="none"/>
        </w:rPr>
        <w:t>14-2 联合体最终报价情况说明</w:t>
      </w:r>
    </w:p>
    <w:tbl>
      <w:tblPr>
        <w:tblStyle w:val="83"/>
        <w:tblW w:w="86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3730"/>
        <w:gridCol w:w="2237"/>
        <w:gridCol w:w="1988"/>
      </w:tblGrid>
      <w:tr w14:paraId="1035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03" w:type="dxa"/>
            <w:vAlign w:val="center"/>
          </w:tcPr>
          <w:p w14:paraId="5DA718DB">
            <w:pPr>
              <w:shd w:val="clear" w:color="auto" w:fill="FFFFFF"/>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序号</w:t>
            </w:r>
          </w:p>
        </w:tc>
        <w:tc>
          <w:tcPr>
            <w:tcW w:w="3730" w:type="dxa"/>
            <w:vAlign w:val="center"/>
          </w:tcPr>
          <w:p w14:paraId="6E7184F7">
            <w:pPr>
              <w:shd w:val="clear" w:color="auto" w:fill="FFFFFF"/>
              <w:adjustRightInd w:val="0"/>
              <w:snapToGrid w:val="0"/>
              <w:jc w:val="left"/>
              <w:rPr>
                <w:rFonts w:ascii="宋体" w:hAnsi="宋体" w:cs="宋体"/>
                <w:bCs/>
                <w:color w:val="auto"/>
                <w:sz w:val="24"/>
                <w:highlight w:val="none"/>
              </w:rPr>
            </w:pPr>
            <w:r>
              <w:rPr>
                <w:rFonts w:hint="eastAsia" w:ascii="宋体" w:hAnsi="宋体" w:cs="宋体"/>
                <w:bCs/>
                <w:color w:val="auto"/>
                <w:sz w:val="24"/>
                <w:highlight w:val="none"/>
              </w:rPr>
              <w:t>联合体成员名称</w:t>
            </w:r>
          </w:p>
        </w:tc>
        <w:tc>
          <w:tcPr>
            <w:tcW w:w="2237" w:type="dxa"/>
            <w:vAlign w:val="center"/>
          </w:tcPr>
          <w:p w14:paraId="1406D7CB">
            <w:pPr>
              <w:jc w:val="center"/>
              <w:rPr>
                <w:rFonts w:ascii="FZSSK--GBK1-0" w:hAnsi="FZSSK--GBK1-0" w:eastAsia="FZSSK--GBK1-0"/>
                <w:color w:val="auto"/>
                <w:sz w:val="24"/>
                <w:highlight w:val="none"/>
              </w:rPr>
            </w:pPr>
            <w:r>
              <w:rPr>
                <w:rFonts w:hint="eastAsia" w:ascii="FZSSK--GBK1-0" w:hAnsi="FZSSK--GBK1-0" w:eastAsia="FZSSK--GBK1-0"/>
                <w:color w:val="auto"/>
                <w:sz w:val="24"/>
                <w:highlight w:val="none"/>
              </w:rPr>
              <w:t>联合体成员类型</w:t>
            </w:r>
          </w:p>
          <w:p w14:paraId="65913520">
            <w:pPr>
              <w:jc w:val="center"/>
              <w:rPr>
                <w:rFonts w:ascii="宋体" w:hAnsi="宋体" w:cs="宋体"/>
                <w:bCs/>
                <w:color w:val="auto"/>
                <w:sz w:val="24"/>
                <w:highlight w:val="none"/>
              </w:rPr>
            </w:pPr>
            <w:r>
              <w:rPr>
                <w:rFonts w:hint="eastAsia" w:ascii="FZSSK--GBK1-0" w:hAnsi="FZSSK--GBK1-0" w:eastAsia="FZSSK--GBK1-0"/>
                <w:color w:val="auto"/>
                <w:sz w:val="24"/>
                <w:highlight w:val="none"/>
              </w:rPr>
              <w:t>（选择）</w:t>
            </w:r>
          </w:p>
        </w:tc>
        <w:tc>
          <w:tcPr>
            <w:tcW w:w="1988" w:type="dxa"/>
            <w:vAlign w:val="center"/>
          </w:tcPr>
          <w:p w14:paraId="0EAFF72D">
            <w:pPr>
              <w:shd w:val="clear" w:color="auto" w:fill="FFFFFF"/>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合同金额</w:t>
            </w:r>
          </w:p>
          <w:p w14:paraId="0FAA3811">
            <w:pPr>
              <w:shd w:val="clear" w:color="auto" w:fill="FFFFFF"/>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（人民币元）</w:t>
            </w:r>
          </w:p>
        </w:tc>
      </w:tr>
      <w:tr w14:paraId="53EE5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703" w:type="dxa"/>
            <w:vAlign w:val="center"/>
          </w:tcPr>
          <w:p w14:paraId="73389123">
            <w:pPr>
              <w:shd w:val="clear" w:color="auto" w:fill="FFFFFF"/>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1</w:t>
            </w:r>
          </w:p>
        </w:tc>
        <w:tc>
          <w:tcPr>
            <w:tcW w:w="3730" w:type="dxa"/>
            <w:vAlign w:val="center"/>
          </w:tcPr>
          <w:p w14:paraId="5C24F223">
            <w:pPr>
              <w:shd w:val="clear" w:color="auto" w:fill="FFFFFF"/>
              <w:adjustRightInd w:val="0"/>
              <w:snapToGrid w:val="0"/>
              <w:jc w:val="left"/>
              <w:rPr>
                <w:rFonts w:ascii="宋体" w:hAnsi="宋体" w:cs="宋体"/>
                <w:bCs/>
                <w:color w:val="auto"/>
                <w:sz w:val="24"/>
                <w:highlight w:val="none"/>
              </w:rPr>
            </w:pPr>
          </w:p>
        </w:tc>
        <w:tc>
          <w:tcPr>
            <w:tcW w:w="2237" w:type="dxa"/>
            <w:vAlign w:val="center"/>
          </w:tcPr>
          <w:p w14:paraId="1069FD76">
            <w:pPr>
              <w:jc w:val="center"/>
              <w:rPr>
                <w:rFonts w:ascii="FZSSK--GBK1-0" w:hAnsi="FZSSK--GBK1-0" w:eastAsia="FZSSK--GBK1-0"/>
                <w:color w:val="auto"/>
                <w:sz w:val="24"/>
                <w:highlight w:val="none"/>
              </w:rPr>
            </w:pPr>
            <w:r>
              <w:rPr>
                <w:rFonts w:hint="eastAsia" w:ascii="DejaVuSans" w:hAnsi="DejaVuSans" w:eastAsia="DejaVuSans"/>
                <w:color w:val="auto"/>
                <w:sz w:val="24"/>
                <w:highlight w:val="none"/>
              </w:rPr>
              <w:t>□</w:t>
            </w:r>
            <w:r>
              <w:rPr>
                <w:rFonts w:hint="eastAsia" w:ascii="FZSSK--GBK1-0" w:hAnsi="FZSSK--GBK1-0" w:eastAsia="FZSSK--GBK1-0"/>
                <w:color w:val="auto"/>
                <w:sz w:val="24"/>
                <w:highlight w:val="none"/>
              </w:rPr>
              <w:t>中型企业</w:t>
            </w:r>
          </w:p>
          <w:p w14:paraId="4D2D5C0D">
            <w:pPr>
              <w:jc w:val="center"/>
              <w:rPr>
                <w:rFonts w:ascii="FZSSK--GBK1-0" w:hAnsi="FZSSK--GBK1-0" w:eastAsia="FZSSK--GBK1-0"/>
                <w:color w:val="auto"/>
                <w:sz w:val="24"/>
                <w:highlight w:val="none"/>
              </w:rPr>
            </w:pPr>
            <w:r>
              <w:rPr>
                <w:rFonts w:hint="eastAsia" w:ascii="DejaVuSans" w:hAnsi="DejaVuSans" w:eastAsia="DejaVuSans"/>
                <w:color w:val="auto"/>
                <w:sz w:val="24"/>
                <w:highlight w:val="none"/>
              </w:rPr>
              <w:t>□</w:t>
            </w:r>
            <w:r>
              <w:rPr>
                <w:rFonts w:hint="eastAsia" w:ascii="FZSSK--GBK1-0" w:hAnsi="FZSSK--GBK1-0" w:eastAsia="FZSSK--GBK1-0"/>
                <w:color w:val="auto"/>
                <w:sz w:val="24"/>
                <w:highlight w:val="none"/>
              </w:rPr>
              <w:t>小微企业</w:t>
            </w:r>
          </w:p>
          <w:p w14:paraId="603143CD">
            <w:pPr>
              <w:shd w:val="clear" w:color="auto" w:fill="FFFFFF"/>
              <w:adjustRightInd w:val="0"/>
              <w:snapToGrid w:val="0"/>
              <w:jc w:val="center"/>
              <w:rPr>
                <w:rFonts w:ascii="宋体" w:hAnsi="宋体" w:cs="宋体"/>
                <w:bCs/>
                <w:color w:val="auto"/>
                <w:sz w:val="24"/>
                <w:highlight w:val="none"/>
              </w:rPr>
            </w:pPr>
            <w:r>
              <w:rPr>
                <w:rFonts w:hint="eastAsia" w:ascii="DejaVuSans" w:hAnsi="DejaVuSans" w:eastAsia="DejaVuSans"/>
                <w:color w:val="auto"/>
                <w:sz w:val="24"/>
                <w:highlight w:val="none"/>
              </w:rPr>
              <w:t>□</w:t>
            </w:r>
            <w:r>
              <w:rPr>
                <w:rFonts w:hint="eastAsia" w:ascii="FZSSK--GBK1-0" w:hAnsi="FZSSK--GBK1-0" w:eastAsia="FZSSK--GBK1-0"/>
                <w:color w:val="auto"/>
                <w:sz w:val="24"/>
                <w:highlight w:val="none"/>
              </w:rPr>
              <w:t>其他</w:t>
            </w:r>
          </w:p>
        </w:tc>
        <w:tc>
          <w:tcPr>
            <w:tcW w:w="1988" w:type="dxa"/>
            <w:vAlign w:val="center"/>
          </w:tcPr>
          <w:p w14:paraId="5D02EA96">
            <w:pPr>
              <w:shd w:val="clear" w:color="auto" w:fill="FFFFFF"/>
              <w:adjustRightInd w:val="0"/>
              <w:snapToGrid w:val="0"/>
              <w:jc w:val="center"/>
              <w:rPr>
                <w:rFonts w:ascii="宋体" w:hAnsi="宋体" w:cs="宋体"/>
                <w:bCs/>
                <w:color w:val="auto"/>
                <w:sz w:val="24"/>
                <w:highlight w:val="none"/>
              </w:rPr>
            </w:pPr>
          </w:p>
        </w:tc>
      </w:tr>
      <w:tr w14:paraId="5357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03" w:type="dxa"/>
            <w:vAlign w:val="center"/>
          </w:tcPr>
          <w:p w14:paraId="78BAD4D3">
            <w:pPr>
              <w:shd w:val="clear" w:color="auto" w:fill="FFFFFF"/>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2</w:t>
            </w:r>
          </w:p>
        </w:tc>
        <w:tc>
          <w:tcPr>
            <w:tcW w:w="3730" w:type="dxa"/>
            <w:vAlign w:val="center"/>
          </w:tcPr>
          <w:p w14:paraId="32839D9C">
            <w:pPr>
              <w:shd w:val="clear" w:color="auto" w:fill="FFFFFF"/>
              <w:adjustRightInd w:val="0"/>
              <w:snapToGrid w:val="0"/>
              <w:jc w:val="left"/>
              <w:rPr>
                <w:rFonts w:ascii="宋体" w:hAnsi="宋体" w:cs="宋体"/>
                <w:bCs/>
                <w:color w:val="auto"/>
                <w:sz w:val="24"/>
                <w:highlight w:val="none"/>
              </w:rPr>
            </w:pPr>
          </w:p>
        </w:tc>
        <w:tc>
          <w:tcPr>
            <w:tcW w:w="2237" w:type="dxa"/>
            <w:vAlign w:val="center"/>
          </w:tcPr>
          <w:p w14:paraId="7E42465B">
            <w:pPr>
              <w:jc w:val="center"/>
              <w:rPr>
                <w:rFonts w:ascii="FZSSK--GBK1-0" w:hAnsi="FZSSK--GBK1-0" w:eastAsia="FZSSK--GBK1-0"/>
                <w:color w:val="auto"/>
                <w:sz w:val="24"/>
                <w:highlight w:val="none"/>
              </w:rPr>
            </w:pPr>
            <w:r>
              <w:rPr>
                <w:rFonts w:hint="eastAsia" w:ascii="DejaVuSans" w:hAnsi="DejaVuSans" w:eastAsia="DejaVuSans"/>
                <w:color w:val="auto"/>
                <w:sz w:val="24"/>
                <w:highlight w:val="none"/>
              </w:rPr>
              <w:t>□</w:t>
            </w:r>
            <w:r>
              <w:rPr>
                <w:rFonts w:hint="eastAsia" w:ascii="FZSSK--GBK1-0" w:hAnsi="FZSSK--GBK1-0" w:eastAsia="FZSSK--GBK1-0"/>
                <w:color w:val="auto"/>
                <w:sz w:val="24"/>
                <w:highlight w:val="none"/>
              </w:rPr>
              <w:t>中型企业</w:t>
            </w:r>
          </w:p>
          <w:p w14:paraId="4F920559">
            <w:pPr>
              <w:jc w:val="center"/>
              <w:rPr>
                <w:rFonts w:ascii="FZSSK--GBK1-0" w:hAnsi="FZSSK--GBK1-0" w:eastAsia="FZSSK--GBK1-0"/>
                <w:color w:val="auto"/>
                <w:sz w:val="24"/>
                <w:highlight w:val="none"/>
              </w:rPr>
            </w:pPr>
            <w:r>
              <w:rPr>
                <w:rFonts w:hint="eastAsia" w:ascii="DejaVuSans" w:hAnsi="DejaVuSans" w:eastAsia="DejaVuSans"/>
                <w:color w:val="auto"/>
                <w:sz w:val="24"/>
                <w:highlight w:val="none"/>
              </w:rPr>
              <w:t>□</w:t>
            </w:r>
            <w:r>
              <w:rPr>
                <w:rFonts w:hint="eastAsia" w:ascii="FZSSK--GBK1-0" w:hAnsi="FZSSK--GBK1-0" w:eastAsia="FZSSK--GBK1-0"/>
                <w:color w:val="auto"/>
                <w:sz w:val="24"/>
                <w:highlight w:val="none"/>
              </w:rPr>
              <w:t>小微企业</w:t>
            </w:r>
          </w:p>
          <w:p w14:paraId="2FE3FD93">
            <w:pPr>
              <w:shd w:val="clear" w:color="auto" w:fill="FFFFFF"/>
              <w:adjustRightInd w:val="0"/>
              <w:snapToGrid w:val="0"/>
              <w:jc w:val="center"/>
              <w:rPr>
                <w:rFonts w:ascii="宋体" w:hAnsi="宋体" w:cs="宋体"/>
                <w:bCs/>
                <w:color w:val="auto"/>
                <w:sz w:val="24"/>
                <w:highlight w:val="none"/>
              </w:rPr>
            </w:pPr>
            <w:r>
              <w:rPr>
                <w:rFonts w:hint="eastAsia" w:ascii="DejaVuSans" w:hAnsi="DejaVuSans" w:eastAsia="DejaVuSans"/>
                <w:color w:val="auto"/>
                <w:sz w:val="24"/>
                <w:highlight w:val="none"/>
              </w:rPr>
              <w:t>□</w:t>
            </w:r>
            <w:r>
              <w:rPr>
                <w:rFonts w:hint="eastAsia" w:ascii="FZSSK--GBK1-0" w:hAnsi="FZSSK--GBK1-0" w:eastAsia="FZSSK--GBK1-0"/>
                <w:color w:val="auto"/>
                <w:sz w:val="24"/>
                <w:highlight w:val="none"/>
              </w:rPr>
              <w:t>其他</w:t>
            </w:r>
          </w:p>
        </w:tc>
        <w:tc>
          <w:tcPr>
            <w:tcW w:w="1988" w:type="dxa"/>
            <w:vAlign w:val="center"/>
          </w:tcPr>
          <w:p w14:paraId="5883CCDD">
            <w:pPr>
              <w:shd w:val="clear" w:color="auto" w:fill="FFFFFF"/>
              <w:adjustRightInd w:val="0"/>
              <w:snapToGrid w:val="0"/>
              <w:jc w:val="left"/>
              <w:rPr>
                <w:rFonts w:ascii="宋体" w:hAnsi="宋体" w:cs="宋体"/>
                <w:bCs/>
                <w:color w:val="auto"/>
                <w:sz w:val="24"/>
                <w:highlight w:val="none"/>
              </w:rPr>
            </w:pPr>
          </w:p>
        </w:tc>
      </w:tr>
      <w:tr w14:paraId="33106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03" w:type="dxa"/>
            <w:vAlign w:val="center"/>
          </w:tcPr>
          <w:p w14:paraId="4F8097BA">
            <w:pPr>
              <w:shd w:val="clear" w:color="auto" w:fill="FFFFFF"/>
              <w:adjustRightInd w:val="0"/>
              <w:snapToGrid w:val="0"/>
              <w:jc w:val="center"/>
              <w:rPr>
                <w:rFonts w:ascii="宋体" w:hAnsi="宋体" w:cs="宋体"/>
                <w:bCs/>
                <w:color w:val="auto"/>
                <w:sz w:val="24"/>
                <w:highlight w:val="none"/>
              </w:rPr>
            </w:pPr>
            <w:r>
              <w:rPr>
                <w:rFonts w:hint="eastAsia" w:ascii="宋体" w:hAnsi="宋体" w:cs="宋体"/>
                <w:bCs/>
                <w:color w:val="auto"/>
                <w:sz w:val="24"/>
                <w:highlight w:val="none"/>
              </w:rPr>
              <w:t>...</w:t>
            </w:r>
          </w:p>
        </w:tc>
        <w:tc>
          <w:tcPr>
            <w:tcW w:w="3730" w:type="dxa"/>
            <w:vAlign w:val="center"/>
          </w:tcPr>
          <w:p w14:paraId="134995E9">
            <w:pPr>
              <w:shd w:val="clear" w:color="auto" w:fill="FFFFFF"/>
              <w:adjustRightInd w:val="0"/>
              <w:snapToGrid w:val="0"/>
              <w:jc w:val="left"/>
              <w:rPr>
                <w:rFonts w:ascii="宋体" w:hAnsi="宋体" w:cs="宋体"/>
                <w:bCs/>
                <w:color w:val="auto"/>
                <w:sz w:val="24"/>
                <w:highlight w:val="none"/>
              </w:rPr>
            </w:pPr>
          </w:p>
        </w:tc>
        <w:tc>
          <w:tcPr>
            <w:tcW w:w="2237" w:type="dxa"/>
            <w:vAlign w:val="center"/>
          </w:tcPr>
          <w:p w14:paraId="0908CF3C">
            <w:pPr>
              <w:shd w:val="clear" w:color="auto" w:fill="FFFFFF"/>
              <w:adjustRightInd w:val="0"/>
              <w:snapToGrid w:val="0"/>
              <w:jc w:val="center"/>
              <w:rPr>
                <w:rFonts w:ascii="宋体" w:hAnsi="宋体" w:cs="宋体"/>
                <w:bCs/>
                <w:color w:val="auto"/>
                <w:sz w:val="24"/>
                <w:highlight w:val="none"/>
              </w:rPr>
            </w:pPr>
          </w:p>
        </w:tc>
        <w:tc>
          <w:tcPr>
            <w:tcW w:w="1988" w:type="dxa"/>
            <w:vAlign w:val="center"/>
          </w:tcPr>
          <w:p w14:paraId="3202DE21">
            <w:pPr>
              <w:shd w:val="clear" w:color="auto" w:fill="FFFFFF"/>
              <w:adjustRightInd w:val="0"/>
              <w:snapToGrid w:val="0"/>
              <w:jc w:val="left"/>
              <w:rPr>
                <w:rFonts w:ascii="宋体" w:hAnsi="宋体" w:cs="宋体"/>
                <w:bCs/>
                <w:color w:val="auto"/>
                <w:sz w:val="24"/>
                <w:highlight w:val="none"/>
              </w:rPr>
            </w:pPr>
          </w:p>
        </w:tc>
      </w:tr>
      <w:tr w14:paraId="3AC3D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670" w:type="dxa"/>
            <w:gridSpan w:val="3"/>
            <w:vAlign w:val="center"/>
          </w:tcPr>
          <w:p w14:paraId="184D8ACE">
            <w:pPr>
              <w:shd w:val="clear" w:color="auto" w:fill="FFFFFF"/>
              <w:adjustRightInd w:val="0"/>
              <w:snapToGrid w:val="0"/>
              <w:jc w:val="center"/>
              <w:rPr>
                <w:color w:val="auto"/>
                <w:sz w:val="24"/>
                <w:highlight w:val="none"/>
              </w:rPr>
            </w:pPr>
            <w:r>
              <w:rPr>
                <w:rFonts w:hint="eastAsia"/>
                <w:color w:val="auto"/>
                <w:sz w:val="24"/>
                <w:highlight w:val="none"/>
              </w:rPr>
              <w:t>合计</w:t>
            </w:r>
          </w:p>
        </w:tc>
        <w:tc>
          <w:tcPr>
            <w:tcW w:w="1988" w:type="dxa"/>
            <w:vAlign w:val="center"/>
          </w:tcPr>
          <w:p w14:paraId="71D2B056">
            <w:pPr>
              <w:shd w:val="clear" w:color="auto" w:fill="FFFFFF"/>
              <w:adjustRightInd w:val="0"/>
              <w:snapToGrid w:val="0"/>
              <w:jc w:val="left"/>
              <w:rPr>
                <w:color w:val="auto"/>
                <w:sz w:val="24"/>
                <w:highlight w:val="none"/>
              </w:rPr>
            </w:pPr>
          </w:p>
        </w:tc>
      </w:tr>
    </w:tbl>
    <w:p w14:paraId="067F438F">
      <w:pPr>
        <w:widowControl/>
        <w:shd w:val="clear" w:color="auto" w:fill="FFFFFF"/>
        <w:jc w:val="left"/>
        <w:rPr>
          <w:color w:val="auto"/>
          <w:sz w:val="24"/>
          <w:szCs w:val="20"/>
          <w:highlight w:val="none"/>
        </w:rPr>
      </w:pPr>
    </w:p>
    <w:p w14:paraId="5B4F8649">
      <w:pPr>
        <w:widowControl/>
        <w:shd w:val="clear" w:color="auto" w:fill="FFFFFF"/>
        <w:jc w:val="left"/>
        <w:rPr>
          <w:color w:val="auto"/>
          <w:sz w:val="24"/>
          <w:szCs w:val="20"/>
          <w:highlight w:val="none"/>
        </w:rPr>
      </w:pPr>
    </w:p>
    <w:p w14:paraId="14DF8759">
      <w:pPr>
        <w:widowControl/>
        <w:shd w:val="clear" w:color="auto" w:fill="FFFFFF"/>
        <w:jc w:val="left"/>
        <w:rPr>
          <w:color w:val="auto"/>
          <w:sz w:val="24"/>
          <w:szCs w:val="20"/>
          <w:highlight w:val="none"/>
        </w:rPr>
      </w:pPr>
      <w:r>
        <w:rPr>
          <w:rFonts w:hint="eastAsia"/>
          <w:color w:val="auto"/>
          <w:sz w:val="24"/>
          <w:szCs w:val="20"/>
          <w:highlight w:val="none"/>
        </w:rPr>
        <w:t>注：</w:t>
      </w:r>
    </w:p>
    <w:p w14:paraId="5E58193A">
      <w:pPr>
        <w:widowControl/>
        <w:shd w:val="clear" w:color="auto" w:fill="FFFFFF"/>
        <w:jc w:val="left"/>
        <w:rPr>
          <w:color w:val="auto"/>
          <w:sz w:val="24"/>
          <w:szCs w:val="20"/>
          <w:highlight w:val="none"/>
        </w:rPr>
      </w:pPr>
      <w:r>
        <w:rPr>
          <w:rFonts w:hint="eastAsia"/>
          <w:color w:val="auto"/>
          <w:sz w:val="24"/>
          <w:szCs w:val="20"/>
          <w:highlight w:val="none"/>
        </w:rPr>
        <w:t>1. 如供应商为联合体或拟进行合同分包，则必须选择一种表格填报，否则</w:t>
      </w:r>
      <w:r>
        <w:rPr>
          <w:rFonts w:hint="eastAsia"/>
          <w:b/>
          <w:bCs/>
          <w:color w:val="auto"/>
          <w:sz w:val="24"/>
          <w:szCs w:val="20"/>
          <w:highlight w:val="none"/>
        </w:rPr>
        <w:t>响应无效</w:t>
      </w:r>
      <w:r>
        <w:rPr>
          <w:rFonts w:hint="eastAsia"/>
          <w:color w:val="auto"/>
          <w:sz w:val="24"/>
          <w:szCs w:val="20"/>
          <w:highlight w:val="none"/>
        </w:rPr>
        <w:t>。</w:t>
      </w:r>
    </w:p>
    <w:p w14:paraId="74CCB33D">
      <w:pPr>
        <w:widowControl/>
        <w:shd w:val="clear" w:color="auto" w:fill="FFFFFF"/>
        <w:jc w:val="left"/>
        <w:rPr>
          <w:color w:val="auto"/>
          <w:sz w:val="24"/>
          <w:szCs w:val="20"/>
          <w:highlight w:val="none"/>
        </w:rPr>
      </w:pPr>
      <w:r>
        <w:rPr>
          <w:rFonts w:hint="eastAsia"/>
          <w:color w:val="auto"/>
          <w:sz w:val="24"/>
          <w:szCs w:val="20"/>
          <w:highlight w:val="none"/>
        </w:rPr>
        <w:t>2.本表应按包分别填写。</w:t>
      </w:r>
    </w:p>
    <w:p w14:paraId="6C051DF3">
      <w:pPr>
        <w:widowControl/>
        <w:shd w:val="clear" w:color="auto" w:fill="FFFFFF"/>
        <w:jc w:val="left"/>
        <w:rPr>
          <w:color w:val="auto"/>
          <w:sz w:val="24"/>
          <w:szCs w:val="20"/>
          <w:highlight w:val="none"/>
        </w:rPr>
      </w:pPr>
      <w:r>
        <w:rPr>
          <w:rFonts w:hint="eastAsia"/>
          <w:color w:val="auto"/>
          <w:sz w:val="24"/>
          <w:szCs w:val="20"/>
          <w:highlight w:val="none"/>
        </w:rPr>
        <w:t>3.此表无需在响应文件中提交，磋商后供应商按磋商小组要求提交。</w:t>
      </w:r>
    </w:p>
    <w:p w14:paraId="1B5AD79C">
      <w:pPr>
        <w:widowControl/>
        <w:shd w:val="clear" w:color="auto" w:fill="FFFFFF"/>
        <w:jc w:val="left"/>
        <w:rPr>
          <w:rFonts w:ascii="宋体" w:hAnsi="宋体" w:cs="宋体"/>
          <w:b/>
          <w:color w:val="auto"/>
          <w:sz w:val="36"/>
          <w:szCs w:val="36"/>
          <w:highlight w:val="none"/>
        </w:rPr>
      </w:pPr>
    </w:p>
    <w:p w14:paraId="070E378B">
      <w:pPr>
        <w:widowControl/>
        <w:shd w:val="clear" w:color="auto" w:fill="FFFFFF"/>
        <w:jc w:val="left"/>
        <w:rPr>
          <w:rFonts w:ascii="宋体" w:hAnsi="宋体" w:cs="宋体"/>
          <w:b/>
          <w:color w:val="auto"/>
          <w:sz w:val="36"/>
          <w:szCs w:val="36"/>
          <w:highlight w:val="none"/>
        </w:rPr>
      </w:pPr>
    </w:p>
    <w:p w14:paraId="477587FE">
      <w:pPr>
        <w:shd w:val="clear" w:color="auto" w:fill="FFFFFF"/>
        <w:autoSpaceDE w:val="0"/>
        <w:autoSpaceDN w:val="0"/>
        <w:adjustRightInd w:val="0"/>
        <w:snapToGrid w:val="0"/>
        <w:spacing w:before="25" w:after="25" w:line="360" w:lineRule="auto"/>
        <w:rPr>
          <w:color w:val="auto"/>
          <w:sz w:val="24"/>
          <w:highlight w:val="none"/>
          <w:lang w:val="zh-CN"/>
        </w:rPr>
      </w:pPr>
      <w:r>
        <w:rPr>
          <w:color w:val="auto"/>
          <w:kern w:val="0"/>
          <w:sz w:val="24"/>
          <w:highlight w:val="none"/>
        </w:rPr>
        <w:t>供应商授权代表签字（或加盖供应商公章）</w:t>
      </w:r>
      <w:r>
        <w:rPr>
          <w:color w:val="auto"/>
          <w:sz w:val="24"/>
          <w:highlight w:val="none"/>
          <w:lang w:val="zh-CN"/>
        </w:rPr>
        <w:t xml:space="preserve">：____________ </w:t>
      </w:r>
    </w:p>
    <w:p w14:paraId="02EEF378">
      <w:pPr>
        <w:widowControl/>
        <w:shd w:val="clear" w:color="auto" w:fill="FFFFFF"/>
        <w:jc w:val="left"/>
        <w:rPr>
          <w:color w:val="auto"/>
          <w:sz w:val="24"/>
          <w:szCs w:val="20"/>
          <w:highlight w:val="none"/>
        </w:rPr>
      </w:pPr>
      <w:r>
        <w:rPr>
          <w:color w:val="auto"/>
          <w:sz w:val="24"/>
          <w:szCs w:val="20"/>
          <w:highlight w:val="none"/>
        </w:rPr>
        <w:t xml:space="preserve">日期：____年____月____日  </w:t>
      </w:r>
    </w:p>
    <w:p w14:paraId="23FEEE0E">
      <w:pPr>
        <w:widowControl/>
        <w:shd w:val="clear" w:color="auto" w:fill="FFFFFF"/>
        <w:jc w:val="left"/>
        <w:rPr>
          <w:color w:val="auto"/>
          <w:sz w:val="24"/>
          <w:szCs w:val="20"/>
          <w:highlight w:val="none"/>
        </w:rPr>
        <w:sectPr>
          <w:pgSz w:w="11907" w:h="16840"/>
          <w:pgMar w:top="1417" w:right="1417" w:bottom="1417" w:left="1417" w:header="851" w:footer="851" w:gutter="0"/>
          <w:cols w:space="720" w:num="1"/>
          <w:docGrid w:linePitch="462" w:charSpace="0"/>
        </w:sectPr>
      </w:pPr>
    </w:p>
    <w:p w14:paraId="05FF500E">
      <w:pPr>
        <w:pStyle w:val="3"/>
        <w:numPr>
          <w:ilvl w:val="0"/>
          <w:numId w:val="29"/>
        </w:numPr>
        <w:spacing w:after="234" w:line="265" w:lineRule="auto"/>
        <w:ind w:left="262" w:right="378"/>
        <w:rPr>
          <w:rFonts w:hAnsi="宋体" w:cs="宋体"/>
          <w:color w:val="auto"/>
          <w:szCs w:val="28"/>
          <w:highlight w:val="none"/>
        </w:rPr>
      </w:pPr>
      <w:bookmarkStart w:id="1898" w:name="_Toc17359"/>
      <w:bookmarkStart w:id="1899" w:name="_Toc2666"/>
      <w:r>
        <w:rPr>
          <w:rFonts w:hint="eastAsia" w:hAnsi="宋体" w:cs="宋体"/>
          <w:color w:val="auto"/>
          <w:szCs w:val="28"/>
          <w:highlight w:val="none"/>
        </w:rPr>
        <w:t>图纸及工程量清单</w:t>
      </w:r>
      <w:bookmarkEnd w:id="1898"/>
      <w:bookmarkEnd w:id="1899"/>
    </w:p>
    <w:p w14:paraId="2EAEDFB6">
      <w:pPr>
        <w:spacing w:after="81" w:line="259" w:lineRule="auto"/>
        <w:ind w:left="10" w:right="-11" w:hanging="10"/>
        <w:jc w:val="right"/>
        <w:rPr>
          <w:rFonts w:ascii="宋体" w:hAnsi="宋体" w:cs="宋体"/>
          <w:color w:val="auto"/>
          <w:highlight w:val="none"/>
        </w:rPr>
      </w:pPr>
    </w:p>
    <w:p w14:paraId="05C90C8E">
      <w:pPr>
        <w:spacing w:after="44" w:line="259" w:lineRule="auto"/>
        <w:ind w:left="125"/>
        <w:jc w:val="center"/>
        <w:rPr>
          <w:rFonts w:ascii="宋体" w:hAnsi="宋体" w:cs="宋体"/>
          <w:color w:val="auto"/>
          <w:highlight w:val="none"/>
        </w:rPr>
      </w:pPr>
      <w:r>
        <w:rPr>
          <w:rFonts w:hint="eastAsia" w:ascii="宋体" w:hAnsi="宋体" w:cs="宋体"/>
          <w:color w:val="auto"/>
          <w:sz w:val="30"/>
          <w:highlight w:val="none"/>
        </w:rPr>
        <w:t xml:space="preserve">（工程量清单详见附件） </w:t>
      </w:r>
    </w:p>
    <w:p w14:paraId="0CF36959">
      <w:pPr>
        <w:pStyle w:val="67"/>
        <w:rPr>
          <w:color w:val="auto"/>
          <w:highlight w:val="none"/>
        </w:rPr>
      </w:pPr>
    </w:p>
    <w:sectPr>
      <w:pgSz w:w="11907" w:h="16840"/>
      <w:pgMar w:top="1417" w:right="1417" w:bottom="1417" w:left="1417"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ˎ̥">
    <w:altName w:val="Times New Roman"/>
    <w:panose1 w:val="00000000000000000000"/>
    <w:charset w:val="00"/>
    <w:family w:val="roma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7FFAEFF" w:usb1="F9DFFFFF" w:usb2="0000007F" w:usb3="00000000" w:csb0="203F01FF" w:csb1="DFFF0000"/>
  </w:font>
  <w:font w:name="Verdana">
    <w:panose1 w:val="020B0604030504040204"/>
    <w:charset w:val="00"/>
    <w:family w:val="swiss"/>
    <w:pitch w:val="default"/>
    <w:sig w:usb0="A00006FF" w:usb1="4000205B" w:usb2="00000010" w:usb3="00000000" w:csb0="2000019F" w:csb1="00000000"/>
  </w:font>
  <w:font w:name="Century Gothic">
    <w:panose1 w:val="020B0502020202020204"/>
    <w:charset w:val="00"/>
    <w:family w:val="swiss"/>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
    <w:altName w:val="Arial"/>
    <w:panose1 w:val="00000000000000000000"/>
    <w:charset w:val="00"/>
    <w:family w:val="auto"/>
    <w:pitch w:val="default"/>
    <w:sig w:usb0="00000000" w:usb1="00000000" w:usb2="00000000" w:usb3="00000000" w:csb0="00000001" w:csb1="00000000"/>
  </w:font>
  <w:font w:name="华文细黑">
    <w:panose1 w:val="02010600040101010101"/>
    <w:charset w:val="86"/>
    <w:family w:val="auto"/>
    <w:pitch w:val="default"/>
    <w:sig w:usb0="00000287" w:usb1="080F0000" w:usb2="00000000" w:usb3="00000000" w:csb0="0004009F" w:csb1="DFD70000"/>
  </w:font>
  <w:font w:name="Helvetica-Condensed-Bold">
    <w:altName w:val="微软雅黑"/>
    <w:panose1 w:val="00000000000000000000"/>
    <w:charset w:val="00"/>
    <w:family w:val="auto"/>
    <w:pitch w:val="default"/>
    <w:sig w:usb0="00000000" w:usb1="00000000" w:usb2="0000001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
    <w:altName w:val="Segoe Print"/>
    <w:panose1 w:val="00000000000000000000"/>
    <w:charset w:val="00"/>
    <w:family w:val="auto"/>
    <w:pitch w:val="default"/>
    <w:sig w:usb0="00000000" w:usb1="00000000" w:usb2="00000000" w:usb3="00000000" w:csb0="00000001" w:csb1="00000000"/>
  </w:font>
  <w:font w:name="Arial Narrow">
    <w:panose1 w:val="020B0606020202030204"/>
    <w:charset w:val="00"/>
    <w:family w:val="swiss"/>
    <w:pitch w:val="default"/>
    <w:sig w:usb0="00000287" w:usb1="00000800" w:usb2="00000000" w:usb3="00000000" w:csb0="2000009F" w:csb1="DFD70000"/>
  </w:font>
  <w:font w:name="全真中明體">
    <w:altName w:val="Segoe Print"/>
    <w:panose1 w:val="00000000000000000000"/>
    <w:charset w:val="00"/>
    <w:family w:val="auto"/>
    <w:pitch w:val="default"/>
    <w:sig w:usb0="00000000" w:usb1="00000000" w:usb2="00000010" w:usb3="00000000" w:csb0="00100000" w:csb1="00000000"/>
  </w:font>
  <w:font w:name="Sim Sun+ 2">
    <w:altName w:val="微软雅黑"/>
    <w:panose1 w:val="00000000000000000000"/>
    <w:charset w:val="00"/>
    <w:family w:val="auto"/>
    <w:pitch w:val="default"/>
    <w:sig w:usb0="00000000" w:usb1="00000000" w:usb2="00000010" w:usb3="00000000" w:csb0="00040000" w:csb1="00000000"/>
  </w:font>
  <w:font w:name="Palatino Linotype">
    <w:panose1 w:val="02040502050505030304"/>
    <w:charset w:val="00"/>
    <w:family w:val="roman"/>
    <w:pitch w:val="default"/>
    <w:sig w:usb0="E0000287" w:usb1="40000013" w:usb2="00000000" w:usb3="00000000" w:csb0="2000019F" w:csb1="00000000"/>
  </w:font>
  <w:font w:name="Book Antiqua">
    <w:panose1 w:val="02040602050305030304"/>
    <w:charset w:val="00"/>
    <w:family w:val="roman"/>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Helvetica Neue">
    <w:altName w:val="Sylfaen"/>
    <w:panose1 w:val="00000000000000000000"/>
    <w:charset w:val="00"/>
    <w:family w:val="auto"/>
    <w:pitch w:val="default"/>
    <w:sig w:usb0="00000000" w:usb1="00000000" w:usb2="00000000" w:usb3="00000000" w:csb0="00040001" w:csb1="00000000"/>
  </w:font>
  <w:font w:name="Sylfaen">
    <w:panose1 w:val="010A0502050306030303"/>
    <w:charset w:val="00"/>
    <w:family w:val="auto"/>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ì.">
    <w:altName w:val="微软雅黑"/>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Arial Black">
    <w:panose1 w:val="020B0A04020102020204"/>
    <w:charset w:val="00"/>
    <w:family w:val="swiss"/>
    <w:pitch w:val="default"/>
    <w:sig w:usb0="A00002AF" w:usb1="400078FB" w:usb2="00000000" w:usb3="00000000" w:csb0="6000009F" w:csb1="DFD70000"/>
  </w:font>
  <w:font w:name="Plotter">
    <w:altName w:val="Segoe Print"/>
    <w:panose1 w:val="00000000000000000000"/>
    <w:charset w:val="00"/>
    <w:family w:val="roman"/>
    <w:pitch w:val="default"/>
    <w:sig w:usb0="00000000" w:usb1="00000000" w:usb2="00000000" w:usb3="00000000" w:csb0="00000001" w:csb1="00000000"/>
  </w:font>
  <w:font w:name="Comic Sans MS">
    <w:panose1 w:val="030F0702030302020204"/>
    <w:charset w:val="00"/>
    <w:family w:val="script"/>
    <w:pitch w:val="default"/>
    <w:sig w:usb0="00000287" w:usb1="00000013" w:usb2="00000000" w:usb3="00000000" w:csb0="2000009F" w:csb1="00000000"/>
  </w:font>
  <w:font w:name="Angsana New">
    <w:altName w:val="Microsoft Sans Serif"/>
    <w:panose1 w:val="02020603050405020304"/>
    <w:charset w:val="DE"/>
    <w:family w:val="roman"/>
    <w:pitch w:val="default"/>
    <w:sig w:usb0="00000000" w:usb1="00000000" w:usb2="00000000" w:usb3="00000000" w:csb0="00010001" w:csb1="00000000"/>
  </w:font>
  <w:font w:name="Microsoft Sans Serif">
    <w:panose1 w:val="020B0604020202020204"/>
    <w:charset w:val="00"/>
    <w:family w:val="swiss"/>
    <w:pitch w:val="default"/>
    <w:sig w:usb0="E5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Futura Bk">
    <w:altName w:val="Arial"/>
    <w:panose1 w:val="00000000000000000000"/>
    <w:charset w:val="00"/>
    <w:family w:val="auto"/>
    <w:pitch w:val="default"/>
    <w:sig w:usb0="00000000" w:usb1="00000000" w:usb2="00000000" w:usb3="00000000" w:csb0="000001FB"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文鼎粗黑">
    <w:altName w:val="黑体"/>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FZSSK--GBK1-0">
    <w:altName w:val="宋体"/>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Bookman Old Style">
    <w:panose1 w:val="02050604050505020204"/>
    <w:charset w:val="00"/>
    <w:family w:val="roman"/>
    <w:pitch w:val="default"/>
    <w:sig w:usb0="00000287" w:usb1="00000000" w:usb2="00000000" w:usb3="00000000" w:csb0="2000009F" w:csb1="DFD70000"/>
  </w:font>
  <w:font w:name="DejaVuSans">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25331">
    <w:pPr>
      <w:pStyle w:val="53"/>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01139"/>
    </w:sdtPr>
    <w:sdtContent>
      <w:p w14:paraId="73CA9EB6">
        <w:pPr>
          <w:pStyle w:val="53"/>
          <w:jc w:val="center"/>
        </w:pPr>
        <w:r>
          <w:fldChar w:fldCharType="begin"/>
        </w:r>
        <w:r>
          <w:instrText xml:space="preserve">PAGE   \* MERGEFORMAT</w:instrText>
        </w:r>
        <w:r>
          <w:fldChar w:fldCharType="separate"/>
        </w:r>
        <w:r>
          <w:rPr>
            <w:lang w:val="zh-CN"/>
          </w:rPr>
          <w:t>2</w:t>
        </w:r>
        <w:r>
          <w:fldChar w:fldCharType="end"/>
        </w:r>
      </w:p>
    </w:sdtContent>
  </w:sdt>
  <w:p w14:paraId="3F37A8E0"/>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8240721"/>
    </w:sdtPr>
    <w:sdtContent>
      <w:p w14:paraId="3B04A763">
        <w:pPr>
          <w:pStyle w:val="53"/>
          <w:jc w:val="center"/>
        </w:pPr>
        <w:r>
          <w:fldChar w:fldCharType="begin"/>
        </w:r>
        <w:r>
          <w:instrText xml:space="preserve">PAGE   \* MERGEFORMAT</w:instrText>
        </w:r>
        <w:r>
          <w:fldChar w:fldCharType="separate"/>
        </w:r>
        <w:r>
          <w:rPr>
            <w:lang w:val="zh-CN"/>
          </w:rPr>
          <w:t>2</w:t>
        </w:r>
        <w:r>
          <w:fldChar w:fldCharType="end"/>
        </w:r>
      </w:p>
    </w:sdtContent>
  </w:sdt>
  <w:p w14:paraId="3C965080"/>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245524"/>
    </w:sdtPr>
    <w:sdtContent>
      <w:p w14:paraId="4E38AFCE">
        <w:pPr>
          <w:pStyle w:val="53"/>
          <w:jc w:val="center"/>
        </w:pPr>
        <w:r>
          <w:fldChar w:fldCharType="begin"/>
        </w:r>
        <w:r>
          <w:instrText xml:space="preserve">PAGE   \* MERGEFORMAT</w:instrText>
        </w:r>
        <w:r>
          <w:fldChar w:fldCharType="separate"/>
        </w:r>
        <w:r>
          <w:rPr>
            <w:lang w:val="zh-CN"/>
          </w:rPr>
          <w:t>2</w:t>
        </w:r>
        <w:r>
          <w:fldChar w:fldCharType="end"/>
        </w:r>
      </w:p>
    </w:sdtContent>
  </w:sdt>
  <w:p w14:paraId="6FBD454E">
    <w:pPr>
      <w:pStyle w:val="53"/>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913C2">
    <w:pPr>
      <w:pStyle w:val="53"/>
      <w:framePr w:wrap="around" w:vAnchor="text" w:hAnchor="margin" w:xAlign="right" w:y="1"/>
      <w:rPr>
        <w:rStyle w:val="89"/>
      </w:rPr>
    </w:pPr>
    <w:r>
      <w:fldChar w:fldCharType="begin"/>
    </w:r>
    <w:r>
      <w:rPr>
        <w:rStyle w:val="89"/>
      </w:rPr>
      <w:instrText xml:space="preserve">PAGE  </w:instrText>
    </w:r>
    <w:r>
      <w:fldChar w:fldCharType="end"/>
    </w:r>
  </w:p>
  <w:p w14:paraId="6DE7C2FB">
    <w:pPr>
      <w:pStyle w:val="53"/>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F3E7B">
    <w:pPr>
      <w:pStyle w:val="53"/>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360424">
    <w:pPr>
      <w:pStyle w:val="53"/>
      <w:framePr w:wrap="around" w:vAnchor="text" w:hAnchor="margin" w:xAlign="right" w:y="1"/>
      <w:rPr>
        <w:rStyle w:val="89"/>
      </w:rPr>
    </w:pPr>
    <w:r>
      <w:fldChar w:fldCharType="begin"/>
    </w:r>
    <w:r>
      <w:rPr>
        <w:rStyle w:val="89"/>
      </w:rPr>
      <w:instrText xml:space="preserve">PAGE  </w:instrText>
    </w:r>
    <w:r>
      <w:fldChar w:fldCharType="end"/>
    </w:r>
  </w:p>
  <w:p w14:paraId="5E49A80D">
    <w:pPr>
      <w:pStyle w:val="53"/>
      <w:ind w:right="360"/>
    </w:pPr>
  </w:p>
  <w:p w14:paraId="4AC0E5CB"/>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0DC63">
    <w:pPr>
      <w:pStyle w:val="5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8DCCC">
    <w:pPr>
      <w:pStyle w:val="32"/>
      <w:spacing w:line="187" w:lineRule="auto"/>
      <w:ind w:left="4434"/>
      <w:rPr>
        <w:sz w:val="18"/>
        <w:szCs w:val="18"/>
      </w:rPr>
    </w:pPr>
    <w:r>
      <w:rPr>
        <w:sz w:val="18"/>
      </w:rPr>
      <mc:AlternateContent>
        <mc:Choice Requires="wps">
          <w:drawing>
            <wp:anchor distT="0" distB="0" distL="0" distR="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0" name="文本框 2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0A84F91">
                          <w:pPr>
                            <w:pStyle w:val="53"/>
                          </w:pPr>
                          <w:r>
                            <w:fldChar w:fldCharType="begin"/>
                          </w:r>
                          <w:r>
                            <w:instrText xml:space="preserve"> PAGE  \* MERGEFORMAT </w:instrText>
                          </w:r>
                          <w:r>
                            <w:fldChar w:fldCharType="separate"/>
                          </w:r>
                          <w:r>
                            <w:t>51</w:t>
                          </w:r>
                          <w:r>
                            <w:fldChar w:fldCharType="end"/>
                          </w:r>
                        </w:p>
                      </w:txbxContent>
                    </wps:txbx>
                    <wps:bodyPr vert="horz" wrap="none" lIns="0" tIns="0" rIns="0" bIns="0" anchor="t">
                      <a:spAutoFit/>
                    </wps:bodyPr>
                  </wps:wsp>
                </a:graphicData>
              </a:graphic>
            </wp:anchor>
          </w:drawing>
        </mc:Choice>
        <mc:Fallback>
          <w:pict>
            <v:rect id="文本框 20"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Ll1uVLQAAAABQEAAA8AAAAAAAAAAQAgAAAAIgAAAGRycy9kb3ducmV2Lnht&#10;bFBLAQIUABQAAAAIAIdO4kBCXMfgyAEAAJMDAAAOAAAAAAAAAAEAIAAAAB8BAABkcnMvZTJvRG9j&#10;LnhtbFBLBQYAAAAABgAGAFkBAABZBQAAAAA=&#10;">
              <v:fill on="f" focussize="0,0"/>
              <v:stroke on="f"/>
              <v:imagedata o:title=""/>
              <o:lock v:ext="edit" aspectratio="f"/>
              <v:textbox inset="0mm,0mm,0mm,0mm" style="mso-fit-shape-to-text:t;">
                <w:txbxContent>
                  <w:p w14:paraId="70A84F91">
                    <w:pPr>
                      <w:pStyle w:val="53"/>
                    </w:pPr>
                    <w:r>
                      <w:fldChar w:fldCharType="begin"/>
                    </w:r>
                    <w:r>
                      <w:instrText xml:space="preserve"> PAGE  \* MERGEFORMAT </w:instrText>
                    </w:r>
                    <w:r>
                      <w:fldChar w:fldCharType="separate"/>
                    </w:r>
                    <w:r>
                      <w:t>51</w:t>
                    </w:r>
                    <w:r>
                      <w:fldChar w:fldCharType="end"/>
                    </w:r>
                  </w:p>
                </w:txbxContent>
              </v:textbox>
            </v:rect>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F1276">
    <w:pPr>
      <w:pStyle w:val="32"/>
      <w:spacing w:line="189" w:lineRule="auto"/>
      <w:ind w:left="4434"/>
      <w:rPr>
        <w:sz w:val="18"/>
        <w:szCs w:val="18"/>
      </w:rPr>
    </w:pPr>
    <w:r>
      <w:rPr>
        <w:sz w:val="18"/>
      </w:rPr>
      <mc:AlternateContent>
        <mc:Choice Requires="wps">
          <w:drawing>
            <wp:anchor distT="0" distB="0" distL="0" distR="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1" name="文本框 2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9546D20">
                          <w:pPr>
                            <w:pStyle w:val="53"/>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21" o:spid="_x0000_s1026" o:spt="1"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Cwz3V7KAQAAkwMAAA4AAAAAAAAAAQAgAAAAHwEAAGRycy9lMm9E&#10;b2MueG1sUEsFBgAAAAAGAAYAWQEAAFsFAAAAAA==&#10;">
              <v:fill on="f" focussize="0,0"/>
              <v:stroke on="f"/>
              <v:imagedata o:title=""/>
              <o:lock v:ext="edit" aspectratio="f"/>
              <v:textbox inset="0mm,0mm,0mm,0mm" style="mso-fit-shape-to-text:t;">
                <w:txbxContent>
                  <w:p w14:paraId="39546D20">
                    <w:pPr>
                      <w:pStyle w:val="53"/>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02434">
    <w:pPr>
      <w:pStyle w:val="32"/>
      <w:spacing w:line="189" w:lineRule="auto"/>
      <w:ind w:left="4439"/>
      <w:rPr>
        <w:sz w:val="18"/>
        <w:szCs w:val="18"/>
      </w:rPr>
    </w:pPr>
    <w:r>
      <w:rPr>
        <w:sz w:val="18"/>
      </w:rPr>
      <mc:AlternateContent>
        <mc:Choice Requires="wps">
          <w:drawing>
            <wp:anchor distT="0" distB="0" distL="0" distR="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2" name="文本框 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804CF4D">
                          <w:pPr>
                            <w:pStyle w:val="53"/>
                          </w:pPr>
                          <w:r>
                            <w:fldChar w:fldCharType="begin"/>
                          </w:r>
                          <w:r>
                            <w:instrText xml:space="preserve"> PAGE  \* MERGEFORMAT </w:instrText>
                          </w:r>
                          <w:r>
                            <w:fldChar w:fldCharType="separate"/>
                          </w:r>
                          <w:r>
                            <w:t>53</w:t>
                          </w:r>
                          <w:r>
                            <w:fldChar w:fldCharType="end"/>
                          </w:r>
                        </w:p>
                      </w:txbxContent>
                    </wps:txbx>
                    <wps:bodyPr vert="horz" wrap="none" lIns="0" tIns="0" rIns="0" bIns="0" anchor="t">
                      <a:spAutoFit/>
                    </wps:bodyPr>
                  </wps:wsp>
                </a:graphicData>
              </a:graphic>
            </wp:anchor>
          </w:drawing>
        </mc:Choice>
        <mc:Fallback>
          <w:pict>
            <v:rect id="文本框 27" o:spid="_x0000_s1026" o:spt="1"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CzBOsJywEAAJMDAAAOAAAAAAAAAAEAIAAAAB8BAABkcnMvZTJv&#10;RG9jLnhtbFBLBQYAAAAABgAGAFkBAABcBQAAAAA=&#10;">
              <v:fill on="f" focussize="0,0"/>
              <v:stroke on="f"/>
              <v:imagedata o:title=""/>
              <o:lock v:ext="edit" aspectratio="f"/>
              <v:textbox inset="0mm,0mm,0mm,0mm" style="mso-fit-shape-to-text:t;">
                <w:txbxContent>
                  <w:p w14:paraId="1804CF4D">
                    <w:pPr>
                      <w:pStyle w:val="53"/>
                    </w:pPr>
                    <w:r>
                      <w:fldChar w:fldCharType="begin"/>
                    </w:r>
                    <w:r>
                      <w:instrText xml:space="preserve"> PAGE  \* MERGEFORMAT </w:instrText>
                    </w:r>
                    <w:r>
                      <w:fldChar w:fldCharType="separate"/>
                    </w:r>
                    <w:r>
                      <w:t>53</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D3E36">
    <w:pPr>
      <w:pStyle w:val="53"/>
      <w:framePr w:wrap="around" w:vAnchor="text" w:hAnchor="margin" w:xAlign="center" w:y="1"/>
      <w:rPr>
        <w:rStyle w:val="89"/>
      </w:rPr>
    </w:pPr>
    <w:r>
      <w:fldChar w:fldCharType="begin"/>
    </w:r>
    <w:r>
      <w:rPr>
        <w:rStyle w:val="89"/>
      </w:rPr>
      <w:instrText xml:space="preserve">PAGE  </w:instrText>
    </w:r>
    <w:r>
      <w:fldChar w:fldCharType="end"/>
    </w:r>
  </w:p>
  <w:p w14:paraId="67E87F8C">
    <w:pPr>
      <w:pStyle w:val="53"/>
      <w:ind w:right="360" w:firstLine="360"/>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883B4">
    <w:pPr>
      <w:pStyle w:val="32"/>
      <w:spacing w:line="187" w:lineRule="auto"/>
      <w:ind w:left="4435"/>
      <w:rPr>
        <w:sz w:val="18"/>
        <w:szCs w:val="18"/>
      </w:rPr>
    </w:pPr>
    <w:r>
      <w:rPr>
        <w:sz w:val="18"/>
      </w:rPr>
      <mc:AlternateContent>
        <mc:Choice Requires="wps">
          <w:drawing>
            <wp:anchor distT="0" distB="0" distL="0" distR="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3" name="文本框 2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06F868B">
                          <w:pPr>
                            <w:pStyle w:val="53"/>
                          </w:pPr>
                          <w:r>
                            <w:fldChar w:fldCharType="begin"/>
                          </w:r>
                          <w:r>
                            <w:instrText xml:space="preserve"> PAGE  \* MERGEFORMAT </w:instrText>
                          </w:r>
                          <w:r>
                            <w:fldChar w:fldCharType="separate"/>
                          </w:r>
                          <w:r>
                            <w:t>2</w:t>
                          </w:r>
                          <w:r>
                            <w:fldChar w:fldCharType="end"/>
                          </w:r>
                        </w:p>
                      </w:txbxContent>
                    </wps:txbx>
                    <wps:bodyPr vert="horz" wrap="none" lIns="0" tIns="0" rIns="0" bIns="0" anchor="t">
                      <a:spAutoFit/>
                    </wps:bodyPr>
                  </wps:wsp>
                </a:graphicData>
              </a:graphic>
            </wp:anchor>
          </w:drawing>
        </mc:Choice>
        <mc:Fallback>
          <w:pict>
            <v:rect id="文本框 28" o:spid="_x0000_s1026" o:spt="1"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gleYeywEAAJMDAAAOAAAAAAAAAAEAIAAAAB8BAABkcnMvZTJv&#10;RG9jLnhtbFBLBQYAAAAABgAGAFkBAABcBQAAAAA=&#10;">
              <v:fill on="f" focussize="0,0"/>
              <v:stroke on="f"/>
              <v:imagedata o:title=""/>
              <o:lock v:ext="edit" aspectratio="f"/>
              <v:textbox inset="0mm,0mm,0mm,0mm" style="mso-fit-shape-to-text:t;">
                <w:txbxContent>
                  <w:p w14:paraId="106F868B">
                    <w:pPr>
                      <w:pStyle w:val="53"/>
                    </w:pPr>
                    <w:r>
                      <w:fldChar w:fldCharType="begin"/>
                    </w:r>
                    <w:r>
                      <w:instrText xml:space="preserve"> PAGE  \* MERGEFORMAT </w:instrText>
                    </w:r>
                    <w:r>
                      <w:fldChar w:fldCharType="separate"/>
                    </w:r>
                    <w:r>
                      <w:t>2</w:t>
                    </w:r>
                    <w:r>
                      <w:fldChar w:fldCharType="end"/>
                    </w:r>
                  </w:p>
                </w:txbxContent>
              </v:textbox>
            </v:rect>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9DCBA">
    <w:pPr>
      <w:pStyle w:val="53"/>
    </w:pPr>
    <w:r>
      <mc:AlternateContent>
        <mc:Choice Requires="wps">
          <w:drawing>
            <wp:anchor distT="0" distB="0" distL="0" distR="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4" name="文本框 3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96B66EB">
                          <w:pPr>
                            <w:pStyle w:val="53"/>
                          </w:pPr>
                          <w:r>
                            <w:fldChar w:fldCharType="begin"/>
                          </w:r>
                          <w:r>
                            <w:instrText xml:space="preserve"> PAGE  \* MERGEFORMAT </w:instrText>
                          </w:r>
                          <w:r>
                            <w:fldChar w:fldCharType="separate"/>
                          </w:r>
                          <w:r>
                            <w:t>56</w:t>
                          </w:r>
                          <w:r>
                            <w:fldChar w:fldCharType="end"/>
                          </w:r>
                        </w:p>
                      </w:txbxContent>
                    </wps:txbx>
                    <wps:bodyPr vert="horz" wrap="none" lIns="0" tIns="0" rIns="0" bIns="0" anchor="t">
                      <a:spAutoFit/>
                    </wps:bodyPr>
                  </wps:wsp>
                </a:graphicData>
              </a:graphic>
            </wp:anchor>
          </w:drawing>
        </mc:Choice>
        <mc:Fallback>
          <w:pict>
            <v:rect id="文本框 35" o:spid="_x0000_s1026" o:spt="1"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DqgDd3ywEAAJMDAAAOAAAAAAAAAAEAIAAAAB8BAABkcnMvZTJv&#10;RG9jLnhtbFBLBQYAAAAABgAGAFkBAABcBQAAAAA=&#10;">
              <v:fill on="f" focussize="0,0"/>
              <v:stroke on="f"/>
              <v:imagedata o:title=""/>
              <o:lock v:ext="edit" aspectratio="f"/>
              <v:textbox inset="0mm,0mm,0mm,0mm" style="mso-fit-shape-to-text:t;">
                <w:txbxContent>
                  <w:p w14:paraId="196B66EB">
                    <w:pPr>
                      <w:pStyle w:val="53"/>
                    </w:pPr>
                    <w:r>
                      <w:fldChar w:fldCharType="begin"/>
                    </w:r>
                    <w:r>
                      <w:instrText xml:space="preserve"> PAGE  \* MERGEFORMAT </w:instrText>
                    </w:r>
                    <w:r>
                      <w:fldChar w:fldCharType="separate"/>
                    </w:r>
                    <w:r>
                      <w:t>56</w:t>
                    </w:r>
                    <w:r>
                      <w:fldChar w:fldCharType="end"/>
                    </w:r>
                  </w:p>
                </w:txbxContent>
              </v:textbox>
            </v:rect>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BC2DD">
    <w:pPr>
      <w:pStyle w:val="53"/>
    </w:pPr>
    <w:r>
      <mc:AlternateContent>
        <mc:Choice Requires="wps">
          <w:drawing>
            <wp:anchor distT="0" distB="0" distL="0" distR="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5" name="文本框 3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A635E0E">
                          <w:pPr>
                            <w:pStyle w:val="53"/>
                          </w:pPr>
                          <w:r>
                            <w:fldChar w:fldCharType="begin"/>
                          </w:r>
                          <w:r>
                            <w:instrText xml:space="preserve"> PAGE  \* MERGEFORMAT </w:instrText>
                          </w:r>
                          <w:r>
                            <w:fldChar w:fldCharType="separate"/>
                          </w:r>
                          <w:r>
                            <w:t>58</w:t>
                          </w:r>
                          <w:r>
                            <w:fldChar w:fldCharType="end"/>
                          </w:r>
                        </w:p>
                      </w:txbxContent>
                    </wps:txbx>
                    <wps:bodyPr vert="horz" wrap="none" lIns="0" tIns="0" rIns="0" bIns="0" anchor="t">
                      <a:spAutoFit/>
                    </wps:bodyPr>
                  </wps:wsp>
                </a:graphicData>
              </a:graphic>
            </wp:anchor>
          </w:drawing>
        </mc:Choice>
        <mc:Fallback>
          <w:pict>
            <v:rect id="文本框 38" o:spid="_x0000_s1026" o:spt="1"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r7WCXywEAAJMDAAAOAAAAAAAAAAEAIAAAAB8BAABkcnMvZTJv&#10;RG9jLnhtbFBLBQYAAAAABgAGAFkBAABcBQAAAAA=&#10;">
              <v:fill on="f" focussize="0,0"/>
              <v:stroke on="f"/>
              <v:imagedata o:title=""/>
              <o:lock v:ext="edit" aspectratio="f"/>
              <v:textbox inset="0mm,0mm,0mm,0mm" style="mso-fit-shape-to-text:t;">
                <w:txbxContent>
                  <w:p w14:paraId="5A635E0E">
                    <w:pPr>
                      <w:pStyle w:val="53"/>
                    </w:pPr>
                    <w:r>
                      <w:fldChar w:fldCharType="begin"/>
                    </w:r>
                    <w:r>
                      <w:instrText xml:space="preserve"> PAGE  \* MERGEFORMAT </w:instrText>
                    </w:r>
                    <w:r>
                      <w:fldChar w:fldCharType="separate"/>
                    </w:r>
                    <w:r>
                      <w:t>58</w:t>
                    </w:r>
                    <w:r>
                      <w:fldChar w:fldCharType="end"/>
                    </w:r>
                  </w:p>
                </w:txbxContent>
              </v:textbox>
            </v:rect>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D64A">
    <w:pPr>
      <w:pStyle w:val="53"/>
    </w:pPr>
    <w:r>
      <mc:AlternateContent>
        <mc:Choice Requires="wps">
          <w:drawing>
            <wp:anchor distT="0" distB="0" distL="0" distR="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06" name="文本框 4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DC4D261">
                          <w:pPr>
                            <w:pStyle w:val="53"/>
                          </w:pPr>
                          <w:r>
                            <w:fldChar w:fldCharType="begin"/>
                          </w:r>
                          <w:r>
                            <w:instrText xml:space="preserve"> PAGE  \* MERGEFORMAT </w:instrText>
                          </w:r>
                          <w:r>
                            <w:fldChar w:fldCharType="separate"/>
                          </w:r>
                          <w:r>
                            <w:t>63</w:t>
                          </w:r>
                          <w:r>
                            <w:fldChar w:fldCharType="end"/>
                          </w:r>
                        </w:p>
                      </w:txbxContent>
                    </wps:txbx>
                    <wps:bodyPr vert="horz" wrap="none" lIns="0" tIns="0" rIns="0" bIns="0" anchor="t">
                      <a:spAutoFit/>
                    </wps:bodyPr>
                  </wps:wsp>
                </a:graphicData>
              </a:graphic>
            </wp:anchor>
          </w:drawing>
        </mc:Choice>
        <mc:Fallback>
          <w:pict>
            <v:rect id="文本框 40" o:spid="_x0000_s1026" o:spt="1"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E5LRd7KAQAAkwMAAA4AAAAAAAAAAQAgAAAAHwEAAGRycy9lMm9E&#10;b2MueG1sUEsFBgAAAAAGAAYAWQEAAFsFAAAAAA==&#10;">
              <v:fill on="f" focussize="0,0"/>
              <v:stroke on="f"/>
              <v:imagedata o:title=""/>
              <o:lock v:ext="edit" aspectratio="f"/>
              <v:textbox inset="0mm,0mm,0mm,0mm" style="mso-fit-shape-to-text:t;">
                <w:txbxContent>
                  <w:p w14:paraId="5DC4D261">
                    <w:pPr>
                      <w:pStyle w:val="53"/>
                    </w:pPr>
                    <w:r>
                      <w:fldChar w:fldCharType="begin"/>
                    </w:r>
                    <w:r>
                      <w:instrText xml:space="preserve"> PAGE  \* MERGEFORMAT </w:instrText>
                    </w:r>
                    <w:r>
                      <w:fldChar w:fldCharType="separate"/>
                    </w:r>
                    <w:r>
                      <w:t>63</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BFB03">
    <w:pPr>
      <w:pStyle w:val="5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672E3">
    <w:pPr>
      <w:pStyle w:val="53"/>
      <w:rPr>
        <w:rFonts w:ascii="Times New Roman"/>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030"/>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025CEDF">
                          <w:pPr>
                            <w:pStyle w:val="53"/>
                          </w:pPr>
                          <w:r>
                            <w:fldChar w:fldCharType="begin"/>
                          </w:r>
                          <w:r>
                            <w:instrText xml:space="preserve"> PAGE  \* MERGEFORMAT </w:instrText>
                          </w:r>
                          <w:r>
                            <w:fldChar w:fldCharType="separate"/>
                          </w:r>
                          <w:r>
                            <w:t>8</w:t>
                          </w:r>
                          <w:r>
                            <w:fldChar w:fldCharType="end"/>
                          </w:r>
                        </w:p>
                      </w:txbxContent>
                    </wps:txbx>
                    <wps:bodyPr wrap="none" lIns="0" tIns="0" rIns="0" bIns="0">
                      <a:spAutoFit/>
                    </wps:bodyPr>
                  </wps:wsp>
                </a:graphicData>
              </a:graphic>
            </wp:anchor>
          </w:drawing>
        </mc:Choice>
        <mc:Fallback>
          <w:pict>
            <v:rect id="文本框 1030"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XW5UtAAAAAFAQAADwAAAAAAAAABACAAAAAiAAAAZHJzL2Rvd25yZXYueG1sUEsBAhQAFAAA&#10;AAgAh07iQMYS1LG+AQAAfgMAAA4AAAAAAAAAAQAgAAAAHwEAAGRycy9lMm9Eb2MueG1sUEsFBgAA&#10;AAAGAAYAWQEAAE8FAAAAAA==&#10;">
              <v:fill on="f" focussize="0,0"/>
              <v:stroke on="f"/>
              <v:imagedata o:title=""/>
              <o:lock v:ext="edit" aspectratio="f"/>
              <v:textbox inset="0mm,0mm,0mm,0mm" style="mso-fit-shape-to-text:t;">
                <w:txbxContent>
                  <w:p w14:paraId="4025CEDF">
                    <w:pPr>
                      <w:pStyle w:val="53"/>
                    </w:pPr>
                    <w:r>
                      <w:fldChar w:fldCharType="begin"/>
                    </w:r>
                    <w:r>
                      <w:instrText xml:space="preserve"> PAGE  \* MERGEFORMAT </w:instrText>
                    </w:r>
                    <w:r>
                      <w:fldChar w:fldCharType="separate"/>
                    </w:r>
                    <w:r>
                      <w:t>8</w:t>
                    </w:r>
                    <w:r>
                      <w:fldChar w:fldCharType="end"/>
                    </w:r>
                  </w:p>
                </w:txbxContent>
              </v:textbox>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B24F4F">
    <w:pPr>
      <w:pStyle w:val="53"/>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3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BD14214">
                          <w:pPr>
                            <w:pStyle w:val="53"/>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rect id="文本框 103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uXW5UtAAAAAFAQAADwAAAAAAAAABACAAAAAiAAAAZHJzL2Rvd25yZXYueG1sUEsBAhQAFAAA&#10;AAgAh07iQAQi/ty+AQAAfgMAAA4AAAAAAAAAAQAgAAAAHwEAAGRycy9lMm9Eb2MueG1sUEsFBgAA&#10;AAAGAAYAWQEAAE8FAAAAAA==&#10;">
              <v:fill on="f" focussize="0,0"/>
              <v:stroke on="f"/>
              <v:imagedata o:title=""/>
              <o:lock v:ext="edit" aspectratio="f"/>
              <v:textbox inset="0mm,0mm,0mm,0mm" style="mso-fit-shape-to-text:t;">
                <w:txbxContent>
                  <w:p w14:paraId="3BD14214">
                    <w:pPr>
                      <w:pStyle w:val="53"/>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68EAD">
    <w:pPr>
      <w:pStyle w:val="32"/>
      <w:spacing w:line="14" w:lineRule="auto"/>
      <w:rPr>
        <w:sz w:val="20"/>
      </w:rPr>
    </w:pPr>
    <w:r>
      <w:rPr>
        <w:sz w:val="20"/>
      </w:rP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03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AE3AE1F">
                          <w:pPr>
                            <w:pStyle w:val="53"/>
                          </w:pPr>
                          <w:r>
                            <w:fldChar w:fldCharType="begin"/>
                          </w:r>
                          <w:r>
                            <w:instrText xml:space="preserve"> PAGE  \* MERGEFORMAT </w:instrText>
                          </w:r>
                          <w:r>
                            <w:fldChar w:fldCharType="separate"/>
                          </w:r>
                          <w:r>
                            <w:t>22</w:t>
                          </w:r>
                          <w:r>
                            <w:fldChar w:fldCharType="end"/>
                          </w:r>
                        </w:p>
                      </w:txbxContent>
                    </wps:txbx>
                    <wps:bodyPr wrap="none" lIns="0" tIns="0" rIns="0" bIns="0">
                      <a:spAutoFit/>
                    </wps:bodyPr>
                  </wps:wsp>
                </a:graphicData>
              </a:graphic>
            </wp:anchor>
          </w:drawing>
        </mc:Choice>
        <mc:Fallback>
          <w:pict>
            <v:rect id="文本框 103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jCat1vwEAAH4DAAAOAAAAAAAAAAEAIAAAAB8BAABkcnMvZTJvRG9jLnhtbFBLBQYA&#10;AAAABgAGAFkBAABQBQAAAAA=&#10;">
              <v:fill on="f" focussize="0,0"/>
              <v:stroke on="f"/>
              <v:imagedata o:title=""/>
              <o:lock v:ext="edit" aspectratio="f"/>
              <v:textbox inset="0mm,0mm,0mm,0mm" style="mso-fit-shape-to-text:t;">
                <w:txbxContent>
                  <w:p w14:paraId="4AE3AE1F">
                    <w:pPr>
                      <w:pStyle w:val="53"/>
                    </w:pPr>
                    <w:r>
                      <w:fldChar w:fldCharType="begin"/>
                    </w:r>
                    <w:r>
                      <w:instrText xml:space="preserve"> PAGE  \* MERGEFORMAT </w:instrText>
                    </w:r>
                    <w:r>
                      <w:fldChar w:fldCharType="separate"/>
                    </w:r>
                    <w:r>
                      <w:t>22</w:t>
                    </w:r>
                    <w: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CF825">
    <w:pPr>
      <w:pStyle w:val="53"/>
      <w:jc w:val="center"/>
    </w:pPr>
    <w:r>
      <w:fldChar w:fldCharType="begin"/>
    </w:r>
    <w:r>
      <w:instrText xml:space="preserve">PAGE   \* MERGEFORMAT</w:instrText>
    </w:r>
    <w:r>
      <w:fldChar w:fldCharType="separate"/>
    </w:r>
    <w:r>
      <w:rPr>
        <w:lang w:val="zh-CN"/>
      </w:rPr>
      <w:t>93</w:t>
    </w:r>
    <w:r>
      <w:fldChar w:fldCharType="end"/>
    </w:r>
  </w:p>
  <w:p w14:paraId="617874E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51CBB">
    <w:pPr>
      <w:pStyle w:val="53"/>
      <w:jc w:val="center"/>
    </w:pPr>
    <w:r>
      <w:fldChar w:fldCharType="begin"/>
    </w:r>
    <w:r>
      <w:instrText xml:space="preserve">PAGE   \* MERGEFORMAT</w:instrText>
    </w:r>
    <w:r>
      <w:fldChar w:fldCharType="separate"/>
    </w:r>
    <w:r>
      <w:rPr>
        <w:lang w:val="zh-CN"/>
      </w:rPr>
      <w:t>115</w:t>
    </w:r>
    <w:r>
      <w:fldChar w:fldCharType="end"/>
    </w:r>
  </w:p>
  <w:p w14:paraId="164C246D">
    <w:pPr>
      <w:pStyle w:val="5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B74B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AADB8">
    <w:pPr>
      <w:pStyle w:val="54"/>
      <w:pBdr>
        <w:bottom w:val="none" w:color="auto" w:sz="0" w:space="0"/>
      </w:pBd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C6B78">
    <w:pPr>
      <w:pStyle w:val="54"/>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BC489">
    <w:pPr>
      <w:pStyle w:val="54"/>
    </w:pPr>
  </w:p>
  <w:p w14:paraId="3DCF95C2"/>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6FA1E">
    <w:pPr>
      <w:pStyle w:val="54"/>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1214F"/>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874FE"/>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3B8C5"/>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BB401"/>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DA700">
    <w:pPr>
      <w:rPr>
        <w:rFonts w:ascii="宋体" w:hAnsi="宋体" w:cs="宋体"/>
        <w:u w:val="single" w:color="FFFFF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8EBE5">
    <w:pPr>
      <w:pStyle w:val="54"/>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1038E">
    <w:pPr>
      <w:spacing w:after="160" w:line="259"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9127A">
    <w:pPr>
      <w:pStyle w:val="5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7560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30F5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8036"/>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0AA3C">
    <w:pPr>
      <w:pStyle w:val="54"/>
      <w:pBdr>
        <w:bottom w:val="none" w:color="auto" w:sz="0" w:space="1"/>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CBB43">
    <w:pPr>
      <w:pStyle w:val="5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738"/>
        </w:tabs>
      </w:pPr>
    </w:lvl>
  </w:abstractNum>
  <w:abstractNum w:abstractNumId="1">
    <w:nsid w:val="00000005"/>
    <w:multiLevelType w:val="multilevel"/>
    <w:tmpl w:val="00000005"/>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9"/>
    <w:multiLevelType w:val="multilevel"/>
    <w:tmpl w:val="00000009"/>
    <w:lvl w:ilvl="0" w:tentative="0">
      <w:start w:val="1"/>
      <w:numFmt w:val="decimal"/>
      <w:pStyle w:val="26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A"/>
    <w:multiLevelType w:val="multilevel"/>
    <w:tmpl w:val="0000000A"/>
    <w:lvl w:ilvl="0" w:tentative="0">
      <w:start w:val="1"/>
      <w:numFmt w:val="lowerLetter"/>
      <w:pStyle w:val="28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0B"/>
    <w:multiLevelType w:val="singleLevel"/>
    <w:tmpl w:val="0000000B"/>
    <w:lvl w:ilvl="0" w:tentative="0">
      <w:start w:val="1"/>
      <w:numFmt w:val="decimal"/>
      <w:pStyle w:val="199"/>
      <w:lvlText w:val="%1."/>
      <w:lvlJc w:val="left"/>
      <w:pPr>
        <w:tabs>
          <w:tab w:val="left" w:pos="360"/>
        </w:tabs>
        <w:ind w:left="360" w:hanging="360"/>
      </w:pPr>
      <w:rPr>
        <w:rFonts w:hint="default"/>
      </w:rPr>
    </w:lvl>
  </w:abstractNum>
  <w:abstractNum w:abstractNumId="5">
    <w:nsid w:val="0000000C"/>
    <w:multiLevelType w:val="multilevel"/>
    <w:tmpl w:val="0000000C"/>
    <w:lvl w:ilvl="0" w:tentative="0">
      <w:start w:val="1"/>
      <w:numFmt w:val="decimal"/>
      <w:pStyle w:val="21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21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31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24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0D"/>
    <w:multiLevelType w:val="multilevel"/>
    <w:tmpl w:val="0000000D"/>
    <w:lvl w:ilvl="0" w:tentative="0">
      <w:start w:val="1"/>
      <w:numFmt w:val="decimal"/>
      <w:lvlText w:val="%1．"/>
      <w:lvlJc w:val="left"/>
      <w:pPr>
        <w:tabs>
          <w:tab w:val="left" w:pos="768"/>
        </w:tabs>
        <w:ind w:left="768" w:hanging="360"/>
      </w:pPr>
      <w:rPr>
        <w:rFonts w:hint="eastAsia"/>
      </w:rPr>
    </w:lvl>
    <w:lvl w:ilvl="1" w:tentative="0">
      <w:start w:val="1"/>
      <w:numFmt w:val="decimal"/>
      <w:pStyle w:val="20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0E"/>
    <w:multiLevelType w:val="multilevel"/>
    <w:tmpl w:val="0000000E"/>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0F"/>
    <w:multiLevelType w:val="multilevel"/>
    <w:tmpl w:val="0000000F"/>
    <w:lvl w:ilvl="0" w:tentative="0">
      <w:start w:val="1"/>
      <w:numFmt w:val="decimal"/>
      <w:pStyle w:val="26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0000012"/>
    <w:multiLevelType w:val="multilevel"/>
    <w:tmpl w:val="00000012"/>
    <w:lvl w:ilvl="0" w:tentative="0">
      <w:start w:val="1"/>
      <w:numFmt w:val="decimal"/>
      <w:pStyle w:val="235"/>
      <w:lvlText w:val="%1"/>
      <w:lvlJc w:val="left"/>
      <w:pPr>
        <w:ind w:left="680" w:hanging="680"/>
      </w:pPr>
      <w:rPr>
        <w:rFonts w:hint="eastAsia" w:ascii="宋体" w:hAnsi="宋体" w:eastAsia="宋体"/>
      </w:rPr>
    </w:lvl>
    <w:lvl w:ilvl="1" w:tentative="0">
      <w:start w:val="1"/>
      <w:numFmt w:val="decimal"/>
      <w:pStyle w:val="227"/>
      <w:lvlText w:val="%1.%2"/>
      <w:lvlJc w:val="left"/>
      <w:pPr>
        <w:ind w:left="851" w:hanging="851"/>
      </w:pPr>
      <w:rPr>
        <w:rFonts w:hint="eastAsia" w:ascii="宋体" w:hAnsi="宋体" w:eastAsia="宋体"/>
        <w:color w:val="auto"/>
      </w:rPr>
    </w:lvl>
    <w:lvl w:ilvl="2" w:tentative="0">
      <w:start w:val="1"/>
      <w:numFmt w:val="decimal"/>
      <w:pStyle w:val="20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0">
    <w:nsid w:val="00000013"/>
    <w:multiLevelType w:val="multilevel"/>
    <w:tmpl w:val="00000013"/>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14"/>
    <w:multiLevelType w:val="multilevel"/>
    <w:tmpl w:val="00000014"/>
    <w:lvl w:ilvl="0" w:tentative="0">
      <w:start w:val="19"/>
      <w:numFmt w:val="decimal"/>
      <w:pStyle w:val="748"/>
      <w:lvlText w:val="%1"/>
      <w:lvlJc w:val="left"/>
      <w:pPr>
        <w:tabs>
          <w:tab w:val="left" w:pos="720"/>
        </w:tabs>
        <w:ind w:left="720" w:hanging="720"/>
      </w:pPr>
      <w:rPr>
        <w:rFonts w:hint="eastAsia"/>
      </w:rPr>
    </w:lvl>
    <w:lvl w:ilvl="1" w:tentative="0">
      <w:start w:val="2"/>
      <w:numFmt w:val="decimal"/>
      <w:lvlText w:val="%1.%2"/>
      <w:lvlJc w:val="left"/>
      <w:pPr>
        <w:tabs>
          <w:tab w:val="left" w:pos="720"/>
        </w:tabs>
        <w:ind w:left="720" w:hanging="720"/>
      </w:pPr>
      <w:rPr>
        <w:rFonts w:hint="eastAsia"/>
      </w:rPr>
    </w:lvl>
    <w:lvl w:ilvl="2" w:tentative="0">
      <w:start w:val="2"/>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00000016"/>
    <w:multiLevelType w:val="multilevel"/>
    <w:tmpl w:val="00000016"/>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00000017"/>
    <w:multiLevelType w:val="singleLevel"/>
    <w:tmpl w:val="00000017"/>
    <w:lvl w:ilvl="0" w:tentative="0">
      <w:start w:val="2"/>
      <w:numFmt w:val="chineseCounting"/>
      <w:suff w:val="nothing"/>
      <w:lvlText w:val="%1、"/>
      <w:lvlJc w:val="left"/>
      <w:rPr>
        <w:rFonts w:hint="eastAsia"/>
      </w:rPr>
    </w:lvl>
  </w:abstractNum>
  <w:abstractNum w:abstractNumId="14">
    <w:nsid w:val="00000019"/>
    <w:multiLevelType w:val="singleLevel"/>
    <w:tmpl w:val="00000019"/>
    <w:lvl w:ilvl="0" w:tentative="0">
      <w:start w:val="5"/>
      <w:numFmt w:val="chineseCounting"/>
      <w:suff w:val="space"/>
      <w:lvlText w:val="第%1章"/>
      <w:lvlJc w:val="left"/>
      <w:rPr>
        <w:rFonts w:hint="eastAsia"/>
      </w:rPr>
    </w:lvl>
  </w:abstractNum>
  <w:abstractNum w:abstractNumId="15">
    <w:nsid w:val="0000001F"/>
    <w:multiLevelType w:val="multilevel"/>
    <w:tmpl w:val="0000001F"/>
    <w:lvl w:ilvl="0" w:tentative="0">
      <w:start w:val="1"/>
      <w:numFmt w:val="decimal"/>
      <w:suff w:val="space"/>
      <w:lvlText w:val="%1"/>
      <w:lvlJc w:val="left"/>
      <w:pPr>
        <w:ind w:left="0" w:firstLine="0"/>
      </w:pPr>
    </w:lvl>
    <w:lvl w:ilvl="1" w:tentative="0">
      <w:start w:val="1"/>
      <w:numFmt w:val="decimal"/>
      <w:pStyle w:val="495"/>
      <w:suff w:val="space"/>
      <w:lvlText w:val="%1.%2"/>
      <w:lvlJc w:val="left"/>
      <w:pPr>
        <w:ind w:left="0" w:firstLine="0"/>
      </w:pPr>
    </w:lvl>
    <w:lvl w:ilvl="2" w:tentative="0">
      <w:start w:val="1"/>
      <w:numFmt w:val="decimal"/>
      <w:pStyle w:val="442"/>
      <w:suff w:val="space"/>
      <w:lvlText w:val="%1.%2.%3"/>
      <w:lvlJc w:val="left"/>
      <w:pPr>
        <w:ind w:left="0" w:firstLine="0"/>
      </w:pPr>
    </w:lvl>
    <w:lvl w:ilvl="3" w:tentative="0">
      <w:start w:val="1"/>
      <w:numFmt w:val="decimal"/>
      <w:suff w:val="space"/>
      <w:lvlText w:val="%1.%2.%3.%4"/>
      <w:lvlJc w:val="left"/>
      <w:pPr>
        <w:ind w:left="0" w:firstLine="0"/>
      </w:pPr>
    </w:lvl>
    <w:lvl w:ilvl="4" w:tentative="0">
      <w:start w:val="1"/>
      <w:numFmt w:val="decimal"/>
      <w:suff w:val="space"/>
      <w:lvlText w:val="%1.%2.%3.%4.%5"/>
      <w:lvlJc w:val="left"/>
      <w:pPr>
        <w:ind w:left="0" w:firstLine="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6">
    <w:nsid w:val="0000002A"/>
    <w:multiLevelType w:val="multilevel"/>
    <w:tmpl w:val="0000002A"/>
    <w:lvl w:ilvl="0" w:tentative="0">
      <w:start w:val="1"/>
      <w:numFmt w:val="decimal"/>
      <w:pStyle w:val="578"/>
      <w:lvlText w:val="(%1)."/>
      <w:lvlJc w:val="left"/>
      <w:pPr>
        <w:tabs>
          <w:tab w:val="left" w:pos="964"/>
        </w:tabs>
        <w:ind w:left="964" w:hanging="482"/>
      </w:pPr>
      <w:rPr>
        <w:rFonts w:hint="eastAsia"/>
        <w:b w:val="0"/>
        <w:i w:val="0"/>
        <w:sz w:val="24"/>
        <w:szCs w:val="24"/>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0000002C"/>
    <w:multiLevelType w:val="multilevel"/>
    <w:tmpl w:val="0000002C"/>
    <w:lvl w:ilvl="0" w:tentative="0">
      <w:start w:val="1"/>
      <w:numFmt w:val="bullet"/>
      <w:pStyle w:val="579"/>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lvlText w:val=""/>
      <w:lvlJc w:val="left"/>
      <w:pPr>
        <w:tabs>
          <w:tab w:val="left" w:pos="3480"/>
        </w:tabs>
        <w:ind w:left="3480" w:hanging="420"/>
      </w:pPr>
      <w:rPr>
        <w:rFonts w:hint="default" w:ascii="Wingdings" w:hAnsi="Wingdings"/>
      </w:rPr>
    </w:lvl>
    <w:lvl w:ilvl="7" w:tentative="0">
      <w:start w:val="1"/>
      <w:numFmt w:val="bullet"/>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18">
    <w:nsid w:val="00000030"/>
    <w:multiLevelType w:val="multilevel"/>
    <w:tmpl w:val="00000030"/>
    <w:lvl w:ilvl="0" w:tentative="0">
      <w:start w:val="0"/>
      <w:numFmt w:val="decimal"/>
      <w:pStyle w:val="561"/>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00000036"/>
    <w:multiLevelType w:val="multilevel"/>
    <w:tmpl w:val="00000036"/>
    <w:lvl w:ilvl="0" w:tentative="0">
      <w:start w:val="1"/>
      <w:numFmt w:val="decimal"/>
      <w:suff w:val="space"/>
      <w:lvlText w:val="第%1章"/>
      <w:lvlJc w:val="left"/>
      <w:pPr>
        <w:ind w:left="0" w:firstLine="0"/>
      </w:pPr>
      <w:rPr>
        <w:rFonts w:hint="eastAsia"/>
      </w:rPr>
    </w:lvl>
    <w:lvl w:ilvl="1" w:tentative="0">
      <w:start w:val="1"/>
      <w:numFmt w:val="decimal"/>
      <w:suff w:val="space"/>
      <w:lvlText w:val="%1.%2"/>
      <w:lvlJc w:val="left"/>
      <w:pPr>
        <w:ind w:left="0" w:firstLine="0"/>
      </w:pPr>
      <w:rPr>
        <w:rFonts w:hint="eastAsia" w:cs="Times New Roman"/>
        <w:b/>
        <w:bCs w:val="0"/>
        <w:i w:val="0"/>
        <w:iCs w:val="0"/>
        <w:caps w:val="0"/>
        <w:smallCaps w:val="0"/>
        <w:vanish w:val="0"/>
        <w:color w:val="000000"/>
        <w:spacing w:val="0"/>
        <w:position w:val="0"/>
        <w:u w:val="none"/>
        <w:vertAlign w:val="baseline"/>
      </w:rPr>
    </w:lvl>
    <w:lvl w:ilvl="2" w:tentative="0">
      <w:start w:val="1"/>
      <w:numFmt w:val="decimal"/>
      <w:pStyle w:val="887"/>
      <w:suff w:val="space"/>
      <w:lvlText w:val="%1.%2.%3"/>
      <w:lvlJc w:val="left"/>
      <w:pPr>
        <w:ind w:left="0" w:firstLine="0"/>
      </w:pPr>
      <w:rPr>
        <w:rFonts w:hint="default" w:ascii="Cambria" w:hAnsi="Cambria" w:cs="Times New Roman"/>
        <w:b/>
        <w:bCs w:val="0"/>
        <w:i w:val="0"/>
        <w:iCs w:val="0"/>
        <w:caps w:val="0"/>
        <w:smallCaps w:val="0"/>
        <w:vanish w:val="0"/>
        <w:color w:val="000000"/>
        <w:spacing w:val="0"/>
        <w:position w:val="0"/>
        <w:u w:val="none"/>
        <w:vertAlign w:val="baseline"/>
      </w:rPr>
    </w:lvl>
    <w:lvl w:ilvl="3" w:tentative="0">
      <w:start w:val="1"/>
      <w:numFmt w:val="decimal"/>
      <w:suff w:val="space"/>
      <w:lvlText w:val="%1.%2.%3.%4"/>
      <w:lvlJc w:val="left"/>
      <w:pPr>
        <w:ind w:left="0" w:firstLine="0"/>
      </w:pPr>
      <w:rPr>
        <w:rFonts w:hint="eastAsia" w:cs="Times New Roman"/>
        <w:b/>
        <w:bCs w:val="0"/>
        <w:i w:val="0"/>
        <w:iCs w:val="0"/>
        <w:caps w:val="0"/>
        <w:smallCaps w:val="0"/>
        <w:vanish w:val="0"/>
        <w:color w:val="000000"/>
        <w:spacing w:val="0"/>
        <w:position w:val="0"/>
        <w:u w:val="none"/>
        <w:vertAlign w:val="baseline"/>
      </w:rPr>
    </w:lvl>
    <w:lvl w:ilvl="4" w:tentative="0">
      <w:start w:val="1"/>
      <w:numFmt w:val="decimal"/>
      <w:suff w:val="space"/>
      <w:lvlText w:val="%1.%2.%3.%4.%5"/>
      <w:lvlJc w:val="left"/>
      <w:pPr>
        <w:ind w:left="0" w:firstLine="0"/>
      </w:pPr>
      <w:rPr>
        <w:rFonts w:hint="default" w:ascii="Cambria" w:hAnsi="Cambria" w:cs="Times New Roman"/>
        <w:b w:val="0"/>
        <w:bCs w:val="0"/>
        <w:i w:val="0"/>
        <w:iCs w:val="0"/>
        <w:caps w:val="0"/>
        <w:smallCaps w:val="0"/>
        <w:vanish w:val="0"/>
        <w:color w:val="000000"/>
        <w:spacing w:val="0"/>
        <w:position w:val="0"/>
        <w:u w:val="none"/>
        <w:vertAlign w:val="baseline"/>
      </w:rPr>
    </w:lvl>
    <w:lvl w:ilvl="5" w:tentative="0">
      <w:start w:val="1"/>
      <w:numFmt w:val="decimal"/>
      <w:suff w:val="space"/>
      <w:lvlText w:val="%1.%2.%3.%4.%5.%6"/>
      <w:lvlJc w:val="left"/>
      <w:pPr>
        <w:ind w:left="851" w:firstLine="0"/>
      </w:pPr>
      <w:rPr>
        <w:rFonts w:hint="eastAsia" w:cs="Times New Roman"/>
        <w:b/>
        <w:bCs w:val="0"/>
        <w:i w:val="0"/>
        <w:iCs w:val="0"/>
        <w:caps w:val="0"/>
        <w:smallCaps w:val="0"/>
        <w:vanish w:val="0"/>
        <w:color w:val="000000"/>
        <w:spacing w:val="0"/>
        <w:position w:val="0"/>
        <w:u w:val="none"/>
        <w:vertAlign w:val="baseline"/>
      </w:rPr>
    </w:lvl>
    <w:lvl w:ilvl="6" w:tentative="0">
      <w:start w:val="1"/>
      <w:numFmt w:val="decimal"/>
      <w:pStyle w:val="487"/>
      <w:suff w:val="space"/>
      <w:lvlText w:val="(%7)"/>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7" w:tentative="0">
      <w:start w:val="1"/>
      <w:numFmt w:val="lowerLetter"/>
      <w:pStyle w:val="385"/>
      <w:suff w:val="space"/>
      <w:lvlText w:val="%8)"/>
      <w:lvlJc w:val="left"/>
      <w:pPr>
        <w:ind w:left="0" w:firstLine="0"/>
      </w:pPr>
      <w:rPr>
        <w:rFonts w:hint="eastAsia" w:cs="Times New Roman"/>
        <w:b w:val="0"/>
        <w:bCs w:val="0"/>
        <w:i w:val="0"/>
        <w:iCs w:val="0"/>
        <w:caps w:val="0"/>
        <w:smallCaps w:val="0"/>
        <w:vanish w:val="0"/>
        <w:color w:val="000000"/>
        <w:spacing w:val="0"/>
        <w:position w:val="0"/>
        <w:u w:val="none"/>
        <w:vertAlign w:val="baseline"/>
      </w:rPr>
    </w:lvl>
    <w:lvl w:ilvl="8" w:tentative="0">
      <w:start w:val="1"/>
      <w:numFmt w:val="decimal"/>
      <w:lvlText w:val="%1.%2.%3.%4.%5.%6.%7.%8.%9"/>
      <w:lvlJc w:val="left"/>
      <w:pPr>
        <w:ind w:left="0" w:firstLine="0"/>
      </w:pPr>
      <w:rPr>
        <w:rFonts w:hint="eastAsia"/>
      </w:rPr>
    </w:lvl>
  </w:abstractNum>
  <w:abstractNum w:abstractNumId="20">
    <w:nsid w:val="00000043"/>
    <w:multiLevelType w:val="multilevel"/>
    <w:tmpl w:val="00000043"/>
    <w:lvl w:ilvl="0" w:tentative="0">
      <w:start w:val="1"/>
      <w:numFmt w:val="chineseCountingThousand"/>
      <w:pStyle w:val="775"/>
      <w:lvlText w:val="第%1章"/>
      <w:lvlJc w:val="left"/>
      <w:pPr>
        <w:tabs>
          <w:tab w:val="left" w:pos="1440"/>
        </w:tabs>
        <w:ind w:left="425" w:hanging="425"/>
      </w:p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80"/>
        </w:tabs>
        <w:ind w:left="709" w:hanging="709"/>
      </w:pPr>
      <w:rPr>
        <w:b/>
        <w:i w:val="0"/>
      </w:rPr>
    </w:lvl>
    <w:lvl w:ilvl="3" w:tentative="0">
      <w:start w:val="1"/>
      <w:numFmt w:val="decimal"/>
      <w:pStyle w:val="539"/>
      <w:isLgl/>
      <w:lvlText w:val="%1.%2.%3.%4"/>
      <w:lvlJc w:val="left"/>
      <w:pPr>
        <w:tabs>
          <w:tab w:val="left" w:pos="1191"/>
        </w:tabs>
        <w:ind w:left="851" w:hanging="738"/>
      </w:pPr>
      <w:rPr>
        <w:b/>
        <w:i w:val="0"/>
      </w:rPr>
    </w:lvl>
    <w:lvl w:ilvl="4" w:tentative="0">
      <w:start w:val="1"/>
      <w:numFmt w:val="decimal"/>
      <w:isLg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1">
    <w:nsid w:val="00000044"/>
    <w:multiLevelType w:val="multilevel"/>
    <w:tmpl w:val="00000044"/>
    <w:lvl w:ilvl="0" w:tentative="0">
      <w:start w:val="0"/>
      <w:numFmt w:val="decimal"/>
      <w:lvlText w:val=""/>
      <w:lvlJc w:val="left"/>
    </w:lvl>
    <w:lvl w:ilvl="1" w:tentative="0">
      <w:start w:val="0"/>
      <w:numFmt w:val="decimal"/>
      <w:pStyle w:val="550"/>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0000004A"/>
    <w:multiLevelType w:val="multilevel"/>
    <w:tmpl w:val="0000004A"/>
    <w:lvl w:ilvl="0" w:tentative="0">
      <w:start w:val="1"/>
      <w:numFmt w:val="bullet"/>
      <w:pStyle w:val="426"/>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0000004D"/>
    <w:multiLevelType w:val="singleLevel"/>
    <w:tmpl w:val="0000004D"/>
    <w:lvl w:ilvl="0" w:tentative="0">
      <w:start w:val="0"/>
      <w:numFmt w:val="decimal"/>
      <w:pStyle w:val="549"/>
      <w:lvlText w:val=""/>
      <w:lvlJc w:val="left"/>
    </w:lvl>
  </w:abstractNum>
  <w:abstractNum w:abstractNumId="24">
    <w:nsid w:val="0F6E282C"/>
    <w:multiLevelType w:val="multilevel"/>
    <w:tmpl w:val="0F6E282C"/>
    <w:lvl w:ilvl="0" w:tentative="0">
      <w:start w:val="1"/>
      <w:numFmt w:val="japaneseCounting"/>
      <w:lvlText w:val="第%1条"/>
      <w:lvlJc w:val="left"/>
      <w:pPr>
        <w:ind w:left="855" w:hanging="85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1A335866"/>
    <w:multiLevelType w:val="multilevel"/>
    <w:tmpl w:val="1A335866"/>
    <w:lvl w:ilvl="0" w:tentative="0">
      <w:start w:val="25"/>
      <w:numFmt w:val="decimal"/>
      <w:lvlText w:val="%1"/>
      <w:lvlJc w:val="left"/>
      <w:pPr>
        <w:ind w:left="480" w:hanging="480"/>
      </w:pPr>
      <w:rPr>
        <w:rFonts w:hint="default"/>
      </w:rPr>
    </w:lvl>
    <w:lvl w:ilvl="1" w:tentative="0">
      <w:start w:val="1"/>
      <w:numFmt w:val="decimal"/>
      <w:lvlText w:val="%1.%2"/>
      <w:lvlJc w:val="left"/>
      <w:pPr>
        <w:ind w:left="480" w:hanging="48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6">
    <w:nsid w:val="3224FDB3"/>
    <w:multiLevelType w:val="singleLevel"/>
    <w:tmpl w:val="3224FDB3"/>
    <w:lvl w:ilvl="0" w:tentative="0">
      <w:start w:val="7"/>
      <w:numFmt w:val="chineseCounting"/>
      <w:suff w:val="space"/>
      <w:lvlText w:val="第%1章"/>
      <w:lvlJc w:val="left"/>
      <w:rPr>
        <w:rFonts w:hint="eastAsia"/>
      </w:rPr>
    </w:lvl>
  </w:abstractNum>
  <w:abstractNum w:abstractNumId="27">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8">
    <w:nsid w:val="7BD91581"/>
    <w:multiLevelType w:val="multilevel"/>
    <w:tmpl w:val="7BD91581"/>
    <w:lvl w:ilvl="0" w:tentative="0">
      <w:start w:val="1"/>
      <w:numFmt w:val="bullet"/>
      <w:lvlText w:val=""/>
      <w:lvlJc w:val="left"/>
      <w:pPr>
        <w:ind w:left="786" w:hanging="360"/>
      </w:pPr>
      <w:rPr>
        <w:rFonts w:hint="default" w:ascii="Cambria" w:hAnsi="Cambria"/>
      </w:rPr>
    </w:lvl>
    <w:lvl w:ilvl="1" w:tentative="0">
      <w:start w:val="1"/>
      <w:numFmt w:val="bullet"/>
      <w:lvlText w:val=""/>
      <w:lvlJc w:val="left"/>
      <w:pPr>
        <w:ind w:left="1266" w:hanging="420"/>
      </w:pPr>
      <w:rPr>
        <w:rFonts w:hint="default" w:ascii="Cambria" w:hAnsi="Cambria"/>
      </w:rPr>
    </w:lvl>
    <w:lvl w:ilvl="2" w:tentative="0">
      <w:start w:val="1"/>
      <w:numFmt w:val="bullet"/>
      <w:lvlText w:val=""/>
      <w:lvlJc w:val="left"/>
      <w:pPr>
        <w:ind w:left="1686" w:hanging="420"/>
      </w:pPr>
      <w:rPr>
        <w:rFonts w:hint="default" w:ascii="Cambria" w:hAnsi="Cambria"/>
      </w:rPr>
    </w:lvl>
    <w:lvl w:ilvl="3" w:tentative="0">
      <w:start w:val="1"/>
      <w:numFmt w:val="bullet"/>
      <w:lvlText w:val=""/>
      <w:lvlJc w:val="left"/>
      <w:pPr>
        <w:ind w:left="2106" w:hanging="420"/>
      </w:pPr>
      <w:rPr>
        <w:rFonts w:hint="default" w:ascii="Cambria" w:hAnsi="Cambria"/>
      </w:rPr>
    </w:lvl>
    <w:lvl w:ilvl="4" w:tentative="0">
      <w:start w:val="1"/>
      <w:numFmt w:val="bullet"/>
      <w:lvlText w:val=""/>
      <w:lvlJc w:val="left"/>
      <w:pPr>
        <w:ind w:left="2526" w:hanging="420"/>
      </w:pPr>
      <w:rPr>
        <w:rFonts w:hint="default" w:ascii="Cambria" w:hAnsi="Cambria"/>
      </w:rPr>
    </w:lvl>
    <w:lvl w:ilvl="5" w:tentative="0">
      <w:start w:val="1"/>
      <w:numFmt w:val="bullet"/>
      <w:lvlText w:val=""/>
      <w:lvlJc w:val="left"/>
      <w:pPr>
        <w:ind w:left="2946" w:hanging="420"/>
      </w:pPr>
      <w:rPr>
        <w:rFonts w:hint="default" w:ascii="Cambria" w:hAnsi="Cambria"/>
      </w:rPr>
    </w:lvl>
    <w:lvl w:ilvl="6" w:tentative="0">
      <w:start w:val="1"/>
      <w:numFmt w:val="bullet"/>
      <w:lvlText w:val=""/>
      <w:lvlJc w:val="left"/>
      <w:pPr>
        <w:ind w:left="3366" w:hanging="420"/>
      </w:pPr>
      <w:rPr>
        <w:rFonts w:hint="default" w:ascii="Cambria" w:hAnsi="Cambria"/>
      </w:rPr>
    </w:lvl>
    <w:lvl w:ilvl="7" w:tentative="0">
      <w:start w:val="1"/>
      <w:numFmt w:val="bullet"/>
      <w:lvlText w:val=""/>
      <w:lvlJc w:val="left"/>
      <w:pPr>
        <w:ind w:left="3786" w:hanging="420"/>
      </w:pPr>
      <w:rPr>
        <w:rFonts w:hint="default" w:ascii="Cambria" w:hAnsi="Cambria"/>
      </w:rPr>
    </w:lvl>
    <w:lvl w:ilvl="8" w:tentative="0">
      <w:start w:val="1"/>
      <w:numFmt w:val="bullet"/>
      <w:lvlText w:val=""/>
      <w:lvlJc w:val="left"/>
      <w:pPr>
        <w:ind w:left="4206" w:hanging="420"/>
      </w:pPr>
      <w:rPr>
        <w:rFonts w:hint="default" w:ascii="Cambria" w:hAnsi="Cambria"/>
      </w:rPr>
    </w:lvl>
  </w:abstractNum>
  <w:num w:numId="1">
    <w:abstractNumId w:val="4"/>
  </w:num>
  <w:num w:numId="2">
    <w:abstractNumId w:val="9"/>
  </w:num>
  <w:num w:numId="3">
    <w:abstractNumId w:val="6"/>
  </w:num>
  <w:num w:numId="4">
    <w:abstractNumId w:val="5"/>
  </w:num>
  <w:num w:numId="5">
    <w:abstractNumId w:val="8"/>
  </w:num>
  <w:num w:numId="6">
    <w:abstractNumId w:val="2"/>
  </w:num>
  <w:num w:numId="7">
    <w:abstractNumId w:val="3"/>
  </w:num>
  <w:num w:numId="8">
    <w:abstractNumId w:val="19"/>
  </w:num>
  <w:num w:numId="9">
    <w:abstractNumId w:val="22"/>
  </w:num>
  <w:num w:numId="10">
    <w:abstractNumId w:val="15"/>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21"/>
  </w:num>
  <w:num w:numId="14">
    <w:abstractNumId w:val="18"/>
  </w:num>
  <w:num w:numId="15">
    <w:abstractNumId w:val="16"/>
  </w:num>
  <w:num w:numId="16">
    <w:abstractNumId w:val="17"/>
  </w:num>
  <w:num w:numId="17">
    <w:abstractNumId w:val="11"/>
  </w:num>
  <w:num w:numId="18">
    <w:abstractNumId w:val="7"/>
  </w:num>
  <w:num w:numId="19">
    <w:abstractNumId w:val="0"/>
  </w:num>
  <w:num w:numId="20">
    <w:abstractNumId w:val="1"/>
  </w:num>
  <w:num w:numId="21">
    <w:abstractNumId w:val="10"/>
  </w:num>
  <w:num w:numId="22">
    <w:abstractNumId w:val="13"/>
  </w:num>
  <w:num w:numId="23">
    <w:abstractNumId w:val="14"/>
  </w:num>
  <w:num w:numId="24">
    <w:abstractNumId w:val="28"/>
  </w:num>
  <w:num w:numId="25">
    <w:abstractNumId w:val="25"/>
  </w:num>
  <w:num w:numId="26">
    <w:abstractNumId w:val="24"/>
  </w:num>
  <w:num w:numId="27">
    <w:abstractNumId w:val="12"/>
  </w:num>
  <w:num w:numId="28">
    <w:abstractNumId w:val="2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wOWMyYjEzYjIyNDJhYjgwYjE1NzBjMjE4YTFjOWQifQ=="/>
  </w:docVars>
  <w:rsids>
    <w:rsidRoot w:val="00172A27"/>
    <w:rsid w:val="0000276B"/>
    <w:rsid w:val="000153D4"/>
    <w:rsid w:val="00022021"/>
    <w:rsid w:val="00022334"/>
    <w:rsid w:val="000A47BE"/>
    <w:rsid w:val="00106C45"/>
    <w:rsid w:val="00113E11"/>
    <w:rsid w:val="001216BB"/>
    <w:rsid w:val="00140EB6"/>
    <w:rsid w:val="0015531C"/>
    <w:rsid w:val="001606FB"/>
    <w:rsid w:val="00161A5D"/>
    <w:rsid w:val="00172A27"/>
    <w:rsid w:val="00181C3A"/>
    <w:rsid w:val="00194797"/>
    <w:rsid w:val="00197BE9"/>
    <w:rsid w:val="001A706E"/>
    <w:rsid w:val="001A7454"/>
    <w:rsid w:val="001C0837"/>
    <w:rsid w:val="001C1ADA"/>
    <w:rsid w:val="002238C3"/>
    <w:rsid w:val="00260054"/>
    <w:rsid w:val="002768CF"/>
    <w:rsid w:val="00296CF8"/>
    <w:rsid w:val="002B7B51"/>
    <w:rsid w:val="002C0B6E"/>
    <w:rsid w:val="002D7648"/>
    <w:rsid w:val="002E5831"/>
    <w:rsid w:val="002F6703"/>
    <w:rsid w:val="0032092E"/>
    <w:rsid w:val="003C14D0"/>
    <w:rsid w:val="003C6A85"/>
    <w:rsid w:val="003D61E8"/>
    <w:rsid w:val="003E2EAD"/>
    <w:rsid w:val="00404F3F"/>
    <w:rsid w:val="004076FF"/>
    <w:rsid w:val="004363FC"/>
    <w:rsid w:val="00474F8C"/>
    <w:rsid w:val="004B092D"/>
    <w:rsid w:val="004E052B"/>
    <w:rsid w:val="00530391"/>
    <w:rsid w:val="005421F0"/>
    <w:rsid w:val="00545FA3"/>
    <w:rsid w:val="00576B0E"/>
    <w:rsid w:val="00592DEC"/>
    <w:rsid w:val="00595582"/>
    <w:rsid w:val="005F3D2D"/>
    <w:rsid w:val="006677AF"/>
    <w:rsid w:val="006C482D"/>
    <w:rsid w:val="006E73AF"/>
    <w:rsid w:val="00717D47"/>
    <w:rsid w:val="007A4F40"/>
    <w:rsid w:val="007B0495"/>
    <w:rsid w:val="007B3EE5"/>
    <w:rsid w:val="007D3867"/>
    <w:rsid w:val="00804563"/>
    <w:rsid w:val="008216E3"/>
    <w:rsid w:val="00850C81"/>
    <w:rsid w:val="00857BCB"/>
    <w:rsid w:val="0087627E"/>
    <w:rsid w:val="00876572"/>
    <w:rsid w:val="00894E33"/>
    <w:rsid w:val="008F042E"/>
    <w:rsid w:val="008F5C39"/>
    <w:rsid w:val="009179D9"/>
    <w:rsid w:val="0096408F"/>
    <w:rsid w:val="009727ED"/>
    <w:rsid w:val="00980925"/>
    <w:rsid w:val="0099712E"/>
    <w:rsid w:val="009A47AC"/>
    <w:rsid w:val="009B3685"/>
    <w:rsid w:val="009C2063"/>
    <w:rsid w:val="009D3438"/>
    <w:rsid w:val="009E1F28"/>
    <w:rsid w:val="00A0019A"/>
    <w:rsid w:val="00A033EE"/>
    <w:rsid w:val="00A03ED1"/>
    <w:rsid w:val="00A4322C"/>
    <w:rsid w:val="00A54A85"/>
    <w:rsid w:val="00A654B4"/>
    <w:rsid w:val="00A80418"/>
    <w:rsid w:val="00AD5841"/>
    <w:rsid w:val="00B14205"/>
    <w:rsid w:val="00B65D33"/>
    <w:rsid w:val="00BB5546"/>
    <w:rsid w:val="00BC3E40"/>
    <w:rsid w:val="00BC799C"/>
    <w:rsid w:val="00BF3B35"/>
    <w:rsid w:val="00BF4636"/>
    <w:rsid w:val="00C07913"/>
    <w:rsid w:val="00C1624C"/>
    <w:rsid w:val="00C972B9"/>
    <w:rsid w:val="00CB0EE8"/>
    <w:rsid w:val="00D264F6"/>
    <w:rsid w:val="00D722E1"/>
    <w:rsid w:val="00DC5402"/>
    <w:rsid w:val="00DD20EB"/>
    <w:rsid w:val="00DE4FAD"/>
    <w:rsid w:val="00E23268"/>
    <w:rsid w:val="00E45E1A"/>
    <w:rsid w:val="00E53D05"/>
    <w:rsid w:val="00E5668B"/>
    <w:rsid w:val="00E92962"/>
    <w:rsid w:val="00EA45CD"/>
    <w:rsid w:val="00EB04AA"/>
    <w:rsid w:val="00EC0BE9"/>
    <w:rsid w:val="00EF4353"/>
    <w:rsid w:val="00F04A83"/>
    <w:rsid w:val="00F33997"/>
    <w:rsid w:val="00F90207"/>
    <w:rsid w:val="00FC61AD"/>
    <w:rsid w:val="05473817"/>
    <w:rsid w:val="10703CDC"/>
    <w:rsid w:val="1DBB5118"/>
    <w:rsid w:val="1DBC6213"/>
    <w:rsid w:val="1FCA1D2D"/>
    <w:rsid w:val="222D60D3"/>
    <w:rsid w:val="2BC55719"/>
    <w:rsid w:val="2EBB2BA5"/>
    <w:rsid w:val="3001155D"/>
    <w:rsid w:val="34035A81"/>
    <w:rsid w:val="353F5AA9"/>
    <w:rsid w:val="36062ED3"/>
    <w:rsid w:val="389B4685"/>
    <w:rsid w:val="3AD0658F"/>
    <w:rsid w:val="3C1A101E"/>
    <w:rsid w:val="3D3F69C3"/>
    <w:rsid w:val="3D8E2B46"/>
    <w:rsid w:val="43DA7070"/>
    <w:rsid w:val="491B70C1"/>
    <w:rsid w:val="56C52966"/>
    <w:rsid w:val="5B7A7BE7"/>
    <w:rsid w:val="5F426EE8"/>
    <w:rsid w:val="656332F6"/>
    <w:rsid w:val="666F2003"/>
    <w:rsid w:val="66861C36"/>
    <w:rsid w:val="67254250"/>
    <w:rsid w:val="67A969DF"/>
    <w:rsid w:val="67EC6B95"/>
    <w:rsid w:val="67ED2632"/>
    <w:rsid w:val="69132EFA"/>
    <w:rsid w:val="6E97502E"/>
    <w:rsid w:val="706E2757"/>
    <w:rsid w:val="7B914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iPriority="0" w:semiHidden="0" w:name="index 4"/>
    <w:lsdException w:qFormat="1" w:unhideWhenUsed="0" w:uiPriority="0" w:semiHidden="0" w:name="index 5"/>
    <w:lsdException w:uiPriority="99" w:name="index 6"/>
    <w:lsdException w:uiPriority="99" w:name="index 7"/>
    <w:lsdException w:uiPriority="99"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0" w:semiHidden="0" w:name="endnote reference"/>
    <w:lsdException w:qFormat="1" w:unhideWhenUsed="0" w:uiPriority="0" w:semiHidden="0" w:name="endnote text"/>
    <w:lsdException w:uiPriority="99"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nhideWhenUsed="0" w:uiPriority="0" w:semiHidden="0" w:name="HTML Typewriter"/>
    <w:lsdException w:qFormat="1" w:uiPriority="0" w:semiHidden="0"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04"/>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05"/>
    <w:autoRedefine/>
    <w:unhideWhenUsed/>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107"/>
    <w:autoRedefine/>
    <w:unhideWhenUsed/>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108"/>
    <w:unhideWhenUsed/>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109"/>
    <w:autoRedefine/>
    <w:unhideWhenUsed/>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110"/>
    <w:autoRedefine/>
    <w:unhideWhenUsed/>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111"/>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112"/>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113"/>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86">
    <w:name w:val="Default Paragraph Font"/>
    <w:semiHidden/>
    <w:unhideWhenUsed/>
    <w:uiPriority w:val="1"/>
  </w:style>
  <w:style w:type="table" w:default="1" w:styleId="83">
    <w:name w:val="Normal Table"/>
    <w:semiHidden/>
    <w:unhideWhenUsed/>
    <w:uiPriority w:val="99"/>
    <w:tblPr>
      <w:tblCellMar>
        <w:top w:w="0" w:type="dxa"/>
        <w:left w:w="108" w:type="dxa"/>
        <w:bottom w:w="0" w:type="dxa"/>
        <w:right w:w="108" w:type="dxa"/>
      </w:tblCellMar>
    </w:tblPr>
  </w:style>
  <w:style w:type="paragraph" w:styleId="2">
    <w:name w:val="macro"/>
    <w:link w:val="335"/>
    <w:autoRedefine/>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6">
    <w:name w:val="Normal Indent"/>
    <w:basedOn w:val="1"/>
    <w:next w:val="7"/>
    <w:link w:val="106"/>
    <w:autoRedefine/>
    <w:qFormat/>
    <w:uiPriority w:val="0"/>
    <w:pPr>
      <w:autoSpaceDE w:val="0"/>
      <w:autoSpaceDN w:val="0"/>
      <w:adjustRightInd w:val="0"/>
      <w:ind w:firstLine="420"/>
      <w:jc w:val="left"/>
    </w:pPr>
    <w:rPr>
      <w:rFonts w:ascii="宋体"/>
      <w:sz w:val="24"/>
    </w:rPr>
  </w:style>
  <w:style w:type="paragraph" w:customStyle="1" w:styleId="7">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4">
    <w:name w:val="List 3"/>
    <w:basedOn w:val="1"/>
    <w:autoRedefine/>
    <w:qFormat/>
    <w:uiPriority w:val="0"/>
    <w:pPr>
      <w:spacing w:line="360" w:lineRule="auto"/>
      <w:ind w:left="100" w:leftChars="400" w:hanging="200" w:hangingChars="200"/>
    </w:pPr>
    <w:rPr>
      <w:rFonts w:ascii="Calibri" w:hAnsi="Calibri"/>
      <w:sz w:val="28"/>
    </w:rPr>
  </w:style>
  <w:style w:type="paragraph" w:styleId="15">
    <w:name w:val="toc 7"/>
    <w:basedOn w:val="1"/>
    <w:next w:val="1"/>
    <w:autoRedefine/>
    <w:qFormat/>
    <w:uiPriority w:val="39"/>
    <w:pPr>
      <w:ind w:left="2520" w:leftChars="1200"/>
    </w:pPr>
  </w:style>
  <w:style w:type="paragraph" w:styleId="16">
    <w:name w:val="List Number 2"/>
    <w:basedOn w:val="1"/>
    <w:autoRedefine/>
    <w:qFormat/>
    <w:uiPriority w:val="0"/>
    <w:pPr>
      <w:tabs>
        <w:tab w:val="left" w:pos="1320"/>
      </w:tabs>
      <w:spacing w:line="360" w:lineRule="auto"/>
      <w:ind w:left="1320" w:hanging="420" w:firstLineChars="200"/>
    </w:pPr>
    <w:rPr>
      <w:rFonts w:ascii="Arial" w:hAnsi="Arial"/>
      <w:sz w:val="24"/>
    </w:rPr>
  </w:style>
  <w:style w:type="paragraph" w:styleId="17">
    <w:name w:val="Note Heading"/>
    <w:basedOn w:val="1"/>
    <w:next w:val="1"/>
    <w:link w:val="336"/>
    <w:autoRedefine/>
    <w:qFormat/>
    <w:uiPriority w:val="0"/>
    <w:pPr>
      <w:jc w:val="center"/>
    </w:pPr>
  </w:style>
  <w:style w:type="paragraph" w:styleId="18">
    <w:name w:val="List Bullet 4"/>
    <w:basedOn w:val="1"/>
    <w:autoRedefine/>
    <w:qFormat/>
    <w:uiPriority w:val="0"/>
    <w:pPr>
      <w:widowControl/>
      <w:tabs>
        <w:tab w:val="left" w:pos="720"/>
        <w:tab w:val="left" w:pos="1620"/>
      </w:tabs>
      <w:ind w:left="720" w:hanging="720"/>
      <w:jc w:val="left"/>
    </w:pPr>
    <w:rPr>
      <w:rFonts w:ascii="Calibri" w:hAnsi="Calibri"/>
      <w:kern w:val="0"/>
      <w:sz w:val="20"/>
      <w:szCs w:val="20"/>
    </w:rPr>
  </w:style>
  <w:style w:type="paragraph" w:styleId="19">
    <w:name w:val="E-mail Signature"/>
    <w:basedOn w:val="1"/>
    <w:link w:val="338"/>
    <w:autoRedefine/>
    <w:qFormat/>
    <w:uiPriority w:val="0"/>
  </w:style>
  <w:style w:type="paragraph" w:styleId="20">
    <w:name w:val="List Number"/>
    <w:basedOn w:val="1"/>
    <w:autoRedefine/>
    <w:qFormat/>
    <w:uiPriority w:val="0"/>
    <w:pPr>
      <w:tabs>
        <w:tab w:val="left" w:pos="360"/>
      </w:tabs>
      <w:ind w:left="360" w:hanging="360" w:hangingChars="200"/>
    </w:pPr>
  </w:style>
  <w:style w:type="paragraph" w:styleId="21">
    <w:name w:val="caption"/>
    <w:basedOn w:val="1"/>
    <w:next w:val="1"/>
    <w:link w:val="114"/>
    <w:autoRedefine/>
    <w:qFormat/>
    <w:uiPriority w:val="0"/>
    <w:pPr>
      <w:spacing w:line="480" w:lineRule="auto"/>
    </w:pPr>
    <w:rPr>
      <w:rFonts w:ascii="华文中宋" w:hAnsi="华文中宋" w:eastAsia="华文中宋"/>
      <w:sz w:val="36"/>
      <w:szCs w:val="20"/>
    </w:rPr>
  </w:style>
  <w:style w:type="paragraph" w:styleId="22">
    <w:name w:val="index 5"/>
    <w:basedOn w:val="1"/>
    <w:next w:val="1"/>
    <w:autoRedefine/>
    <w:qFormat/>
    <w:uiPriority w:val="0"/>
    <w:pPr>
      <w:ind w:left="800" w:leftChars="800"/>
    </w:pPr>
    <w:rPr>
      <w:rFonts w:ascii="Calibri" w:hAnsi="Calibri"/>
    </w:rPr>
  </w:style>
  <w:style w:type="paragraph" w:styleId="23">
    <w:name w:val="List Bullet"/>
    <w:basedOn w:val="1"/>
    <w:autoRedefine/>
    <w:qFormat/>
    <w:uiPriority w:val="0"/>
    <w:pPr>
      <w:tabs>
        <w:tab w:val="left" w:pos="360"/>
        <w:tab w:val="left" w:pos="1865"/>
      </w:tabs>
      <w:ind w:left="420" w:hanging="420"/>
    </w:pPr>
  </w:style>
  <w:style w:type="paragraph" w:styleId="24">
    <w:name w:val="envelope address"/>
    <w:basedOn w:val="1"/>
    <w:autoRedefine/>
    <w:qFormat/>
    <w:uiPriority w:val="0"/>
    <w:pPr>
      <w:framePr w:w="7920" w:h="1980" w:hRule="exact" w:hSpace="180" w:wrap="around" w:vAnchor="margin" w:hAnchor="page" w:xAlign="center" w:yAlign="bottom"/>
      <w:snapToGrid w:val="0"/>
      <w:ind w:left="100" w:leftChars="1400"/>
    </w:pPr>
    <w:rPr>
      <w:rFonts w:ascii="Arial" w:hAnsi="Arial" w:cs="Arial"/>
      <w:sz w:val="24"/>
    </w:rPr>
  </w:style>
  <w:style w:type="paragraph" w:styleId="25">
    <w:name w:val="Document Map"/>
    <w:basedOn w:val="1"/>
    <w:link w:val="115"/>
    <w:autoRedefine/>
    <w:qFormat/>
    <w:uiPriority w:val="0"/>
    <w:pPr>
      <w:shd w:val="clear" w:color="auto" w:fill="000080"/>
    </w:pPr>
  </w:style>
  <w:style w:type="paragraph" w:styleId="26">
    <w:name w:val="toa heading"/>
    <w:basedOn w:val="1"/>
    <w:next w:val="1"/>
    <w:autoRedefine/>
    <w:qFormat/>
    <w:uiPriority w:val="0"/>
    <w:pPr>
      <w:spacing w:before="120"/>
    </w:pPr>
    <w:rPr>
      <w:rFonts w:ascii="Arial" w:hAnsi="Arial"/>
      <w:sz w:val="24"/>
    </w:rPr>
  </w:style>
  <w:style w:type="paragraph" w:styleId="27">
    <w:name w:val="annotation text"/>
    <w:basedOn w:val="1"/>
    <w:link w:val="116"/>
    <w:autoRedefine/>
    <w:qFormat/>
    <w:uiPriority w:val="99"/>
    <w:pPr>
      <w:jc w:val="left"/>
    </w:pPr>
  </w:style>
  <w:style w:type="paragraph" w:styleId="28">
    <w:name w:val="Salutation"/>
    <w:basedOn w:val="1"/>
    <w:next w:val="1"/>
    <w:link w:val="117"/>
    <w:autoRedefine/>
    <w:qFormat/>
    <w:uiPriority w:val="0"/>
    <w:pPr>
      <w:spacing w:before="100" w:beforeAutospacing="1" w:after="100" w:afterAutospacing="1" w:line="360" w:lineRule="auto"/>
    </w:pPr>
  </w:style>
  <w:style w:type="paragraph" w:styleId="29">
    <w:name w:val="Body Text 3"/>
    <w:basedOn w:val="1"/>
    <w:link w:val="118"/>
    <w:autoRedefine/>
    <w:qFormat/>
    <w:uiPriority w:val="0"/>
    <w:pPr>
      <w:spacing w:after="120"/>
    </w:pPr>
    <w:rPr>
      <w:sz w:val="16"/>
      <w:szCs w:val="16"/>
    </w:rPr>
  </w:style>
  <w:style w:type="paragraph" w:styleId="30">
    <w:name w:val="Closing"/>
    <w:basedOn w:val="1"/>
    <w:link w:val="339"/>
    <w:autoRedefine/>
    <w:qFormat/>
    <w:uiPriority w:val="0"/>
    <w:pPr>
      <w:ind w:left="100" w:leftChars="2100"/>
    </w:pPr>
  </w:style>
  <w:style w:type="paragraph" w:styleId="31">
    <w:name w:val="List Bullet 3"/>
    <w:basedOn w:val="1"/>
    <w:autoRedefine/>
    <w:qFormat/>
    <w:uiPriority w:val="0"/>
    <w:pPr>
      <w:widowControl/>
      <w:tabs>
        <w:tab w:val="left" w:pos="435"/>
      </w:tabs>
      <w:spacing w:after="120" w:line="360" w:lineRule="auto"/>
      <w:ind w:left="435" w:hanging="454"/>
      <w:jc w:val="left"/>
    </w:pPr>
    <w:rPr>
      <w:rFonts w:ascii="Calibri" w:hAnsi="Calibri" w:cs="Arial"/>
      <w:kern w:val="0"/>
      <w:sz w:val="20"/>
      <w:szCs w:val="20"/>
    </w:rPr>
  </w:style>
  <w:style w:type="paragraph" w:styleId="32">
    <w:name w:val="Body Text"/>
    <w:basedOn w:val="1"/>
    <w:link w:val="119"/>
    <w:autoRedefine/>
    <w:qFormat/>
    <w:uiPriority w:val="0"/>
    <w:pPr>
      <w:tabs>
        <w:tab w:val="left" w:pos="567"/>
      </w:tabs>
      <w:spacing w:before="120" w:line="22" w:lineRule="atLeast"/>
    </w:pPr>
    <w:rPr>
      <w:rFonts w:ascii="宋体" w:hAnsi="宋体"/>
      <w:sz w:val="24"/>
    </w:rPr>
  </w:style>
  <w:style w:type="paragraph" w:styleId="33">
    <w:name w:val="Body Text Indent"/>
    <w:basedOn w:val="1"/>
    <w:next w:val="34"/>
    <w:link w:val="120"/>
    <w:autoRedefine/>
    <w:qFormat/>
    <w:uiPriority w:val="0"/>
    <w:pPr>
      <w:spacing w:line="360" w:lineRule="auto"/>
      <w:ind w:firstLine="570"/>
    </w:pPr>
    <w:rPr>
      <w:sz w:val="24"/>
    </w:rPr>
  </w:style>
  <w:style w:type="paragraph" w:styleId="34">
    <w:name w:val="envelope return"/>
    <w:basedOn w:val="1"/>
    <w:autoRedefine/>
    <w:qFormat/>
    <w:uiPriority w:val="0"/>
    <w:pPr>
      <w:snapToGrid w:val="0"/>
    </w:pPr>
    <w:rPr>
      <w:rFonts w:ascii="Arial" w:hAnsi="Arial"/>
    </w:rPr>
  </w:style>
  <w:style w:type="paragraph" w:styleId="35">
    <w:name w:val="List Number 3"/>
    <w:basedOn w:val="1"/>
    <w:autoRedefine/>
    <w:qFormat/>
    <w:uiPriority w:val="0"/>
    <w:pPr>
      <w:tabs>
        <w:tab w:val="left" w:pos="1226"/>
        <w:tab w:val="left" w:pos="1260"/>
      </w:tabs>
      <w:spacing w:line="360" w:lineRule="auto"/>
      <w:ind w:left="1260" w:hanging="840" w:firstLineChars="200"/>
    </w:pPr>
    <w:rPr>
      <w:rFonts w:ascii="Arial" w:hAnsi="Arial"/>
      <w:sz w:val="24"/>
    </w:rPr>
  </w:style>
  <w:style w:type="paragraph" w:styleId="36">
    <w:name w:val="List 2"/>
    <w:basedOn w:val="1"/>
    <w:autoRedefine/>
    <w:qFormat/>
    <w:uiPriority w:val="0"/>
    <w:pPr>
      <w:ind w:left="100" w:leftChars="200" w:hanging="200" w:hangingChars="200"/>
    </w:pPr>
  </w:style>
  <w:style w:type="paragraph" w:styleId="37">
    <w:name w:val="List Continue"/>
    <w:basedOn w:val="1"/>
    <w:autoRedefine/>
    <w:qFormat/>
    <w:uiPriority w:val="0"/>
    <w:pPr>
      <w:spacing w:after="120"/>
      <w:ind w:left="420" w:leftChars="200"/>
    </w:pPr>
    <w:rPr>
      <w:szCs w:val="20"/>
    </w:rPr>
  </w:style>
  <w:style w:type="paragraph" w:styleId="38">
    <w:name w:val="Block Text"/>
    <w:basedOn w:val="1"/>
    <w:autoRedefine/>
    <w:qFormat/>
    <w:uiPriority w:val="0"/>
    <w:pPr>
      <w:widowControl/>
      <w:ind w:left="480" w:right="-341" w:firstLine="513"/>
    </w:pPr>
    <w:rPr>
      <w:kern w:val="0"/>
      <w:sz w:val="24"/>
      <w:szCs w:val="20"/>
    </w:rPr>
  </w:style>
  <w:style w:type="paragraph" w:styleId="39">
    <w:name w:val="List Bullet 2"/>
    <w:basedOn w:val="23"/>
    <w:autoRedefine/>
    <w:qFormat/>
    <w:uiPriority w:val="0"/>
    <w:pPr>
      <w:widowControl/>
      <w:tabs>
        <w:tab w:val="left" w:pos="284"/>
        <w:tab w:val="clear" w:pos="1865"/>
      </w:tabs>
      <w:spacing w:after="220" w:line="220" w:lineRule="atLeast"/>
      <w:ind w:left="2160" w:right="720" w:hanging="284"/>
      <w:jc w:val="left"/>
    </w:pPr>
    <w:rPr>
      <w:kern w:val="0"/>
      <w:szCs w:val="20"/>
    </w:rPr>
  </w:style>
  <w:style w:type="paragraph" w:styleId="40">
    <w:name w:val="HTML Address"/>
    <w:basedOn w:val="1"/>
    <w:link w:val="340"/>
    <w:autoRedefine/>
    <w:qFormat/>
    <w:uiPriority w:val="0"/>
    <w:rPr>
      <w:i/>
      <w:iCs/>
    </w:rPr>
  </w:style>
  <w:style w:type="paragraph" w:styleId="41">
    <w:name w:val="index 4"/>
    <w:basedOn w:val="1"/>
    <w:next w:val="1"/>
    <w:autoRedefine/>
    <w:unhideWhenUsed/>
    <w:qFormat/>
    <w:uiPriority w:val="0"/>
    <w:pPr>
      <w:widowControl/>
      <w:ind w:left="600" w:leftChars="600"/>
    </w:pPr>
    <w:rPr>
      <w:rFonts w:ascii="Calibri" w:hAnsi="Calibri" w:cs="Arial"/>
      <w:kern w:val="0"/>
      <w:sz w:val="24"/>
    </w:rPr>
  </w:style>
  <w:style w:type="paragraph" w:styleId="42">
    <w:name w:val="toc 5"/>
    <w:basedOn w:val="1"/>
    <w:next w:val="1"/>
    <w:autoRedefine/>
    <w:qFormat/>
    <w:uiPriority w:val="39"/>
    <w:pPr>
      <w:ind w:left="1680" w:leftChars="800"/>
    </w:pPr>
  </w:style>
  <w:style w:type="paragraph" w:styleId="43">
    <w:name w:val="toc 3"/>
    <w:basedOn w:val="1"/>
    <w:next w:val="1"/>
    <w:autoRedefine/>
    <w:qFormat/>
    <w:uiPriority w:val="39"/>
    <w:pPr>
      <w:ind w:left="840" w:leftChars="400"/>
    </w:pPr>
  </w:style>
  <w:style w:type="paragraph" w:styleId="44">
    <w:name w:val="Plain Text"/>
    <w:basedOn w:val="1"/>
    <w:link w:val="121"/>
    <w:autoRedefine/>
    <w:qFormat/>
    <w:uiPriority w:val="0"/>
    <w:rPr>
      <w:rFonts w:hint="eastAsia" w:ascii="宋体" w:hAnsi="Courier New"/>
      <w:szCs w:val="20"/>
    </w:rPr>
  </w:style>
  <w:style w:type="paragraph" w:styleId="45">
    <w:name w:val="List Bullet 5"/>
    <w:basedOn w:val="1"/>
    <w:autoRedefine/>
    <w:qFormat/>
    <w:uiPriority w:val="0"/>
    <w:pPr>
      <w:tabs>
        <w:tab w:val="left" w:pos="2040"/>
      </w:tabs>
      <w:ind w:left="2040" w:leftChars="800" w:hanging="360" w:hangingChars="200"/>
    </w:pPr>
  </w:style>
  <w:style w:type="paragraph" w:styleId="46">
    <w:name w:val="List Number 4"/>
    <w:basedOn w:val="1"/>
    <w:autoRedefine/>
    <w:qFormat/>
    <w:uiPriority w:val="0"/>
    <w:pPr>
      <w:tabs>
        <w:tab w:val="left" w:pos="1620"/>
      </w:tabs>
      <w:ind w:left="1620" w:leftChars="600" w:hanging="360" w:hangingChars="200"/>
    </w:pPr>
  </w:style>
  <w:style w:type="paragraph" w:styleId="47">
    <w:name w:val="toc 8"/>
    <w:basedOn w:val="1"/>
    <w:next w:val="1"/>
    <w:autoRedefine/>
    <w:qFormat/>
    <w:uiPriority w:val="39"/>
    <w:pPr>
      <w:ind w:left="2940" w:leftChars="1400"/>
    </w:pPr>
  </w:style>
  <w:style w:type="paragraph" w:styleId="48">
    <w:name w:val="Date"/>
    <w:basedOn w:val="1"/>
    <w:next w:val="1"/>
    <w:link w:val="122"/>
    <w:autoRedefine/>
    <w:qFormat/>
    <w:uiPriority w:val="0"/>
    <w:pPr>
      <w:ind w:left="100" w:leftChars="2500"/>
    </w:pPr>
    <w:rPr>
      <w:rFonts w:ascii="仿宋_GB2312" w:hAnsi="宋体" w:eastAsia="仿宋_GB2312"/>
      <w:color w:val="000000"/>
      <w:sz w:val="24"/>
    </w:rPr>
  </w:style>
  <w:style w:type="paragraph" w:styleId="49">
    <w:name w:val="Body Text Indent 2"/>
    <w:basedOn w:val="1"/>
    <w:link w:val="123"/>
    <w:autoRedefine/>
    <w:qFormat/>
    <w:uiPriority w:val="0"/>
    <w:pPr>
      <w:ind w:firstLine="480" w:firstLineChars="200"/>
    </w:pPr>
    <w:rPr>
      <w:rFonts w:ascii="仿宋_GB2312" w:eastAsia="仿宋_GB2312"/>
      <w:sz w:val="24"/>
    </w:rPr>
  </w:style>
  <w:style w:type="paragraph" w:styleId="50">
    <w:name w:val="endnote text"/>
    <w:basedOn w:val="1"/>
    <w:link w:val="341"/>
    <w:autoRedefine/>
    <w:qFormat/>
    <w:uiPriority w:val="0"/>
    <w:pPr>
      <w:widowControl/>
      <w:snapToGrid w:val="0"/>
      <w:jc w:val="left"/>
    </w:pPr>
    <w:rPr>
      <w:rFonts w:ascii="Calibri" w:hAnsi="Calibri"/>
      <w:kern w:val="0"/>
      <w:sz w:val="20"/>
      <w:szCs w:val="20"/>
    </w:rPr>
  </w:style>
  <w:style w:type="paragraph" w:styleId="51">
    <w:name w:val="List Continue 5"/>
    <w:basedOn w:val="1"/>
    <w:autoRedefine/>
    <w:qFormat/>
    <w:uiPriority w:val="0"/>
    <w:pPr>
      <w:spacing w:after="120" w:line="360" w:lineRule="auto"/>
      <w:ind w:left="2100" w:leftChars="1000"/>
    </w:pPr>
    <w:rPr>
      <w:rFonts w:ascii="Calibri" w:hAnsi="Calibri"/>
      <w:sz w:val="28"/>
    </w:rPr>
  </w:style>
  <w:style w:type="paragraph" w:styleId="52">
    <w:name w:val="Balloon Text"/>
    <w:basedOn w:val="1"/>
    <w:link w:val="124"/>
    <w:autoRedefine/>
    <w:qFormat/>
    <w:uiPriority w:val="0"/>
    <w:rPr>
      <w:sz w:val="18"/>
      <w:szCs w:val="18"/>
    </w:rPr>
  </w:style>
  <w:style w:type="paragraph" w:styleId="53">
    <w:name w:val="footer"/>
    <w:basedOn w:val="1"/>
    <w:link w:val="125"/>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54">
    <w:name w:val="header"/>
    <w:basedOn w:val="1"/>
    <w:link w:val="126"/>
    <w:autoRedefine/>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343"/>
    <w:autoRedefine/>
    <w:qFormat/>
    <w:uiPriority w:val="0"/>
    <w:pPr>
      <w:adjustRightInd w:val="0"/>
      <w:spacing w:after="600" w:line="312" w:lineRule="atLeast"/>
      <w:jc w:val="center"/>
      <w:textAlignment w:val="baseline"/>
    </w:pPr>
    <w:rPr>
      <w:rFonts w:ascii="Calibri" w:hAnsi="Calibri" w:eastAsia="仿宋_GB2312"/>
      <w:kern w:val="0"/>
      <w:sz w:val="24"/>
      <w:szCs w:val="20"/>
    </w:rPr>
  </w:style>
  <w:style w:type="paragraph" w:styleId="56">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57">
    <w:name w:val="List Continue 4"/>
    <w:basedOn w:val="1"/>
    <w:autoRedefine/>
    <w:qFormat/>
    <w:uiPriority w:val="0"/>
    <w:pPr>
      <w:spacing w:after="120"/>
      <w:ind w:left="1680" w:leftChars="800"/>
    </w:pPr>
  </w:style>
  <w:style w:type="paragraph" w:styleId="58">
    <w:name w:val="toc 4"/>
    <w:basedOn w:val="1"/>
    <w:next w:val="1"/>
    <w:autoRedefine/>
    <w:qFormat/>
    <w:uiPriority w:val="39"/>
    <w:pPr>
      <w:ind w:left="1260" w:leftChars="600"/>
    </w:pPr>
  </w:style>
  <w:style w:type="paragraph" w:styleId="59">
    <w:name w:val="index heading"/>
    <w:basedOn w:val="1"/>
    <w:next w:val="60"/>
    <w:autoRedefine/>
    <w:qFormat/>
    <w:uiPriority w:val="0"/>
    <w:pPr>
      <w:spacing w:line="360" w:lineRule="auto"/>
      <w:ind w:firstLine="200" w:firstLineChars="200"/>
    </w:pPr>
    <w:rPr>
      <w:rFonts w:ascii="Cambria" w:hAnsi="Cambria"/>
      <w:b/>
      <w:bCs/>
      <w:sz w:val="24"/>
    </w:rPr>
  </w:style>
  <w:style w:type="paragraph" w:styleId="60">
    <w:name w:val="index 1"/>
    <w:basedOn w:val="1"/>
    <w:next w:val="1"/>
    <w:autoRedefine/>
    <w:qFormat/>
    <w:uiPriority w:val="0"/>
    <w:rPr>
      <w:szCs w:val="20"/>
    </w:rPr>
  </w:style>
  <w:style w:type="paragraph" w:styleId="61">
    <w:name w:val="Subtitle"/>
    <w:basedOn w:val="1"/>
    <w:next w:val="1"/>
    <w:link w:val="344"/>
    <w:autoRedefine/>
    <w:qFormat/>
    <w:uiPriority w:val="0"/>
    <w:pPr>
      <w:spacing w:before="240" w:after="60" w:line="312" w:lineRule="auto"/>
      <w:jc w:val="center"/>
      <w:outlineLvl w:val="1"/>
    </w:pPr>
    <w:rPr>
      <w:rFonts w:ascii="Cambria" w:hAnsi="Cambria"/>
      <w:b/>
      <w:bCs/>
      <w:kern w:val="28"/>
      <w:sz w:val="32"/>
      <w:szCs w:val="32"/>
    </w:rPr>
  </w:style>
  <w:style w:type="paragraph" w:styleId="62">
    <w:name w:val="List Number 5"/>
    <w:basedOn w:val="1"/>
    <w:autoRedefine/>
    <w:qFormat/>
    <w:uiPriority w:val="0"/>
    <w:pPr>
      <w:tabs>
        <w:tab w:val="left" w:pos="2040"/>
      </w:tabs>
      <w:ind w:left="2040" w:leftChars="800" w:hanging="360" w:hangingChars="200"/>
    </w:pPr>
  </w:style>
  <w:style w:type="paragraph" w:styleId="63">
    <w:name w:val="List"/>
    <w:basedOn w:val="1"/>
    <w:autoRedefine/>
    <w:qFormat/>
    <w:uiPriority w:val="0"/>
    <w:pPr>
      <w:adjustRightInd w:val="0"/>
      <w:spacing w:line="360" w:lineRule="atLeast"/>
      <w:ind w:left="420" w:hanging="420"/>
      <w:jc w:val="left"/>
    </w:pPr>
    <w:rPr>
      <w:rFonts w:hint="eastAsia" w:ascii="宋体" w:hAnsi="Calibri"/>
      <w:kern w:val="0"/>
      <w:sz w:val="24"/>
      <w:szCs w:val="20"/>
    </w:rPr>
  </w:style>
  <w:style w:type="paragraph" w:styleId="64">
    <w:name w:val="footnote text"/>
    <w:basedOn w:val="1"/>
    <w:link w:val="345"/>
    <w:autoRedefine/>
    <w:qFormat/>
    <w:uiPriority w:val="0"/>
    <w:pPr>
      <w:snapToGrid w:val="0"/>
      <w:jc w:val="left"/>
    </w:pPr>
    <w:rPr>
      <w:kern w:val="0"/>
      <w:sz w:val="18"/>
      <w:szCs w:val="18"/>
    </w:rPr>
  </w:style>
  <w:style w:type="paragraph" w:styleId="65">
    <w:name w:val="toc 6"/>
    <w:basedOn w:val="1"/>
    <w:next w:val="1"/>
    <w:autoRedefine/>
    <w:qFormat/>
    <w:uiPriority w:val="39"/>
    <w:pPr>
      <w:ind w:left="2100" w:leftChars="1000"/>
    </w:pPr>
  </w:style>
  <w:style w:type="paragraph" w:styleId="66">
    <w:name w:val="List 5"/>
    <w:basedOn w:val="1"/>
    <w:autoRedefine/>
    <w:qFormat/>
    <w:uiPriority w:val="0"/>
    <w:pPr>
      <w:spacing w:line="360" w:lineRule="auto"/>
      <w:ind w:left="100" w:leftChars="800" w:hanging="200" w:hangingChars="200"/>
    </w:pPr>
    <w:rPr>
      <w:rFonts w:ascii="Calibri" w:hAnsi="Calibri"/>
      <w:sz w:val="28"/>
    </w:rPr>
  </w:style>
  <w:style w:type="paragraph" w:styleId="67">
    <w:name w:val="Body Text Indent 3"/>
    <w:basedOn w:val="1"/>
    <w:link w:val="10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68">
    <w:name w:val="index 9"/>
    <w:basedOn w:val="1"/>
    <w:next w:val="1"/>
    <w:autoRedefine/>
    <w:qFormat/>
    <w:uiPriority w:val="0"/>
    <w:pPr>
      <w:ind w:left="1600" w:leftChars="1600"/>
    </w:pPr>
  </w:style>
  <w:style w:type="paragraph" w:styleId="69">
    <w:name w:val="table of figures"/>
    <w:basedOn w:val="1"/>
    <w:next w:val="1"/>
    <w:autoRedefine/>
    <w:qFormat/>
    <w:uiPriority w:val="0"/>
    <w:pPr>
      <w:ind w:left="200" w:leftChars="200" w:hanging="200" w:hangingChars="200"/>
    </w:pPr>
  </w:style>
  <w:style w:type="paragraph" w:styleId="70">
    <w:name w:val="toc 2"/>
    <w:basedOn w:val="1"/>
    <w:next w:val="1"/>
    <w:autoRedefine/>
    <w:qFormat/>
    <w:uiPriority w:val="39"/>
    <w:pPr>
      <w:tabs>
        <w:tab w:val="right" w:leader="dot" w:pos="8937"/>
      </w:tabs>
      <w:spacing w:line="312" w:lineRule="auto"/>
      <w:ind w:left="420" w:leftChars="200"/>
    </w:pPr>
  </w:style>
  <w:style w:type="paragraph" w:styleId="71">
    <w:name w:val="toc 9"/>
    <w:basedOn w:val="1"/>
    <w:next w:val="1"/>
    <w:qFormat/>
    <w:uiPriority w:val="39"/>
    <w:pPr>
      <w:ind w:left="3360" w:leftChars="1600"/>
    </w:pPr>
  </w:style>
  <w:style w:type="paragraph" w:styleId="72">
    <w:name w:val="Body Text 2"/>
    <w:basedOn w:val="1"/>
    <w:link w:val="127"/>
    <w:autoRedefine/>
    <w:qFormat/>
    <w:uiPriority w:val="0"/>
    <w:pPr>
      <w:spacing w:after="120" w:line="480" w:lineRule="auto"/>
    </w:pPr>
  </w:style>
  <w:style w:type="paragraph" w:styleId="73">
    <w:name w:val="List 4"/>
    <w:basedOn w:val="1"/>
    <w:autoRedefine/>
    <w:qFormat/>
    <w:uiPriority w:val="0"/>
    <w:pPr>
      <w:spacing w:line="360" w:lineRule="auto"/>
      <w:ind w:left="100" w:leftChars="600" w:hanging="200" w:hangingChars="200"/>
    </w:pPr>
    <w:rPr>
      <w:rFonts w:ascii="Calibri" w:hAnsi="Calibri"/>
      <w:sz w:val="28"/>
    </w:rPr>
  </w:style>
  <w:style w:type="paragraph" w:styleId="74">
    <w:name w:val="List Continue 2"/>
    <w:basedOn w:val="1"/>
    <w:autoRedefine/>
    <w:qFormat/>
    <w:uiPriority w:val="0"/>
    <w:pPr>
      <w:spacing w:after="120" w:line="360" w:lineRule="auto"/>
      <w:ind w:left="840" w:leftChars="400"/>
    </w:pPr>
    <w:rPr>
      <w:rFonts w:ascii="Calibri" w:hAnsi="Calibri"/>
      <w:sz w:val="28"/>
    </w:rPr>
  </w:style>
  <w:style w:type="paragraph" w:styleId="75">
    <w:name w:val="Message Header"/>
    <w:basedOn w:val="1"/>
    <w:link w:val="347"/>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kern w:val="0"/>
      <w:sz w:val="24"/>
    </w:rPr>
  </w:style>
  <w:style w:type="paragraph" w:styleId="76">
    <w:name w:val="HTML Preformatted"/>
    <w:basedOn w:val="1"/>
    <w:link w:val="12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7">
    <w:name w:val="Normal (Web)"/>
    <w:basedOn w:val="1"/>
    <w:link w:val="129"/>
    <w:autoRedefine/>
    <w:qFormat/>
    <w:uiPriority w:val="0"/>
    <w:pPr>
      <w:widowControl/>
      <w:spacing w:before="100" w:beforeAutospacing="1" w:after="100" w:afterAutospacing="1"/>
      <w:jc w:val="left"/>
    </w:pPr>
    <w:rPr>
      <w:rFonts w:ascii="宋体" w:hAnsi="宋体" w:cs="宋体"/>
      <w:kern w:val="0"/>
      <w:sz w:val="24"/>
    </w:rPr>
  </w:style>
  <w:style w:type="paragraph" w:styleId="78">
    <w:name w:val="List Continue 3"/>
    <w:basedOn w:val="1"/>
    <w:autoRedefine/>
    <w:qFormat/>
    <w:uiPriority w:val="0"/>
    <w:pPr>
      <w:spacing w:after="120"/>
      <w:ind w:left="1260" w:leftChars="600"/>
    </w:pPr>
    <w:rPr>
      <w:szCs w:val="20"/>
    </w:rPr>
  </w:style>
  <w:style w:type="paragraph" w:styleId="79">
    <w:name w:val="Title"/>
    <w:basedOn w:val="1"/>
    <w:link w:val="130"/>
    <w:autoRedefine/>
    <w:qFormat/>
    <w:uiPriority w:val="0"/>
    <w:pPr>
      <w:jc w:val="center"/>
      <w:outlineLvl w:val="0"/>
    </w:pPr>
    <w:rPr>
      <w:b/>
      <w:sz w:val="32"/>
      <w:szCs w:val="20"/>
    </w:rPr>
  </w:style>
  <w:style w:type="paragraph" w:styleId="80">
    <w:name w:val="annotation subject"/>
    <w:basedOn w:val="27"/>
    <w:next w:val="27"/>
    <w:link w:val="131"/>
    <w:autoRedefine/>
    <w:qFormat/>
    <w:uiPriority w:val="0"/>
    <w:rPr>
      <w:b/>
      <w:bCs/>
    </w:rPr>
  </w:style>
  <w:style w:type="paragraph" w:styleId="81">
    <w:name w:val="Body Text First Indent"/>
    <w:basedOn w:val="32"/>
    <w:link w:val="132"/>
    <w:autoRedefine/>
    <w:qFormat/>
    <w:uiPriority w:val="0"/>
    <w:pPr>
      <w:ind w:firstLine="420" w:firstLineChars="100"/>
    </w:pPr>
  </w:style>
  <w:style w:type="paragraph" w:styleId="82">
    <w:name w:val="Body Text First Indent 2"/>
    <w:basedOn w:val="33"/>
    <w:next w:val="1"/>
    <w:link w:val="133"/>
    <w:autoRedefine/>
    <w:qFormat/>
    <w:uiPriority w:val="0"/>
    <w:pPr>
      <w:spacing w:after="120" w:line="480" w:lineRule="exact"/>
      <w:ind w:left="420" w:leftChars="200" w:firstLine="420" w:firstLineChars="200"/>
    </w:pPr>
    <w:rPr>
      <w:szCs w:val="20"/>
    </w:rPr>
  </w:style>
  <w:style w:type="table" w:styleId="84">
    <w:name w:val="Table Grid"/>
    <w:basedOn w:val="83"/>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85">
    <w:name w:val="Medium Grid 1 Accent 2"/>
    <w:basedOn w:val="83"/>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87">
    <w:name w:val="Strong"/>
    <w:autoRedefine/>
    <w:qFormat/>
    <w:uiPriority w:val="22"/>
    <w:rPr>
      <w:b/>
      <w:bCs/>
    </w:rPr>
  </w:style>
  <w:style w:type="character" w:styleId="88">
    <w:name w:val="endnote reference"/>
    <w:autoRedefine/>
    <w:unhideWhenUsed/>
    <w:qFormat/>
    <w:uiPriority w:val="0"/>
    <w:rPr>
      <w:vertAlign w:val="superscript"/>
    </w:rPr>
  </w:style>
  <w:style w:type="character" w:styleId="89">
    <w:name w:val="page number"/>
    <w:autoRedefine/>
    <w:qFormat/>
    <w:uiPriority w:val="0"/>
  </w:style>
  <w:style w:type="character" w:styleId="90">
    <w:name w:val="FollowedHyperlink"/>
    <w:autoRedefine/>
    <w:qFormat/>
    <w:uiPriority w:val="99"/>
    <w:rPr>
      <w:color w:val="800080"/>
      <w:u w:val="single"/>
    </w:rPr>
  </w:style>
  <w:style w:type="character" w:styleId="91">
    <w:name w:val="Emphasis"/>
    <w:autoRedefine/>
    <w:qFormat/>
    <w:uiPriority w:val="0"/>
    <w:rPr>
      <w:color w:val="CC0033"/>
    </w:rPr>
  </w:style>
  <w:style w:type="character" w:styleId="92">
    <w:name w:val="HTML Definition"/>
    <w:autoRedefine/>
    <w:unhideWhenUsed/>
    <w:qFormat/>
    <w:uiPriority w:val="99"/>
    <w:rPr>
      <w:bdr w:val="single" w:color="2490F8" w:sz="6" w:space="0"/>
    </w:rPr>
  </w:style>
  <w:style w:type="character" w:styleId="93">
    <w:name w:val="HTML Typewriter"/>
    <w:autoRedefine/>
    <w:qFormat/>
    <w:uiPriority w:val="0"/>
    <w:rPr>
      <w:rFonts w:ascii="宋体" w:hAnsi="宋体" w:eastAsia="宋体" w:cs="Times New Roman"/>
      <w:sz w:val="18"/>
    </w:rPr>
  </w:style>
  <w:style w:type="character" w:styleId="94">
    <w:name w:val="HTML Acronym"/>
    <w:autoRedefine/>
    <w:qFormat/>
    <w:uiPriority w:val="0"/>
  </w:style>
  <w:style w:type="character" w:styleId="95">
    <w:name w:val="HTML Variable"/>
    <w:autoRedefine/>
    <w:unhideWhenUsed/>
    <w:qFormat/>
    <w:uiPriority w:val="0"/>
  </w:style>
  <w:style w:type="character" w:styleId="96">
    <w:name w:val="Hyperlink"/>
    <w:autoRedefine/>
    <w:qFormat/>
    <w:uiPriority w:val="99"/>
    <w:rPr>
      <w:color w:val="0000FF"/>
      <w:u w:val="single"/>
    </w:rPr>
  </w:style>
  <w:style w:type="character" w:styleId="97">
    <w:name w:val="HTML Code"/>
    <w:autoRedefine/>
    <w:unhideWhenUsed/>
    <w:qFormat/>
    <w:uiPriority w:val="99"/>
    <w:rPr>
      <w:rFonts w:ascii="微软雅黑" w:hAnsi="微软雅黑" w:eastAsia="微软雅黑" w:cs="微软雅黑"/>
      <w:sz w:val="20"/>
    </w:rPr>
  </w:style>
  <w:style w:type="character" w:styleId="98">
    <w:name w:val="annotation reference"/>
    <w:autoRedefine/>
    <w:qFormat/>
    <w:uiPriority w:val="0"/>
    <w:rPr>
      <w:sz w:val="21"/>
      <w:szCs w:val="21"/>
    </w:rPr>
  </w:style>
  <w:style w:type="character" w:styleId="99">
    <w:name w:val="HTML Cite"/>
    <w:autoRedefine/>
    <w:qFormat/>
    <w:uiPriority w:val="99"/>
    <w:rPr>
      <w:i/>
      <w:iCs/>
    </w:rPr>
  </w:style>
  <w:style w:type="character" w:styleId="100">
    <w:name w:val="footnote reference"/>
    <w:autoRedefine/>
    <w:qFormat/>
    <w:uiPriority w:val="0"/>
    <w:rPr>
      <w:rFonts w:ascii="Calibri" w:hAnsi="Calibri" w:eastAsia="宋体" w:cs="Times New Roman"/>
      <w:vertAlign w:val="superscript"/>
    </w:rPr>
  </w:style>
  <w:style w:type="character" w:styleId="101">
    <w:name w:val="HTML Keyboard"/>
    <w:autoRedefine/>
    <w:unhideWhenUsed/>
    <w:qFormat/>
    <w:uiPriority w:val="99"/>
    <w:rPr>
      <w:rFonts w:ascii="monospace" w:hAnsi="monospace" w:eastAsia="monospace" w:cs="monospace"/>
      <w:sz w:val="21"/>
      <w:szCs w:val="21"/>
    </w:rPr>
  </w:style>
  <w:style w:type="character" w:styleId="102">
    <w:name w:val="HTML Sample"/>
    <w:autoRedefine/>
    <w:unhideWhenUsed/>
    <w:qFormat/>
    <w:uiPriority w:val="99"/>
    <w:rPr>
      <w:rFonts w:hint="default" w:ascii="monospace" w:hAnsi="monospace" w:eastAsia="monospace" w:cs="monospace"/>
      <w:sz w:val="21"/>
      <w:szCs w:val="21"/>
    </w:rPr>
  </w:style>
  <w:style w:type="character" w:customStyle="1" w:styleId="103">
    <w:name w:val="正文文本缩进 3 字符"/>
    <w:link w:val="67"/>
    <w:autoRedefine/>
    <w:qFormat/>
    <w:uiPriority w:val="0"/>
    <w:rPr>
      <w:rFonts w:ascii="宋体"/>
      <w:sz w:val="24"/>
    </w:rPr>
  </w:style>
  <w:style w:type="character" w:customStyle="1" w:styleId="104">
    <w:name w:val="标题 1 字符"/>
    <w:link w:val="3"/>
    <w:autoRedefine/>
    <w:qFormat/>
    <w:uiPriority w:val="0"/>
    <w:rPr>
      <w:rFonts w:ascii="宋体"/>
      <w:b/>
      <w:kern w:val="44"/>
      <w:sz w:val="32"/>
    </w:rPr>
  </w:style>
  <w:style w:type="character" w:customStyle="1" w:styleId="105">
    <w:name w:val="标题 2 字符"/>
    <w:link w:val="4"/>
    <w:autoRedefine/>
    <w:qFormat/>
    <w:uiPriority w:val="0"/>
    <w:rPr>
      <w:rFonts w:ascii="Arial" w:hAnsi="Arial" w:eastAsia="黑体"/>
      <w:b/>
      <w:sz w:val="30"/>
      <w:lang w:val="en-US" w:eastAsia="zh-CN" w:bidi="ar-SA"/>
    </w:rPr>
  </w:style>
  <w:style w:type="character" w:customStyle="1" w:styleId="106">
    <w:name w:val="正文缩进 字符"/>
    <w:link w:val="6"/>
    <w:autoRedefine/>
    <w:qFormat/>
    <w:uiPriority w:val="0"/>
    <w:rPr>
      <w:rFonts w:ascii="宋体" w:eastAsia="宋体"/>
      <w:kern w:val="2"/>
      <w:sz w:val="24"/>
      <w:szCs w:val="24"/>
      <w:lang w:val="en-US" w:eastAsia="zh-CN" w:bidi="ar-SA"/>
    </w:rPr>
  </w:style>
  <w:style w:type="character" w:customStyle="1" w:styleId="107">
    <w:name w:val="标题 3 字符"/>
    <w:link w:val="5"/>
    <w:autoRedefine/>
    <w:qFormat/>
    <w:uiPriority w:val="0"/>
    <w:rPr>
      <w:rFonts w:ascii="宋体" w:eastAsia="宋体"/>
      <w:b/>
      <w:sz w:val="24"/>
      <w:u w:val="single"/>
      <w:lang w:val="en-US" w:eastAsia="zh-CN" w:bidi="ar-SA"/>
    </w:rPr>
  </w:style>
  <w:style w:type="character" w:customStyle="1" w:styleId="108">
    <w:name w:val="标题 4 字符"/>
    <w:link w:val="8"/>
    <w:autoRedefine/>
    <w:qFormat/>
    <w:uiPriority w:val="0"/>
    <w:rPr>
      <w:rFonts w:ascii="Arial" w:hAnsi="Arial" w:eastAsia="黑体"/>
      <w:b/>
      <w:sz w:val="28"/>
    </w:rPr>
  </w:style>
  <w:style w:type="character" w:customStyle="1" w:styleId="109">
    <w:name w:val="标题 5 字符"/>
    <w:link w:val="9"/>
    <w:autoRedefine/>
    <w:qFormat/>
    <w:uiPriority w:val="0"/>
    <w:rPr>
      <w:b/>
      <w:sz w:val="28"/>
    </w:rPr>
  </w:style>
  <w:style w:type="character" w:customStyle="1" w:styleId="110">
    <w:name w:val="标题 6 字符"/>
    <w:link w:val="10"/>
    <w:autoRedefine/>
    <w:qFormat/>
    <w:uiPriority w:val="0"/>
    <w:rPr>
      <w:rFonts w:ascii="Arial" w:hAnsi="Arial" w:eastAsia="黑体"/>
      <w:b/>
      <w:sz w:val="24"/>
    </w:rPr>
  </w:style>
  <w:style w:type="character" w:customStyle="1" w:styleId="111">
    <w:name w:val="标题 7 字符"/>
    <w:link w:val="11"/>
    <w:autoRedefine/>
    <w:qFormat/>
    <w:uiPriority w:val="0"/>
    <w:rPr>
      <w:b/>
      <w:sz w:val="24"/>
    </w:rPr>
  </w:style>
  <w:style w:type="character" w:customStyle="1" w:styleId="112">
    <w:name w:val="标题 8 字符"/>
    <w:link w:val="12"/>
    <w:autoRedefine/>
    <w:qFormat/>
    <w:uiPriority w:val="0"/>
    <w:rPr>
      <w:rFonts w:ascii="Arial" w:hAnsi="Arial" w:eastAsia="黑体"/>
      <w:sz w:val="24"/>
    </w:rPr>
  </w:style>
  <w:style w:type="character" w:customStyle="1" w:styleId="113">
    <w:name w:val="标题 9 字符"/>
    <w:link w:val="13"/>
    <w:autoRedefine/>
    <w:qFormat/>
    <w:uiPriority w:val="0"/>
    <w:rPr>
      <w:rFonts w:ascii="Arial" w:hAnsi="Arial" w:eastAsia="黑体"/>
      <w:sz w:val="21"/>
    </w:rPr>
  </w:style>
  <w:style w:type="character" w:customStyle="1" w:styleId="114">
    <w:name w:val="题注 字符1"/>
    <w:link w:val="21"/>
    <w:autoRedefine/>
    <w:qFormat/>
    <w:uiPriority w:val="0"/>
    <w:rPr>
      <w:rFonts w:ascii="华文中宋" w:hAnsi="华文中宋" w:eastAsia="华文中宋"/>
      <w:kern w:val="2"/>
      <w:sz w:val="36"/>
    </w:rPr>
  </w:style>
  <w:style w:type="character" w:customStyle="1" w:styleId="115">
    <w:name w:val="文档结构图 字符"/>
    <w:link w:val="25"/>
    <w:autoRedefine/>
    <w:qFormat/>
    <w:uiPriority w:val="0"/>
    <w:rPr>
      <w:kern w:val="2"/>
      <w:sz w:val="21"/>
      <w:szCs w:val="24"/>
      <w:shd w:val="clear" w:color="auto" w:fill="000080"/>
    </w:rPr>
  </w:style>
  <w:style w:type="character" w:customStyle="1" w:styleId="116">
    <w:name w:val="批注文字 字符1"/>
    <w:link w:val="27"/>
    <w:autoRedefine/>
    <w:qFormat/>
    <w:uiPriority w:val="0"/>
    <w:rPr>
      <w:kern w:val="2"/>
      <w:sz w:val="21"/>
      <w:szCs w:val="24"/>
    </w:rPr>
  </w:style>
  <w:style w:type="character" w:customStyle="1" w:styleId="117">
    <w:name w:val="称呼 字符"/>
    <w:link w:val="28"/>
    <w:autoRedefine/>
    <w:qFormat/>
    <w:uiPriority w:val="0"/>
    <w:rPr>
      <w:kern w:val="2"/>
      <w:sz w:val="21"/>
      <w:szCs w:val="24"/>
    </w:rPr>
  </w:style>
  <w:style w:type="character" w:customStyle="1" w:styleId="118">
    <w:name w:val="正文文本 3 字符"/>
    <w:link w:val="29"/>
    <w:autoRedefine/>
    <w:qFormat/>
    <w:uiPriority w:val="0"/>
    <w:rPr>
      <w:kern w:val="2"/>
      <w:sz w:val="16"/>
      <w:szCs w:val="16"/>
    </w:rPr>
  </w:style>
  <w:style w:type="character" w:customStyle="1" w:styleId="119">
    <w:name w:val="正文文本 字符"/>
    <w:link w:val="32"/>
    <w:autoRedefine/>
    <w:qFormat/>
    <w:uiPriority w:val="0"/>
    <w:rPr>
      <w:rFonts w:ascii="宋体" w:hAnsi="宋体"/>
      <w:kern w:val="2"/>
      <w:sz w:val="24"/>
      <w:szCs w:val="24"/>
    </w:rPr>
  </w:style>
  <w:style w:type="character" w:customStyle="1" w:styleId="120">
    <w:name w:val="正文文本缩进 字符"/>
    <w:link w:val="33"/>
    <w:autoRedefine/>
    <w:qFormat/>
    <w:uiPriority w:val="0"/>
    <w:rPr>
      <w:rFonts w:eastAsia="宋体"/>
      <w:kern w:val="2"/>
      <w:sz w:val="24"/>
      <w:szCs w:val="24"/>
      <w:lang w:val="en-US" w:eastAsia="zh-CN" w:bidi="ar-SA"/>
    </w:rPr>
  </w:style>
  <w:style w:type="character" w:customStyle="1" w:styleId="121">
    <w:name w:val="纯文本 字符2"/>
    <w:link w:val="44"/>
    <w:autoRedefine/>
    <w:qFormat/>
    <w:uiPriority w:val="99"/>
    <w:rPr>
      <w:rFonts w:hint="eastAsia" w:ascii="宋体" w:hAnsi="Courier New" w:eastAsia="宋体" w:cs="宋体"/>
      <w:kern w:val="2"/>
      <w:sz w:val="21"/>
    </w:rPr>
  </w:style>
  <w:style w:type="character" w:customStyle="1" w:styleId="122">
    <w:name w:val="日期 字符"/>
    <w:link w:val="48"/>
    <w:autoRedefine/>
    <w:qFormat/>
    <w:uiPriority w:val="0"/>
    <w:rPr>
      <w:rFonts w:ascii="仿宋_GB2312" w:hAnsi="宋体" w:eastAsia="仿宋_GB2312"/>
      <w:color w:val="000000"/>
      <w:kern w:val="2"/>
      <w:sz w:val="24"/>
      <w:szCs w:val="24"/>
    </w:rPr>
  </w:style>
  <w:style w:type="character" w:customStyle="1" w:styleId="123">
    <w:name w:val="正文文本缩进 2 字符"/>
    <w:link w:val="49"/>
    <w:autoRedefine/>
    <w:qFormat/>
    <w:uiPriority w:val="0"/>
    <w:rPr>
      <w:rFonts w:ascii="仿宋_GB2312" w:eastAsia="仿宋_GB2312"/>
      <w:kern w:val="2"/>
      <w:sz w:val="24"/>
      <w:szCs w:val="24"/>
    </w:rPr>
  </w:style>
  <w:style w:type="character" w:customStyle="1" w:styleId="124">
    <w:name w:val="批注框文本 字符"/>
    <w:link w:val="52"/>
    <w:autoRedefine/>
    <w:qFormat/>
    <w:uiPriority w:val="0"/>
    <w:rPr>
      <w:kern w:val="2"/>
      <w:sz w:val="18"/>
      <w:szCs w:val="18"/>
    </w:rPr>
  </w:style>
  <w:style w:type="character" w:customStyle="1" w:styleId="125">
    <w:name w:val="页脚 字符"/>
    <w:link w:val="53"/>
    <w:autoRedefine/>
    <w:qFormat/>
    <w:uiPriority w:val="99"/>
    <w:rPr>
      <w:rFonts w:ascii="宋体" w:eastAsia="宋体"/>
      <w:sz w:val="18"/>
      <w:lang w:val="en-US" w:eastAsia="zh-CN" w:bidi="ar-SA"/>
    </w:rPr>
  </w:style>
  <w:style w:type="character" w:customStyle="1" w:styleId="126">
    <w:name w:val="页眉 字符"/>
    <w:link w:val="54"/>
    <w:autoRedefine/>
    <w:qFormat/>
    <w:uiPriority w:val="99"/>
    <w:rPr>
      <w:rFonts w:eastAsia="宋体"/>
      <w:kern w:val="2"/>
      <w:sz w:val="18"/>
      <w:szCs w:val="18"/>
      <w:lang w:val="en-US" w:eastAsia="zh-CN" w:bidi="ar-SA"/>
    </w:rPr>
  </w:style>
  <w:style w:type="character" w:customStyle="1" w:styleId="127">
    <w:name w:val="正文文本 2 字符2"/>
    <w:link w:val="72"/>
    <w:autoRedefine/>
    <w:qFormat/>
    <w:uiPriority w:val="0"/>
    <w:rPr>
      <w:kern w:val="2"/>
      <w:sz w:val="21"/>
      <w:szCs w:val="24"/>
    </w:rPr>
  </w:style>
  <w:style w:type="character" w:customStyle="1" w:styleId="128">
    <w:name w:val="HTML 预设格式 字符"/>
    <w:link w:val="76"/>
    <w:autoRedefine/>
    <w:qFormat/>
    <w:uiPriority w:val="99"/>
    <w:rPr>
      <w:rFonts w:ascii="宋体" w:hAnsi="宋体" w:cs="宋体"/>
      <w:sz w:val="24"/>
      <w:szCs w:val="24"/>
    </w:rPr>
  </w:style>
  <w:style w:type="character" w:customStyle="1" w:styleId="129">
    <w:name w:val="普通(网站) 字符"/>
    <w:link w:val="77"/>
    <w:autoRedefine/>
    <w:qFormat/>
    <w:uiPriority w:val="0"/>
    <w:rPr>
      <w:rFonts w:ascii="宋体" w:hAnsi="宋体" w:cs="宋体"/>
      <w:sz w:val="24"/>
      <w:szCs w:val="24"/>
    </w:rPr>
  </w:style>
  <w:style w:type="character" w:customStyle="1" w:styleId="130">
    <w:name w:val="标题 字符"/>
    <w:link w:val="79"/>
    <w:autoRedefine/>
    <w:qFormat/>
    <w:uiPriority w:val="0"/>
    <w:rPr>
      <w:b/>
      <w:kern w:val="2"/>
      <w:sz w:val="32"/>
    </w:rPr>
  </w:style>
  <w:style w:type="character" w:customStyle="1" w:styleId="131">
    <w:name w:val="批注主题 字符"/>
    <w:link w:val="80"/>
    <w:autoRedefine/>
    <w:qFormat/>
    <w:uiPriority w:val="0"/>
    <w:rPr>
      <w:rFonts w:ascii="Times New Roman" w:hAnsi="Times New Roman" w:eastAsia="宋体" w:cs="Times New Roman"/>
      <w:b/>
      <w:bCs/>
      <w:kern w:val="2"/>
      <w:sz w:val="21"/>
      <w:szCs w:val="24"/>
      <w:lang w:val="en-US" w:eastAsia="zh-CN" w:bidi="ar-SA"/>
    </w:rPr>
  </w:style>
  <w:style w:type="character" w:customStyle="1" w:styleId="132">
    <w:name w:val="正文文本首行缩进 字符1"/>
    <w:link w:val="81"/>
    <w:autoRedefine/>
    <w:qFormat/>
    <w:uiPriority w:val="0"/>
    <w:rPr>
      <w:rFonts w:ascii="宋体" w:hAnsi="宋体"/>
      <w:kern w:val="2"/>
      <w:sz w:val="24"/>
      <w:szCs w:val="24"/>
    </w:rPr>
  </w:style>
  <w:style w:type="character" w:customStyle="1" w:styleId="133">
    <w:name w:val="正文文本首行缩进 2 字符"/>
    <w:link w:val="82"/>
    <w:autoRedefine/>
    <w:qFormat/>
    <w:uiPriority w:val="0"/>
    <w:rPr>
      <w:rFonts w:eastAsia="宋体"/>
      <w:kern w:val="2"/>
      <w:sz w:val="24"/>
      <w:szCs w:val="24"/>
      <w:lang w:val="en-US" w:eastAsia="zh-CN" w:bidi="ar-SA"/>
    </w:rPr>
  </w:style>
  <w:style w:type="character" w:customStyle="1" w:styleId="134">
    <w:name w:val="Char Char11"/>
    <w:autoRedefine/>
    <w:qFormat/>
    <w:uiPriority w:val="0"/>
    <w:rPr>
      <w:rFonts w:ascii="宋体" w:eastAsia="宋体"/>
      <w:b/>
      <w:sz w:val="24"/>
      <w:u w:val="single"/>
      <w:lang w:val="en-US" w:eastAsia="zh-CN" w:bidi="ar-SA"/>
    </w:rPr>
  </w:style>
  <w:style w:type="character" w:customStyle="1" w:styleId="135">
    <w:name w:val="中等深浅网格 1 - 强调文字颜色 2 Char"/>
    <w:link w:val="136"/>
    <w:autoRedefine/>
    <w:qFormat/>
    <w:uiPriority w:val="0"/>
    <w:rPr>
      <w:kern w:val="2"/>
      <w:sz w:val="21"/>
      <w:szCs w:val="24"/>
      <w:lang w:val="zh-CN" w:eastAsia="zh-CN" w:bidi="ar-SA"/>
    </w:rPr>
  </w:style>
  <w:style w:type="paragraph" w:customStyle="1" w:styleId="136">
    <w:name w:val="1"/>
    <w:link w:val="135"/>
    <w:autoRedefine/>
    <w:qFormat/>
    <w:uiPriority w:val="0"/>
    <w:rPr>
      <w:rFonts w:ascii="Times New Roman" w:hAnsi="Times New Roman" w:eastAsia="宋体" w:cs="Times New Roman"/>
      <w:kern w:val="2"/>
      <w:sz w:val="21"/>
      <w:szCs w:val="24"/>
      <w:lang w:val="zh-CN" w:eastAsia="zh-CN" w:bidi="ar-SA"/>
    </w:rPr>
  </w:style>
  <w:style w:type="character" w:customStyle="1" w:styleId="137">
    <w:name w:val="正文小标题 Char"/>
    <w:link w:val="138"/>
    <w:autoRedefine/>
    <w:qFormat/>
    <w:uiPriority w:val="0"/>
    <w:rPr>
      <w:rFonts w:ascii="宋体" w:hAnsi="宋体"/>
      <w:b/>
      <w:i/>
      <w:color w:val="FF0000"/>
      <w:kern w:val="2"/>
      <w:sz w:val="24"/>
    </w:rPr>
  </w:style>
  <w:style w:type="paragraph" w:customStyle="1" w:styleId="138">
    <w:name w:val="正文小标题"/>
    <w:basedOn w:val="1"/>
    <w:next w:val="6"/>
    <w:link w:val="137"/>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39">
    <w:name w:val="font11"/>
    <w:autoRedefine/>
    <w:qFormat/>
    <w:uiPriority w:val="0"/>
    <w:rPr>
      <w:rFonts w:hint="eastAsia" w:ascii="仿宋" w:hAnsi="仿宋" w:eastAsia="仿宋" w:cs="仿宋"/>
      <w:color w:val="000000"/>
      <w:sz w:val="24"/>
      <w:szCs w:val="24"/>
      <w:u w:val="none"/>
    </w:rPr>
  </w:style>
  <w:style w:type="character" w:customStyle="1" w:styleId="140">
    <w:name w:val="chanpin拷贝"/>
    <w:autoRedefine/>
    <w:qFormat/>
    <w:uiPriority w:val="0"/>
  </w:style>
  <w:style w:type="character" w:customStyle="1" w:styleId="141">
    <w:name w:val="段1 Char"/>
    <w:autoRedefine/>
    <w:qFormat/>
    <w:uiPriority w:val="0"/>
    <w:rPr>
      <w:rFonts w:ascii="宋体" w:eastAsia="宋体"/>
      <w:sz w:val="24"/>
      <w:lang w:val="en-US" w:eastAsia="zh-CN" w:bidi="ar-SA"/>
    </w:rPr>
  </w:style>
  <w:style w:type="character" w:customStyle="1" w:styleId="142">
    <w:name w:val="标题 2 Char"/>
    <w:autoRedefine/>
    <w:qFormat/>
    <w:uiPriority w:val="0"/>
    <w:rPr>
      <w:rFonts w:ascii="Arial" w:hAnsi="Arial" w:eastAsia="黑体"/>
      <w:b/>
      <w:sz w:val="30"/>
      <w:lang w:val="en-US" w:eastAsia="zh-CN" w:bidi="ar-SA"/>
    </w:rPr>
  </w:style>
  <w:style w:type="character" w:customStyle="1" w:styleId="143">
    <w:name w:val="页脚 Char"/>
    <w:autoRedefine/>
    <w:qFormat/>
    <w:uiPriority w:val="99"/>
    <w:rPr>
      <w:rFonts w:ascii="宋体" w:eastAsia="宋体"/>
      <w:sz w:val="18"/>
      <w:lang w:val="en-US" w:eastAsia="zh-CN" w:bidi="ar-SA"/>
    </w:rPr>
  </w:style>
  <w:style w:type="character" w:customStyle="1" w:styleId="144">
    <w:name w:val="bjh-p"/>
    <w:autoRedefine/>
    <w:qFormat/>
    <w:uiPriority w:val="0"/>
  </w:style>
  <w:style w:type="character" w:customStyle="1" w:styleId="145">
    <w:name w:val="title4"/>
    <w:autoRedefine/>
    <w:qFormat/>
    <w:uiPriority w:val="0"/>
    <w:rPr>
      <w:b/>
      <w:bCs/>
      <w:color w:val="1D87B3"/>
      <w:sz w:val="15"/>
      <w:szCs w:val="15"/>
    </w:rPr>
  </w:style>
  <w:style w:type="character" w:customStyle="1" w:styleId="146">
    <w:name w:val="列出段落 Char"/>
    <w:link w:val="147"/>
    <w:autoRedefine/>
    <w:qFormat/>
    <w:uiPriority w:val="34"/>
    <w:rPr>
      <w:rFonts w:ascii="Calibri" w:hAnsi="Calibri" w:eastAsia="宋体"/>
      <w:kern w:val="2"/>
      <w:sz w:val="21"/>
      <w:szCs w:val="22"/>
      <w:lang w:val="en-US" w:eastAsia="zh-CN" w:bidi="ar-SA"/>
    </w:rPr>
  </w:style>
  <w:style w:type="paragraph" w:customStyle="1" w:styleId="147">
    <w:name w:val="_Style 686"/>
    <w:basedOn w:val="1"/>
    <w:next w:val="148"/>
    <w:link w:val="146"/>
    <w:autoRedefine/>
    <w:qFormat/>
    <w:uiPriority w:val="34"/>
    <w:pPr>
      <w:spacing w:line="360" w:lineRule="auto"/>
      <w:ind w:firstLine="420" w:firstLineChars="200"/>
    </w:pPr>
    <w:rPr>
      <w:rFonts w:ascii="Calibri" w:hAnsi="Calibri"/>
      <w:szCs w:val="22"/>
    </w:rPr>
  </w:style>
  <w:style w:type="paragraph" w:styleId="148">
    <w:name w:val="List Paragraph"/>
    <w:basedOn w:val="1"/>
    <w:link w:val="149"/>
    <w:autoRedefine/>
    <w:qFormat/>
    <w:uiPriority w:val="34"/>
    <w:pPr>
      <w:spacing w:line="360" w:lineRule="auto"/>
      <w:ind w:firstLine="420" w:firstLineChars="200"/>
    </w:pPr>
    <w:rPr>
      <w:rFonts w:ascii="Calibri" w:hAnsi="Calibri"/>
      <w:szCs w:val="20"/>
    </w:rPr>
  </w:style>
  <w:style w:type="character" w:customStyle="1" w:styleId="149">
    <w:name w:val="列表段落 字符1"/>
    <w:link w:val="148"/>
    <w:autoRedefine/>
    <w:qFormat/>
    <w:uiPriority w:val="34"/>
    <w:rPr>
      <w:rFonts w:ascii="Calibri" w:hAnsi="Calibri"/>
      <w:kern w:val="2"/>
      <w:sz w:val="21"/>
    </w:rPr>
  </w:style>
  <w:style w:type="character" w:customStyle="1" w:styleId="150">
    <w:name w:val="标题 3 Char"/>
    <w:autoRedefine/>
    <w:qFormat/>
    <w:uiPriority w:val="0"/>
    <w:rPr>
      <w:rFonts w:ascii="宋体" w:eastAsia="宋体"/>
      <w:b/>
      <w:sz w:val="24"/>
      <w:u w:val="single"/>
      <w:lang w:val="en-US" w:eastAsia="zh-CN" w:bidi="ar-SA"/>
    </w:rPr>
  </w:style>
  <w:style w:type="character" w:customStyle="1" w:styleId="151">
    <w:name w:val="标题 Char"/>
    <w:autoRedefine/>
    <w:qFormat/>
    <w:uiPriority w:val="99"/>
    <w:rPr>
      <w:b/>
      <w:kern w:val="2"/>
      <w:sz w:val="32"/>
    </w:rPr>
  </w:style>
  <w:style w:type="character" w:customStyle="1" w:styleId="152">
    <w:name w:val="页眉 Char"/>
    <w:autoRedefine/>
    <w:qFormat/>
    <w:uiPriority w:val="0"/>
    <w:rPr>
      <w:rFonts w:eastAsia="宋体"/>
      <w:kern w:val="2"/>
      <w:sz w:val="18"/>
      <w:szCs w:val="18"/>
      <w:lang w:val="en-US" w:eastAsia="zh-CN" w:bidi="ar-SA"/>
    </w:rPr>
  </w:style>
  <w:style w:type="character" w:customStyle="1" w:styleId="153">
    <w:name w:val="apple-style-span"/>
    <w:autoRedefine/>
    <w:qFormat/>
    <w:uiPriority w:val="0"/>
    <w:rPr>
      <w:rFonts w:cs="Times New Roman"/>
    </w:rPr>
  </w:style>
  <w:style w:type="character" w:customStyle="1" w:styleId="154">
    <w:name w:val="纯文本 字符"/>
    <w:autoRedefine/>
    <w:qFormat/>
    <w:uiPriority w:val="0"/>
    <w:rPr>
      <w:rFonts w:ascii="宋体" w:hAnsi="Courier New" w:eastAsia="宋体" w:cs="Times New Roman"/>
      <w:kern w:val="2"/>
      <w:sz w:val="21"/>
      <w:szCs w:val="21"/>
      <w:lang w:val="en-US" w:eastAsia="zh-CN" w:bidi="ar-SA"/>
    </w:rPr>
  </w:style>
  <w:style w:type="character" w:customStyle="1" w:styleId="155">
    <w:name w:val="列表段落 字符"/>
    <w:link w:val="156"/>
    <w:autoRedefine/>
    <w:qFormat/>
    <w:uiPriority w:val="0"/>
    <w:rPr>
      <w:rFonts w:ascii="Calibri" w:hAnsi="Calibri" w:eastAsia="宋体"/>
      <w:kern w:val="2"/>
      <w:sz w:val="21"/>
      <w:szCs w:val="22"/>
      <w:lang w:val="en-US" w:eastAsia="zh-CN" w:bidi="ar-SA"/>
    </w:rPr>
  </w:style>
  <w:style w:type="paragraph" w:customStyle="1" w:styleId="156">
    <w:name w:val="列表段落1"/>
    <w:basedOn w:val="1"/>
    <w:link w:val="155"/>
    <w:autoRedefine/>
    <w:qFormat/>
    <w:uiPriority w:val="34"/>
    <w:pPr>
      <w:ind w:firstLine="420" w:firstLineChars="200"/>
    </w:pPr>
    <w:rPr>
      <w:rFonts w:ascii="Calibri" w:hAnsi="Calibri"/>
      <w:szCs w:val="22"/>
    </w:rPr>
  </w:style>
  <w:style w:type="character" w:customStyle="1" w:styleId="157">
    <w:name w:val="chanpin1"/>
    <w:autoRedefine/>
    <w:qFormat/>
    <w:uiPriority w:val="0"/>
    <w:rPr>
      <w:rFonts w:hint="default" w:ascii="ˎ̥" w:hAnsi="ˎ̥"/>
      <w:color w:val="000000"/>
      <w:sz w:val="20"/>
      <w:szCs w:val="20"/>
      <w:u w:val="none"/>
    </w:rPr>
  </w:style>
  <w:style w:type="character" w:customStyle="1" w:styleId="158">
    <w:name w:val="txt"/>
    <w:autoRedefine/>
    <w:qFormat/>
    <w:uiPriority w:val="0"/>
  </w:style>
  <w:style w:type="character" w:customStyle="1" w:styleId="159">
    <w:name w:val="批注文字 Char"/>
    <w:autoRedefine/>
    <w:qFormat/>
    <w:uiPriority w:val="0"/>
    <w:rPr>
      <w:kern w:val="2"/>
      <w:sz w:val="21"/>
      <w:szCs w:val="24"/>
    </w:rPr>
  </w:style>
  <w:style w:type="character" w:customStyle="1" w:styleId="160">
    <w:name w:val="标题 2 Char Char"/>
    <w:autoRedefine/>
    <w:qFormat/>
    <w:uiPriority w:val="0"/>
    <w:rPr>
      <w:rFonts w:ascii="Arial" w:hAnsi="Arial" w:eastAsia="黑体"/>
      <w:b/>
      <w:bCs/>
      <w:kern w:val="2"/>
      <w:sz w:val="32"/>
      <w:szCs w:val="32"/>
      <w:lang w:val="en-US" w:eastAsia="zh-CN" w:bidi="ar-SA"/>
    </w:rPr>
  </w:style>
  <w:style w:type="character" w:customStyle="1" w:styleId="161">
    <w:name w:val="标题 3 Char Char"/>
    <w:autoRedefine/>
    <w:qFormat/>
    <w:uiPriority w:val="0"/>
    <w:rPr>
      <w:rFonts w:eastAsia="宋体"/>
      <w:b/>
      <w:bCs/>
      <w:kern w:val="2"/>
      <w:sz w:val="32"/>
      <w:szCs w:val="32"/>
      <w:lang w:val="en-US" w:eastAsia="zh-CN" w:bidi="ar-SA"/>
    </w:rPr>
  </w:style>
  <w:style w:type="character" w:customStyle="1" w:styleId="162">
    <w:name w:val="Char Char111"/>
    <w:qFormat/>
    <w:uiPriority w:val="0"/>
    <w:rPr>
      <w:rFonts w:ascii="宋体" w:eastAsia="宋体"/>
      <w:b/>
      <w:sz w:val="24"/>
      <w:u w:val="single"/>
      <w:lang w:val="en-US" w:eastAsia="zh-CN" w:bidi="ar-SA"/>
    </w:rPr>
  </w:style>
  <w:style w:type="character" w:customStyle="1" w:styleId="163">
    <w:name w:val="正文文本缩进 Char1"/>
    <w:link w:val="164"/>
    <w:autoRedefine/>
    <w:qFormat/>
    <w:uiPriority w:val="99"/>
    <w:rPr>
      <w:rFonts w:ascii="宋体" w:hAnsi="宋体" w:eastAsia="宋体"/>
      <w:sz w:val="24"/>
      <w:szCs w:val="24"/>
      <w:lang w:bidi="ar-SA"/>
    </w:rPr>
  </w:style>
  <w:style w:type="paragraph" w:customStyle="1" w:styleId="164">
    <w:name w:val="正文文本缩进1"/>
    <w:basedOn w:val="1"/>
    <w:link w:val="163"/>
    <w:autoRedefine/>
    <w:qFormat/>
    <w:uiPriority w:val="0"/>
    <w:pPr>
      <w:spacing w:line="480" w:lineRule="exact"/>
      <w:ind w:firstLine="480" w:firstLineChars="200"/>
    </w:pPr>
    <w:rPr>
      <w:rFonts w:ascii="宋体" w:hAnsi="宋体"/>
      <w:kern w:val="0"/>
      <w:sz w:val="24"/>
    </w:rPr>
  </w:style>
  <w:style w:type="character" w:customStyle="1" w:styleId="165">
    <w:name w:val="注释 Char"/>
    <w:link w:val="166"/>
    <w:qFormat/>
    <w:uiPriority w:val="0"/>
    <w:rPr>
      <w:rFonts w:ascii="宋体" w:hAnsi="宋体"/>
      <w:kern w:val="2"/>
      <w:sz w:val="21"/>
      <w:szCs w:val="21"/>
    </w:rPr>
  </w:style>
  <w:style w:type="paragraph" w:customStyle="1" w:styleId="166">
    <w:name w:val="注释"/>
    <w:basedOn w:val="1"/>
    <w:link w:val="165"/>
    <w:autoRedefine/>
    <w:qFormat/>
    <w:uiPriority w:val="0"/>
    <w:pPr>
      <w:adjustRightInd w:val="0"/>
      <w:snapToGrid w:val="0"/>
      <w:ind w:left="420" w:hanging="420" w:hangingChars="200"/>
      <w:jc w:val="left"/>
    </w:pPr>
    <w:rPr>
      <w:rFonts w:ascii="宋体" w:hAnsi="宋体"/>
      <w:szCs w:val="21"/>
    </w:rPr>
  </w:style>
  <w:style w:type="character" w:customStyle="1" w:styleId="167">
    <w:name w:val="正文缩进 Char"/>
    <w:autoRedefine/>
    <w:qFormat/>
    <w:uiPriority w:val="0"/>
    <w:rPr>
      <w:rFonts w:ascii="宋体" w:eastAsia="宋体"/>
      <w:kern w:val="2"/>
      <w:sz w:val="24"/>
      <w:szCs w:val="24"/>
      <w:lang w:val="en-US" w:eastAsia="zh-CN" w:bidi="ar-SA"/>
    </w:rPr>
  </w:style>
  <w:style w:type="character" w:customStyle="1" w:styleId="168">
    <w:name w:val="正文文本缩进 Char"/>
    <w:autoRedefine/>
    <w:qFormat/>
    <w:uiPriority w:val="99"/>
    <w:rPr>
      <w:rFonts w:eastAsia="宋体"/>
      <w:kern w:val="2"/>
      <w:sz w:val="24"/>
      <w:szCs w:val="24"/>
      <w:lang w:val="en-US" w:eastAsia="zh-CN" w:bidi="ar-SA"/>
    </w:rPr>
  </w:style>
  <w:style w:type="character" w:customStyle="1" w:styleId="169">
    <w:name w:val="纯文本 Char1"/>
    <w:qFormat/>
    <w:uiPriority w:val="0"/>
    <w:rPr>
      <w:rFonts w:ascii="宋体" w:hAnsi="Courier New" w:eastAsia="宋体"/>
      <w:kern w:val="2"/>
      <w:sz w:val="21"/>
      <w:lang w:val="en-US" w:eastAsia="zh-CN" w:bidi="ar-SA"/>
    </w:rPr>
  </w:style>
  <w:style w:type="character" w:customStyle="1" w:styleId="170">
    <w:name w:val="正文大标题 Char"/>
    <w:link w:val="171"/>
    <w:autoRedefine/>
    <w:qFormat/>
    <w:uiPriority w:val="0"/>
    <w:rPr>
      <w:rFonts w:ascii="宋体" w:hAnsi="宋体"/>
      <w:b/>
      <w:color w:val="000000"/>
      <w:kern w:val="2"/>
      <w:sz w:val="28"/>
      <w:szCs w:val="21"/>
    </w:rPr>
  </w:style>
  <w:style w:type="paragraph" w:customStyle="1" w:styleId="171">
    <w:name w:val="正文大标题"/>
    <w:basedOn w:val="138"/>
    <w:next w:val="6"/>
    <w:link w:val="170"/>
    <w:autoRedefine/>
    <w:qFormat/>
    <w:uiPriority w:val="0"/>
    <w:pPr>
      <w:jc w:val="center"/>
    </w:pPr>
    <w:rPr>
      <w:i w:val="0"/>
      <w:color w:val="000000"/>
      <w:sz w:val="28"/>
      <w:szCs w:val="21"/>
    </w:rPr>
  </w:style>
  <w:style w:type="character" w:customStyle="1" w:styleId="172">
    <w:name w:val="普通文字1 Char1"/>
    <w:qFormat/>
    <w:uiPriority w:val="0"/>
    <w:rPr>
      <w:rFonts w:ascii="宋体" w:hAnsi="Courier New" w:eastAsia="宋体"/>
      <w:kern w:val="2"/>
      <w:sz w:val="21"/>
      <w:lang w:val="en-US" w:eastAsia="zh-CN" w:bidi="ar-SA"/>
    </w:rPr>
  </w:style>
  <w:style w:type="character" w:customStyle="1" w:styleId="173">
    <w:name w:val="black1"/>
    <w:qFormat/>
    <w:uiPriority w:val="0"/>
    <w:rPr>
      <w:color w:val="000000"/>
    </w:rPr>
  </w:style>
  <w:style w:type="character" w:customStyle="1" w:styleId="174">
    <w:name w:val="纯文本 字符1"/>
    <w:autoRedefine/>
    <w:qFormat/>
    <w:uiPriority w:val="0"/>
    <w:rPr>
      <w:rFonts w:ascii="宋体" w:hAnsi="Courier New"/>
    </w:rPr>
  </w:style>
  <w:style w:type="character" w:customStyle="1" w:styleId="175">
    <w:name w:val="正文重点 Char"/>
    <w:link w:val="176"/>
    <w:autoRedefine/>
    <w:qFormat/>
    <w:uiPriority w:val="0"/>
    <w:rPr>
      <w:b/>
      <w:sz w:val="24"/>
    </w:rPr>
  </w:style>
  <w:style w:type="paragraph" w:customStyle="1" w:styleId="176">
    <w:name w:val="正文重点"/>
    <w:basedOn w:val="1"/>
    <w:link w:val="175"/>
    <w:qFormat/>
    <w:uiPriority w:val="0"/>
    <w:pPr>
      <w:adjustRightInd w:val="0"/>
      <w:spacing w:line="360" w:lineRule="auto"/>
      <w:ind w:firstLine="482" w:firstLineChars="200"/>
      <w:jc w:val="left"/>
      <w:textAlignment w:val="baseline"/>
    </w:pPr>
    <w:rPr>
      <w:b/>
      <w:kern w:val="0"/>
      <w:sz w:val="24"/>
      <w:szCs w:val="20"/>
    </w:rPr>
  </w:style>
  <w:style w:type="character" w:customStyle="1" w:styleId="177">
    <w:name w:val="street-address"/>
    <w:autoRedefine/>
    <w:qFormat/>
    <w:uiPriority w:val="0"/>
  </w:style>
  <w:style w:type="character" w:customStyle="1" w:styleId="178">
    <w:name w:val="正文缩进 Char Char"/>
    <w:link w:val="179"/>
    <w:qFormat/>
    <w:uiPriority w:val="0"/>
    <w:rPr>
      <w:rFonts w:ascii="宋体" w:eastAsia="宋体"/>
      <w:snapToGrid w:val="0"/>
      <w:color w:val="000000"/>
      <w:kern w:val="28"/>
      <w:sz w:val="28"/>
      <w:lang w:bidi="ar-SA"/>
    </w:rPr>
  </w:style>
  <w:style w:type="paragraph" w:customStyle="1" w:styleId="179">
    <w:name w:val="正文缩进1"/>
    <w:basedOn w:val="1"/>
    <w:link w:val="17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80">
    <w:name w:val="正文格式 Char"/>
    <w:link w:val="181"/>
    <w:autoRedefine/>
    <w:qFormat/>
    <w:uiPriority w:val="0"/>
    <w:rPr>
      <w:rFonts w:ascii="宋体" w:hAnsi="宋体"/>
      <w:sz w:val="24"/>
      <w:szCs w:val="24"/>
      <w:lang w:val="en-GB"/>
    </w:rPr>
  </w:style>
  <w:style w:type="paragraph" w:customStyle="1" w:styleId="181">
    <w:name w:val="正文格式"/>
    <w:basedOn w:val="1"/>
    <w:link w:val="180"/>
    <w:autoRedefine/>
    <w:qFormat/>
    <w:uiPriority w:val="0"/>
    <w:pPr>
      <w:spacing w:beforeLines="50" w:line="360" w:lineRule="auto"/>
      <w:ind w:firstLine="480" w:firstLineChars="200"/>
    </w:pPr>
    <w:rPr>
      <w:rFonts w:ascii="宋体" w:hAnsi="宋体"/>
      <w:kern w:val="0"/>
      <w:sz w:val="24"/>
      <w:lang w:val="en-GB"/>
    </w:rPr>
  </w:style>
  <w:style w:type="character" w:customStyle="1" w:styleId="182">
    <w:name w:val="批注文字 字符"/>
    <w:autoRedefine/>
    <w:qFormat/>
    <w:uiPriority w:val="0"/>
    <w:rPr>
      <w:rFonts w:ascii="Times New Roman" w:hAnsi="Times New Roman" w:eastAsia="宋体" w:cs="Times New Roman"/>
      <w:sz w:val="24"/>
      <w:lang w:val="en-US" w:eastAsia="zh-CN" w:bidi="ar-SA"/>
    </w:rPr>
  </w:style>
  <w:style w:type="character" w:customStyle="1" w:styleId="183">
    <w:name w:val="c21"/>
    <w:autoRedefine/>
    <w:qFormat/>
    <w:uiPriority w:val="0"/>
    <w:rPr>
      <w:rFonts w:hint="default" w:ascii="ˎ̥" w:hAnsi="ˎ̥"/>
      <w:color w:val="000000"/>
      <w:sz w:val="20"/>
      <w:szCs w:val="20"/>
      <w:u w:val="none"/>
    </w:rPr>
  </w:style>
  <w:style w:type="character" w:customStyle="1" w:styleId="184">
    <w:name w:val="正文表格 Char"/>
    <w:link w:val="185"/>
    <w:autoRedefine/>
    <w:qFormat/>
    <w:uiPriority w:val="0"/>
    <w:rPr>
      <w:rFonts w:ascii="宋体" w:hAnsi="宋体"/>
      <w:color w:val="000000"/>
      <w:kern w:val="2"/>
      <w:sz w:val="21"/>
      <w:szCs w:val="21"/>
    </w:rPr>
  </w:style>
  <w:style w:type="paragraph" w:customStyle="1" w:styleId="185">
    <w:name w:val="正文表格"/>
    <w:basedOn w:val="1"/>
    <w:link w:val="184"/>
    <w:qFormat/>
    <w:uiPriority w:val="0"/>
    <w:pPr>
      <w:adjustRightInd w:val="0"/>
      <w:snapToGrid w:val="0"/>
      <w:jc w:val="left"/>
    </w:pPr>
    <w:rPr>
      <w:rFonts w:ascii="宋体" w:hAnsi="宋体"/>
      <w:color w:val="000000"/>
      <w:szCs w:val="21"/>
    </w:rPr>
  </w:style>
  <w:style w:type="character" w:customStyle="1" w:styleId="186">
    <w:name w:val="locality"/>
    <w:autoRedefine/>
    <w:qFormat/>
    <w:uiPriority w:val="0"/>
  </w:style>
  <w:style w:type="paragraph" w:customStyle="1" w:styleId="187">
    <w:name w:val="Char2"/>
    <w:basedOn w:val="1"/>
    <w:autoRedefine/>
    <w:qFormat/>
    <w:uiPriority w:val="0"/>
    <w:rPr>
      <w:rFonts w:ascii="Tahoma" w:hAnsi="Tahoma"/>
      <w:sz w:val="24"/>
      <w:szCs w:val="20"/>
    </w:rPr>
  </w:style>
  <w:style w:type="paragraph" w:customStyle="1" w:styleId="188">
    <w:name w:val="Char1 Char Char Char1"/>
    <w:basedOn w:val="1"/>
    <w:autoRedefine/>
    <w:qFormat/>
    <w:uiPriority w:val="0"/>
    <w:rPr>
      <w:rFonts w:ascii="Tahoma" w:hAnsi="Tahoma" w:cs="仿宋_GB2312"/>
      <w:sz w:val="24"/>
      <w:szCs w:val="28"/>
    </w:rPr>
  </w:style>
  <w:style w:type="paragraph" w:customStyle="1" w:styleId="189">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90">
    <w:name w:val="文档正文"/>
    <w:basedOn w:val="1"/>
    <w:qFormat/>
    <w:uiPriority w:val="0"/>
    <w:pPr>
      <w:snapToGrid w:val="0"/>
      <w:spacing w:before="120" w:after="120" w:line="180" w:lineRule="auto"/>
    </w:pPr>
    <w:rPr>
      <w:rFonts w:ascii="Arial" w:hAnsi="Arial"/>
      <w:szCs w:val="20"/>
    </w:rPr>
  </w:style>
  <w:style w:type="paragraph" w:customStyle="1" w:styleId="191">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192">
    <w:name w:val="字元 字元"/>
    <w:basedOn w:val="1"/>
    <w:qFormat/>
    <w:uiPriority w:val="0"/>
    <w:rPr>
      <w:rFonts w:ascii="Tahoma" w:hAnsi="Tahoma"/>
      <w:sz w:val="24"/>
      <w:szCs w:val="20"/>
    </w:rPr>
  </w:style>
  <w:style w:type="paragraph" w:customStyle="1" w:styleId="1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94">
    <w:name w:val="无间隔1"/>
    <w:link w:val="19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5">
    <w:name w:val="No Spacing Char"/>
    <w:link w:val="194"/>
    <w:autoRedefine/>
    <w:qFormat/>
    <w:locked/>
    <w:uiPriority w:val="0"/>
    <w:rPr>
      <w:kern w:val="2"/>
      <w:sz w:val="21"/>
      <w:szCs w:val="24"/>
    </w:rPr>
  </w:style>
  <w:style w:type="paragraph" w:customStyle="1" w:styleId="196">
    <w:name w:val="Char3"/>
    <w:basedOn w:val="1"/>
    <w:autoRedefine/>
    <w:qFormat/>
    <w:uiPriority w:val="0"/>
    <w:pPr>
      <w:tabs>
        <w:tab w:val="left" w:pos="360"/>
      </w:tabs>
    </w:pPr>
    <w:rPr>
      <w:sz w:val="24"/>
    </w:rPr>
  </w:style>
  <w:style w:type="paragraph" w:customStyle="1" w:styleId="197">
    <w:name w:val="Char3 Char Char Char2"/>
    <w:basedOn w:val="1"/>
    <w:autoRedefine/>
    <w:qFormat/>
    <w:uiPriority w:val="0"/>
    <w:rPr>
      <w:rFonts w:ascii="Tahoma" w:hAnsi="Tahoma"/>
      <w:sz w:val="24"/>
      <w:szCs w:val="20"/>
    </w:rPr>
  </w:style>
  <w:style w:type="paragraph" w:customStyle="1" w:styleId="198">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9">
    <w:name w:val="1名"/>
    <w:basedOn w:val="1"/>
    <w:autoRedefine/>
    <w:qFormat/>
    <w:uiPriority w:val="0"/>
    <w:pPr>
      <w:numPr>
        <w:ilvl w:val="0"/>
        <w:numId w:val="1"/>
      </w:numPr>
      <w:spacing w:before="120"/>
    </w:pPr>
    <w:rPr>
      <w:rFonts w:ascii="宋体"/>
      <w:sz w:val="28"/>
      <w:szCs w:val="20"/>
    </w:rPr>
  </w:style>
  <w:style w:type="paragraph" w:customStyle="1" w:styleId="20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01">
    <w:name w:val="正文文本样式"/>
    <w:basedOn w:val="1"/>
    <w:link w:val="202"/>
    <w:autoRedefine/>
    <w:qFormat/>
    <w:uiPriority w:val="0"/>
    <w:pPr>
      <w:spacing w:line="360" w:lineRule="auto"/>
      <w:ind w:firstLine="482"/>
    </w:pPr>
    <w:rPr>
      <w:rFonts w:cs="宋体"/>
      <w:sz w:val="24"/>
      <w:szCs w:val="20"/>
    </w:rPr>
  </w:style>
  <w:style w:type="character" w:customStyle="1" w:styleId="202">
    <w:name w:val="正文文本样式 Char"/>
    <w:link w:val="201"/>
    <w:autoRedefine/>
    <w:qFormat/>
    <w:locked/>
    <w:uiPriority w:val="0"/>
    <w:rPr>
      <w:rFonts w:cs="宋体"/>
      <w:kern w:val="2"/>
      <w:sz w:val="24"/>
    </w:rPr>
  </w:style>
  <w:style w:type="paragraph" w:customStyle="1" w:styleId="203">
    <w:name w:val="正文须知-3级"/>
    <w:basedOn w:val="1"/>
    <w:autoRedefine/>
    <w:qFormat/>
    <w:uiPriority w:val="0"/>
    <w:pPr>
      <w:numPr>
        <w:ilvl w:val="2"/>
        <w:numId w:val="2"/>
      </w:numPr>
      <w:adjustRightInd w:val="0"/>
      <w:snapToGrid w:val="0"/>
      <w:spacing w:line="300" w:lineRule="auto"/>
      <w:ind w:hanging="355" w:hangingChars="355"/>
    </w:pPr>
    <w:rPr>
      <w:rFonts w:ascii="宋体" w:hAnsi="Calibri"/>
      <w:sz w:val="24"/>
      <w:szCs w:val="21"/>
    </w:rPr>
  </w:style>
  <w:style w:type="paragraph" w:customStyle="1" w:styleId="204">
    <w:name w:val="样式 标题 2 + 宋体 五号 行距: 单倍行距"/>
    <w:basedOn w:val="4"/>
    <w:autoRedefine/>
    <w:qFormat/>
    <w:uiPriority w:val="0"/>
    <w:pPr>
      <w:numPr>
        <w:ilvl w:val="1"/>
        <w:numId w:val="3"/>
      </w:numPr>
      <w:autoSpaceDE/>
      <w:autoSpaceDN/>
      <w:spacing w:before="260" w:after="260" w:line="240" w:lineRule="auto"/>
      <w:jc w:val="left"/>
      <w:textAlignment w:val="baseline"/>
    </w:pPr>
    <w:rPr>
      <w:rFonts w:ascii="宋体" w:hAnsi="宋体" w:eastAsia="宋体"/>
      <w:bCs/>
      <w:sz w:val="21"/>
    </w:rPr>
  </w:style>
  <w:style w:type="paragraph" w:customStyle="1" w:styleId="205">
    <w:name w:val="内文"/>
    <w:basedOn w:val="1"/>
    <w:link w:val="206"/>
    <w:qFormat/>
    <w:uiPriority w:val="0"/>
    <w:pPr>
      <w:spacing w:line="560" w:lineRule="exact"/>
      <w:ind w:firstLine="200" w:firstLineChars="200"/>
      <w:jc w:val="left"/>
    </w:pPr>
    <w:rPr>
      <w:rFonts w:ascii="宋体" w:hAnsi="宋体" w:cs="宋体"/>
      <w:sz w:val="24"/>
      <w:szCs w:val="28"/>
    </w:rPr>
  </w:style>
  <w:style w:type="character" w:customStyle="1" w:styleId="206">
    <w:name w:val="内文 Char"/>
    <w:link w:val="205"/>
    <w:autoRedefine/>
    <w:qFormat/>
    <w:uiPriority w:val="0"/>
    <w:rPr>
      <w:rFonts w:ascii="宋体" w:hAnsi="宋体" w:cs="宋体"/>
      <w:kern w:val="2"/>
      <w:sz w:val="24"/>
      <w:szCs w:val="28"/>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20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0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0">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211">
    <w:name w:val="四级条标题"/>
    <w:basedOn w:val="212"/>
    <w:next w:val="1"/>
    <w:autoRedefine/>
    <w:qFormat/>
    <w:uiPriority w:val="0"/>
    <w:pPr>
      <w:numPr>
        <w:ilvl w:val="4"/>
        <w:numId w:val="0"/>
      </w:numPr>
      <w:tabs>
        <w:tab w:val="left" w:pos="360"/>
        <w:tab w:val="left" w:pos="840"/>
      </w:tabs>
      <w:ind w:hanging="840"/>
      <w:outlineLvl w:val="4"/>
    </w:pPr>
  </w:style>
  <w:style w:type="paragraph" w:customStyle="1" w:styleId="212">
    <w:name w:val="三级条标题"/>
    <w:basedOn w:val="213"/>
    <w:next w:val="1"/>
    <w:autoRedefine/>
    <w:qFormat/>
    <w:uiPriority w:val="0"/>
    <w:pPr>
      <w:numPr>
        <w:ilvl w:val="3"/>
        <w:numId w:val="4"/>
      </w:numPr>
      <w:tabs>
        <w:tab w:val="left" w:pos="360"/>
        <w:tab w:val="left" w:pos="840"/>
      </w:tabs>
      <w:ind w:left="0" w:hanging="840"/>
      <w:outlineLvl w:val="3"/>
    </w:pPr>
  </w:style>
  <w:style w:type="paragraph" w:customStyle="1" w:styleId="213">
    <w:name w:val="二级条标题"/>
    <w:basedOn w:val="214"/>
    <w:next w:val="1"/>
    <w:autoRedefine/>
    <w:qFormat/>
    <w:uiPriority w:val="0"/>
    <w:pPr>
      <w:numPr>
        <w:ilvl w:val="0"/>
      </w:numPr>
      <w:tabs>
        <w:tab w:val="left" w:pos="360"/>
        <w:tab w:val="left" w:pos="840"/>
      </w:tabs>
      <w:ind w:hanging="840"/>
      <w:outlineLvl w:val="2"/>
    </w:pPr>
    <w:rPr>
      <w:rFonts w:ascii="宋体" w:eastAsia="宋体"/>
      <w:b w:val="0"/>
    </w:rPr>
  </w:style>
  <w:style w:type="paragraph" w:customStyle="1" w:styleId="214">
    <w:name w:val="一级条标题"/>
    <w:basedOn w:val="215"/>
    <w:next w:val="1"/>
    <w:autoRedefine/>
    <w:qFormat/>
    <w:uiPriority w:val="0"/>
    <w:pPr>
      <w:numPr>
        <w:ilvl w:val="1"/>
        <w:numId w:val="0"/>
      </w:numPr>
      <w:tabs>
        <w:tab w:val="left" w:pos="360"/>
        <w:tab w:val="left" w:pos="840"/>
      </w:tabs>
      <w:ind w:hanging="840"/>
      <w:outlineLvl w:val="1"/>
    </w:pPr>
  </w:style>
  <w:style w:type="paragraph" w:customStyle="1" w:styleId="215">
    <w:name w:val="章标题"/>
    <w:next w:val="1"/>
    <w:qFormat/>
    <w:uiPriority w:val="0"/>
    <w:pPr>
      <w:numPr>
        <w:ilvl w:val="0"/>
        <w:numId w:val="4"/>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21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17">
    <w:name w:val="Char2 Char Char Char Char Char Char"/>
    <w:basedOn w:val="1"/>
    <w:autoRedefine/>
    <w:qFormat/>
    <w:uiPriority w:val="0"/>
    <w:pPr>
      <w:widowControl/>
      <w:spacing w:line="400" w:lineRule="exact"/>
      <w:jc w:val="center"/>
    </w:pPr>
  </w:style>
  <w:style w:type="paragraph" w:customStyle="1" w:styleId="218">
    <w:name w:val="内加粗"/>
    <w:basedOn w:val="205"/>
    <w:link w:val="219"/>
    <w:autoRedefine/>
    <w:qFormat/>
    <w:uiPriority w:val="0"/>
    <w:pPr>
      <w:ind w:firstLine="482"/>
    </w:pPr>
    <w:rPr>
      <w:b/>
    </w:rPr>
  </w:style>
  <w:style w:type="character" w:customStyle="1" w:styleId="219">
    <w:name w:val="内加粗 Char"/>
    <w:link w:val="218"/>
    <w:autoRedefine/>
    <w:qFormat/>
    <w:uiPriority w:val="0"/>
    <w:rPr>
      <w:rFonts w:ascii="宋体" w:hAnsi="宋体" w:cs="宋体"/>
      <w:b/>
      <w:kern w:val="2"/>
      <w:sz w:val="24"/>
      <w:szCs w:val="28"/>
    </w:rPr>
  </w:style>
  <w:style w:type="paragraph" w:customStyle="1" w:styleId="220">
    <w:name w:val="List Paragraph1"/>
    <w:basedOn w:val="1"/>
    <w:autoRedefine/>
    <w:qFormat/>
    <w:uiPriority w:val="0"/>
    <w:pPr>
      <w:ind w:firstLine="420" w:firstLineChars="200"/>
    </w:pPr>
    <w:rPr>
      <w:rFonts w:ascii="Calibri" w:hAnsi="Calibri"/>
      <w:szCs w:val="22"/>
    </w:rPr>
  </w:style>
  <w:style w:type="paragraph" w:customStyle="1" w:styleId="22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23">
    <w:name w:val="字元 字元1"/>
    <w:basedOn w:val="1"/>
    <w:autoRedefine/>
    <w:qFormat/>
    <w:uiPriority w:val="0"/>
    <w:rPr>
      <w:rFonts w:ascii="Tahoma" w:hAnsi="Tahoma"/>
      <w:sz w:val="24"/>
      <w:szCs w:val="20"/>
    </w:rPr>
  </w:style>
  <w:style w:type="paragraph" w:customStyle="1" w:styleId="224">
    <w:name w:val="五级条标题"/>
    <w:basedOn w:val="211"/>
    <w:next w:val="1"/>
    <w:qFormat/>
    <w:uiPriority w:val="0"/>
    <w:pPr>
      <w:numPr>
        <w:ilvl w:val="5"/>
      </w:numPr>
      <w:ind w:hanging="840"/>
      <w:outlineLvl w:val="5"/>
    </w:pPr>
  </w:style>
  <w:style w:type="paragraph" w:customStyle="1" w:styleId="225">
    <w:name w:val="Char21"/>
    <w:basedOn w:val="1"/>
    <w:qFormat/>
    <w:uiPriority w:val="0"/>
    <w:rPr>
      <w:rFonts w:ascii="Tahoma" w:hAnsi="Tahoma"/>
      <w:sz w:val="24"/>
      <w:szCs w:val="20"/>
    </w:rPr>
  </w:style>
  <w:style w:type="paragraph" w:customStyle="1" w:styleId="226">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27">
    <w:name w:val="正文须知-2级"/>
    <w:basedOn w:val="1"/>
    <w:autoRedefine/>
    <w:qFormat/>
    <w:uiPriority w:val="0"/>
    <w:pPr>
      <w:numPr>
        <w:ilvl w:val="1"/>
        <w:numId w:val="2"/>
      </w:numPr>
      <w:adjustRightInd w:val="0"/>
      <w:snapToGrid w:val="0"/>
      <w:spacing w:line="300" w:lineRule="auto"/>
    </w:pPr>
    <w:rPr>
      <w:rFonts w:ascii="宋体" w:hAnsi="Calibri"/>
      <w:sz w:val="24"/>
      <w:szCs w:val="21"/>
    </w:rPr>
  </w:style>
  <w:style w:type="paragraph" w:customStyle="1" w:styleId="228">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9">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230">
    <w:name w:val="项目符号1"/>
    <w:basedOn w:val="201"/>
    <w:autoRedefine/>
    <w:qFormat/>
    <w:uiPriority w:val="0"/>
    <w:pPr>
      <w:ind w:left="-25" w:firstLine="0"/>
    </w:pPr>
  </w:style>
  <w:style w:type="paragraph" w:customStyle="1" w:styleId="231">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32">
    <w:name w:val="样式 标题 3 + (中文) 黑体 小四 非加粗 段前: 7.8 磅 段后: 0 磅 行距: 固定值 20 磅"/>
    <w:basedOn w:val="5"/>
    <w:autoRedefine/>
    <w:qFormat/>
    <w:uiPriority w:val="0"/>
    <w:pPr>
      <w:autoSpaceDE/>
      <w:autoSpaceDN/>
      <w:adjustRightInd/>
      <w:spacing w:before="0" w:after="0" w:line="400" w:lineRule="exact"/>
      <w:jc w:val="both"/>
    </w:pPr>
    <w:rPr>
      <w:rFonts w:eastAsia="黑体"/>
      <w:b w:val="0"/>
      <w:kern w:val="2"/>
      <w:u w:val="none"/>
    </w:rPr>
  </w:style>
  <w:style w:type="paragraph" w:customStyle="1" w:styleId="233">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234">
    <w:name w:val="1 Char Char Char Char"/>
    <w:basedOn w:val="1"/>
    <w:autoRedefine/>
    <w:qFormat/>
    <w:uiPriority w:val="0"/>
    <w:rPr>
      <w:rFonts w:ascii="Tahoma" w:hAnsi="Tahoma"/>
      <w:sz w:val="24"/>
      <w:szCs w:val="20"/>
    </w:rPr>
  </w:style>
  <w:style w:type="paragraph" w:customStyle="1" w:styleId="235">
    <w:name w:val="正文须知-1级"/>
    <w:basedOn w:val="1"/>
    <w:next w:val="1"/>
    <w:autoRedefine/>
    <w:qFormat/>
    <w:uiPriority w:val="0"/>
    <w:pPr>
      <w:numPr>
        <w:ilvl w:val="0"/>
        <w:numId w:val="2"/>
      </w:numPr>
      <w:adjustRightInd w:val="0"/>
      <w:snapToGrid w:val="0"/>
      <w:spacing w:line="300" w:lineRule="auto"/>
    </w:pPr>
    <w:rPr>
      <w:rFonts w:ascii="宋体" w:hAnsi="Calibri"/>
      <w:sz w:val="24"/>
      <w:szCs w:val="21"/>
    </w:rPr>
  </w:style>
  <w:style w:type="paragraph" w:customStyle="1" w:styleId="236">
    <w:name w:val="Body text|1"/>
    <w:basedOn w:val="1"/>
    <w:qFormat/>
    <w:uiPriority w:val="0"/>
    <w:pPr>
      <w:spacing w:after="100" w:line="480" w:lineRule="auto"/>
      <w:ind w:firstLine="400" w:firstLineChars="200"/>
    </w:pPr>
    <w:rPr>
      <w:rFonts w:ascii="宋体" w:hAnsi="宋体" w:cs="宋体"/>
      <w:sz w:val="19"/>
      <w:szCs w:val="19"/>
      <w:lang w:val="zh-TW" w:eastAsia="zh-TW" w:bidi="zh-TW"/>
    </w:rPr>
  </w:style>
  <w:style w:type="paragraph" w:customStyle="1" w:styleId="237">
    <w:name w:val="Char Char Char1 Char2"/>
    <w:basedOn w:val="1"/>
    <w:autoRedefine/>
    <w:qFormat/>
    <w:uiPriority w:val="0"/>
    <w:rPr>
      <w:rFonts w:ascii="Tahoma" w:hAnsi="Tahoma"/>
      <w:sz w:val="24"/>
      <w:szCs w:val="20"/>
    </w:rPr>
  </w:style>
  <w:style w:type="paragraph" w:customStyle="1" w:styleId="238">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paragraph" w:customStyle="1" w:styleId="239">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40">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1">
    <w:name w:val="Char22"/>
    <w:basedOn w:val="1"/>
    <w:qFormat/>
    <w:uiPriority w:val="0"/>
    <w:rPr>
      <w:rFonts w:ascii="Tahoma" w:hAnsi="Tahoma"/>
      <w:sz w:val="24"/>
      <w:szCs w:val="20"/>
    </w:rPr>
  </w:style>
  <w:style w:type="paragraph" w:customStyle="1" w:styleId="24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3">
    <w:name w:val="！正文"/>
    <w:basedOn w:val="1"/>
    <w:autoRedefine/>
    <w:qFormat/>
    <w:uiPriority w:val="0"/>
    <w:pPr>
      <w:spacing w:line="360" w:lineRule="auto"/>
      <w:ind w:firstLine="560" w:firstLineChars="200"/>
      <w:jc w:val="left"/>
    </w:pPr>
    <w:rPr>
      <w:rFonts w:ascii="Calibri" w:hAnsi="Calibri" w:eastAsia="仿宋_GB2312" w:cs="仿宋"/>
      <w:kern w:val="0"/>
      <w:sz w:val="28"/>
      <w:szCs w:val="28"/>
    </w:rPr>
  </w:style>
  <w:style w:type="paragraph" w:customStyle="1" w:styleId="24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5">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46">
    <w:name w:val="正文列项_数字"/>
    <w:basedOn w:val="1"/>
    <w:qFormat/>
    <w:uiPriority w:val="0"/>
    <w:pPr>
      <w:numPr>
        <w:ilvl w:val="7"/>
        <w:numId w:val="4"/>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247">
    <w:name w:val="Style1"/>
    <w:basedOn w:val="1"/>
    <w:autoRedefine/>
    <w:qFormat/>
    <w:uiPriority w:val="0"/>
    <w:pPr>
      <w:tabs>
        <w:tab w:val="left" w:pos="-720"/>
      </w:tabs>
      <w:spacing w:after="120"/>
    </w:pPr>
    <w:rPr>
      <w:spacing w:val="-3"/>
      <w:szCs w:val="20"/>
    </w:rPr>
  </w:style>
  <w:style w:type="paragraph" w:customStyle="1" w:styleId="248">
    <w:name w:val="font8"/>
    <w:basedOn w:val="1"/>
    <w:autoRedefine/>
    <w:qFormat/>
    <w:uiPriority w:val="0"/>
    <w:pPr>
      <w:widowControl/>
      <w:spacing w:before="100" w:beforeAutospacing="1" w:after="100" w:afterAutospacing="1"/>
      <w:jc w:val="left"/>
    </w:pPr>
    <w:rPr>
      <w:kern w:val="0"/>
      <w:sz w:val="36"/>
      <w:szCs w:val="36"/>
    </w:rPr>
  </w:style>
  <w:style w:type="paragraph" w:customStyle="1" w:styleId="249">
    <w:name w:val="缺省文本"/>
    <w:basedOn w:val="1"/>
    <w:qFormat/>
    <w:uiPriority w:val="0"/>
    <w:pPr>
      <w:autoSpaceDE w:val="0"/>
      <w:autoSpaceDN w:val="0"/>
      <w:adjustRightInd w:val="0"/>
      <w:jc w:val="left"/>
    </w:pPr>
    <w:rPr>
      <w:kern w:val="0"/>
      <w:sz w:val="24"/>
    </w:rPr>
  </w:style>
  <w:style w:type="paragraph" w:customStyle="1" w:styleId="250">
    <w:name w:val="表格文字"/>
    <w:basedOn w:val="33"/>
    <w:autoRedefine/>
    <w:qFormat/>
    <w:uiPriority w:val="0"/>
    <w:pPr>
      <w:spacing w:before="20" w:after="20" w:line="240" w:lineRule="auto"/>
      <w:ind w:firstLine="0"/>
    </w:pPr>
    <w:rPr>
      <w:rFonts w:ascii="Century Gothic" w:hAnsi="Century Gothic"/>
      <w:sz w:val="20"/>
      <w:szCs w:val="20"/>
    </w:rPr>
  </w:style>
  <w:style w:type="paragraph" w:customStyle="1" w:styleId="251">
    <w:name w:val="_Style 2"/>
    <w:basedOn w:val="1"/>
    <w:next w:val="1"/>
    <w:autoRedefine/>
    <w:qFormat/>
    <w:uiPriority w:val="99"/>
    <w:pPr>
      <w:ind w:firstLine="420" w:firstLineChars="200"/>
    </w:pPr>
  </w:style>
  <w:style w:type="paragraph" w:customStyle="1" w:styleId="252">
    <w:name w:val="正文 + 楷体_GB2312"/>
    <w:basedOn w:val="1"/>
    <w:qFormat/>
    <w:uiPriority w:val="0"/>
    <w:pPr>
      <w:widowControl/>
      <w:jc w:val="left"/>
    </w:pPr>
    <w:rPr>
      <w:rFonts w:ascii="楷体_GB2312" w:eastAsia="楷体_GB2312" w:cs="Arial"/>
      <w:kern w:val="0"/>
      <w:sz w:val="24"/>
    </w:rPr>
  </w:style>
  <w:style w:type="paragraph" w:customStyle="1" w:styleId="253">
    <w:name w:val="font5"/>
    <w:basedOn w:val="1"/>
    <w:link w:val="254"/>
    <w:autoRedefine/>
    <w:qFormat/>
    <w:uiPriority w:val="0"/>
    <w:pPr>
      <w:widowControl/>
      <w:spacing w:before="100" w:beforeAutospacing="1" w:after="100" w:afterAutospacing="1"/>
      <w:jc w:val="left"/>
    </w:pPr>
    <w:rPr>
      <w:rFonts w:ascii="宋体" w:hAnsi="宋体" w:cs="宋体"/>
      <w:kern w:val="0"/>
      <w:sz w:val="18"/>
      <w:szCs w:val="18"/>
    </w:rPr>
  </w:style>
  <w:style w:type="character" w:customStyle="1" w:styleId="254">
    <w:name w:val="font5 Char"/>
    <w:link w:val="253"/>
    <w:autoRedefine/>
    <w:qFormat/>
    <w:uiPriority w:val="0"/>
    <w:rPr>
      <w:rFonts w:ascii="宋体" w:hAnsi="宋体" w:cs="宋体"/>
      <w:sz w:val="18"/>
      <w:szCs w:val="18"/>
    </w:rPr>
  </w:style>
  <w:style w:type="paragraph" w:customStyle="1" w:styleId="255">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256">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257">
    <w:name w:val="图中文字"/>
    <w:basedOn w:val="1"/>
    <w:qFormat/>
    <w:uiPriority w:val="0"/>
    <w:pPr>
      <w:adjustRightInd w:val="0"/>
      <w:snapToGrid w:val="0"/>
      <w:spacing w:line="0" w:lineRule="atLeast"/>
      <w:jc w:val="center"/>
    </w:pPr>
    <w:rPr>
      <w:sz w:val="24"/>
      <w:szCs w:val="20"/>
    </w:rPr>
  </w:style>
  <w:style w:type="paragraph" w:customStyle="1" w:styleId="258">
    <w:name w:val="Char Char41"/>
    <w:basedOn w:val="1"/>
    <w:autoRedefine/>
    <w:qFormat/>
    <w:uiPriority w:val="0"/>
    <w:pPr>
      <w:widowControl/>
      <w:spacing w:line="400" w:lineRule="exact"/>
      <w:jc w:val="center"/>
    </w:pPr>
  </w:style>
  <w:style w:type="paragraph" w:customStyle="1" w:styleId="259">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60">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261">
    <w:name w:val="样式2"/>
    <w:basedOn w:val="60"/>
    <w:link w:val="262"/>
    <w:qFormat/>
    <w:uiPriority w:val="0"/>
    <w:pPr>
      <w:spacing w:line="360" w:lineRule="auto"/>
      <w:jc w:val="center"/>
    </w:pPr>
    <w:rPr>
      <w:sz w:val="24"/>
    </w:rPr>
  </w:style>
  <w:style w:type="character" w:customStyle="1" w:styleId="262">
    <w:name w:val="样式2 Char"/>
    <w:link w:val="261"/>
    <w:autoRedefine/>
    <w:qFormat/>
    <w:uiPriority w:val="0"/>
    <w:rPr>
      <w:kern w:val="2"/>
      <w:sz w:val="24"/>
    </w:rPr>
  </w:style>
  <w:style w:type="paragraph" w:customStyle="1" w:styleId="263">
    <w:name w:val="项目编号2"/>
    <w:basedOn w:val="264"/>
    <w:autoRedefine/>
    <w:qFormat/>
    <w:uiPriority w:val="0"/>
    <w:pPr>
      <w:numPr>
        <w:numId w:val="5"/>
      </w:numPr>
    </w:pPr>
  </w:style>
  <w:style w:type="paragraph" w:customStyle="1" w:styleId="264">
    <w:name w:val="项目编号1"/>
    <w:basedOn w:val="1"/>
    <w:qFormat/>
    <w:uiPriority w:val="0"/>
    <w:pPr>
      <w:numPr>
        <w:ilvl w:val="0"/>
        <w:numId w:val="6"/>
      </w:numPr>
      <w:spacing w:before="100" w:beforeAutospacing="1" w:after="100" w:afterAutospacing="1" w:line="360" w:lineRule="auto"/>
    </w:pPr>
    <w:rPr>
      <w:sz w:val="24"/>
    </w:rPr>
  </w:style>
  <w:style w:type="paragraph" w:customStyle="1" w:styleId="265">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6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67">
    <w:name w:val="默认段落字体 Para Char Char Char Char"/>
    <w:basedOn w:val="1"/>
    <w:autoRedefine/>
    <w:qFormat/>
    <w:uiPriority w:val="0"/>
    <w:rPr>
      <w:rFonts w:ascii="Arial" w:hAnsi="Arial" w:cs="Arial"/>
      <w:szCs w:val="21"/>
    </w:rPr>
  </w:style>
  <w:style w:type="paragraph" w:customStyle="1" w:styleId="268">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269">
    <w:name w:val="Char3 Char Char Char1"/>
    <w:basedOn w:val="1"/>
    <w:qFormat/>
    <w:uiPriority w:val="0"/>
    <w:rPr>
      <w:rFonts w:ascii="Tahoma" w:hAnsi="Tahoma"/>
      <w:sz w:val="24"/>
      <w:szCs w:val="20"/>
    </w:rPr>
  </w:style>
  <w:style w:type="paragraph" w:customStyle="1" w:styleId="27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71">
    <w:name w:val="Char Char1"/>
    <w:basedOn w:val="25"/>
    <w:autoRedefine/>
    <w:qFormat/>
    <w:uiPriority w:val="0"/>
    <w:rPr>
      <w:rFonts w:ascii="Tahoma" w:hAnsi="Tahoma"/>
      <w:sz w:val="24"/>
    </w:rPr>
  </w:style>
  <w:style w:type="paragraph" w:customStyle="1" w:styleId="27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7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274">
    <w:name w:val="列出段落1"/>
    <w:basedOn w:val="1"/>
    <w:link w:val="275"/>
    <w:qFormat/>
    <w:uiPriority w:val="0"/>
    <w:pPr>
      <w:ind w:firstLine="420" w:firstLineChars="200"/>
    </w:pPr>
    <w:rPr>
      <w:rFonts w:ascii="Calibri" w:hAnsi="Calibri"/>
      <w:szCs w:val="22"/>
    </w:rPr>
  </w:style>
  <w:style w:type="character" w:customStyle="1" w:styleId="275">
    <w:name w:val="列出段落 Char1"/>
    <w:link w:val="274"/>
    <w:autoRedefine/>
    <w:qFormat/>
    <w:uiPriority w:val="0"/>
    <w:rPr>
      <w:rFonts w:ascii="Calibri" w:hAnsi="Calibri"/>
      <w:kern w:val="2"/>
      <w:sz w:val="21"/>
      <w:szCs w:val="22"/>
    </w:rPr>
  </w:style>
  <w:style w:type="paragraph" w:customStyle="1" w:styleId="27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277">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78">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279">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80">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81">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282">
    <w:name w:val="项目编号3"/>
    <w:basedOn w:val="201"/>
    <w:autoRedefine/>
    <w:qFormat/>
    <w:uiPriority w:val="0"/>
    <w:pPr>
      <w:numPr>
        <w:ilvl w:val="0"/>
        <w:numId w:val="7"/>
      </w:numPr>
    </w:pPr>
  </w:style>
  <w:style w:type="paragraph" w:customStyle="1" w:styleId="283">
    <w:name w:val="图例"/>
    <w:basedOn w:val="1"/>
    <w:autoRedefine/>
    <w:qFormat/>
    <w:uiPriority w:val="0"/>
    <w:pPr>
      <w:spacing w:before="120" w:after="120" w:line="360" w:lineRule="auto"/>
      <w:jc w:val="center"/>
    </w:pPr>
    <w:rPr>
      <w:rFonts w:eastAsia="仿宋_GB2312"/>
      <w:b/>
      <w:sz w:val="24"/>
      <w:szCs w:val="20"/>
    </w:rPr>
  </w:style>
  <w:style w:type="paragraph" w:customStyle="1" w:styleId="284">
    <w:name w:val="Char Char Char Char Char Char Char Char Char Char2"/>
    <w:basedOn w:val="1"/>
    <w:autoRedefine/>
    <w:qFormat/>
    <w:uiPriority w:val="0"/>
    <w:rPr>
      <w:rFonts w:ascii="宋体" w:hAnsi="宋体" w:cs="Courier New"/>
      <w:sz w:val="32"/>
      <w:szCs w:val="32"/>
    </w:rPr>
  </w:style>
  <w:style w:type="paragraph" w:customStyle="1" w:styleId="285">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86">
    <w:name w:val="正文文本样式 加粗"/>
    <w:basedOn w:val="201"/>
    <w:autoRedefine/>
    <w:qFormat/>
    <w:uiPriority w:val="0"/>
    <w:rPr>
      <w:b/>
    </w:rPr>
  </w:style>
  <w:style w:type="paragraph" w:customStyle="1" w:styleId="287">
    <w:name w:val="字元 字元2"/>
    <w:basedOn w:val="1"/>
    <w:autoRedefine/>
    <w:qFormat/>
    <w:uiPriority w:val="0"/>
    <w:rPr>
      <w:rFonts w:ascii="Tahoma" w:hAnsi="Tahoma"/>
      <w:sz w:val="24"/>
      <w:szCs w:val="20"/>
    </w:rPr>
  </w:style>
  <w:style w:type="paragraph" w:customStyle="1" w:styleId="288">
    <w:name w:val="Char Char4"/>
    <w:basedOn w:val="1"/>
    <w:qFormat/>
    <w:uiPriority w:val="0"/>
    <w:pPr>
      <w:widowControl/>
      <w:spacing w:line="400" w:lineRule="exact"/>
      <w:jc w:val="center"/>
    </w:pPr>
  </w:style>
  <w:style w:type="paragraph" w:customStyle="1" w:styleId="28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290">
    <w:name w:val="Char Char Char1 Char"/>
    <w:basedOn w:val="1"/>
    <w:autoRedefine/>
    <w:qFormat/>
    <w:uiPriority w:val="0"/>
    <w:rPr>
      <w:rFonts w:ascii="Tahoma" w:hAnsi="Tahoma"/>
      <w:sz w:val="24"/>
      <w:szCs w:val="20"/>
    </w:rPr>
  </w:style>
  <w:style w:type="paragraph" w:customStyle="1" w:styleId="291">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92">
    <w:name w:val="_Style 231"/>
    <w:autoRedefine/>
    <w:qFormat/>
    <w:uiPriority w:val="99"/>
    <w:rPr>
      <w:rFonts w:ascii="Times New Roman" w:hAnsi="Times New Roman" w:eastAsia="宋体" w:cs="Times New Roman"/>
      <w:kern w:val="2"/>
      <w:sz w:val="21"/>
      <w:szCs w:val="24"/>
      <w:lang w:val="en-US" w:eastAsia="zh-CN" w:bidi="ar-SA"/>
    </w:rPr>
  </w:style>
  <w:style w:type="paragraph" w:customStyle="1" w:styleId="293">
    <w:name w:val="Char Char Char2"/>
    <w:basedOn w:val="1"/>
    <w:autoRedefine/>
    <w:qFormat/>
    <w:uiPriority w:val="0"/>
    <w:rPr>
      <w:rFonts w:ascii="Tahoma" w:hAnsi="Tahoma"/>
      <w:sz w:val="24"/>
      <w:szCs w:val="20"/>
    </w:rPr>
  </w:style>
  <w:style w:type="paragraph" w:customStyle="1" w:styleId="294">
    <w:name w:val="Char Char Char Char Char Char Char Char Char Char1"/>
    <w:basedOn w:val="1"/>
    <w:autoRedefine/>
    <w:qFormat/>
    <w:uiPriority w:val="0"/>
    <w:rPr>
      <w:rFonts w:ascii="宋体" w:hAnsi="宋体" w:cs="Courier New"/>
      <w:sz w:val="32"/>
      <w:szCs w:val="32"/>
    </w:rPr>
  </w:style>
  <w:style w:type="paragraph" w:customStyle="1" w:styleId="295">
    <w:name w:val="Char Char Char Char Char Char Char Char Char Char"/>
    <w:basedOn w:val="1"/>
    <w:autoRedefine/>
    <w:qFormat/>
    <w:uiPriority w:val="0"/>
  </w:style>
  <w:style w:type="paragraph" w:customStyle="1" w:styleId="296">
    <w:name w:val="标题1-附件"/>
    <w:basedOn w:val="3"/>
    <w:autoRedefine/>
    <w:qFormat/>
    <w:uiPriority w:val="0"/>
    <w:pPr>
      <w:jc w:val="left"/>
    </w:pPr>
    <w:rPr>
      <w:sz w:val="24"/>
      <w:szCs w:val="24"/>
    </w:rPr>
  </w:style>
  <w:style w:type="paragraph" w:customStyle="1" w:styleId="297">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98">
    <w:name w:val="Char"/>
    <w:basedOn w:val="1"/>
    <w:autoRedefine/>
    <w:qFormat/>
    <w:uiPriority w:val="0"/>
    <w:pPr>
      <w:tabs>
        <w:tab w:val="left" w:pos="360"/>
      </w:tabs>
    </w:pPr>
    <w:rPr>
      <w:sz w:val="24"/>
    </w:rPr>
  </w:style>
  <w:style w:type="paragraph" w:customStyle="1" w:styleId="299">
    <w:name w:val="Char Char Char1 Char1"/>
    <w:basedOn w:val="1"/>
    <w:autoRedefine/>
    <w:qFormat/>
    <w:uiPriority w:val="0"/>
    <w:rPr>
      <w:rFonts w:ascii="Tahoma" w:hAnsi="Tahoma"/>
      <w:sz w:val="24"/>
      <w:szCs w:val="20"/>
    </w:rPr>
  </w:style>
  <w:style w:type="paragraph" w:customStyle="1" w:styleId="300">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01">
    <w:name w:val="表格1"/>
    <w:basedOn w:val="1"/>
    <w:link w:val="302"/>
    <w:qFormat/>
    <w:uiPriority w:val="0"/>
    <w:pPr>
      <w:ind w:firstLine="480" w:firstLineChars="200"/>
      <w:jc w:val="center"/>
    </w:pPr>
    <w:rPr>
      <w:sz w:val="24"/>
      <w:szCs w:val="20"/>
    </w:rPr>
  </w:style>
  <w:style w:type="character" w:customStyle="1" w:styleId="302">
    <w:name w:val="表格1 Char Char"/>
    <w:link w:val="301"/>
    <w:autoRedefine/>
    <w:qFormat/>
    <w:uiPriority w:val="0"/>
    <w:rPr>
      <w:kern w:val="2"/>
      <w:sz w:val="24"/>
    </w:rPr>
  </w:style>
  <w:style w:type="paragraph" w:customStyle="1" w:styleId="303">
    <w:name w:val="无间隔11"/>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04">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305">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306">
    <w:name w:val="Char Char Char"/>
    <w:basedOn w:val="1"/>
    <w:qFormat/>
    <w:uiPriority w:val="0"/>
    <w:rPr>
      <w:rFonts w:ascii="Tahoma" w:hAnsi="Tahoma"/>
      <w:sz w:val="24"/>
      <w:szCs w:val="20"/>
    </w:rPr>
  </w:style>
  <w:style w:type="paragraph" w:customStyle="1" w:styleId="307">
    <w:name w:val="Char3 Char Char Char"/>
    <w:basedOn w:val="1"/>
    <w:autoRedefine/>
    <w:qFormat/>
    <w:uiPriority w:val="0"/>
    <w:rPr>
      <w:rFonts w:ascii="Tahoma" w:hAnsi="Tahoma"/>
      <w:sz w:val="24"/>
      <w:szCs w:val="20"/>
    </w:rPr>
  </w:style>
  <w:style w:type="paragraph" w:customStyle="1" w:styleId="308">
    <w:name w:val="列出段落2"/>
    <w:basedOn w:val="1"/>
    <w:autoRedefine/>
    <w:qFormat/>
    <w:uiPriority w:val="0"/>
    <w:pPr>
      <w:ind w:firstLine="420" w:firstLineChars="200"/>
    </w:pPr>
    <w:rPr>
      <w:rFonts w:ascii="Calibri" w:hAnsi="Calibri"/>
      <w:szCs w:val="22"/>
    </w:rPr>
  </w:style>
  <w:style w:type="paragraph" w:customStyle="1" w:styleId="309">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310">
    <w:name w:val="Char1"/>
    <w:basedOn w:val="1"/>
    <w:qFormat/>
    <w:uiPriority w:val="0"/>
    <w:pPr>
      <w:tabs>
        <w:tab w:val="left" w:pos="360"/>
      </w:tabs>
    </w:pPr>
    <w:rPr>
      <w:sz w:val="24"/>
    </w:rPr>
  </w:style>
  <w:style w:type="paragraph" w:customStyle="1" w:styleId="311">
    <w:name w:val="正文列项_字母"/>
    <w:basedOn w:val="1"/>
    <w:autoRedefine/>
    <w:qFormat/>
    <w:uiPriority w:val="0"/>
    <w:pPr>
      <w:numPr>
        <w:ilvl w:val="6"/>
        <w:numId w:val="4"/>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312">
    <w:name w:val="样式 样式 样式 标题 2 + 宋体 五号 非加粗 黑色 + 段前: 6 磅 段后: 0 磅 行距: 单倍行距 + 段前: 12..."/>
    <w:basedOn w:val="1"/>
    <w:qFormat/>
    <w:uiPriority w:val="0"/>
    <w:pPr>
      <w:keepNext/>
      <w:keepLines/>
      <w:adjustRightInd w:val="0"/>
      <w:spacing w:before="240"/>
      <w:ind w:left="840"/>
      <w:jc w:val="left"/>
      <w:textAlignment w:val="baseline"/>
      <w:outlineLvl w:val="1"/>
    </w:pPr>
    <w:rPr>
      <w:rFonts w:ascii="宋体" w:hAnsi="宋体" w:cs="宋体"/>
      <w:color w:val="000000"/>
      <w:kern w:val="0"/>
      <w:szCs w:val="20"/>
      <w:lang w:val="zh-CN"/>
    </w:rPr>
  </w:style>
  <w:style w:type="paragraph" w:customStyle="1" w:styleId="313">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314">
    <w:name w:val="大标题"/>
    <w:basedOn w:val="1"/>
    <w:autoRedefine/>
    <w:qFormat/>
    <w:uiPriority w:val="0"/>
    <w:pPr>
      <w:autoSpaceDE w:val="0"/>
      <w:autoSpaceDN w:val="0"/>
      <w:spacing w:before="100" w:beforeAutospacing="1" w:after="100" w:afterAutospacing="1" w:line="360" w:lineRule="auto"/>
      <w:jc w:val="left"/>
    </w:pPr>
    <w:rPr>
      <w:rFonts w:ascii="宋体" w:cs="Arial"/>
      <w:b/>
      <w:sz w:val="32"/>
      <w:szCs w:val="32"/>
    </w:rPr>
  </w:style>
  <w:style w:type="paragraph" w:customStyle="1" w:styleId="315">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316">
    <w:name w:val="Char2 Char Char Char Char Char Char1"/>
    <w:basedOn w:val="1"/>
    <w:autoRedefine/>
    <w:qFormat/>
    <w:uiPriority w:val="0"/>
    <w:pPr>
      <w:widowControl/>
      <w:spacing w:line="400" w:lineRule="exact"/>
      <w:jc w:val="center"/>
    </w:pPr>
  </w:style>
  <w:style w:type="paragraph" w:customStyle="1" w:styleId="317">
    <w:name w:val="Char Char Char1"/>
    <w:basedOn w:val="1"/>
    <w:autoRedefine/>
    <w:qFormat/>
    <w:uiPriority w:val="0"/>
    <w:rPr>
      <w:rFonts w:ascii="Tahoma" w:hAnsi="Tahoma"/>
      <w:sz w:val="24"/>
      <w:szCs w:val="20"/>
    </w:rPr>
  </w:style>
  <w:style w:type="paragraph" w:customStyle="1" w:styleId="318">
    <w:name w:val="图文"/>
    <w:basedOn w:val="1"/>
    <w:autoRedefine/>
    <w:qFormat/>
    <w:uiPriority w:val="0"/>
    <w:pPr>
      <w:adjustRightInd w:val="0"/>
      <w:snapToGrid w:val="0"/>
      <w:spacing w:after="50" w:line="360" w:lineRule="auto"/>
    </w:pPr>
    <w:rPr>
      <w:sz w:val="24"/>
    </w:rPr>
  </w:style>
  <w:style w:type="paragraph" w:customStyle="1" w:styleId="319">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320">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32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2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32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table" w:customStyle="1" w:styleId="324">
    <w:name w:val="Table Normal"/>
    <w:autoRedefine/>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325">
    <w:name w:val="网格型2"/>
    <w:basedOn w:val="83"/>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26">
    <w:name w:val="Table Text"/>
    <w:basedOn w:val="1"/>
    <w:autoRedefine/>
    <w:qFormat/>
    <w:uiPriority w:val="0"/>
    <w:rPr>
      <w:rFonts w:ascii="Arial" w:hAnsi="Arial" w:eastAsia="Arial" w:cs="Arial"/>
      <w:szCs w:val="21"/>
      <w:lang w:eastAsia="en-US"/>
    </w:rPr>
  </w:style>
  <w:style w:type="paragraph" w:customStyle="1" w:styleId="327">
    <w:name w:val="样式 10 磅"/>
    <w:autoRedefine/>
    <w:qFormat/>
    <w:uiPriority w:val="0"/>
    <w:pPr>
      <w:widowControl w:val="0"/>
      <w:jc w:val="both"/>
    </w:pPr>
    <w:rPr>
      <w:rFonts w:ascii="Calibri" w:hAnsi="Calibri" w:eastAsia="黑体" w:cs="Times New Roman"/>
      <w:kern w:val="2"/>
      <w:sz w:val="21"/>
      <w:szCs w:val="24"/>
      <w:lang w:val="en-US" w:eastAsia="zh-CN" w:bidi="ar-SA"/>
    </w:rPr>
  </w:style>
  <w:style w:type="character" w:customStyle="1" w:styleId="328">
    <w:name w:val="正文缩进 字符3"/>
    <w:autoRedefine/>
    <w:qFormat/>
    <w:uiPriority w:val="0"/>
    <w:rPr>
      <w:kern w:val="2"/>
      <w:sz w:val="21"/>
    </w:rPr>
  </w:style>
  <w:style w:type="character" w:customStyle="1" w:styleId="329">
    <w:name w:val="标题 8 字符3"/>
    <w:qFormat/>
    <w:uiPriority w:val="99"/>
    <w:rPr>
      <w:rFonts w:ascii="Arial" w:hAnsi="Arial" w:eastAsia="黑体"/>
      <w:kern w:val="2"/>
      <w:sz w:val="24"/>
    </w:rPr>
  </w:style>
  <w:style w:type="character" w:customStyle="1" w:styleId="330">
    <w:name w:val="批注文字 字符4"/>
    <w:autoRedefine/>
    <w:qFormat/>
    <w:uiPriority w:val="0"/>
    <w:rPr>
      <w:sz w:val="24"/>
    </w:rPr>
  </w:style>
  <w:style w:type="paragraph" w:customStyle="1" w:styleId="331">
    <w:name w:val="市场调研报告正文样式"/>
    <w:basedOn w:val="1"/>
    <w:qFormat/>
    <w:uiPriority w:val="0"/>
    <w:pPr>
      <w:spacing w:after="50" w:afterLines="50" w:line="276" w:lineRule="auto"/>
      <w:ind w:firstLine="200" w:firstLineChars="200"/>
    </w:pPr>
  </w:style>
  <w:style w:type="character" w:customStyle="1" w:styleId="332">
    <w:name w:val="HTML 预设格式 字符2"/>
    <w:autoRedefine/>
    <w:qFormat/>
    <w:uiPriority w:val="0"/>
    <w:rPr>
      <w:rFonts w:ascii="Courier New" w:hAnsi="Courier New"/>
      <w:kern w:val="2"/>
    </w:rPr>
  </w:style>
  <w:style w:type="paragraph" w:customStyle="1" w:styleId="333">
    <w:name w:val="pf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334">
    <w:name w:val="正文 缩进2字符"/>
    <w:basedOn w:val="1"/>
    <w:autoRedefine/>
    <w:qFormat/>
    <w:uiPriority w:val="0"/>
    <w:pPr>
      <w:spacing w:line="288" w:lineRule="auto"/>
    </w:pPr>
    <w:rPr>
      <w:rFonts w:ascii="宋体" w:hAnsi="宋体"/>
      <w:sz w:val="28"/>
      <w:szCs w:val="28"/>
    </w:rPr>
  </w:style>
  <w:style w:type="character" w:customStyle="1" w:styleId="335">
    <w:name w:val="宏文本 字符"/>
    <w:basedOn w:val="86"/>
    <w:link w:val="2"/>
    <w:autoRedefine/>
    <w:qFormat/>
    <w:uiPriority w:val="0"/>
    <w:rPr>
      <w:rFonts w:ascii="Courier New" w:hAnsi="Courier New" w:cs="Courier New"/>
      <w:kern w:val="2"/>
      <w:sz w:val="24"/>
      <w:szCs w:val="24"/>
    </w:rPr>
  </w:style>
  <w:style w:type="character" w:customStyle="1" w:styleId="336">
    <w:name w:val="注释标题 字符2"/>
    <w:link w:val="17"/>
    <w:autoRedefine/>
    <w:qFormat/>
    <w:uiPriority w:val="0"/>
    <w:rPr>
      <w:kern w:val="2"/>
      <w:sz w:val="21"/>
      <w:szCs w:val="24"/>
    </w:rPr>
  </w:style>
  <w:style w:type="character" w:customStyle="1" w:styleId="337">
    <w:name w:val="注释标题 字符"/>
    <w:basedOn w:val="86"/>
    <w:autoRedefine/>
    <w:qFormat/>
    <w:uiPriority w:val="0"/>
    <w:rPr>
      <w:kern w:val="2"/>
      <w:sz w:val="21"/>
      <w:szCs w:val="24"/>
    </w:rPr>
  </w:style>
  <w:style w:type="character" w:customStyle="1" w:styleId="338">
    <w:name w:val="电子邮件签名 字符"/>
    <w:basedOn w:val="86"/>
    <w:link w:val="19"/>
    <w:autoRedefine/>
    <w:qFormat/>
    <w:uiPriority w:val="0"/>
    <w:rPr>
      <w:kern w:val="2"/>
      <w:sz w:val="21"/>
      <w:szCs w:val="24"/>
    </w:rPr>
  </w:style>
  <w:style w:type="character" w:customStyle="1" w:styleId="339">
    <w:name w:val="结束语 字符"/>
    <w:basedOn w:val="86"/>
    <w:link w:val="30"/>
    <w:qFormat/>
    <w:uiPriority w:val="0"/>
    <w:rPr>
      <w:kern w:val="2"/>
      <w:sz w:val="21"/>
      <w:szCs w:val="24"/>
    </w:rPr>
  </w:style>
  <w:style w:type="character" w:customStyle="1" w:styleId="340">
    <w:name w:val="HTML 地址 字符"/>
    <w:basedOn w:val="86"/>
    <w:link w:val="40"/>
    <w:qFormat/>
    <w:uiPriority w:val="0"/>
    <w:rPr>
      <w:i/>
      <w:iCs/>
      <w:kern w:val="2"/>
      <w:sz w:val="21"/>
      <w:szCs w:val="24"/>
    </w:rPr>
  </w:style>
  <w:style w:type="character" w:customStyle="1" w:styleId="341">
    <w:name w:val="尾注文本 字符1"/>
    <w:link w:val="50"/>
    <w:autoRedefine/>
    <w:qFormat/>
    <w:uiPriority w:val="0"/>
    <w:rPr>
      <w:rFonts w:ascii="Calibri" w:hAnsi="Calibri"/>
    </w:rPr>
  </w:style>
  <w:style w:type="character" w:customStyle="1" w:styleId="342">
    <w:name w:val="尾注文本 字符"/>
    <w:basedOn w:val="86"/>
    <w:autoRedefine/>
    <w:qFormat/>
    <w:uiPriority w:val="0"/>
    <w:rPr>
      <w:kern w:val="2"/>
      <w:sz w:val="21"/>
      <w:szCs w:val="24"/>
    </w:rPr>
  </w:style>
  <w:style w:type="character" w:customStyle="1" w:styleId="343">
    <w:name w:val="签名 字符"/>
    <w:basedOn w:val="86"/>
    <w:link w:val="55"/>
    <w:autoRedefine/>
    <w:qFormat/>
    <w:uiPriority w:val="0"/>
    <w:rPr>
      <w:rFonts w:ascii="Calibri" w:hAnsi="Calibri" w:eastAsia="仿宋_GB2312"/>
      <w:sz w:val="24"/>
    </w:rPr>
  </w:style>
  <w:style w:type="character" w:customStyle="1" w:styleId="344">
    <w:name w:val="副标题 字符"/>
    <w:basedOn w:val="86"/>
    <w:link w:val="61"/>
    <w:autoRedefine/>
    <w:qFormat/>
    <w:uiPriority w:val="0"/>
    <w:rPr>
      <w:rFonts w:ascii="Cambria" w:hAnsi="Cambria"/>
      <w:b/>
      <w:bCs/>
      <w:kern w:val="28"/>
      <w:sz w:val="32"/>
      <w:szCs w:val="32"/>
    </w:rPr>
  </w:style>
  <w:style w:type="character" w:customStyle="1" w:styleId="345">
    <w:name w:val="脚注文本 字符1"/>
    <w:link w:val="64"/>
    <w:autoRedefine/>
    <w:qFormat/>
    <w:uiPriority w:val="0"/>
    <w:rPr>
      <w:sz w:val="18"/>
      <w:szCs w:val="18"/>
    </w:rPr>
  </w:style>
  <w:style w:type="character" w:customStyle="1" w:styleId="346">
    <w:name w:val="脚注文本 字符"/>
    <w:basedOn w:val="86"/>
    <w:autoRedefine/>
    <w:qFormat/>
    <w:uiPriority w:val="0"/>
    <w:rPr>
      <w:kern w:val="2"/>
      <w:sz w:val="18"/>
      <w:szCs w:val="18"/>
    </w:rPr>
  </w:style>
  <w:style w:type="character" w:customStyle="1" w:styleId="347">
    <w:name w:val="信息标题 字符"/>
    <w:basedOn w:val="86"/>
    <w:link w:val="75"/>
    <w:autoRedefine/>
    <w:qFormat/>
    <w:uiPriority w:val="0"/>
    <w:rPr>
      <w:rFonts w:ascii="Cambria" w:hAnsi="Cambria"/>
      <w:sz w:val="24"/>
      <w:szCs w:val="24"/>
      <w:shd w:val="pct20" w:color="auto" w:fill="auto"/>
    </w:rPr>
  </w:style>
  <w:style w:type="character" w:customStyle="1" w:styleId="348">
    <w:name w:val="标题 1 字符2"/>
    <w:autoRedefine/>
    <w:qFormat/>
    <w:uiPriority w:val="99"/>
    <w:rPr>
      <w:rFonts w:ascii="宋体"/>
      <w:b/>
      <w:kern w:val="44"/>
      <w:sz w:val="32"/>
    </w:rPr>
  </w:style>
  <w:style w:type="character" w:customStyle="1" w:styleId="349">
    <w:name w:val="标题 2 字符3"/>
    <w:autoRedefine/>
    <w:qFormat/>
    <w:uiPriority w:val="0"/>
    <w:rPr>
      <w:rFonts w:ascii="Arial" w:hAnsi="Arial" w:eastAsia="黑体"/>
      <w:b/>
      <w:sz w:val="30"/>
      <w:lang w:val="en-US" w:eastAsia="zh-CN" w:bidi="ar-SA"/>
    </w:rPr>
  </w:style>
  <w:style w:type="character" w:customStyle="1" w:styleId="350">
    <w:name w:val="正文缩进 字符2"/>
    <w:autoRedefine/>
    <w:qFormat/>
    <w:uiPriority w:val="0"/>
    <w:rPr>
      <w:rFonts w:ascii="宋体" w:eastAsia="宋体"/>
      <w:kern w:val="2"/>
      <w:sz w:val="24"/>
      <w:szCs w:val="24"/>
      <w:lang w:val="en-US" w:eastAsia="zh-CN" w:bidi="ar-SA"/>
    </w:rPr>
  </w:style>
  <w:style w:type="character" w:customStyle="1" w:styleId="351">
    <w:name w:val="标题 3 字符2"/>
    <w:autoRedefine/>
    <w:qFormat/>
    <w:uiPriority w:val="0"/>
    <w:rPr>
      <w:rFonts w:ascii="宋体" w:eastAsia="宋体"/>
      <w:b/>
      <w:sz w:val="24"/>
      <w:u w:val="single"/>
      <w:lang w:val="en-US" w:eastAsia="zh-CN" w:bidi="ar-SA"/>
    </w:rPr>
  </w:style>
  <w:style w:type="character" w:customStyle="1" w:styleId="352">
    <w:name w:val="标题 4 字符3"/>
    <w:autoRedefine/>
    <w:qFormat/>
    <w:uiPriority w:val="99"/>
    <w:rPr>
      <w:rFonts w:ascii="Arial" w:hAnsi="Arial" w:eastAsia="黑体"/>
      <w:b/>
      <w:sz w:val="28"/>
    </w:rPr>
  </w:style>
  <w:style w:type="character" w:customStyle="1" w:styleId="353">
    <w:name w:val="标题 5 字符3"/>
    <w:autoRedefine/>
    <w:qFormat/>
    <w:uiPriority w:val="99"/>
    <w:rPr>
      <w:b/>
      <w:sz w:val="28"/>
    </w:rPr>
  </w:style>
  <w:style w:type="character" w:customStyle="1" w:styleId="354">
    <w:name w:val="标题 6 字符3"/>
    <w:autoRedefine/>
    <w:qFormat/>
    <w:uiPriority w:val="99"/>
    <w:rPr>
      <w:rFonts w:ascii="Arial" w:hAnsi="Arial" w:eastAsia="黑体"/>
      <w:b/>
      <w:sz w:val="24"/>
    </w:rPr>
  </w:style>
  <w:style w:type="character" w:customStyle="1" w:styleId="355">
    <w:name w:val="标题 7 字符3"/>
    <w:autoRedefine/>
    <w:qFormat/>
    <w:uiPriority w:val="99"/>
    <w:rPr>
      <w:b/>
      <w:sz w:val="24"/>
    </w:rPr>
  </w:style>
  <w:style w:type="character" w:customStyle="1" w:styleId="356">
    <w:name w:val="标题 9 字符3"/>
    <w:autoRedefine/>
    <w:qFormat/>
    <w:uiPriority w:val="99"/>
    <w:rPr>
      <w:rFonts w:ascii="Arial" w:hAnsi="Arial" w:eastAsia="黑体"/>
      <w:sz w:val="21"/>
    </w:rPr>
  </w:style>
  <w:style w:type="character" w:customStyle="1" w:styleId="357">
    <w:name w:val="文档结构图 字符3"/>
    <w:autoRedefine/>
    <w:qFormat/>
    <w:uiPriority w:val="99"/>
    <w:rPr>
      <w:kern w:val="2"/>
      <w:sz w:val="21"/>
      <w:szCs w:val="24"/>
      <w:shd w:val="clear" w:color="auto" w:fill="000080"/>
    </w:rPr>
  </w:style>
  <w:style w:type="character" w:customStyle="1" w:styleId="358">
    <w:name w:val="批注文字 字符3"/>
    <w:autoRedefine/>
    <w:qFormat/>
    <w:uiPriority w:val="99"/>
    <w:rPr>
      <w:kern w:val="2"/>
      <w:sz w:val="21"/>
      <w:szCs w:val="24"/>
    </w:rPr>
  </w:style>
  <w:style w:type="character" w:customStyle="1" w:styleId="359">
    <w:name w:val="正文文本 3 字符3"/>
    <w:autoRedefine/>
    <w:qFormat/>
    <w:uiPriority w:val="99"/>
    <w:rPr>
      <w:kern w:val="2"/>
      <w:sz w:val="16"/>
      <w:szCs w:val="16"/>
    </w:rPr>
  </w:style>
  <w:style w:type="character" w:customStyle="1" w:styleId="360">
    <w:name w:val="正文文本 字符2"/>
    <w:autoRedefine/>
    <w:qFormat/>
    <w:uiPriority w:val="99"/>
    <w:rPr>
      <w:rFonts w:ascii="宋体" w:hAnsi="宋体"/>
      <w:kern w:val="2"/>
      <w:sz w:val="24"/>
      <w:szCs w:val="24"/>
    </w:rPr>
  </w:style>
  <w:style w:type="character" w:customStyle="1" w:styleId="361">
    <w:name w:val="正文文本缩进 字符3"/>
    <w:autoRedefine/>
    <w:qFormat/>
    <w:uiPriority w:val="99"/>
    <w:rPr>
      <w:rFonts w:eastAsia="宋体"/>
      <w:kern w:val="2"/>
      <w:sz w:val="24"/>
      <w:szCs w:val="24"/>
      <w:lang w:val="en-US" w:eastAsia="zh-CN" w:bidi="ar-SA"/>
    </w:rPr>
  </w:style>
  <w:style w:type="character" w:customStyle="1" w:styleId="362">
    <w:name w:val="纯文本 字符3"/>
    <w:autoRedefine/>
    <w:qFormat/>
    <w:uiPriority w:val="99"/>
    <w:rPr>
      <w:rFonts w:ascii="宋体" w:hAnsi="宋体"/>
      <w:b/>
      <w:kern w:val="2"/>
      <w:sz w:val="24"/>
      <w:szCs w:val="24"/>
    </w:rPr>
  </w:style>
  <w:style w:type="character" w:customStyle="1" w:styleId="363">
    <w:name w:val="日期 字符3"/>
    <w:autoRedefine/>
    <w:qFormat/>
    <w:uiPriority w:val="0"/>
    <w:rPr>
      <w:rFonts w:ascii="仿宋_GB2312" w:hAnsi="宋体" w:eastAsia="仿宋_GB2312"/>
      <w:color w:val="000000"/>
      <w:kern w:val="2"/>
      <w:sz w:val="24"/>
      <w:szCs w:val="24"/>
    </w:rPr>
  </w:style>
  <w:style w:type="character" w:customStyle="1" w:styleId="364">
    <w:name w:val="正文文本缩进 2 字符3"/>
    <w:autoRedefine/>
    <w:qFormat/>
    <w:uiPriority w:val="0"/>
    <w:rPr>
      <w:rFonts w:ascii="仿宋_GB2312" w:eastAsia="仿宋_GB2312"/>
      <w:kern w:val="2"/>
      <w:sz w:val="24"/>
      <w:szCs w:val="24"/>
    </w:rPr>
  </w:style>
  <w:style w:type="character" w:customStyle="1" w:styleId="365">
    <w:name w:val="批注框文本 字符3"/>
    <w:autoRedefine/>
    <w:qFormat/>
    <w:uiPriority w:val="0"/>
    <w:rPr>
      <w:kern w:val="2"/>
      <w:sz w:val="18"/>
      <w:szCs w:val="18"/>
    </w:rPr>
  </w:style>
  <w:style w:type="character" w:customStyle="1" w:styleId="366">
    <w:name w:val="页脚 字符2"/>
    <w:autoRedefine/>
    <w:qFormat/>
    <w:uiPriority w:val="0"/>
    <w:rPr>
      <w:rFonts w:ascii="宋体" w:eastAsia="宋体"/>
      <w:sz w:val="18"/>
      <w:lang w:val="en-US" w:eastAsia="zh-CN" w:bidi="ar-SA"/>
    </w:rPr>
  </w:style>
  <w:style w:type="character" w:customStyle="1" w:styleId="367">
    <w:name w:val="页眉 字符2"/>
    <w:autoRedefine/>
    <w:qFormat/>
    <w:uiPriority w:val="0"/>
    <w:rPr>
      <w:rFonts w:eastAsia="宋体"/>
      <w:kern w:val="2"/>
      <w:sz w:val="18"/>
      <w:szCs w:val="18"/>
      <w:lang w:val="en-US" w:eastAsia="zh-CN" w:bidi="ar-SA"/>
    </w:rPr>
  </w:style>
  <w:style w:type="character" w:customStyle="1" w:styleId="368">
    <w:name w:val="正文文本缩进 3 字符3"/>
    <w:autoRedefine/>
    <w:qFormat/>
    <w:uiPriority w:val="99"/>
    <w:rPr>
      <w:rFonts w:ascii="宋体"/>
      <w:sz w:val="24"/>
    </w:rPr>
  </w:style>
  <w:style w:type="character" w:customStyle="1" w:styleId="369">
    <w:name w:val="HTML 预设格式 字符3"/>
    <w:autoRedefine/>
    <w:qFormat/>
    <w:uiPriority w:val="99"/>
    <w:rPr>
      <w:rFonts w:ascii="宋体" w:hAnsi="宋体" w:cs="宋体"/>
      <w:sz w:val="24"/>
      <w:szCs w:val="24"/>
    </w:rPr>
  </w:style>
  <w:style w:type="character" w:customStyle="1" w:styleId="370">
    <w:name w:val="标题 字符3"/>
    <w:autoRedefine/>
    <w:qFormat/>
    <w:uiPriority w:val="99"/>
    <w:rPr>
      <w:b/>
      <w:kern w:val="2"/>
      <w:sz w:val="32"/>
    </w:rPr>
  </w:style>
  <w:style w:type="character" w:customStyle="1" w:styleId="371">
    <w:name w:val="批注主题 字符3"/>
    <w:autoRedefine/>
    <w:qFormat/>
    <w:uiPriority w:val="99"/>
    <w:rPr>
      <w:rFonts w:ascii="Times New Roman" w:hAnsi="Times New Roman" w:eastAsia="宋体" w:cs="Times New Roman"/>
      <w:b/>
      <w:bCs/>
      <w:kern w:val="2"/>
      <w:sz w:val="21"/>
      <w:szCs w:val="24"/>
      <w:lang w:val="en-US" w:eastAsia="zh-CN" w:bidi="ar-SA"/>
    </w:rPr>
  </w:style>
  <w:style w:type="character" w:customStyle="1" w:styleId="372">
    <w:name w:val="正文文本首行缩进 2 字符2"/>
    <w:autoRedefine/>
    <w:qFormat/>
    <w:uiPriority w:val="0"/>
    <w:rPr>
      <w:rFonts w:eastAsia="宋体"/>
      <w:kern w:val="2"/>
      <w:sz w:val="24"/>
      <w:szCs w:val="24"/>
      <w:lang w:val="en-US" w:eastAsia="zh-CN" w:bidi="ar-SA"/>
    </w:rPr>
  </w:style>
  <w:style w:type="character" w:customStyle="1" w:styleId="373">
    <w:name w:val="列表段落 字符2"/>
    <w:autoRedefine/>
    <w:qFormat/>
    <w:uiPriority w:val="34"/>
    <w:rPr>
      <w:rFonts w:ascii="Calibri" w:hAnsi="Calibri" w:eastAsia="宋体"/>
      <w:kern w:val="2"/>
      <w:sz w:val="21"/>
      <w:szCs w:val="22"/>
      <w:lang w:val="en-US" w:eastAsia="zh-CN" w:bidi="ar-SA"/>
    </w:rPr>
  </w:style>
  <w:style w:type="paragraph" w:styleId="374">
    <w:name w:val="No Spacing"/>
    <w:link w:val="37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5">
    <w:name w:val="无间隔 字符"/>
    <w:link w:val="374"/>
    <w:autoRedefine/>
    <w:qFormat/>
    <w:uiPriority w:val="0"/>
    <w:rPr>
      <w:kern w:val="2"/>
      <w:sz w:val="21"/>
      <w:szCs w:val="24"/>
    </w:rPr>
  </w:style>
  <w:style w:type="character" w:customStyle="1" w:styleId="376">
    <w:name w:val="标题 2 字符2"/>
    <w:autoRedefine/>
    <w:qFormat/>
    <w:uiPriority w:val="0"/>
    <w:rPr>
      <w:rFonts w:ascii="Arial" w:hAnsi="Arial" w:eastAsia="黑体" w:cs="Times New Roman"/>
      <w:b/>
      <w:kern w:val="0"/>
      <w:sz w:val="30"/>
      <w:szCs w:val="20"/>
    </w:rPr>
  </w:style>
  <w:style w:type="character" w:customStyle="1" w:styleId="377">
    <w:name w:val="正文文本 2 字符"/>
    <w:autoRedefine/>
    <w:qFormat/>
    <w:uiPriority w:val="0"/>
    <w:rPr>
      <w:kern w:val="2"/>
      <w:sz w:val="21"/>
      <w:szCs w:val="24"/>
    </w:rPr>
  </w:style>
  <w:style w:type="character" w:customStyle="1" w:styleId="378">
    <w:name w:val="正文文本首行缩进 字符"/>
    <w:autoRedefine/>
    <w:qFormat/>
    <w:uiPriority w:val="0"/>
    <w:rPr>
      <w:rFonts w:ascii="宋体" w:hAnsi="宋体"/>
      <w:kern w:val="2"/>
      <w:sz w:val="21"/>
      <w:szCs w:val="24"/>
    </w:rPr>
  </w:style>
  <w:style w:type="character" w:customStyle="1" w:styleId="379">
    <w:name w:val="z正文 Char"/>
    <w:link w:val="380"/>
    <w:autoRedefine/>
    <w:qFormat/>
    <w:uiPriority w:val="0"/>
    <w:rPr>
      <w:kern w:val="2"/>
      <w:sz w:val="24"/>
    </w:rPr>
  </w:style>
  <w:style w:type="paragraph" w:customStyle="1" w:styleId="380">
    <w:name w:val="z正文"/>
    <w:basedOn w:val="1"/>
    <w:next w:val="1"/>
    <w:link w:val="379"/>
    <w:autoRedefine/>
    <w:qFormat/>
    <w:uiPriority w:val="0"/>
    <w:pPr>
      <w:spacing w:line="360" w:lineRule="auto"/>
      <w:ind w:firstLine="200" w:firstLineChars="200"/>
    </w:pPr>
    <w:rPr>
      <w:sz w:val="24"/>
      <w:szCs w:val="20"/>
    </w:rPr>
  </w:style>
  <w:style w:type="character" w:customStyle="1" w:styleId="381">
    <w:name w:val="Texte Char Char"/>
    <w:autoRedefine/>
    <w:qFormat/>
    <w:uiPriority w:val="0"/>
    <w:rPr>
      <w:rFonts w:ascii="宋体" w:hAnsi="Courier New" w:eastAsia="宋体" w:cs="Times New Roman"/>
      <w:kern w:val="2"/>
      <w:sz w:val="21"/>
      <w:lang w:val="en-US" w:eastAsia="zh-CN" w:bidi="ar-SA"/>
    </w:rPr>
  </w:style>
  <w:style w:type="character" w:customStyle="1" w:styleId="382">
    <w:name w:val="product_name1"/>
    <w:autoRedefine/>
    <w:qFormat/>
    <w:uiPriority w:val="0"/>
    <w:rPr>
      <w:rFonts w:hint="default" w:ascii="Arial" w:hAnsi="Arial" w:eastAsia="宋体" w:cs="Arial"/>
      <w:b/>
      <w:bCs/>
      <w:sz w:val="24"/>
      <w:szCs w:val="24"/>
    </w:rPr>
  </w:style>
  <w:style w:type="character" w:customStyle="1" w:styleId="383">
    <w:name w:val="正文首行缩进 Char"/>
    <w:autoRedefine/>
    <w:qFormat/>
    <w:uiPriority w:val="0"/>
    <w:rPr>
      <w:rFonts w:ascii="Times New Roman" w:hAnsi="Times New Roman" w:eastAsia="宋体" w:cs="Times New Roman"/>
      <w:sz w:val="24"/>
      <w:szCs w:val="24"/>
    </w:rPr>
  </w:style>
  <w:style w:type="character" w:customStyle="1" w:styleId="384">
    <w:name w:val="段落内容二级列表 Char"/>
    <w:link w:val="385"/>
    <w:autoRedefine/>
    <w:qFormat/>
    <w:uiPriority w:val="0"/>
    <w:rPr>
      <w:rFonts w:ascii="宋体" w:hAnsi="宋体"/>
      <w:sz w:val="24"/>
      <w:szCs w:val="24"/>
      <w:lang w:bidi="en-US"/>
    </w:rPr>
  </w:style>
  <w:style w:type="paragraph" w:customStyle="1" w:styleId="385">
    <w:name w:val="段落内容二级列表"/>
    <w:basedOn w:val="1"/>
    <w:link w:val="384"/>
    <w:autoRedefine/>
    <w:qFormat/>
    <w:uiPriority w:val="0"/>
    <w:pPr>
      <w:numPr>
        <w:ilvl w:val="7"/>
        <w:numId w:val="8"/>
      </w:numPr>
    </w:pPr>
    <w:rPr>
      <w:rFonts w:ascii="宋体" w:hAnsi="宋体"/>
      <w:kern w:val="0"/>
      <w:sz w:val="24"/>
      <w:lang w:bidi="en-US"/>
    </w:rPr>
  </w:style>
  <w:style w:type="character" w:customStyle="1" w:styleId="386">
    <w:name w:val="页眉 字符1"/>
    <w:autoRedefine/>
    <w:qFormat/>
    <w:uiPriority w:val="0"/>
    <w:rPr>
      <w:rFonts w:ascii="Calibri" w:hAnsi="Calibri" w:eastAsia="宋体" w:cs="Times New Roman"/>
      <w:sz w:val="18"/>
      <w:szCs w:val="18"/>
    </w:rPr>
  </w:style>
  <w:style w:type="character" w:customStyle="1" w:styleId="387">
    <w:name w:val="正文文本缩进 3 字符2"/>
    <w:autoRedefine/>
    <w:qFormat/>
    <w:uiPriority w:val="99"/>
    <w:rPr>
      <w:rFonts w:ascii="宋体" w:hAnsi="Times New Roman" w:eastAsia="宋体" w:cs="Times New Roman"/>
      <w:kern w:val="0"/>
      <w:sz w:val="24"/>
      <w:szCs w:val="20"/>
    </w:rPr>
  </w:style>
  <w:style w:type="character" w:customStyle="1" w:styleId="388">
    <w:name w:val="正文段落内容 Char"/>
    <w:link w:val="389"/>
    <w:autoRedefine/>
    <w:qFormat/>
    <w:uiPriority w:val="0"/>
    <w:rPr>
      <w:rFonts w:ascii="宋体" w:hAnsi="宋体"/>
      <w:sz w:val="24"/>
      <w:szCs w:val="24"/>
      <w:lang w:bidi="en-US"/>
    </w:rPr>
  </w:style>
  <w:style w:type="paragraph" w:customStyle="1" w:styleId="389">
    <w:name w:val="正文段落内容"/>
    <w:basedOn w:val="1"/>
    <w:link w:val="388"/>
    <w:autoRedefine/>
    <w:qFormat/>
    <w:uiPriority w:val="0"/>
    <w:pPr>
      <w:ind w:firstLine="425" w:firstLineChars="177"/>
    </w:pPr>
    <w:rPr>
      <w:rFonts w:ascii="宋体" w:hAnsi="宋体"/>
      <w:kern w:val="0"/>
      <w:sz w:val="24"/>
      <w:lang w:bidi="en-US"/>
    </w:rPr>
  </w:style>
  <w:style w:type="character" w:customStyle="1" w:styleId="390">
    <w:name w:val="标题 8 字符2"/>
    <w:autoRedefine/>
    <w:qFormat/>
    <w:uiPriority w:val="99"/>
    <w:rPr>
      <w:rFonts w:ascii="Arial" w:hAnsi="Arial" w:eastAsia="黑体" w:cs="Times New Roman"/>
      <w:sz w:val="24"/>
    </w:rPr>
  </w:style>
  <w:style w:type="character" w:customStyle="1" w:styleId="391">
    <w:name w:val="Char Char Char Char1"/>
    <w:autoRedefine/>
    <w:qFormat/>
    <w:uiPriority w:val="0"/>
    <w:rPr>
      <w:rFonts w:ascii="宋体" w:hAnsi="Calibri" w:eastAsia="宋体" w:cs="Times New Roman"/>
      <w:kern w:val="2"/>
      <w:sz w:val="24"/>
      <w:lang w:val="en-US" w:eastAsia="zh-CN"/>
    </w:rPr>
  </w:style>
  <w:style w:type="character" w:customStyle="1" w:styleId="392">
    <w:name w:val="msonormal"/>
    <w:autoRedefine/>
    <w:qFormat/>
    <w:uiPriority w:val="0"/>
    <w:rPr>
      <w:rFonts w:ascii="Tahoma" w:hAnsi="Tahoma" w:eastAsia="仿宋_GB2312" w:cs="Times New Roman"/>
      <w:kern w:val="2"/>
      <w:sz w:val="24"/>
      <w:lang w:val="en-US" w:eastAsia="ar-SA" w:bidi="ar-SA"/>
    </w:rPr>
  </w:style>
  <w:style w:type="character" w:customStyle="1" w:styleId="393">
    <w:name w:val="正文 xxha Char"/>
    <w:link w:val="394"/>
    <w:autoRedefine/>
    <w:qFormat/>
    <w:uiPriority w:val="0"/>
    <w:rPr>
      <w:kern w:val="2"/>
      <w:sz w:val="24"/>
      <w:szCs w:val="24"/>
    </w:rPr>
  </w:style>
  <w:style w:type="paragraph" w:customStyle="1" w:styleId="394">
    <w:name w:val="正文 xxha"/>
    <w:basedOn w:val="1"/>
    <w:link w:val="393"/>
    <w:autoRedefine/>
    <w:qFormat/>
    <w:uiPriority w:val="0"/>
    <w:pPr>
      <w:snapToGrid w:val="0"/>
      <w:spacing w:line="360" w:lineRule="auto"/>
      <w:ind w:firstLine="200" w:firstLineChars="200"/>
    </w:pPr>
    <w:rPr>
      <w:sz w:val="24"/>
    </w:rPr>
  </w:style>
  <w:style w:type="character" w:customStyle="1" w:styleId="395">
    <w:name w:val="正文文本 2 Char"/>
    <w:autoRedefine/>
    <w:qFormat/>
    <w:uiPriority w:val="99"/>
    <w:rPr>
      <w:rFonts w:ascii="Times New Roman" w:hAnsi="Times New Roman" w:eastAsia="黑体" w:cs="Times New Roman"/>
      <w:bCs/>
      <w:kern w:val="2"/>
      <w:sz w:val="72"/>
      <w:szCs w:val="24"/>
    </w:rPr>
  </w:style>
  <w:style w:type="character" w:customStyle="1" w:styleId="396">
    <w:name w:val="Para head"/>
    <w:autoRedefine/>
    <w:qFormat/>
    <w:uiPriority w:val="0"/>
    <w:rPr>
      <w:rFonts w:ascii="Arial" w:hAnsi="Arial" w:eastAsia="宋体" w:cs="Times New Roman"/>
      <w:sz w:val="20"/>
    </w:rPr>
  </w:style>
  <w:style w:type="character" w:customStyle="1" w:styleId="397">
    <w:name w:val="body1"/>
    <w:autoRedefine/>
    <w:qFormat/>
    <w:uiPriority w:val="0"/>
    <w:rPr>
      <w:rFonts w:ascii="Arial" w:hAnsi="Arial" w:eastAsia="宋体" w:cs="Times New Roman"/>
      <w:color w:val="000000"/>
      <w:sz w:val="20"/>
      <w:u w:val="none"/>
    </w:rPr>
  </w:style>
  <w:style w:type="character" w:customStyle="1" w:styleId="398">
    <w:name w:val="样式 楷体_GB2312"/>
    <w:autoRedefine/>
    <w:qFormat/>
    <w:uiPriority w:val="0"/>
    <w:rPr>
      <w:rFonts w:ascii="楷体_GB2312" w:hAnsi="楷体_GB2312" w:eastAsia="楷体_GB2312" w:cs="Times New Roman"/>
    </w:rPr>
  </w:style>
  <w:style w:type="character" w:customStyle="1" w:styleId="399">
    <w:name w:val="样式 标书正文 + 黑色 Char"/>
    <w:autoRedefine/>
    <w:qFormat/>
    <w:uiPriority w:val="0"/>
    <w:rPr>
      <w:rFonts w:ascii="Calibri" w:hAnsi="Calibri" w:eastAsia="Times New Roman" w:cs="Times New Roman"/>
      <w:color w:val="000000"/>
      <w:kern w:val="2"/>
      <w:sz w:val="28"/>
      <w:lang w:val="en-US" w:eastAsia="zh-CN"/>
    </w:rPr>
  </w:style>
  <w:style w:type="character" w:customStyle="1" w:styleId="400">
    <w:name w:val="MM Topic 1 Char Char"/>
    <w:link w:val="401"/>
    <w:autoRedefine/>
    <w:qFormat/>
    <w:uiPriority w:val="0"/>
    <w:rPr>
      <w:b/>
      <w:bCs/>
      <w:kern w:val="44"/>
      <w:sz w:val="36"/>
      <w:szCs w:val="44"/>
    </w:rPr>
  </w:style>
  <w:style w:type="paragraph" w:customStyle="1" w:styleId="401">
    <w:name w:val="MM Topic 1"/>
    <w:basedOn w:val="3"/>
    <w:link w:val="400"/>
    <w:autoRedefine/>
    <w:qFormat/>
    <w:uiPriority w:val="0"/>
    <w:pPr>
      <w:autoSpaceDE/>
      <w:autoSpaceDN/>
      <w:adjustRightInd/>
      <w:spacing w:before="100" w:beforeAutospacing="1" w:after="100" w:afterAutospacing="1" w:line="576" w:lineRule="auto"/>
      <w:jc w:val="both"/>
    </w:pPr>
    <w:rPr>
      <w:rFonts w:ascii="Times New Roman"/>
      <w:bCs/>
      <w:sz w:val="36"/>
      <w:szCs w:val="44"/>
    </w:rPr>
  </w:style>
  <w:style w:type="character" w:customStyle="1" w:styleId="402">
    <w:name w:val="content1"/>
    <w:autoRedefine/>
    <w:qFormat/>
    <w:uiPriority w:val="0"/>
    <w:rPr>
      <w:rFonts w:ascii="??" w:hAnsi="??" w:eastAsia="宋体" w:cs="Times New Roman"/>
      <w:color w:val="000000"/>
      <w:sz w:val="21"/>
    </w:rPr>
  </w:style>
  <w:style w:type="character" w:customStyle="1" w:styleId="403">
    <w:name w:val="图表编号及题目 Char"/>
    <w:link w:val="404"/>
    <w:autoRedefine/>
    <w:qFormat/>
    <w:uiPriority w:val="99"/>
    <w:rPr>
      <w:rFonts w:ascii="黑体" w:eastAsia="黑体"/>
      <w:b/>
      <w:bCs/>
      <w:sz w:val="21"/>
      <w:szCs w:val="21"/>
    </w:rPr>
  </w:style>
  <w:style w:type="paragraph" w:customStyle="1" w:styleId="404">
    <w:name w:val="图表编号及题目"/>
    <w:basedOn w:val="1"/>
    <w:link w:val="403"/>
    <w:autoRedefine/>
    <w:qFormat/>
    <w:uiPriority w:val="99"/>
    <w:pPr>
      <w:adjustRightInd w:val="0"/>
      <w:snapToGrid w:val="0"/>
      <w:spacing w:before="60" w:after="60" w:line="300" w:lineRule="auto"/>
      <w:ind w:firstLine="420"/>
      <w:jc w:val="center"/>
    </w:pPr>
    <w:rPr>
      <w:rFonts w:ascii="黑体" w:eastAsia="黑体"/>
      <w:b/>
      <w:bCs/>
      <w:kern w:val="0"/>
      <w:szCs w:val="21"/>
    </w:rPr>
  </w:style>
  <w:style w:type="character" w:customStyle="1" w:styleId="405">
    <w:name w:val="日期 字符2"/>
    <w:autoRedefine/>
    <w:qFormat/>
    <w:uiPriority w:val="99"/>
    <w:rPr>
      <w:rFonts w:ascii="仿宋_GB2312" w:hAnsi="宋体" w:eastAsia="仿宋_GB2312" w:cs="Times New Roman"/>
      <w:color w:val="000000"/>
      <w:sz w:val="24"/>
      <w:szCs w:val="24"/>
    </w:rPr>
  </w:style>
  <w:style w:type="character" w:customStyle="1" w:styleId="406">
    <w:name w:val="批注主题 字符2"/>
    <w:autoRedefine/>
    <w:qFormat/>
    <w:uiPriority w:val="99"/>
    <w:rPr>
      <w:rFonts w:ascii="Times New Roman" w:hAnsi="Times New Roman" w:eastAsia="宋体" w:cs="Times New Roman"/>
      <w:b/>
      <w:bCs/>
      <w:szCs w:val="24"/>
    </w:rPr>
  </w:style>
  <w:style w:type="character" w:customStyle="1" w:styleId="407">
    <w:name w:val="WW-Zeilennummer"/>
    <w:autoRedefine/>
    <w:qFormat/>
    <w:uiPriority w:val="0"/>
    <w:rPr>
      <w:rFonts w:ascii="Arial" w:hAnsi="Arial" w:eastAsia="宋体" w:cs="Times New Roman"/>
      <w:sz w:val="18"/>
    </w:rPr>
  </w:style>
  <w:style w:type="character" w:customStyle="1" w:styleId="408">
    <w:name w:val="标题 2 字符1"/>
    <w:autoRedefine/>
    <w:qFormat/>
    <w:uiPriority w:val="0"/>
    <w:rPr>
      <w:rFonts w:ascii="Arial" w:hAnsi="Arial" w:eastAsia="黑体" w:cs="Times New Roman"/>
      <w:b/>
      <w:kern w:val="0"/>
      <w:sz w:val="30"/>
      <w:szCs w:val="20"/>
    </w:rPr>
  </w:style>
  <w:style w:type="character" w:customStyle="1" w:styleId="409">
    <w:name w:val="题注 Char"/>
    <w:autoRedefine/>
    <w:qFormat/>
    <w:uiPriority w:val="0"/>
    <w:rPr>
      <w:rFonts w:ascii="Arial" w:hAnsi="Arial" w:eastAsia="黑体" w:cs="Arial"/>
      <w:kern w:val="2"/>
      <w:lang w:eastAsia="ar-SA"/>
    </w:rPr>
  </w:style>
  <w:style w:type="character" w:customStyle="1" w:styleId="410">
    <w:name w:val="GCY 正文 Char"/>
    <w:link w:val="411"/>
    <w:autoRedefine/>
    <w:qFormat/>
    <w:uiPriority w:val="0"/>
    <w:rPr>
      <w:kern w:val="2"/>
      <w:sz w:val="24"/>
      <w:szCs w:val="24"/>
    </w:rPr>
  </w:style>
  <w:style w:type="paragraph" w:customStyle="1" w:styleId="411">
    <w:name w:val="GCY 正文"/>
    <w:basedOn w:val="1"/>
    <w:next w:val="1"/>
    <w:link w:val="410"/>
    <w:autoRedefine/>
    <w:qFormat/>
    <w:uiPriority w:val="0"/>
    <w:pPr>
      <w:spacing w:beforeLines="20" w:line="360" w:lineRule="auto"/>
      <w:ind w:firstLine="200" w:firstLineChars="200"/>
    </w:pPr>
    <w:rPr>
      <w:sz w:val="24"/>
    </w:rPr>
  </w:style>
  <w:style w:type="character" w:customStyle="1" w:styleId="412">
    <w:name w:val="Char Char5"/>
    <w:autoRedefine/>
    <w:qFormat/>
    <w:uiPriority w:val="0"/>
    <w:rPr>
      <w:rFonts w:ascii="宋体" w:hAnsi="Calibri" w:eastAsia="宋体" w:cs="Times New Roman"/>
      <w:sz w:val="24"/>
      <w:szCs w:val="24"/>
      <w:lang w:val="en-US" w:eastAsia="zh-CN" w:bidi="ar-SA"/>
    </w:rPr>
  </w:style>
  <w:style w:type="character" w:customStyle="1" w:styleId="413">
    <w:name w:val="标题 1 字符1"/>
    <w:autoRedefine/>
    <w:qFormat/>
    <w:uiPriority w:val="0"/>
    <w:rPr>
      <w:rFonts w:ascii="宋体" w:hAnsi="Times New Roman" w:eastAsia="宋体" w:cs="Times New Roman"/>
      <w:b/>
      <w:kern w:val="44"/>
      <w:sz w:val="32"/>
      <w:szCs w:val="20"/>
    </w:rPr>
  </w:style>
  <w:style w:type="character" w:customStyle="1" w:styleId="414">
    <w:name w:val="标题 字符2"/>
    <w:autoRedefine/>
    <w:qFormat/>
    <w:uiPriority w:val="10"/>
    <w:rPr>
      <w:rFonts w:ascii="Cambria" w:hAnsi="Cambria" w:eastAsia="宋体" w:cs="Times New Roman"/>
      <w:b/>
      <w:bCs/>
      <w:sz w:val="32"/>
      <w:szCs w:val="32"/>
    </w:rPr>
  </w:style>
  <w:style w:type="character" w:customStyle="1" w:styleId="415">
    <w:name w:val="Date Char"/>
    <w:autoRedefine/>
    <w:qFormat/>
    <w:uiPriority w:val="0"/>
    <w:rPr>
      <w:rFonts w:ascii="Calibri" w:hAnsi="Calibri" w:eastAsia="宋体" w:cs="Times New Roman"/>
      <w:sz w:val="20"/>
      <w:szCs w:val="20"/>
    </w:rPr>
  </w:style>
  <w:style w:type="character" w:customStyle="1" w:styleId="416">
    <w:name w:val="h6 Char1"/>
    <w:autoRedefine/>
    <w:qFormat/>
    <w:uiPriority w:val="0"/>
    <w:rPr>
      <w:rFonts w:ascii="Cambria" w:hAnsi="Cambria" w:eastAsia="宋体" w:cs="Times New Roman"/>
      <w:b/>
      <w:bCs/>
      <w:kern w:val="2"/>
      <w:sz w:val="24"/>
      <w:szCs w:val="24"/>
      <w:lang w:val="en-US" w:eastAsia="zh-CN" w:bidi="ar-SA"/>
    </w:rPr>
  </w:style>
  <w:style w:type="character" w:customStyle="1" w:styleId="417">
    <w:name w:val="tpccontent"/>
    <w:autoRedefine/>
    <w:qFormat/>
    <w:uiPriority w:val="0"/>
    <w:rPr>
      <w:rFonts w:ascii="Calibri" w:hAnsi="Calibri" w:eastAsia="宋体" w:cs="Times New Roman"/>
    </w:rPr>
  </w:style>
  <w:style w:type="character" w:customStyle="1" w:styleId="418">
    <w:name w:val="标题 7 字符2"/>
    <w:autoRedefine/>
    <w:qFormat/>
    <w:uiPriority w:val="99"/>
    <w:rPr>
      <w:rFonts w:ascii="Times New Roman" w:hAnsi="Times New Roman" w:eastAsia="宋体" w:cs="Times New Roman"/>
      <w:b/>
      <w:bCs/>
      <w:sz w:val="24"/>
      <w:szCs w:val="24"/>
    </w:rPr>
  </w:style>
  <w:style w:type="character" w:customStyle="1" w:styleId="419">
    <w:name w:val="标题 4 字符2"/>
    <w:autoRedefine/>
    <w:qFormat/>
    <w:uiPriority w:val="99"/>
    <w:rPr>
      <w:rFonts w:ascii="Arial" w:hAnsi="Arial" w:eastAsia="黑体" w:cs="Times New Roman"/>
      <w:b/>
      <w:bCs/>
      <w:sz w:val="28"/>
      <w:szCs w:val="28"/>
    </w:rPr>
  </w:style>
  <w:style w:type="character" w:customStyle="1" w:styleId="420">
    <w:name w:val="批注框文本 字符2"/>
    <w:autoRedefine/>
    <w:qFormat/>
    <w:uiPriority w:val="99"/>
    <w:rPr>
      <w:rFonts w:ascii="Times New Roman" w:hAnsi="Times New Roman" w:eastAsia="宋体" w:cs="Times New Roman"/>
      <w:sz w:val="18"/>
      <w:szCs w:val="18"/>
    </w:rPr>
  </w:style>
  <w:style w:type="character" w:customStyle="1" w:styleId="421">
    <w:name w:val="段落内容三级列表 Char"/>
    <w:link w:val="422"/>
    <w:autoRedefine/>
    <w:qFormat/>
    <w:uiPriority w:val="0"/>
    <w:rPr>
      <w:rFonts w:ascii="宋体" w:hAnsi="宋体"/>
      <w:sz w:val="24"/>
      <w:szCs w:val="24"/>
      <w:lang w:bidi="en-US"/>
    </w:rPr>
  </w:style>
  <w:style w:type="paragraph" w:customStyle="1" w:styleId="422">
    <w:name w:val="段落内容三级列表"/>
    <w:link w:val="421"/>
    <w:autoRedefine/>
    <w:qFormat/>
    <w:uiPriority w:val="0"/>
    <w:pPr>
      <w:spacing w:line="360" w:lineRule="auto"/>
    </w:pPr>
    <w:rPr>
      <w:rFonts w:ascii="宋体" w:hAnsi="宋体" w:eastAsia="宋体" w:cs="Times New Roman"/>
      <w:sz w:val="24"/>
      <w:szCs w:val="24"/>
      <w:lang w:val="en-US" w:eastAsia="zh-CN" w:bidi="en-US"/>
    </w:rPr>
  </w:style>
  <w:style w:type="character" w:customStyle="1" w:styleId="423">
    <w:name w:val="投标书正文 Char"/>
    <w:link w:val="424"/>
    <w:autoRedefine/>
    <w:qFormat/>
    <w:uiPriority w:val="0"/>
    <w:rPr>
      <w:sz w:val="24"/>
      <w:szCs w:val="24"/>
    </w:rPr>
  </w:style>
  <w:style w:type="paragraph" w:customStyle="1" w:styleId="424">
    <w:name w:val="投标书正文"/>
    <w:link w:val="423"/>
    <w:autoRedefine/>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425">
    <w:name w:val="段落内容无序列表 Char"/>
    <w:link w:val="426"/>
    <w:autoRedefine/>
    <w:qFormat/>
    <w:uiPriority w:val="0"/>
    <w:rPr>
      <w:rFonts w:ascii="宋体" w:hAnsi="宋体"/>
      <w:sz w:val="24"/>
      <w:szCs w:val="24"/>
      <w:lang w:bidi="en-US"/>
    </w:rPr>
  </w:style>
  <w:style w:type="paragraph" w:customStyle="1" w:styleId="426">
    <w:name w:val="段落内容无序列表"/>
    <w:basedOn w:val="1"/>
    <w:link w:val="425"/>
    <w:autoRedefine/>
    <w:qFormat/>
    <w:uiPriority w:val="0"/>
    <w:pPr>
      <w:widowControl/>
      <w:numPr>
        <w:ilvl w:val="0"/>
        <w:numId w:val="9"/>
      </w:numPr>
      <w:wordWrap w:val="0"/>
      <w:ind w:firstLine="177" w:firstLineChars="177"/>
    </w:pPr>
    <w:rPr>
      <w:rFonts w:ascii="宋体" w:hAnsi="宋体"/>
      <w:kern w:val="0"/>
      <w:sz w:val="24"/>
      <w:lang w:bidi="en-US"/>
    </w:rPr>
  </w:style>
  <w:style w:type="character" w:customStyle="1" w:styleId="427">
    <w:name w:val="Char Char"/>
    <w:autoRedefine/>
    <w:qFormat/>
    <w:uiPriority w:val="0"/>
    <w:rPr>
      <w:rFonts w:ascii="宋体" w:hAnsi="Calibri" w:eastAsia="宋体" w:cs="Times New Roman"/>
      <w:sz w:val="24"/>
      <w:lang w:val="en-US" w:eastAsia="zh-CN"/>
    </w:rPr>
  </w:style>
  <w:style w:type="character" w:customStyle="1" w:styleId="428">
    <w:name w:val="Char Char7"/>
    <w:autoRedefine/>
    <w:qFormat/>
    <w:uiPriority w:val="0"/>
    <w:rPr>
      <w:rFonts w:ascii="宋体" w:hAnsi="宋体" w:eastAsia="宋体" w:cs="Times New Roman"/>
      <w:b/>
      <w:sz w:val="24"/>
      <w:szCs w:val="24"/>
      <w:lang w:val="en-US" w:eastAsia="zh-CN" w:bidi="ar-SA"/>
    </w:rPr>
  </w:style>
  <w:style w:type="character" w:customStyle="1" w:styleId="429">
    <w:name w:val="正文文本 字符1"/>
    <w:autoRedefine/>
    <w:qFormat/>
    <w:uiPriority w:val="0"/>
    <w:rPr>
      <w:rFonts w:ascii="宋体" w:hAnsi="宋体" w:eastAsia="宋体" w:cs="Times New Roman"/>
      <w:sz w:val="24"/>
      <w:szCs w:val="24"/>
    </w:rPr>
  </w:style>
  <w:style w:type="character" w:customStyle="1" w:styleId="430">
    <w:name w:val="页脚 字符1"/>
    <w:autoRedefine/>
    <w:qFormat/>
    <w:uiPriority w:val="0"/>
    <w:rPr>
      <w:rFonts w:ascii="Calibri" w:hAnsi="Calibri" w:eastAsia="宋体" w:cs="Times New Roman"/>
      <w:sz w:val="18"/>
      <w:szCs w:val="18"/>
    </w:rPr>
  </w:style>
  <w:style w:type="character" w:customStyle="1" w:styleId="431">
    <w:name w:val="Char Char12"/>
    <w:autoRedefine/>
    <w:qFormat/>
    <w:uiPriority w:val="99"/>
    <w:rPr>
      <w:rFonts w:eastAsia="宋体"/>
      <w:kern w:val="2"/>
      <w:sz w:val="24"/>
      <w:lang w:val="en-US" w:eastAsia="zh-CN"/>
    </w:rPr>
  </w:style>
  <w:style w:type="character" w:customStyle="1" w:styleId="432">
    <w:name w:val="middle1"/>
    <w:autoRedefine/>
    <w:qFormat/>
    <w:uiPriority w:val="0"/>
    <w:rPr>
      <w:rFonts w:ascii="Calibri" w:hAnsi="Calibri" w:eastAsia="宋体" w:cs="Times New Roman"/>
      <w:sz w:val="21"/>
    </w:rPr>
  </w:style>
  <w:style w:type="character" w:customStyle="1" w:styleId="433">
    <w:name w:val="style11"/>
    <w:autoRedefine/>
    <w:qFormat/>
    <w:uiPriority w:val="0"/>
    <w:rPr>
      <w:color w:val="000000"/>
      <w:sz w:val="18"/>
      <w:szCs w:val="18"/>
    </w:rPr>
  </w:style>
  <w:style w:type="character" w:customStyle="1" w:styleId="434">
    <w:name w:val="正文文本缩进 2 Char1"/>
    <w:autoRedefine/>
    <w:qFormat/>
    <w:uiPriority w:val="0"/>
    <w:rPr>
      <w:rFonts w:ascii="Times New Roman" w:hAnsi="Times New Roman" w:eastAsia="宋体" w:cs="Times New Roman"/>
      <w:kern w:val="2"/>
      <w:sz w:val="21"/>
      <w:szCs w:val="24"/>
    </w:rPr>
  </w:style>
  <w:style w:type="character" w:customStyle="1" w:styleId="435">
    <w:name w:val="Char Char2"/>
    <w:autoRedefine/>
    <w:qFormat/>
    <w:uiPriority w:val="0"/>
    <w:rPr>
      <w:rFonts w:ascii="Arial" w:hAnsi="Arial" w:eastAsia="黑体" w:cs="Times New Roman"/>
      <w:b/>
      <w:bCs/>
      <w:kern w:val="2"/>
      <w:sz w:val="32"/>
      <w:szCs w:val="32"/>
      <w:lang w:val="en-US" w:eastAsia="zh-CN" w:bidi="ar-SA"/>
    </w:rPr>
  </w:style>
  <w:style w:type="character" w:customStyle="1" w:styleId="436">
    <w:name w:val="text11px1"/>
    <w:autoRedefine/>
    <w:qFormat/>
    <w:uiPriority w:val="0"/>
    <w:rPr>
      <w:rFonts w:hint="default" w:ascii="Arial" w:hAnsi="Arial" w:eastAsia="宋体" w:cs="Arial"/>
      <w:color w:val="000000"/>
      <w:sz w:val="17"/>
      <w:szCs w:val="17"/>
    </w:rPr>
  </w:style>
  <w:style w:type="character" w:customStyle="1" w:styleId="437">
    <w:name w:val="text11pxbold1"/>
    <w:autoRedefine/>
    <w:qFormat/>
    <w:uiPriority w:val="0"/>
    <w:rPr>
      <w:rFonts w:hint="default" w:ascii="Arial" w:hAnsi="Arial" w:eastAsia="宋体" w:cs="Arial"/>
      <w:b/>
      <w:bCs/>
      <w:color w:val="000000"/>
      <w:sz w:val="17"/>
      <w:szCs w:val="17"/>
    </w:rPr>
  </w:style>
  <w:style w:type="character" w:customStyle="1" w:styleId="438">
    <w:name w:val="grame"/>
    <w:autoRedefine/>
    <w:qFormat/>
    <w:uiPriority w:val="0"/>
    <w:rPr>
      <w:rFonts w:ascii="Calibri" w:hAnsi="Calibri" w:eastAsia="宋体" w:cs="Times New Roman"/>
    </w:rPr>
  </w:style>
  <w:style w:type="character" w:customStyle="1" w:styleId="439">
    <w:name w:val="表格 Char"/>
    <w:link w:val="440"/>
    <w:autoRedefine/>
    <w:qFormat/>
    <w:uiPriority w:val="0"/>
    <w:rPr>
      <w:rFonts w:ascii="华文细黑" w:hAnsi="华文细黑"/>
      <w:sz w:val="21"/>
    </w:rPr>
  </w:style>
  <w:style w:type="paragraph" w:customStyle="1" w:styleId="440">
    <w:name w:val="表格"/>
    <w:basedOn w:val="1"/>
    <w:link w:val="439"/>
    <w:autoRedefine/>
    <w:qFormat/>
    <w:uiPriority w:val="0"/>
    <w:pPr>
      <w:jc w:val="center"/>
      <w:textAlignment w:val="center"/>
    </w:pPr>
    <w:rPr>
      <w:rFonts w:ascii="华文细黑" w:hAnsi="华文细黑"/>
      <w:kern w:val="0"/>
      <w:szCs w:val="20"/>
    </w:rPr>
  </w:style>
  <w:style w:type="character" w:customStyle="1" w:styleId="441">
    <w:name w:val="MM Topic 3 Char"/>
    <w:link w:val="442"/>
    <w:autoRedefine/>
    <w:qFormat/>
    <w:uiPriority w:val="0"/>
    <w:rPr>
      <w:b/>
      <w:bCs/>
      <w:sz w:val="32"/>
      <w:szCs w:val="32"/>
    </w:rPr>
  </w:style>
  <w:style w:type="paragraph" w:customStyle="1" w:styleId="442">
    <w:name w:val="MM Topic 3"/>
    <w:basedOn w:val="5"/>
    <w:link w:val="441"/>
    <w:autoRedefine/>
    <w:qFormat/>
    <w:uiPriority w:val="0"/>
    <w:pPr>
      <w:widowControl/>
      <w:numPr>
        <w:ilvl w:val="2"/>
        <w:numId w:val="10"/>
      </w:numPr>
      <w:autoSpaceDE/>
      <w:autoSpaceDN/>
      <w:adjustRightInd/>
      <w:spacing w:before="260" w:after="260" w:line="416" w:lineRule="auto"/>
      <w:jc w:val="both"/>
    </w:pPr>
    <w:rPr>
      <w:rFonts w:ascii="Times New Roman"/>
      <w:bCs/>
      <w:sz w:val="32"/>
      <w:szCs w:val="32"/>
      <w:u w:val="none"/>
    </w:rPr>
  </w:style>
  <w:style w:type="character" w:customStyle="1" w:styleId="443">
    <w:name w:val="标题 6 字符2"/>
    <w:autoRedefine/>
    <w:qFormat/>
    <w:uiPriority w:val="99"/>
    <w:rPr>
      <w:rFonts w:ascii="Arial" w:hAnsi="Arial" w:eastAsia="黑体" w:cs="Times New Roman"/>
      <w:b/>
      <w:bCs/>
      <w:sz w:val="24"/>
      <w:szCs w:val="24"/>
    </w:rPr>
  </w:style>
  <w:style w:type="character" w:customStyle="1" w:styleId="444">
    <w:name w:val="标题 9 字符2"/>
    <w:autoRedefine/>
    <w:qFormat/>
    <w:uiPriority w:val="0"/>
    <w:rPr>
      <w:rFonts w:ascii="Arial" w:hAnsi="Arial" w:eastAsia="黑体" w:cs="Times New Roman"/>
      <w:sz w:val="21"/>
    </w:rPr>
  </w:style>
  <w:style w:type="character" w:customStyle="1" w:styleId="445">
    <w:name w:val="脚注文本 Char"/>
    <w:autoRedefine/>
    <w:qFormat/>
    <w:uiPriority w:val="0"/>
    <w:rPr>
      <w:rFonts w:ascii="Times New Roman" w:hAnsi="Times New Roman" w:eastAsia="宋体" w:cs="Times New Roman"/>
      <w:sz w:val="18"/>
      <w:szCs w:val="18"/>
    </w:rPr>
  </w:style>
  <w:style w:type="character" w:customStyle="1" w:styleId="446">
    <w:name w:val="页脚-有边框 Char Char1"/>
    <w:autoRedefine/>
    <w:qFormat/>
    <w:uiPriority w:val="0"/>
    <w:rPr>
      <w:rFonts w:ascii="Calibri" w:hAnsi="Calibri" w:eastAsia="宋体" w:cs="Times New Roman"/>
      <w:kern w:val="2"/>
      <w:sz w:val="18"/>
      <w:szCs w:val="18"/>
      <w:lang w:val="en-US" w:eastAsia="zh-CN" w:bidi="ar-SA"/>
    </w:rPr>
  </w:style>
  <w:style w:type="character" w:customStyle="1" w:styleId="447">
    <w:name w:val="样式 宋体 四号"/>
    <w:autoRedefine/>
    <w:qFormat/>
    <w:uiPriority w:val="0"/>
    <w:rPr>
      <w:rFonts w:ascii="宋体" w:hAnsi="宋体" w:eastAsia="仿宋_GB2312" w:cs="Times New Roman"/>
      <w:sz w:val="28"/>
    </w:rPr>
  </w:style>
  <w:style w:type="character" w:customStyle="1" w:styleId="448">
    <w:name w:val="pd011"/>
    <w:autoRedefine/>
    <w:qFormat/>
    <w:uiPriority w:val="0"/>
    <w:rPr>
      <w:rFonts w:hint="default" w:ascii="Arial" w:hAnsi="Arial" w:eastAsia="宋体" w:cs="Arial"/>
      <w:sz w:val="18"/>
      <w:szCs w:val="18"/>
    </w:rPr>
  </w:style>
  <w:style w:type="character" w:customStyle="1" w:styleId="449">
    <w:name w:val="书籍标题1"/>
    <w:autoRedefine/>
    <w:qFormat/>
    <w:uiPriority w:val="33"/>
    <w:rPr>
      <w:rFonts w:ascii="Calibri" w:hAnsi="Calibri" w:eastAsia="宋体" w:cs="Times New Roman"/>
      <w:b/>
      <w:bCs/>
      <w:smallCaps/>
      <w:spacing w:val="5"/>
    </w:rPr>
  </w:style>
  <w:style w:type="character" w:customStyle="1" w:styleId="450">
    <w:name w:val="样式 标书正文 + 下划线 Char"/>
    <w:autoRedefine/>
    <w:qFormat/>
    <w:uiPriority w:val="0"/>
    <w:rPr>
      <w:rFonts w:ascii="Calibri" w:hAnsi="Calibri" w:eastAsia="Times New Roman" w:cs="Times New Roman"/>
      <w:kern w:val="2"/>
      <w:sz w:val="28"/>
      <w:u w:val="single"/>
      <w:lang w:val="en-US" w:eastAsia="zh-CN"/>
    </w:rPr>
  </w:style>
  <w:style w:type="character" w:customStyle="1" w:styleId="451">
    <w:name w:val="Char Char Char Char Char1"/>
    <w:autoRedefine/>
    <w:qFormat/>
    <w:uiPriority w:val="0"/>
    <w:rPr>
      <w:rFonts w:ascii="宋体" w:hAnsi="Calibri" w:eastAsia="宋体" w:cs="Times New Roman"/>
      <w:kern w:val="2"/>
      <w:sz w:val="24"/>
      <w:lang w:val="en-US" w:eastAsia="zh-CN"/>
    </w:rPr>
  </w:style>
  <w:style w:type="character" w:customStyle="1" w:styleId="452">
    <w:name w:val="my正文 Char"/>
    <w:link w:val="453"/>
    <w:autoRedefine/>
    <w:qFormat/>
    <w:uiPriority w:val="0"/>
    <w:rPr>
      <w:kern w:val="2"/>
      <w:sz w:val="24"/>
      <w:szCs w:val="24"/>
    </w:rPr>
  </w:style>
  <w:style w:type="paragraph" w:customStyle="1" w:styleId="453">
    <w:name w:val="my正文"/>
    <w:basedOn w:val="1"/>
    <w:link w:val="452"/>
    <w:autoRedefine/>
    <w:qFormat/>
    <w:uiPriority w:val="0"/>
    <w:pPr>
      <w:spacing w:line="360" w:lineRule="auto"/>
      <w:ind w:firstLine="480" w:firstLineChars="200"/>
    </w:pPr>
    <w:rPr>
      <w:sz w:val="24"/>
    </w:rPr>
  </w:style>
  <w:style w:type="character" w:customStyle="1" w:styleId="454">
    <w:name w:val="GP正文(首行缩进) Char"/>
    <w:link w:val="455"/>
    <w:autoRedefine/>
    <w:qFormat/>
    <w:uiPriority w:val="0"/>
    <w:rPr>
      <w:rFonts w:ascii="宋体" w:hAnsi="宋体"/>
      <w:sz w:val="24"/>
      <w:szCs w:val="24"/>
    </w:rPr>
  </w:style>
  <w:style w:type="paragraph" w:customStyle="1" w:styleId="455">
    <w:name w:val="GP正文(首行缩进)"/>
    <w:basedOn w:val="1"/>
    <w:link w:val="454"/>
    <w:autoRedefine/>
    <w:qFormat/>
    <w:uiPriority w:val="0"/>
    <w:pPr>
      <w:ind w:firstLine="482"/>
    </w:pPr>
    <w:rPr>
      <w:rFonts w:ascii="宋体" w:hAnsi="宋体"/>
      <w:kern w:val="0"/>
      <w:sz w:val="24"/>
    </w:rPr>
  </w:style>
  <w:style w:type="character" w:customStyle="1" w:styleId="456">
    <w:name w:val="标书突出内容（文字加粗） Char"/>
    <w:link w:val="457"/>
    <w:autoRedefine/>
    <w:qFormat/>
    <w:uiPriority w:val="1"/>
    <w:rPr>
      <w:rFonts w:ascii="宋体" w:hAnsi="宋体"/>
      <w:b/>
      <w:sz w:val="24"/>
      <w:szCs w:val="24"/>
      <w:lang w:bidi="en-US"/>
    </w:rPr>
  </w:style>
  <w:style w:type="paragraph" w:customStyle="1" w:styleId="457">
    <w:name w:val="标书突出内容（文字加粗）"/>
    <w:basedOn w:val="389"/>
    <w:next w:val="389"/>
    <w:link w:val="456"/>
    <w:autoRedefine/>
    <w:qFormat/>
    <w:uiPriority w:val="1"/>
    <w:rPr>
      <w:b/>
    </w:rPr>
  </w:style>
  <w:style w:type="character" w:customStyle="1" w:styleId="458">
    <w:name w:val="正文文本 3 字符2"/>
    <w:autoRedefine/>
    <w:qFormat/>
    <w:uiPriority w:val="99"/>
    <w:rPr>
      <w:rFonts w:ascii="宋体" w:hAnsi="宋体" w:eastAsia="宋体" w:cs="Times New Roman"/>
      <w:b/>
      <w:sz w:val="24"/>
      <w:szCs w:val="24"/>
    </w:rPr>
  </w:style>
  <w:style w:type="character" w:customStyle="1" w:styleId="459">
    <w:name w:val="样式 粉红"/>
    <w:autoRedefine/>
    <w:qFormat/>
    <w:uiPriority w:val="0"/>
    <w:rPr>
      <w:rFonts w:ascii="Calibri" w:hAnsi="Calibri" w:eastAsia="宋体" w:cs="Times New Roman"/>
      <w:color w:val="auto"/>
      <w:u w:val="none"/>
    </w:rPr>
  </w:style>
  <w:style w:type="character" w:customStyle="1" w:styleId="460">
    <w:name w:val="WW-默认段落字体"/>
    <w:autoRedefine/>
    <w:qFormat/>
    <w:uiPriority w:val="0"/>
    <w:rPr>
      <w:rFonts w:ascii="Calibri" w:hAnsi="Calibri" w:eastAsia="宋体" w:cs="Times New Roman"/>
    </w:rPr>
  </w:style>
  <w:style w:type="character" w:customStyle="1" w:styleId="461">
    <w:name w:val="样式 (西文) 仿宋_GB2312 (中文) 仿宋_GB2312 三号"/>
    <w:autoRedefine/>
    <w:qFormat/>
    <w:uiPriority w:val="0"/>
    <w:rPr>
      <w:rFonts w:ascii="仿宋_GB2312" w:hAnsi="仿宋_GB2312" w:eastAsia="仿宋_GB2312" w:cs="Times New Roman"/>
      <w:sz w:val="24"/>
    </w:rPr>
  </w:style>
  <w:style w:type="character" w:customStyle="1" w:styleId="462">
    <w:name w:val="标题正文 Char"/>
    <w:link w:val="463"/>
    <w:autoRedefine/>
    <w:qFormat/>
    <w:uiPriority w:val="0"/>
    <w:rPr>
      <w:rFonts w:ascii="宋体" w:hAnsi="宋体"/>
      <w:spacing w:val="12"/>
      <w:kern w:val="2"/>
      <w:sz w:val="28"/>
      <w:szCs w:val="24"/>
    </w:rPr>
  </w:style>
  <w:style w:type="paragraph" w:customStyle="1" w:styleId="463">
    <w:name w:val="标题正文"/>
    <w:basedOn w:val="1"/>
    <w:link w:val="462"/>
    <w:autoRedefine/>
    <w:qFormat/>
    <w:uiPriority w:val="0"/>
    <w:pPr>
      <w:adjustRightInd w:val="0"/>
      <w:snapToGrid w:val="0"/>
      <w:spacing w:line="360" w:lineRule="auto"/>
      <w:ind w:firstLine="200" w:firstLineChars="200"/>
    </w:pPr>
    <w:rPr>
      <w:rFonts w:ascii="宋体" w:hAnsi="宋体"/>
      <w:spacing w:val="12"/>
      <w:sz w:val="28"/>
    </w:rPr>
  </w:style>
  <w:style w:type="character" w:customStyle="1" w:styleId="464">
    <w:name w:val="正文文本缩进 字符2"/>
    <w:autoRedefine/>
    <w:qFormat/>
    <w:uiPriority w:val="99"/>
    <w:rPr>
      <w:rFonts w:ascii="Times New Roman" w:hAnsi="Times New Roman" w:eastAsia="宋体" w:cs="Times New Roman"/>
      <w:sz w:val="24"/>
      <w:szCs w:val="24"/>
    </w:rPr>
  </w:style>
  <w:style w:type="character" w:customStyle="1" w:styleId="465">
    <w:name w:val="Char Char6"/>
    <w:autoRedefine/>
    <w:qFormat/>
    <w:uiPriority w:val="0"/>
    <w:rPr>
      <w:rFonts w:ascii="Calibri" w:hAnsi="Calibri" w:eastAsia="宋体" w:cs="Times New Roman"/>
      <w:kern w:val="2"/>
      <w:sz w:val="21"/>
      <w:szCs w:val="24"/>
      <w:lang w:val="en-US" w:eastAsia="zh-CN" w:bidi="ar-SA"/>
    </w:rPr>
  </w:style>
  <w:style w:type="character" w:customStyle="1" w:styleId="466">
    <w:name w:val="图片（居中） Char"/>
    <w:link w:val="467"/>
    <w:autoRedefine/>
    <w:qFormat/>
    <w:uiPriority w:val="0"/>
    <w:rPr>
      <w:rFonts w:ascii="宋体" w:hAnsi="宋体"/>
      <w:sz w:val="24"/>
      <w:szCs w:val="24"/>
      <w:lang w:bidi="en-US"/>
    </w:rPr>
  </w:style>
  <w:style w:type="paragraph" w:customStyle="1" w:styleId="467">
    <w:name w:val="图片（居中）"/>
    <w:basedOn w:val="1"/>
    <w:next w:val="389"/>
    <w:link w:val="466"/>
    <w:autoRedefine/>
    <w:qFormat/>
    <w:uiPriority w:val="0"/>
    <w:pPr>
      <w:jc w:val="center"/>
    </w:pPr>
    <w:rPr>
      <w:rFonts w:ascii="宋体" w:hAnsi="宋体"/>
      <w:kern w:val="0"/>
      <w:sz w:val="24"/>
      <w:lang w:bidi="en-US"/>
    </w:rPr>
  </w:style>
  <w:style w:type="character" w:customStyle="1" w:styleId="468">
    <w:name w:val="文档结构图 字符2"/>
    <w:autoRedefine/>
    <w:qFormat/>
    <w:uiPriority w:val="99"/>
    <w:rPr>
      <w:rFonts w:ascii="Times New Roman" w:hAnsi="Times New Roman" w:eastAsia="宋体" w:cs="Times New Roman"/>
      <w:szCs w:val="24"/>
      <w:shd w:val="clear" w:color="auto" w:fill="000080"/>
    </w:rPr>
  </w:style>
  <w:style w:type="character" w:customStyle="1" w:styleId="469">
    <w:name w:val="标题 3 字符1"/>
    <w:autoRedefine/>
    <w:qFormat/>
    <w:uiPriority w:val="0"/>
    <w:rPr>
      <w:rFonts w:ascii="宋体" w:hAnsi="Times New Roman" w:eastAsia="宋体" w:cs="Times New Roman"/>
      <w:b/>
      <w:kern w:val="0"/>
      <w:sz w:val="24"/>
      <w:szCs w:val="20"/>
      <w:u w:val="single"/>
    </w:rPr>
  </w:style>
  <w:style w:type="character" w:customStyle="1" w:styleId="470">
    <w:name w:val="headline-content2"/>
    <w:autoRedefine/>
    <w:qFormat/>
    <w:uiPriority w:val="0"/>
    <w:rPr>
      <w:rFonts w:ascii="Calibri" w:hAnsi="Calibri" w:eastAsia="宋体" w:cs="Times New Roman"/>
    </w:rPr>
  </w:style>
  <w:style w:type="character" w:customStyle="1" w:styleId="471">
    <w:name w:val="Char Char Char Char Char2"/>
    <w:autoRedefine/>
    <w:qFormat/>
    <w:uiPriority w:val="0"/>
    <w:rPr>
      <w:rFonts w:ascii="宋体" w:hAnsi="Calibri" w:eastAsia="宋体" w:cs="Times New Roman"/>
      <w:sz w:val="24"/>
      <w:lang w:val="en-US" w:eastAsia="zh-CN"/>
    </w:rPr>
  </w:style>
  <w:style w:type="character" w:customStyle="1" w:styleId="472">
    <w:name w:val="MM Topic 3 Char Char"/>
    <w:autoRedefine/>
    <w:qFormat/>
    <w:uiPriority w:val="0"/>
    <w:rPr>
      <w:rFonts w:ascii="Calibri" w:hAnsi="Calibri" w:eastAsia="宋体" w:cs="Times New Roman"/>
      <w:b/>
      <w:bCs/>
      <w:sz w:val="30"/>
      <w:szCs w:val="32"/>
    </w:rPr>
  </w:style>
  <w:style w:type="character" w:customStyle="1" w:styleId="473">
    <w:name w:val="BISM正文 Char Char"/>
    <w:link w:val="474"/>
    <w:autoRedefine/>
    <w:qFormat/>
    <w:uiPriority w:val="0"/>
    <w:rPr>
      <w:rFonts w:ascii="宋体" w:hAnsi="宋体"/>
      <w:kern w:val="2"/>
      <w:sz w:val="24"/>
      <w:szCs w:val="24"/>
    </w:rPr>
  </w:style>
  <w:style w:type="paragraph" w:customStyle="1" w:styleId="474">
    <w:name w:val="BISM正文"/>
    <w:basedOn w:val="1"/>
    <w:link w:val="473"/>
    <w:autoRedefine/>
    <w:qFormat/>
    <w:uiPriority w:val="0"/>
    <w:pPr>
      <w:spacing w:line="360" w:lineRule="auto"/>
      <w:ind w:firstLine="200" w:firstLineChars="200"/>
    </w:pPr>
    <w:rPr>
      <w:rFonts w:ascii="宋体" w:hAnsi="宋体"/>
      <w:sz w:val="24"/>
    </w:rPr>
  </w:style>
  <w:style w:type="character" w:customStyle="1" w:styleId="475">
    <w:name w:val="xh"/>
    <w:autoRedefine/>
    <w:qFormat/>
    <w:uiPriority w:val="0"/>
    <w:rPr>
      <w:rFonts w:ascii="Calibri" w:hAnsi="Calibri" w:eastAsia="宋体" w:cs="Times New Roman"/>
    </w:rPr>
  </w:style>
  <w:style w:type="character" w:customStyle="1" w:styleId="476">
    <w:name w:val="font161"/>
    <w:autoRedefine/>
    <w:qFormat/>
    <w:uiPriority w:val="0"/>
    <w:rPr>
      <w:rFonts w:ascii="Calibri" w:hAnsi="Calibri" w:eastAsia="宋体" w:cs="Times New Roman"/>
      <w:b/>
      <w:bCs/>
      <w:sz w:val="32"/>
      <w:szCs w:val="32"/>
    </w:rPr>
  </w:style>
  <w:style w:type="character" w:customStyle="1" w:styleId="477">
    <w:name w:val="日期 Char1"/>
    <w:autoRedefine/>
    <w:qFormat/>
    <w:uiPriority w:val="0"/>
    <w:rPr>
      <w:rFonts w:ascii="Times New Roman" w:hAnsi="Times New Roman" w:eastAsia="宋体" w:cs="Times New Roman"/>
      <w:sz w:val="20"/>
      <w:szCs w:val="20"/>
    </w:rPr>
  </w:style>
  <w:style w:type="character" w:customStyle="1" w:styleId="478">
    <w:name w:val="MM Topic 2 Char Char"/>
    <w:autoRedefine/>
    <w:qFormat/>
    <w:uiPriority w:val="0"/>
    <w:rPr>
      <w:rFonts w:ascii="Cambria" w:hAnsi="Cambria" w:eastAsia="宋体" w:cs="黑体"/>
      <w:b/>
      <w:bCs/>
      <w:sz w:val="32"/>
      <w:szCs w:val="32"/>
    </w:rPr>
  </w:style>
  <w:style w:type="character" w:customStyle="1" w:styleId="479">
    <w:name w:val="Char Char31"/>
    <w:autoRedefine/>
    <w:qFormat/>
    <w:uiPriority w:val="0"/>
    <w:rPr>
      <w:rFonts w:ascii="宋体" w:hAnsi="Calibri" w:eastAsia="宋体" w:cs="Times New Roman"/>
      <w:b/>
      <w:bCs/>
      <w:sz w:val="24"/>
      <w:szCs w:val="24"/>
      <w:lang w:val="en-US" w:eastAsia="zh-CN" w:bidi="ar-SA"/>
    </w:rPr>
  </w:style>
  <w:style w:type="character" w:customStyle="1" w:styleId="480">
    <w:name w:val="合同标题 Char Char"/>
    <w:autoRedefine/>
    <w:qFormat/>
    <w:uiPriority w:val="0"/>
    <w:rPr>
      <w:rFonts w:ascii="黑体" w:hAnsi="Calibri" w:eastAsia="黑体" w:cs="Times New Roman"/>
      <w:b/>
      <w:sz w:val="21"/>
      <w:szCs w:val="24"/>
      <w:lang w:val="en-US" w:eastAsia="zh-CN" w:bidi="ar-SA"/>
    </w:rPr>
  </w:style>
  <w:style w:type="character" w:customStyle="1" w:styleId="481">
    <w:name w:val="正文缩进 字符1"/>
    <w:autoRedefine/>
    <w:qFormat/>
    <w:uiPriority w:val="0"/>
    <w:rPr>
      <w:rFonts w:ascii="宋体" w:hAnsi="Times New Roman" w:eastAsia="宋体" w:cs="Times New Roman"/>
      <w:kern w:val="0"/>
      <w:sz w:val="24"/>
      <w:szCs w:val="20"/>
    </w:rPr>
  </w:style>
  <w:style w:type="character" w:customStyle="1" w:styleId="482">
    <w:name w:val="标题 5 字符2"/>
    <w:autoRedefine/>
    <w:qFormat/>
    <w:uiPriority w:val="99"/>
    <w:rPr>
      <w:b/>
      <w:bCs/>
      <w:sz w:val="28"/>
      <w:szCs w:val="28"/>
      <w:lang w:eastAsia="ar-SA"/>
    </w:rPr>
  </w:style>
  <w:style w:type="character" w:customStyle="1" w:styleId="483">
    <w:name w:val="z21"/>
    <w:autoRedefine/>
    <w:qFormat/>
    <w:uiPriority w:val="0"/>
    <w:rPr>
      <w:rFonts w:ascii="Calibri" w:hAnsi="Calibri" w:eastAsia="宋体" w:cs="Times New Roman"/>
      <w:color w:val="666666"/>
      <w:sz w:val="24"/>
      <w:szCs w:val="24"/>
    </w:rPr>
  </w:style>
  <w:style w:type="character" w:customStyle="1" w:styleId="484">
    <w:name w:val="gray9pt1"/>
    <w:autoRedefine/>
    <w:qFormat/>
    <w:uiPriority w:val="0"/>
    <w:rPr>
      <w:rFonts w:hint="default" w:ascii="Arial" w:hAnsi="Arial" w:eastAsia="宋体" w:cs="Arial"/>
      <w:color w:val="666666"/>
      <w:sz w:val="18"/>
      <w:szCs w:val="18"/>
    </w:rPr>
  </w:style>
  <w:style w:type="character" w:customStyle="1" w:styleId="485">
    <w:name w:val="Char Char3"/>
    <w:autoRedefine/>
    <w:qFormat/>
    <w:uiPriority w:val="0"/>
    <w:rPr>
      <w:rFonts w:ascii="Calibri" w:hAnsi="Calibri" w:eastAsia="宋体" w:cs="Times New Roman"/>
      <w:sz w:val="24"/>
      <w:lang w:val="en-US" w:eastAsia="zh-CN" w:bidi="ar-SA"/>
    </w:rPr>
  </w:style>
  <w:style w:type="character" w:customStyle="1" w:styleId="486">
    <w:name w:val="段落内容一级列表 Char"/>
    <w:link w:val="487"/>
    <w:autoRedefine/>
    <w:qFormat/>
    <w:uiPriority w:val="0"/>
    <w:rPr>
      <w:rFonts w:ascii="宋体" w:hAnsi="宋体"/>
      <w:sz w:val="24"/>
      <w:szCs w:val="24"/>
      <w:lang w:bidi="en-US"/>
    </w:rPr>
  </w:style>
  <w:style w:type="paragraph" w:customStyle="1" w:styleId="487">
    <w:name w:val="段落内容一级列表"/>
    <w:basedOn w:val="1"/>
    <w:link w:val="486"/>
    <w:autoRedefine/>
    <w:qFormat/>
    <w:uiPriority w:val="0"/>
    <w:pPr>
      <w:numPr>
        <w:ilvl w:val="6"/>
        <w:numId w:val="8"/>
      </w:numPr>
      <w:adjustRightInd w:val="0"/>
    </w:pPr>
    <w:rPr>
      <w:rFonts w:ascii="宋体" w:hAnsi="宋体"/>
      <w:kern w:val="0"/>
      <w:sz w:val="24"/>
      <w:lang w:bidi="en-US"/>
    </w:rPr>
  </w:style>
  <w:style w:type="character" w:customStyle="1" w:styleId="488">
    <w:name w:val="biaotizi1"/>
    <w:autoRedefine/>
    <w:qFormat/>
    <w:uiPriority w:val="0"/>
    <w:rPr>
      <w:rFonts w:ascii="Calibri" w:hAnsi="Calibri" w:eastAsia="宋体" w:cs="Times New Roman"/>
      <w:color w:val="0A2656"/>
      <w:sz w:val="18"/>
      <w:szCs w:val="18"/>
      <w:u w:val="none"/>
    </w:rPr>
  </w:style>
  <w:style w:type="character" w:customStyle="1" w:styleId="489">
    <w:name w:val="MM Topic 4 Char Char"/>
    <w:link w:val="490"/>
    <w:autoRedefine/>
    <w:qFormat/>
    <w:uiPriority w:val="0"/>
    <w:rPr>
      <w:rFonts w:ascii="Arial" w:hAnsi="Arial" w:eastAsia="黑体"/>
      <w:b/>
      <w:bCs/>
      <w:sz w:val="28"/>
      <w:szCs w:val="28"/>
    </w:rPr>
  </w:style>
  <w:style w:type="paragraph" w:customStyle="1" w:styleId="490">
    <w:name w:val="MM Topic 4"/>
    <w:basedOn w:val="8"/>
    <w:link w:val="489"/>
    <w:autoRedefine/>
    <w:qFormat/>
    <w:uiPriority w:val="0"/>
    <w:pPr>
      <w:adjustRightInd/>
      <w:spacing w:before="100" w:beforeAutospacing="1" w:after="100" w:afterAutospacing="1" w:line="374" w:lineRule="auto"/>
      <w:textAlignment w:val="auto"/>
    </w:pPr>
    <w:rPr>
      <w:bCs/>
      <w:szCs w:val="28"/>
    </w:rPr>
  </w:style>
  <w:style w:type="character" w:customStyle="1" w:styleId="491">
    <w:name w:val="批注文字 字符2"/>
    <w:autoRedefine/>
    <w:qFormat/>
    <w:uiPriority w:val="99"/>
    <w:rPr>
      <w:rFonts w:ascii="Times New Roman" w:hAnsi="Times New Roman" w:eastAsia="宋体" w:cs="Times New Roman"/>
      <w:szCs w:val="24"/>
    </w:rPr>
  </w:style>
  <w:style w:type="character" w:customStyle="1" w:styleId="492">
    <w:name w:val="正文文本缩进 2 字符2"/>
    <w:autoRedefine/>
    <w:qFormat/>
    <w:uiPriority w:val="99"/>
    <w:rPr>
      <w:rFonts w:ascii="仿宋_GB2312" w:hAnsi="Times New Roman" w:eastAsia="仿宋_GB2312" w:cs="Times New Roman"/>
      <w:sz w:val="24"/>
      <w:szCs w:val="24"/>
    </w:rPr>
  </w:style>
  <w:style w:type="character" w:customStyle="1" w:styleId="493">
    <w:name w:val="正文文本 Char1"/>
    <w:autoRedefine/>
    <w:qFormat/>
    <w:uiPriority w:val="99"/>
    <w:rPr>
      <w:rFonts w:ascii="Times New Roman" w:hAnsi="Times New Roman" w:eastAsia="宋体" w:cs="Times New Roman"/>
      <w:kern w:val="2"/>
      <w:sz w:val="21"/>
      <w:szCs w:val="24"/>
    </w:rPr>
  </w:style>
  <w:style w:type="character" w:customStyle="1" w:styleId="494">
    <w:name w:val="MM Topic 2 Char"/>
    <w:link w:val="495"/>
    <w:autoRedefine/>
    <w:qFormat/>
    <w:uiPriority w:val="0"/>
    <w:rPr>
      <w:rFonts w:ascii="Cambria" w:hAnsi="Cambria"/>
      <w:b/>
      <w:bCs/>
      <w:sz w:val="32"/>
      <w:szCs w:val="32"/>
    </w:rPr>
  </w:style>
  <w:style w:type="paragraph" w:customStyle="1" w:styleId="495">
    <w:name w:val="MM Topic 2"/>
    <w:basedOn w:val="4"/>
    <w:link w:val="494"/>
    <w:autoRedefine/>
    <w:qFormat/>
    <w:uiPriority w:val="0"/>
    <w:pPr>
      <w:widowControl/>
      <w:numPr>
        <w:ilvl w:val="1"/>
        <w:numId w:val="10"/>
      </w:numPr>
      <w:autoSpaceDE/>
      <w:autoSpaceDN/>
      <w:adjustRightInd/>
      <w:spacing w:before="260" w:after="260" w:line="416" w:lineRule="auto"/>
    </w:pPr>
    <w:rPr>
      <w:rFonts w:ascii="Cambria" w:hAnsi="Cambria" w:eastAsia="宋体"/>
      <w:bCs/>
      <w:sz w:val="32"/>
      <w:szCs w:val="32"/>
    </w:rPr>
  </w:style>
  <w:style w:type="paragraph" w:customStyle="1" w:styleId="496">
    <w:name w:val="样式一"/>
    <w:basedOn w:val="1"/>
    <w:autoRedefine/>
    <w:qFormat/>
    <w:uiPriority w:val="0"/>
    <w:pPr>
      <w:autoSpaceDE w:val="0"/>
      <w:autoSpaceDN w:val="0"/>
      <w:adjustRightInd w:val="0"/>
      <w:spacing w:line="360" w:lineRule="auto"/>
      <w:textAlignment w:val="baseline"/>
    </w:pPr>
    <w:rPr>
      <w:rFonts w:ascii="宋体" w:hAnsi="宋体"/>
      <w:kern w:val="0"/>
      <w:sz w:val="24"/>
      <w:szCs w:val="20"/>
      <w:lang w:val="en-GB"/>
    </w:rPr>
  </w:style>
  <w:style w:type="paragraph" w:customStyle="1" w:styleId="497">
    <w:name w:val="标题2"/>
    <w:basedOn w:val="4"/>
    <w:autoRedefine/>
    <w:qFormat/>
    <w:uiPriority w:val="0"/>
    <w:pPr>
      <w:widowControl/>
      <w:autoSpaceDE/>
      <w:autoSpaceDN/>
      <w:adjustRightInd/>
      <w:spacing w:before="260" w:after="260" w:line="360" w:lineRule="auto"/>
      <w:ind w:left="426"/>
    </w:pPr>
    <w:rPr>
      <w:rFonts w:ascii="Times New Roman" w:hAnsi="Times New Roman" w:eastAsia="宋体"/>
      <w:bCs/>
      <w:sz w:val="36"/>
      <w:szCs w:val="36"/>
      <w:lang w:bidi="en-US"/>
    </w:rPr>
  </w:style>
  <w:style w:type="paragraph" w:customStyle="1" w:styleId="498">
    <w:name w:val="简单回函地址"/>
    <w:basedOn w:val="1"/>
    <w:autoRedefine/>
    <w:qFormat/>
    <w:uiPriority w:val="0"/>
    <w:rPr>
      <w:rFonts w:ascii="Calibri" w:hAnsi="Calibri"/>
      <w:szCs w:val="20"/>
    </w:rPr>
  </w:style>
  <w:style w:type="paragraph" w:customStyle="1" w:styleId="499">
    <w:name w:val="font10"/>
    <w:basedOn w:val="1"/>
    <w:autoRedefine/>
    <w:qFormat/>
    <w:uiPriority w:val="0"/>
    <w:pPr>
      <w:widowControl/>
      <w:spacing w:before="100" w:beforeAutospacing="1" w:after="100" w:afterAutospacing="1"/>
      <w:jc w:val="left"/>
    </w:pPr>
    <w:rPr>
      <w:rFonts w:ascii="Calibri" w:hAnsi="Calibri"/>
      <w:kern w:val="0"/>
      <w:sz w:val="20"/>
      <w:szCs w:val="20"/>
    </w:rPr>
  </w:style>
  <w:style w:type="paragraph" w:customStyle="1" w:styleId="500">
    <w:name w:val="Char Char Char Char Char Char Char Char Char2 Char Char Char Char Char Char Char Char Char Char Char Char Char2"/>
    <w:basedOn w:val="1"/>
    <w:autoRedefine/>
    <w:qFormat/>
    <w:uiPriority w:val="0"/>
    <w:rPr>
      <w:rFonts w:ascii="Calibri" w:hAnsi="Calibri"/>
    </w:rPr>
  </w:style>
  <w:style w:type="paragraph" w:customStyle="1" w:styleId="501">
    <w:name w:val="样式 宋体 加粗 首行缩进:  0.74 厘米 行距: 1.5 倍行距"/>
    <w:basedOn w:val="1"/>
    <w:autoRedefine/>
    <w:qFormat/>
    <w:uiPriority w:val="0"/>
    <w:pPr>
      <w:ind w:firstLine="420"/>
    </w:pPr>
    <w:rPr>
      <w:rFonts w:ascii="宋体" w:hAnsi="宋体" w:cs="宋体"/>
      <w:b/>
      <w:bCs/>
      <w:spacing w:val="4"/>
      <w:sz w:val="24"/>
    </w:rPr>
  </w:style>
  <w:style w:type="paragraph" w:customStyle="1" w:styleId="502">
    <w:name w:val="Char Char Char Char Char Char1 Char"/>
    <w:basedOn w:val="1"/>
    <w:autoRedefine/>
    <w:qFormat/>
    <w:uiPriority w:val="0"/>
    <w:pPr>
      <w:widowControl/>
      <w:wordWrap w:val="0"/>
      <w:jc w:val="left"/>
    </w:pPr>
    <w:rPr>
      <w:rFonts w:ascii="Tahoma" w:hAnsi="Tahoma"/>
      <w:sz w:val="24"/>
      <w:szCs w:val="20"/>
    </w:rPr>
  </w:style>
  <w:style w:type="paragraph" w:customStyle="1" w:styleId="503">
    <w:name w:val="合同"/>
    <w:basedOn w:val="1"/>
    <w:autoRedefine/>
    <w:qFormat/>
    <w:uiPriority w:val="0"/>
    <w:pPr>
      <w:widowControl/>
      <w:jc w:val="center"/>
    </w:pPr>
    <w:rPr>
      <w:rFonts w:ascii="宋体" w:hAnsi="宋体" w:cs="宋体"/>
      <w:b/>
      <w:bCs/>
      <w:kern w:val="0"/>
      <w:sz w:val="44"/>
      <w:szCs w:val="44"/>
    </w:rPr>
  </w:style>
  <w:style w:type="paragraph" w:customStyle="1" w:styleId="504">
    <w:name w:val="t"/>
    <w:basedOn w:val="1"/>
    <w:autoRedefine/>
    <w:qFormat/>
    <w:uiPriority w:val="0"/>
    <w:pPr>
      <w:widowControl/>
      <w:tabs>
        <w:tab w:val="left" w:pos="-1440"/>
        <w:tab w:val="left" w:pos="-720"/>
      </w:tabs>
      <w:suppressAutoHyphens/>
    </w:pPr>
    <w:rPr>
      <w:rFonts w:ascii="Arial" w:hAnsi="Arial"/>
      <w:kern w:val="0"/>
      <w:sz w:val="20"/>
      <w:szCs w:val="20"/>
      <w:lang w:eastAsia="en-US"/>
    </w:rPr>
  </w:style>
  <w:style w:type="paragraph" w:customStyle="1" w:styleId="505">
    <w:name w:val="xl62"/>
    <w:basedOn w:val="1"/>
    <w:autoRedefine/>
    <w:qFormat/>
    <w:uiPriority w:val="0"/>
    <w:pPr>
      <w:widowControl/>
      <w:pBdr>
        <w:left w:val="single" w:color="auto" w:sz="4" w:space="0"/>
        <w:bottom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506">
    <w:name w:val="Blockquote"/>
    <w:basedOn w:val="1"/>
    <w:autoRedefine/>
    <w:qFormat/>
    <w:uiPriority w:val="0"/>
    <w:pPr>
      <w:autoSpaceDE w:val="0"/>
      <w:autoSpaceDN w:val="0"/>
      <w:adjustRightInd w:val="0"/>
      <w:spacing w:before="100" w:after="100"/>
      <w:ind w:left="360" w:right="360"/>
      <w:jc w:val="left"/>
    </w:pPr>
    <w:rPr>
      <w:rFonts w:ascii="Calibri" w:hAnsi="Calibri"/>
      <w:kern w:val="0"/>
      <w:sz w:val="24"/>
      <w:szCs w:val="20"/>
    </w:rPr>
  </w:style>
  <w:style w:type="paragraph" w:customStyle="1" w:styleId="507">
    <w:name w:val="菲页2"/>
    <w:basedOn w:val="5"/>
    <w:autoRedefine/>
    <w:qFormat/>
    <w:uiPriority w:val="0"/>
    <w:pPr>
      <w:widowControl/>
      <w:tabs>
        <w:tab w:val="left" w:pos="1241"/>
      </w:tabs>
      <w:autoSpaceDE/>
      <w:autoSpaceDN/>
      <w:adjustRightInd/>
      <w:spacing w:before="120" w:line="360" w:lineRule="auto"/>
      <w:ind w:left="1241" w:hanging="420"/>
      <w:jc w:val="center"/>
    </w:pPr>
    <w:rPr>
      <w:rFonts w:ascii="黑体" w:hAnsi="宋体" w:eastAsia="黑体"/>
      <w:b w:val="0"/>
      <w:sz w:val="44"/>
      <w:u w:val="none"/>
    </w:rPr>
  </w:style>
  <w:style w:type="paragraph" w:customStyle="1" w:styleId="508">
    <w:name w:val="Char Char13"/>
    <w:basedOn w:val="25"/>
    <w:autoRedefine/>
    <w:qFormat/>
    <w:uiPriority w:val="0"/>
    <w:rPr>
      <w:rFonts w:ascii="Tahoma" w:hAnsi="Tahoma"/>
      <w:kern w:val="0"/>
      <w:sz w:val="24"/>
    </w:rPr>
  </w:style>
  <w:style w:type="paragraph" w:customStyle="1" w:styleId="509">
    <w:name w:val="样式 正文缩进 + 首行缩进:  2.06 字符"/>
    <w:basedOn w:val="6"/>
    <w:autoRedefine/>
    <w:qFormat/>
    <w:uiPriority w:val="0"/>
    <w:pPr>
      <w:autoSpaceDE/>
      <w:autoSpaceDN/>
      <w:adjustRightInd/>
      <w:spacing w:line="360" w:lineRule="auto"/>
      <w:ind w:right="31" w:rightChars="15" w:firstLine="433" w:firstLineChars="206"/>
      <w:jc w:val="both"/>
    </w:pPr>
    <w:rPr>
      <w:rFonts w:ascii="Calibri" w:hAnsi="宋体" w:cs="宋体"/>
      <w:szCs w:val="20"/>
    </w:rPr>
  </w:style>
  <w:style w:type="paragraph" w:customStyle="1" w:styleId="510">
    <w:name w:val="Pa4"/>
    <w:basedOn w:val="1"/>
    <w:next w:val="1"/>
    <w:autoRedefine/>
    <w:qFormat/>
    <w:uiPriority w:val="0"/>
    <w:pPr>
      <w:autoSpaceDE w:val="0"/>
      <w:autoSpaceDN w:val="0"/>
      <w:adjustRightInd w:val="0"/>
      <w:spacing w:before="80" w:line="140" w:lineRule="auto"/>
      <w:jc w:val="left"/>
    </w:pPr>
    <w:rPr>
      <w:rFonts w:ascii="Helvetica-Condensed-Bold" w:hAnsi="Calibri" w:eastAsia="Helvetica-Condensed-Bold"/>
      <w:kern w:val="0"/>
      <w:sz w:val="20"/>
    </w:rPr>
  </w:style>
  <w:style w:type="paragraph" w:customStyle="1" w:styleId="511">
    <w:name w:val="3 Char Char Char Char Char Char Char"/>
    <w:basedOn w:val="1"/>
    <w:autoRedefine/>
    <w:qFormat/>
    <w:uiPriority w:val="0"/>
    <w:rPr>
      <w:rFonts w:ascii="仿宋_GB2312" w:hAnsi="Calibri" w:eastAsia="仿宋_GB2312"/>
      <w:b/>
      <w:sz w:val="32"/>
      <w:szCs w:val="32"/>
    </w:rPr>
  </w:style>
  <w:style w:type="paragraph" w:customStyle="1" w:styleId="512">
    <w:name w:val="WW-正文文本缩进 3"/>
    <w:basedOn w:val="1"/>
    <w:autoRedefine/>
    <w:qFormat/>
    <w:uiPriority w:val="0"/>
    <w:pPr>
      <w:suppressAutoHyphens/>
      <w:spacing w:line="360" w:lineRule="auto"/>
      <w:ind w:left="2" w:firstLine="482"/>
    </w:pPr>
    <w:rPr>
      <w:rFonts w:hint="eastAsia" w:ascii="宋体" w:hAnsi="宋体"/>
      <w:sz w:val="24"/>
      <w:lang w:val="zh-CN" w:eastAsia="ar-SA"/>
    </w:rPr>
  </w:style>
  <w:style w:type="paragraph" w:customStyle="1" w:styleId="513">
    <w:name w:val="SANGFOR_6_1级编号"/>
    <w:basedOn w:val="1"/>
    <w:autoRedefine/>
    <w:qFormat/>
    <w:uiPriority w:val="0"/>
    <w:pPr>
      <w:tabs>
        <w:tab w:val="left" w:pos="0"/>
      </w:tabs>
    </w:pPr>
    <w:rPr>
      <w:rFonts w:ascii="Calibri" w:hAnsi="Calibri"/>
    </w:rPr>
  </w:style>
  <w:style w:type="paragraph" w:customStyle="1" w:styleId="514">
    <w:name w:val="默认段落字体 Para Char Char Char Char Char Char Char"/>
    <w:basedOn w:val="25"/>
    <w:autoRedefine/>
    <w:qFormat/>
    <w:uiPriority w:val="0"/>
    <w:pPr>
      <w:adjustRightInd w:val="0"/>
      <w:spacing w:line="436" w:lineRule="exact"/>
      <w:ind w:left="357"/>
      <w:jc w:val="left"/>
      <w:outlineLvl w:val="3"/>
    </w:pPr>
    <w:rPr>
      <w:rFonts w:ascii="Calibri" w:hAnsi="Calibri" w:eastAsia="Times New Roman"/>
      <w:kern w:val="0"/>
      <w:sz w:val="20"/>
      <w:szCs w:val="20"/>
    </w:rPr>
  </w:style>
  <w:style w:type="paragraph" w:customStyle="1" w:styleId="515">
    <w:name w:val="列表1"/>
    <w:basedOn w:val="1"/>
    <w:autoRedefine/>
    <w:qFormat/>
    <w:uiPriority w:val="0"/>
    <w:pPr>
      <w:tabs>
        <w:tab w:val="left" w:pos="360"/>
      </w:tabs>
      <w:spacing w:line="328" w:lineRule="auto"/>
      <w:ind w:left="360" w:hanging="360"/>
      <w:jc w:val="center"/>
    </w:pPr>
    <w:rPr>
      <w:rFonts w:ascii="宋体" w:hAnsi="宋体"/>
      <w:sz w:val="24"/>
      <w:szCs w:val="44"/>
    </w:rPr>
  </w:style>
  <w:style w:type="paragraph" w:customStyle="1" w:styleId="516">
    <w:name w:val="Char Char Char Char Char Char Char Char Char Char Char Char Char"/>
    <w:basedOn w:val="1"/>
    <w:autoRedefine/>
    <w:qFormat/>
    <w:uiPriority w:val="0"/>
    <w:rPr>
      <w:rFonts w:ascii="仿宋_GB2312" w:hAnsi="Calibri" w:eastAsia="仿宋_GB2312"/>
      <w:b/>
      <w:sz w:val="32"/>
      <w:szCs w:val="32"/>
    </w:rPr>
  </w:style>
  <w:style w:type="paragraph" w:customStyle="1" w:styleId="517">
    <w:name w:val="正文文本 21"/>
    <w:basedOn w:val="1"/>
    <w:autoRedefine/>
    <w:qFormat/>
    <w:uiPriority w:val="0"/>
    <w:pPr>
      <w:adjustRightInd w:val="0"/>
      <w:spacing w:line="300" w:lineRule="auto"/>
      <w:jc w:val="center"/>
      <w:textAlignment w:val="baseline"/>
    </w:pPr>
    <w:rPr>
      <w:rFonts w:ascii="宋体" w:hAnsi="宋体"/>
      <w:sz w:val="24"/>
    </w:rPr>
  </w:style>
  <w:style w:type="paragraph" w:customStyle="1" w:styleId="518">
    <w:name w:val="样式 标题 2 + (西文) 方正书宋简体 (中文) 方正黑体简体 非加粗 黑色 行距: 固定值 15 磅2"/>
    <w:basedOn w:val="4"/>
    <w:autoRedefine/>
    <w:qFormat/>
    <w:uiPriority w:val="0"/>
    <w:pPr>
      <w:tabs>
        <w:tab w:val="left" w:pos="1418"/>
      </w:tabs>
      <w:autoSpaceDE/>
      <w:autoSpaceDN/>
      <w:adjustRightInd/>
      <w:spacing w:before="0" w:line="300" w:lineRule="exact"/>
      <w:ind w:firstLine="200" w:firstLineChars="200"/>
      <w:jc w:val="left"/>
    </w:pPr>
    <w:rPr>
      <w:rFonts w:ascii="方正书宋简体" w:hAnsi="Calibri" w:eastAsia="方正小标宋简体" w:cs="宋体"/>
      <w:b w:val="0"/>
      <w:color w:val="000000"/>
      <w:kern w:val="2"/>
      <w:sz w:val="21"/>
    </w:rPr>
  </w:style>
  <w:style w:type="paragraph" w:customStyle="1" w:styleId="519">
    <w:name w:val="第一章"/>
    <w:basedOn w:val="1"/>
    <w:autoRedefine/>
    <w:qFormat/>
    <w:uiPriority w:val="0"/>
    <w:pPr>
      <w:pageBreakBefore/>
      <w:spacing w:afterLines="100" w:line="360" w:lineRule="auto"/>
      <w:ind w:firstLine="200" w:firstLineChars="200"/>
      <w:jc w:val="left"/>
    </w:pPr>
    <w:rPr>
      <w:rFonts w:ascii="Calibri" w:hAnsi="Calibri" w:eastAsia="黑体"/>
      <w:b/>
      <w:sz w:val="32"/>
    </w:rPr>
  </w:style>
  <w:style w:type="paragraph" w:customStyle="1" w:styleId="520">
    <w:name w:val="普通(网站)11"/>
    <w:basedOn w:val="1"/>
    <w:autoRedefine/>
    <w:qFormat/>
    <w:uiPriority w:val="0"/>
    <w:pPr>
      <w:widowControl/>
      <w:spacing w:before="100" w:beforeAutospacing="1" w:after="100" w:afterAutospacing="1"/>
      <w:jc w:val="left"/>
    </w:pPr>
    <w:rPr>
      <w:rFonts w:hint="eastAsia" w:ascii="宋体" w:hAnsi="Calibri"/>
      <w:kern w:val="0"/>
      <w:sz w:val="24"/>
    </w:rPr>
  </w:style>
  <w:style w:type="paragraph" w:customStyle="1" w:styleId="521">
    <w:name w:val="表格标题"/>
    <w:basedOn w:val="1"/>
    <w:autoRedefine/>
    <w:qFormat/>
    <w:uiPriority w:val="0"/>
    <w:pPr>
      <w:adjustRightInd w:val="0"/>
      <w:snapToGrid w:val="0"/>
      <w:ind w:left="505" w:leftChars="1" w:right="113" w:hanging="503"/>
      <w:jc w:val="center"/>
    </w:pPr>
    <w:rPr>
      <w:rFonts w:ascii="Ari" w:hAnsi="Calibri" w:eastAsia="Times New Roman"/>
      <w:color w:val="000000"/>
      <w:sz w:val="36"/>
      <w:szCs w:val="36"/>
    </w:rPr>
  </w:style>
  <w:style w:type="paragraph" w:customStyle="1" w:styleId="522">
    <w:name w:val="Normal_0"/>
    <w:autoRedefine/>
    <w:qFormat/>
    <w:uiPriority w:val="0"/>
    <w:pPr>
      <w:spacing w:before="120" w:after="240"/>
      <w:jc w:val="both"/>
    </w:pPr>
    <w:rPr>
      <w:rFonts w:ascii="Calibri" w:hAnsi="Calibri" w:eastAsia="Calibri" w:cs="Times New Roman"/>
      <w:sz w:val="22"/>
      <w:szCs w:val="22"/>
      <w:lang w:val="ru-RU" w:eastAsia="en-US" w:bidi="ar-SA"/>
    </w:rPr>
  </w:style>
  <w:style w:type="paragraph" w:customStyle="1" w:styleId="523">
    <w:name w:val="2"/>
    <w:basedOn w:val="1"/>
    <w:autoRedefine/>
    <w:qFormat/>
    <w:uiPriority w:val="0"/>
    <w:rPr>
      <w:rFonts w:ascii="Calibri" w:hAnsi="Calibri"/>
    </w:rPr>
  </w:style>
  <w:style w:type="paragraph" w:customStyle="1" w:styleId="524">
    <w:name w:val="_Style 24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5">
    <w:name w:val="强调文字"/>
    <w:basedOn w:val="1"/>
    <w:autoRedefine/>
    <w:qFormat/>
    <w:uiPriority w:val="0"/>
    <w:pPr>
      <w:spacing w:line="440" w:lineRule="exact"/>
      <w:ind w:firstLine="480" w:firstLineChars="200"/>
    </w:pPr>
    <w:rPr>
      <w:rFonts w:ascii="华文细黑" w:hAnsi="华文细黑" w:eastAsia="黑体" w:cs="Arial"/>
      <w:color w:val="800000"/>
      <w:kern w:val="0"/>
      <w:sz w:val="24"/>
      <w:szCs w:val="28"/>
    </w:rPr>
  </w:style>
  <w:style w:type="paragraph" w:customStyle="1" w:styleId="526">
    <w:name w:val="Char Char Char Char Char Char Char Char Char2 Char Char Char Char Char Char Char Char Char Char Char Char Char1"/>
    <w:basedOn w:val="1"/>
    <w:autoRedefine/>
    <w:qFormat/>
    <w:uiPriority w:val="0"/>
    <w:rPr>
      <w:rFonts w:ascii="Calibri" w:hAnsi="Calibri"/>
    </w:rPr>
  </w:style>
  <w:style w:type="paragraph" w:customStyle="1" w:styleId="527">
    <w:name w:val="xl61"/>
    <w:basedOn w:val="1"/>
    <w:autoRedefine/>
    <w:qFormat/>
    <w:uiPriority w:val="0"/>
    <w:pPr>
      <w:widowControl/>
      <w:spacing w:before="100" w:beforeAutospacing="1" w:after="100" w:afterAutospacing="1"/>
      <w:jc w:val="left"/>
      <w:textAlignment w:val="bottom"/>
    </w:pPr>
    <w:rPr>
      <w:rFonts w:ascii="Calibri" w:hAnsi="Calibri"/>
      <w:kern w:val="0"/>
      <w:sz w:val="24"/>
    </w:rPr>
  </w:style>
  <w:style w:type="paragraph" w:customStyle="1" w:styleId="528">
    <w:name w:val="样式 标题 2 + (西文) 方正书宋简体 (中文) 方正黑体简体 非加粗 黑色 行距: 固定值 15 磅1"/>
    <w:basedOn w:val="4"/>
    <w:autoRedefine/>
    <w:qFormat/>
    <w:uiPriority w:val="0"/>
    <w:pPr>
      <w:tabs>
        <w:tab w:val="left" w:pos="1134"/>
      </w:tabs>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529">
    <w:name w:val="正文 + Arial"/>
    <w:basedOn w:val="1"/>
    <w:autoRedefine/>
    <w:qFormat/>
    <w:uiPriority w:val="0"/>
    <w:pPr>
      <w:jc w:val="center"/>
    </w:pPr>
    <w:rPr>
      <w:rFonts w:ascii="宋体" w:hAnsi="宋体" w:cs="Arial"/>
      <w:szCs w:val="21"/>
    </w:rPr>
  </w:style>
  <w:style w:type="paragraph" w:customStyle="1" w:styleId="530">
    <w:name w:val="列出段落11"/>
    <w:basedOn w:val="1"/>
    <w:autoRedefine/>
    <w:qFormat/>
    <w:uiPriority w:val="99"/>
    <w:pPr>
      <w:ind w:firstLine="420" w:firstLineChars="200"/>
    </w:pPr>
    <w:rPr>
      <w:rFonts w:ascii="Calibri" w:hAnsi="Calibri"/>
      <w:szCs w:val="22"/>
    </w:rPr>
  </w:style>
  <w:style w:type="paragraph" w:customStyle="1" w:styleId="531">
    <w:name w:val="普通(网站)1"/>
    <w:basedOn w:val="1"/>
    <w:autoRedefine/>
    <w:qFormat/>
    <w:uiPriority w:val="0"/>
    <w:pPr>
      <w:widowControl/>
      <w:spacing w:before="100" w:beforeAutospacing="1" w:after="100" w:afterAutospacing="1"/>
      <w:jc w:val="left"/>
    </w:pPr>
    <w:rPr>
      <w:rFonts w:hint="eastAsia" w:ascii="宋体" w:hAnsi="Calibri"/>
      <w:kern w:val="0"/>
      <w:sz w:val="24"/>
    </w:rPr>
  </w:style>
  <w:style w:type="paragraph" w:customStyle="1" w:styleId="532">
    <w:name w:val="3 Char Char Char Char Char Char Char Char Char Char Char Char"/>
    <w:basedOn w:val="1"/>
    <w:autoRedefine/>
    <w:qFormat/>
    <w:uiPriority w:val="0"/>
    <w:rPr>
      <w:rFonts w:ascii="仿宋_GB2312" w:hAnsi="Calibri" w:eastAsia="仿宋_GB2312"/>
      <w:b/>
      <w:sz w:val="32"/>
      <w:szCs w:val="32"/>
    </w:rPr>
  </w:style>
  <w:style w:type="paragraph" w:customStyle="1" w:styleId="533">
    <w:name w:val="Char Char Char Char2"/>
    <w:basedOn w:val="1"/>
    <w:autoRedefine/>
    <w:qFormat/>
    <w:uiPriority w:val="99"/>
    <w:rPr>
      <w:rFonts w:ascii="Tahoma" w:hAnsi="Tahoma"/>
      <w:sz w:val="24"/>
      <w:szCs w:val="20"/>
    </w:rPr>
  </w:style>
  <w:style w:type="paragraph" w:customStyle="1" w:styleId="534">
    <w:name w:val="图片"/>
    <w:basedOn w:val="1"/>
    <w:next w:val="389"/>
    <w:autoRedefine/>
    <w:qFormat/>
    <w:uiPriority w:val="0"/>
    <w:pPr>
      <w:jc w:val="center"/>
    </w:pPr>
    <w:rPr>
      <w:rFonts w:ascii="Calibri" w:hAnsi="Calibri" w:cs="宋体"/>
      <w:sz w:val="24"/>
    </w:rPr>
  </w:style>
  <w:style w:type="paragraph" w:customStyle="1" w:styleId="535">
    <w:name w:val="样式 Arial 左侧:  2 字符 行距: 固定值 29 磅"/>
    <w:basedOn w:val="1"/>
    <w:autoRedefine/>
    <w:qFormat/>
    <w:uiPriority w:val="0"/>
    <w:pPr>
      <w:adjustRightInd w:val="0"/>
      <w:spacing w:line="580" w:lineRule="atLeast"/>
    </w:pPr>
    <w:rPr>
      <w:rFonts w:ascii="Arial" w:hAnsi="Arial"/>
      <w:kern w:val="0"/>
      <w:sz w:val="24"/>
      <w:szCs w:val="20"/>
    </w:rPr>
  </w:style>
  <w:style w:type="paragraph" w:customStyle="1" w:styleId="536">
    <w:name w:val="正文1"/>
    <w:link w:val="537"/>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37">
    <w:name w:val="正文1[858D7CFB-ED40-4347-BF05-701D383B685F]"/>
    <w:link w:val="536"/>
    <w:autoRedefine/>
    <w:qFormat/>
    <w:locked/>
    <w:uiPriority w:val="0"/>
    <w:rPr>
      <w:rFonts w:ascii="宋体"/>
      <w:sz w:val="34"/>
    </w:rPr>
  </w:style>
  <w:style w:type="paragraph" w:customStyle="1" w:styleId="538">
    <w:name w:val="Char Char Char Char Char Char Char Char Char2 Char Char Char Char Char Char Char Char Char Char Char Char Char"/>
    <w:basedOn w:val="1"/>
    <w:autoRedefine/>
    <w:qFormat/>
    <w:uiPriority w:val="0"/>
    <w:rPr>
      <w:rFonts w:ascii="仿宋_GB2312" w:hAnsi="Calibri" w:eastAsia="仿宋_GB2312"/>
      <w:b/>
      <w:sz w:val="32"/>
      <w:szCs w:val="32"/>
    </w:rPr>
  </w:style>
  <w:style w:type="paragraph" w:customStyle="1" w:styleId="539">
    <w:name w:val="二级节标题"/>
    <w:next w:val="1"/>
    <w:autoRedefine/>
    <w:qFormat/>
    <w:uiPriority w:val="0"/>
    <w:pPr>
      <w:numPr>
        <w:ilvl w:val="3"/>
        <w:numId w:val="11"/>
      </w:numPr>
      <w:tabs>
        <w:tab w:val="left" w:pos="672"/>
      </w:tabs>
      <w:spacing w:before="240" w:after="240" w:line="400" w:lineRule="atLeast"/>
      <w:outlineLvl w:val="2"/>
    </w:pPr>
    <w:rPr>
      <w:rFonts w:ascii="Arial" w:hAnsi="Arial" w:eastAsia="宋体" w:cs="Times New Roman"/>
      <w:b/>
      <w:sz w:val="30"/>
      <w:szCs w:val="30"/>
      <w:lang w:val="en-US" w:eastAsia="zh-CN" w:bidi="ar-SA"/>
    </w:rPr>
  </w:style>
  <w:style w:type="paragraph" w:customStyle="1" w:styleId="540">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541">
    <w:name w:val="xl54"/>
    <w:basedOn w:val="1"/>
    <w:autoRedefine/>
    <w:qFormat/>
    <w:uiPriority w:val="0"/>
    <w:pPr>
      <w:widowControl/>
      <w:spacing w:before="100" w:beforeAutospacing="1" w:after="100" w:afterAutospacing="1"/>
      <w:jc w:val="left"/>
    </w:pPr>
    <w:rPr>
      <w:rFonts w:ascii="Arial Unicode MS" w:hAnsi="Arial Unicode MS" w:cs="Arial Unicode MS"/>
      <w:kern w:val="0"/>
      <w:sz w:val="24"/>
    </w:rPr>
  </w:style>
  <w:style w:type="paragraph" w:customStyle="1" w:styleId="542">
    <w:name w:val="代码"/>
    <w:basedOn w:val="1"/>
    <w:autoRedefine/>
    <w:qFormat/>
    <w:uiPriority w:val="0"/>
    <w:pPr>
      <w:spacing w:beforeLines="50" w:afterLines="50"/>
      <w:ind w:left="960" w:leftChars="400"/>
    </w:pPr>
    <w:rPr>
      <w:rFonts w:ascii="Courier New" w:hAnsi="Courier New" w:eastAsia="楷体_GB2312"/>
      <w:szCs w:val="21"/>
    </w:rPr>
  </w:style>
  <w:style w:type="paragraph" w:customStyle="1" w:styleId="543">
    <w:name w:val="菲页(卷)"/>
    <w:basedOn w:val="3"/>
    <w:next w:val="544"/>
    <w:autoRedefine/>
    <w:qFormat/>
    <w:uiPriority w:val="0"/>
    <w:pPr>
      <w:widowControl/>
      <w:tabs>
        <w:tab w:val="left" w:pos="435"/>
      </w:tabs>
      <w:autoSpaceDE/>
      <w:autoSpaceDN/>
      <w:adjustRightInd/>
      <w:spacing w:before="0" w:after="0" w:line="240" w:lineRule="auto"/>
      <w:ind w:left="435" w:hanging="454"/>
      <w:outlineLvl w:val="1"/>
    </w:pPr>
    <w:rPr>
      <w:rFonts w:ascii="黑体" w:hAnsi="Calibri" w:eastAsia="黑体"/>
      <w:b w:val="0"/>
      <w:kern w:val="0"/>
      <w:sz w:val="52"/>
    </w:rPr>
  </w:style>
  <w:style w:type="paragraph" w:customStyle="1" w:styleId="544">
    <w:name w:val="正文1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45">
    <w:name w:val="样式 题注 + (西文) 宋体 五号 加粗 段前: 2.4 磅 段后: 2.4 磅 行距: 1.5 倍行距"/>
    <w:basedOn w:val="21"/>
    <w:autoRedefine/>
    <w:qFormat/>
    <w:uiPriority w:val="0"/>
    <w:pPr>
      <w:spacing w:before="48" w:after="48" w:line="360" w:lineRule="auto"/>
    </w:pPr>
    <w:rPr>
      <w:rFonts w:ascii="宋体" w:hAnsi="宋体" w:eastAsia="宋体" w:cs="宋体"/>
      <w:b/>
      <w:bCs/>
      <w:kern w:val="0"/>
      <w:sz w:val="24"/>
      <w:lang w:eastAsia="ar-SA"/>
    </w:rPr>
  </w:style>
  <w:style w:type="paragraph" w:customStyle="1" w:styleId="546">
    <w:name w:val="xl59"/>
    <w:basedOn w:val="1"/>
    <w:autoRedefine/>
    <w:qFormat/>
    <w:uiPriority w:val="0"/>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547">
    <w:name w:val="金安桥正文"/>
    <w:basedOn w:val="33"/>
    <w:autoRedefine/>
    <w:qFormat/>
    <w:uiPriority w:val="0"/>
    <w:pPr>
      <w:adjustRightInd w:val="0"/>
      <w:spacing w:line="300" w:lineRule="auto"/>
      <w:ind w:firstLine="200" w:firstLineChars="200"/>
      <w:jc w:val="left"/>
    </w:pPr>
    <w:rPr>
      <w:rFonts w:ascii="Calibri" w:hAnsi="Calibri"/>
      <w:kern w:val="0"/>
      <w:szCs w:val="20"/>
    </w:rPr>
  </w:style>
  <w:style w:type="paragraph" w:customStyle="1" w:styleId="548">
    <w:name w:val="6'"/>
    <w:basedOn w:val="1"/>
    <w:autoRedefine/>
    <w:qFormat/>
    <w:uiPriority w:val="0"/>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549">
    <w:name w:val="图标"/>
    <w:basedOn w:val="1"/>
    <w:next w:val="1"/>
    <w:autoRedefine/>
    <w:qFormat/>
    <w:uiPriority w:val="0"/>
    <w:pPr>
      <w:numPr>
        <w:ilvl w:val="0"/>
        <w:numId w:val="12"/>
      </w:numPr>
      <w:tabs>
        <w:tab w:val="left" w:pos="567"/>
      </w:tabs>
      <w:autoSpaceDE w:val="0"/>
      <w:autoSpaceDN w:val="0"/>
      <w:adjustRightInd w:val="0"/>
      <w:snapToGrid w:val="0"/>
      <w:spacing w:before="120" w:after="120" w:line="320" w:lineRule="atLeast"/>
      <w:jc w:val="center"/>
      <w:textAlignment w:val="baseline"/>
    </w:pPr>
    <w:rPr>
      <w:rFonts w:ascii="Calibri" w:hAnsi="Calibri" w:eastAsia="仿宋_GB2312"/>
      <w:kern w:val="0"/>
      <w:sz w:val="24"/>
    </w:rPr>
  </w:style>
  <w:style w:type="paragraph" w:customStyle="1" w:styleId="550">
    <w:name w:val="Style Heading 2 + Line spacing:  1.5 lines"/>
    <w:basedOn w:val="4"/>
    <w:autoRedefine/>
    <w:qFormat/>
    <w:uiPriority w:val="0"/>
    <w:pPr>
      <w:numPr>
        <w:ilvl w:val="1"/>
        <w:numId w:val="13"/>
      </w:numPr>
      <w:autoSpaceDE/>
      <w:autoSpaceDN/>
      <w:adjustRightInd/>
      <w:spacing w:after="120" w:line="360" w:lineRule="auto"/>
    </w:pPr>
    <w:rPr>
      <w:rFonts w:ascii="Calibri" w:hAnsi="Calibri" w:eastAsia="宋体"/>
      <w:bCs/>
      <w:kern w:val="2"/>
      <w:sz w:val="32"/>
      <w:szCs w:val="32"/>
    </w:rPr>
  </w:style>
  <w:style w:type="paragraph" w:customStyle="1" w:styleId="551">
    <w:name w:val="Char Char Char Char Char Char Char Char Char Char Char Char Char1"/>
    <w:basedOn w:val="1"/>
    <w:autoRedefine/>
    <w:qFormat/>
    <w:uiPriority w:val="0"/>
    <w:rPr>
      <w:rFonts w:ascii="仿宋_GB2312" w:hAnsi="Calibri" w:eastAsia="仿宋_GB2312"/>
      <w:b/>
      <w:sz w:val="32"/>
      <w:szCs w:val="32"/>
    </w:rPr>
  </w:style>
  <w:style w:type="paragraph" w:customStyle="1" w:styleId="552">
    <w:name w:val="chap"/>
    <w:basedOn w:val="1"/>
    <w:autoRedefine/>
    <w:qFormat/>
    <w:uiPriority w:val="0"/>
    <w:pPr>
      <w:widowControl/>
      <w:ind w:right="-30"/>
    </w:pPr>
    <w:rPr>
      <w:rFonts w:ascii="Arial" w:hAnsi="Arial"/>
      <w:b/>
      <w:caps/>
      <w:kern w:val="0"/>
      <w:sz w:val="24"/>
      <w:szCs w:val="20"/>
      <w:lang w:val="fr-FR" w:eastAsia="fr-FR"/>
    </w:rPr>
  </w:style>
  <w:style w:type="paragraph" w:customStyle="1" w:styleId="553">
    <w:name w:val="正文an"/>
    <w:basedOn w:val="1"/>
    <w:autoRedefine/>
    <w:qFormat/>
    <w:uiPriority w:val="0"/>
    <w:pPr>
      <w:adjustRightInd w:val="0"/>
      <w:snapToGrid w:val="0"/>
      <w:spacing w:line="300" w:lineRule="auto"/>
    </w:pPr>
    <w:rPr>
      <w:rFonts w:ascii="Arial Narrow" w:hAnsi="Arial Narrow" w:eastAsia="楷体_GB2312"/>
      <w:sz w:val="26"/>
    </w:rPr>
  </w:style>
  <w:style w:type="paragraph" w:customStyle="1" w:styleId="554">
    <w:name w:val="菲页1"/>
    <w:basedOn w:val="4"/>
    <w:autoRedefine/>
    <w:qFormat/>
    <w:uiPriority w:val="0"/>
    <w:pPr>
      <w:widowControl/>
      <w:autoSpaceDE/>
      <w:autoSpaceDN/>
      <w:adjustRightInd/>
      <w:spacing w:before="260" w:after="260" w:line="415" w:lineRule="auto"/>
    </w:pPr>
    <w:rPr>
      <w:rFonts w:ascii="黑体" w:hAnsi="宋体" w:eastAsia="宋体"/>
      <w:b w:val="0"/>
      <w:sz w:val="52"/>
    </w:rPr>
  </w:style>
  <w:style w:type="paragraph" w:customStyle="1" w:styleId="555">
    <w:name w:val="Char11"/>
    <w:basedOn w:val="1"/>
    <w:autoRedefine/>
    <w:qFormat/>
    <w:uiPriority w:val="99"/>
    <w:rPr>
      <w:rFonts w:ascii="Tahoma" w:hAnsi="Tahoma"/>
      <w:sz w:val="24"/>
      <w:szCs w:val="20"/>
    </w:rPr>
  </w:style>
  <w:style w:type="paragraph" w:customStyle="1" w:styleId="556">
    <w:name w:val="xl6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557">
    <w:name w:val="xl57"/>
    <w:basedOn w:val="1"/>
    <w:autoRedefine/>
    <w:qFormat/>
    <w:uiPriority w:val="0"/>
    <w:pPr>
      <w:widowControl/>
      <w:pBdr>
        <w:top w:val="single" w:color="auto" w:sz="4" w:space="0"/>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558">
    <w:name w:val="TOC 标题1"/>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559">
    <w:name w:val="P1"/>
    <w:autoRedefine/>
    <w:qFormat/>
    <w:uiPriority w:val="0"/>
    <w:pPr>
      <w:widowControl w:val="0"/>
      <w:adjustRightInd w:val="0"/>
      <w:spacing w:after="240" w:line="240" w:lineRule="atLeast"/>
      <w:ind w:left="2304" w:hanging="576"/>
      <w:jc w:val="both"/>
      <w:textAlignment w:val="baseline"/>
    </w:pPr>
    <w:rPr>
      <w:rFonts w:ascii="Times New Roman" w:hAnsi="Times New Roman" w:eastAsia="全真中明體" w:cs="Times New Roman"/>
      <w:spacing w:val="20"/>
      <w:sz w:val="24"/>
      <w:lang w:val="en-US" w:eastAsia="zh-TW" w:bidi="ar-SA"/>
    </w:rPr>
  </w:style>
  <w:style w:type="paragraph" w:customStyle="1" w:styleId="560">
    <w:name w:val="Char Char Char Char Char Char"/>
    <w:basedOn w:val="1"/>
    <w:autoRedefine/>
    <w:qFormat/>
    <w:uiPriority w:val="0"/>
    <w:pPr>
      <w:adjustRightInd w:val="0"/>
      <w:spacing w:line="360" w:lineRule="auto"/>
    </w:pPr>
    <w:rPr>
      <w:rFonts w:ascii="Calibri" w:hAnsi="Calibri"/>
      <w:kern w:val="0"/>
      <w:sz w:val="24"/>
      <w:szCs w:val="20"/>
    </w:rPr>
  </w:style>
  <w:style w:type="paragraph" w:customStyle="1" w:styleId="561">
    <w:name w:val="he"/>
    <w:basedOn w:val="1"/>
    <w:next w:val="1"/>
    <w:autoRedefine/>
    <w:qFormat/>
    <w:uiPriority w:val="0"/>
    <w:pPr>
      <w:keepNext/>
      <w:keepLines/>
      <w:widowControl/>
      <w:numPr>
        <w:ilvl w:val="0"/>
        <w:numId w:val="14"/>
      </w:numPr>
      <w:spacing w:before="340" w:after="330"/>
      <w:jc w:val="center"/>
      <w:outlineLvl w:val="0"/>
    </w:pPr>
    <w:rPr>
      <w:rFonts w:ascii="宋体" w:hAnsi="宋体" w:eastAsia="黑体"/>
      <w:b/>
      <w:bCs/>
      <w:kern w:val="44"/>
      <w:sz w:val="44"/>
      <w:szCs w:val="44"/>
      <w:lang w:bidi="en-US"/>
    </w:rPr>
  </w:style>
  <w:style w:type="paragraph" w:customStyle="1" w:styleId="562">
    <w:name w:val="xl22"/>
    <w:basedOn w:val="1"/>
    <w:autoRedefine/>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563">
    <w:name w:val="首行缩进"/>
    <w:autoRedefine/>
    <w:qFormat/>
    <w:uiPriority w:val="0"/>
    <w:pPr>
      <w:spacing w:line="360" w:lineRule="auto"/>
      <w:ind w:firstLine="480" w:firstLineChars="200"/>
    </w:pPr>
    <w:rPr>
      <w:rFonts w:ascii="Times New Roman" w:hAnsi="Times New Roman" w:eastAsia="宋体" w:cs="Times New Roman"/>
      <w:kern w:val="2"/>
      <w:sz w:val="24"/>
      <w:szCs w:val="24"/>
      <w:lang w:val="en-US" w:eastAsia="zh-CN" w:bidi="ar-SA"/>
    </w:rPr>
  </w:style>
  <w:style w:type="paragraph" w:customStyle="1" w:styleId="564">
    <w:name w:val="访问过的超链接1"/>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565">
    <w:name w:val="xl5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566">
    <w:name w:val="xl6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Calibri" w:hAnsi="Calibri"/>
      <w:kern w:val="0"/>
      <w:sz w:val="20"/>
      <w:szCs w:val="20"/>
    </w:rPr>
  </w:style>
  <w:style w:type="paragraph" w:customStyle="1" w:styleId="567">
    <w:name w:val="正文首缩两字"/>
    <w:basedOn w:val="1"/>
    <w:link w:val="568"/>
    <w:autoRedefine/>
    <w:qFormat/>
    <w:uiPriority w:val="0"/>
    <w:pPr>
      <w:spacing w:line="360" w:lineRule="auto"/>
      <w:ind w:left="210" w:right="210" w:firstLine="480" w:firstLineChars="200"/>
      <w:jc w:val="left"/>
    </w:pPr>
    <w:rPr>
      <w:rFonts w:ascii="宋体" w:hAnsi="宋体"/>
      <w:color w:val="000000"/>
      <w:sz w:val="24"/>
      <w:szCs w:val="20"/>
    </w:rPr>
  </w:style>
  <w:style w:type="character" w:customStyle="1" w:styleId="568">
    <w:name w:val="正文首缩两字 Char Char"/>
    <w:link w:val="567"/>
    <w:autoRedefine/>
    <w:qFormat/>
    <w:uiPriority w:val="0"/>
    <w:rPr>
      <w:rFonts w:ascii="宋体" w:hAnsi="宋体"/>
      <w:color w:val="000000"/>
      <w:kern w:val="2"/>
      <w:sz w:val="24"/>
    </w:rPr>
  </w:style>
  <w:style w:type="paragraph" w:customStyle="1" w:styleId="569">
    <w:name w:val="font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70">
    <w:name w:val="1)"/>
    <w:basedOn w:val="1"/>
    <w:autoRedefine/>
    <w:qFormat/>
    <w:uiPriority w:val="0"/>
    <w:pPr>
      <w:tabs>
        <w:tab w:val="left" w:pos="964"/>
      </w:tabs>
      <w:spacing w:line="360" w:lineRule="auto"/>
      <w:ind w:left="964" w:hanging="482"/>
    </w:pPr>
    <w:rPr>
      <w:rFonts w:ascii="Calibri" w:hAnsi="Calibri"/>
      <w:sz w:val="24"/>
    </w:rPr>
  </w:style>
  <w:style w:type="paragraph" w:customStyle="1" w:styleId="57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72">
    <w:name w:val="3 Char Char Char Char"/>
    <w:basedOn w:val="1"/>
    <w:autoRedefine/>
    <w:qFormat/>
    <w:uiPriority w:val="0"/>
    <w:rPr>
      <w:rFonts w:ascii="仿宋_GB2312" w:hAnsi="Calibri" w:eastAsia="仿宋_GB2312"/>
      <w:b/>
      <w:sz w:val="32"/>
      <w:szCs w:val="32"/>
    </w:rPr>
  </w:style>
  <w:style w:type="paragraph" w:customStyle="1" w:styleId="573">
    <w:name w:val="1111 Char Char Char Char"/>
    <w:basedOn w:val="1"/>
    <w:autoRedefine/>
    <w:qFormat/>
    <w:uiPriority w:val="0"/>
    <w:pPr>
      <w:spacing w:line="360" w:lineRule="auto"/>
      <w:ind w:firstLine="560" w:firstLineChars="200"/>
    </w:pPr>
    <w:rPr>
      <w:rFonts w:ascii="Calibri" w:hAnsi="Calibri"/>
      <w:szCs w:val="20"/>
    </w:rPr>
  </w:style>
  <w:style w:type="paragraph" w:customStyle="1" w:styleId="574">
    <w:name w:val="p17"/>
    <w:basedOn w:val="1"/>
    <w:autoRedefine/>
    <w:qFormat/>
    <w:uiPriority w:val="0"/>
    <w:pPr>
      <w:widowControl/>
    </w:pPr>
    <w:rPr>
      <w:rFonts w:ascii="Calibri" w:hAnsi="Calibri"/>
      <w:kern w:val="0"/>
      <w:szCs w:val="21"/>
    </w:rPr>
  </w:style>
  <w:style w:type="paragraph" w:customStyle="1" w:styleId="575">
    <w:name w:val="xl58"/>
    <w:basedOn w:val="1"/>
    <w:autoRedefine/>
    <w:qFormat/>
    <w:uiPriority w:val="0"/>
    <w:pPr>
      <w:widowControl/>
      <w:pBdr>
        <w:lef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576">
    <w:name w:val="底端对齐"/>
    <w:basedOn w:val="1"/>
    <w:next w:val="1"/>
    <w:autoRedefine/>
    <w:qFormat/>
    <w:uiPriority w:val="0"/>
    <w:pPr>
      <w:textAlignment w:val="bottom"/>
    </w:pPr>
    <w:rPr>
      <w:rFonts w:ascii="宋体" w:hAnsi="宋体"/>
      <w:szCs w:val="21"/>
    </w:rPr>
  </w:style>
  <w:style w:type="paragraph" w:customStyle="1" w:styleId="577">
    <w:name w:val="标书正文"/>
    <w:basedOn w:val="1"/>
    <w:autoRedefine/>
    <w:qFormat/>
    <w:uiPriority w:val="0"/>
    <w:pPr>
      <w:tabs>
        <w:tab w:val="left" w:pos="600"/>
      </w:tabs>
      <w:snapToGrid w:val="0"/>
      <w:spacing w:line="480" w:lineRule="atLeast"/>
      <w:jc w:val="center"/>
    </w:pPr>
    <w:rPr>
      <w:rFonts w:ascii="Calibri" w:hAnsi="Calibri" w:eastAsia="黑体"/>
      <w:b/>
      <w:sz w:val="30"/>
      <w:szCs w:val="30"/>
    </w:rPr>
  </w:style>
  <w:style w:type="paragraph" w:customStyle="1" w:styleId="578">
    <w:name w:val="Char Char1 Char Char Char Char Char Char Char"/>
    <w:basedOn w:val="1"/>
    <w:autoRedefine/>
    <w:qFormat/>
    <w:uiPriority w:val="0"/>
    <w:pPr>
      <w:numPr>
        <w:ilvl w:val="0"/>
        <w:numId w:val="15"/>
      </w:numPr>
      <w:tabs>
        <w:tab w:val="clear" w:pos="964"/>
      </w:tabs>
      <w:ind w:left="0" w:firstLine="0"/>
    </w:pPr>
    <w:rPr>
      <w:rFonts w:ascii="Tahoma" w:hAnsi="Tahoma"/>
      <w:sz w:val="24"/>
      <w:szCs w:val="20"/>
    </w:rPr>
  </w:style>
  <w:style w:type="paragraph" w:customStyle="1" w:styleId="579">
    <w:name w:val="FA正文"/>
    <w:basedOn w:val="1"/>
    <w:autoRedefine/>
    <w:qFormat/>
    <w:uiPriority w:val="0"/>
    <w:pPr>
      <w:numPr>
        <w:ilvl w:val="0"/>
        <w:numId w:val="16"/>
      </w:numPr>
      <w:ind w:firstLine="0"/>
    </w:pPr>
    <w:rPr>
      <w:rFonts w:ascii="Calibri" w:hAnsi="宋体" w:cs="宋体"/>
      <w:sz w:val="24"/>
      <w:szCs w:val="21"/>
    </w:rPr>
  </w:style>
  <w:style w:type="paragraph" w:customStyle="1" w:styleId="580">
    <w:name w:val="font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1">
    <w:name w:val="xl60"/>
    <w:basedOn w:val="1"/>
    <w:autoRedefine/>
    <w:qFormat/>
    <w:uiPriority w:val="0"/>
    <w:pPr>
      <w:widowControl/>
      <w:pBdr>
        <w:right w:val="single" w:color="auto" w:sz="4" w:space="0"/>
      </w:pBdr>
      <w:spacing w:before="100" w:beforeAutospacing="1" w:after="100" w:afterAutospacing="1"/>
      <w:jc w:val="left"/>
      <w:textAlignment w:val="bottom"/>
    </w:pPr>
    <w:rPr>
      <w:rFonts w:ascii="Arial Unicode MS" w:hAnsi="Arial Unicode MS" w:cs="Arial Unicode MS"/>
      <w:kern w:val="0"/>
      <w:sz w:val="24"/>
    </w:rPr>
  </w:style>
  <w:style w:type="paragraph" w:customStyle="1" w:styleId="582">
    <w:name w:val="MM Topic 6"/>
    <w:basedOn w:val="10"/>
    <w:autoRedefine/>
    <w:qFormat/>
    <w:uiPriority w:val="0"/>
    <w:pPr>
      <w:adjustRightInd/>
      <w:spacing w:line="319" w:lineRule="auto"/>
      <w:ind w:firstLine="200" w:firstLineChars="200"/>
      <w:textAlignment w:val="auto"/>
    </w:pPr>
    <w:rPr>
      <w:rFonts w:ascii="Calibri" w:hAnsi="Calibri" w:eastAsia="宋体"/>
      <w:bCs/>
      <w:szCs w:val="24"/>
    </w:rPr>
  </w:style>
  <w:style w:type="paragraph" w:customStyle="1" w:styleId="583">
    <w:name w:val="MM Topic 5"/>
    <w:basedOn w:val="9"/>
    <w:autoRedefine/>
    <w:qFormat/>
    <w:uiPriority w:val="0"/>
    <w:pPr>
      <w:adjustRightInd/>
      <w:spacing w:line="374" w:lineRule="auto"/>
      <w:ind w:firstLine="200" w:firstLineChars="200"/>
      <w:textAlignment w:val="auto"/>
    </w:pPr>
    <w:rPr>
      <w:bCs/>
      <w:szCs w:val="28"/>
      <w:lang w:eastAsia="ar-SA"/>
    </w:rPr>
  </w:style>
  <w:style w:type="paragraph" w:customStyle="1" w:styleId="584">
    <w:name w:val="样式1"/>
    <w:basedOn w:val="44"/>
    <w:link w:val="585"/>
    <w:autoRedefine/>
    <w:qFormat/>
    <w:uiPriority w:val="0"/>
    <w:pPr>
      <w:widowControl/>
      <w:adjustRightInd w:val="0"/>
      <w:snapToGrid w:val="0"/>
      <w:spacing w:before="100" w:beforeAutospacing="1" w:after="100" w:afterAutospacing="1" w:line="0" w:lineRule="atLeast"/>
      <w:ind w:firstLine="480"/>
      <w:jc w:val="center"/>
      <w:outlineLvl w:val="0"/>
    </w:pPr>
    <w:rPr>
      <w:rFonts w:hint="default" w:ascii="黑体" w:hAnsi="宋体" w:eastAsia="黑体"/>
      <w:b/>
      <w:kern w:val="0"/>
      <w:sz w:val="32"/>
      <w:szCs w:val="24"/>
    </w:rPr>
  </w:style>
  <w:style w:type="character" w:customStyle="1" w:styleId="585">
    <w:name w:val="样式1 Char"/>
    <w:link w:val="584"/>
    <w:autoRedefine/>
    <w:qFormat/>
    <w:uiPriority w:val="0"/>
    <w:rPr>
      <w:rFonts w:ascii="黑体" w:hAnsi="宋体" w:eastAsia="黑体"/>
      <w:b/>
      <w:sz w:val="32"/>
      <w:szCs w:val="24"/>
    </w:rPr>
  </w:style>
  <w:style w:type="paragraph" w:customStyle="1" w:styleId="586">
    <w:name w:val="item1.1"/>
    <w:basedOn w:val="1"/>
    <w:autoRedefine/>
    <w:qFormat/>
    <w:uiPriority w:val="0"/>
    <w:pPr>
      <w:tabs>
        <w:tab w:val="left" w:pos="4140"/>
      </w:tabs>
      <w:spacing w:line="700" w:lineRule="exact"/>
    </w:pPr>
    <w:rPr>
      <w:rFonts w:ascii="宋体" w:hAnsi="宋体"/>
      <w:sz w:val="24"/>
    </w:rPr>
  </w:style>
  <w:style w:type="paragraph" w:customStyle="1" w:styleId="587">
    <w:name w:val="1."/>
    <w:basedOn w:val="1"/>
    <w:autoRedefine/>
    <w:qFormat/>
    <w:uiPriority w:val="0"/>
    <w:pPr>
      <w:spacing w:line="360" w:lineRule="auto"/>
    </w:pPr>
    <w:rPr>
      <w:rFonts w:ascii="Calibri" w:hAnsi="Calibri"/>
      <w:sz w:val="24"/>
    </w:rPr>
  </w:style>
  <w:style w:type="paragraph" w:customStyle="1" w:styleId="588">
    <w:name w:val="style4"/>
    <w:basedOn w:val="1"/>
    <w:autoRedefine/>
    <w:qFormat/>
    <w:uiPriority w:val="0"/>
    <w:pPr>
      <w:widowControl/>
      <w:spacing w:before="100" w:beforeAutospacing="1" w:after="100" w:afterAutospacing="1"/>
      <w:jc w:val="left"/>
    </w:pPr>
    <w:rPr>
      <w:rFonts w:ascii="Arial Unicode MS" w:hAnsi="Arial Unicode MS" w:eastAsia="Arial Unicode MS" w:cs="Arial Unicode MS"/>
      <w:kern w:val="0"/>
      <w:sz w:val="20"/>
      <w:szCs w:val="20"/>
    </w:rPr>
  </w:style>
  <w:style w:type="paragraph" w:customStyle="1" w:styleId="589">
    <w:name w:val="xl56"/>
    <w:basedOn w:val="1"/>
    <w:autoRedefine/>
    <w:qFormat/>
    <w:uiPriority w:val="0"/>
    <w:pPr>
      <w:widowControl/>
      <w:pBdr>
        <w:top w:val="single" w:color="auto" w:sz="4" w:space="0"/>
        <w:left w:val="single" w:color="auto" w:sz="4" w:space="0"/>
      </w:pBdr>
      <w:spacing w:before="100" w:beforeAutospacing="1" w:after="100" w:afterAutospacing="1"/>
      <w:jc w:val="center"/>
    </w:pPr>
    <w:rPr>
      <w:rFonts w:ascii="Arial Unicode MS" w:hAnsi="Arial Unicode MS" w:cs="Arial Unicode MS"/>
      <w:b/>
      <w:bCs/>
      <w:kern w:val="0"/>
      <w:sz w:val="18"/>
      <w:szCs w:val="18"/>
    </w:rPr>
  </w:style>
  <w:style w:type="paragraph" w:customStyle="1" w:styleId="590">
    <w:name w:val="样式 标题 2 + Times New Roman 四号 非加粗 段前: 5 磅 段后: 0 磅 行距: 固定值 20..."/>
    <w:basedOn w:val="4"/>
    <w:autoRedefine/>
    <w:qFormat/>
    <w:uiPriority w:val="0"/>
    <w:pPr>
      <w:autoSpaceDE/>
      <w:autoSpaceDN/>
      <w:adjustRightInd/>
      <w:spacing w:before="100" w:line="400" w:lineRule="exact"/>
      <w:jc w:val="both"/>
    </w:pPr>
    <w:rPr>
      <w:rFonts w:ascii="Times New Roman" w:hAnsi="Times New Roman" w:eastAsia="宋体" w:cs="宋体"/>
      <w:b w:val="0"/>
      <w:kern w:val="2"/>
      <w:sz w:val="28"/>
    </w:rPr>
  </w:style>
  <w:style w:type="paragraph" w:customStyle="1" w:styleId="591">
    <w:name w:val="xl6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bottom"/>
    </w:pPr>
    <w:rPr>
      <w:rFonts w:ascii="Arial Unicode MS" w:hAnsi="Arial Unicode MS" w:cs="Arial Unicode MS"/>
      <w:kern w:val="0"/>
      <w:sz w:val="20"/>
      <w:szCs w:val="20"/>
    </w:rPr>
  </w:style>
  <w:style w:type="paragraph" w:customStyle="1" w:styleId="592">
    <w:name w:val="Char Char Char Char"/>
    <w:basedOn w:val="1"/>
    <w:autoRedefine/>
    <w:qFormat/>
    <w:uiPriority w:val="0"/>
    <w:pPr>
      <w:widowControl/>
      <w:spacing w:after="160" w:line="240" w:lineRule="exact"/>
      <w:jc w:val="left"/>
    </w:pPr>
    <w:rPr>
      <w:rFonts w:ascii="Calibri" w:hAnsi="Calibri"/>
      <w:szCs w:val="20"/>
    </w:rPr>
  </w:style>
  <w:style w:type="paragraph" w:customStyle="1" w:styleId="593">
    <w:name w:val="强调文字2"/>
    <w:basedOn w:val="525"/>
    <w:autoRedefine/>
    <w:qFormat/>
    <w:uiPriority w:val="0"/>
    <w:rPr>
      <w:rFonts w:ascii="Calibri" w:hAnsi="Calibri" w:eastAsia="宋体" w:cs="Times New Roman"/>
    </w:rPr>
  </w:style>
  <w:style w:type="paragraph" w:customStyle="1" w:styleId="594">
    <w:name w:val="_Style 189"/>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5">
    <w:name w:val="Char Char Char Char3"/>
    <w:basedOn w:val="1"/>
    <w:autoRedefine/>
    <w:qFormat/>
    <w:uiPriority w:val="0"/>
    <w:pPr>
      <w:widowControl/>
      <w:spacing w:after="160" w:line="240" w:lineRule="exact"/>
      <w:jc w:val="left"/>
    </w:pPr>
    <w:rPr>
      <w:rFonts w:ascii="Calibri" w:hAnsi="Calibri"/>
      <w:szCs w:val="20"/>
    </w:rPr>
  </w:style>
  <w:style w:type="paragraph" w:customStyle="1" w:styleId="596">
    <w:name w:val="样式 右侧:  0.05 厘米 段前: 2 磅 段后: 2 磅"/>
    <w:basedOn w:val="1"/>
    <w:autoRedefine/>
    <w:qFormat/>
    <w:uiPriority w:val="0"/>
    <w:pPr>
      <w:ind w:right="28" w:firstLine="420"/>
    </w:pPr>
    <w:rPr>
      <w:rFonts w:ascii="Calibri" w:hAnsi="Calibri"/>
    </w:rPr>
  </w:style>
  <w:style w:type="paragraph" w:customStyle="1" w:styleId="597">
    <w:name w:val="4"/>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8">
    <w:name w:val="3"/>
    <w:basedOn w:val="1"/>
    <w:autoRedefine/>
    <w:qFormat/>
    <w:uiPriority w:val="0"/>
    <w:rPr>
      <w:rFonts w:ascii="Calibri" w:hAnsi="Calibri"/>
      <w:szCs w:val="20"/>
    </w:rPr>
  </w:style>
  <w:style w:type="paragraph" w:customStyle="1" w:styleId="599">
    <w:name w:val="列出段落21"/>
    <w:basedOn w:val="1"/>
    <w:autoRedefine/>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600">
    <w:name w:val="XW正文"/>
    <w:basedOn w:val="33"/>
    <w:autoRedefine/>
    <w:qFormat/>
    <w:uiPriority w:val="0"/>
    <w:pPr>
      <w:adjustRightInd w:val="0"/>
      <w:snapToGrid w:val="0"/>
      <w:spacing w:line="300" w:lineRule="auto"/>
      <w:ind w:firstLine="520" w:firstLineChars="200"/>
      <w:jc w:val="left"/>
    </w:pPr>
    <w:rPr>
      <w:rFonts w:ascii="Calibri" w:hAnsi="Calibri"/>
      <w:kern w:val="0"/>
      <w:sz w:val="21"/>
    </w:rPr>
  </w:style>
  <w:style w:type="paragraph" w:customStyle="1" w:styleId="601">
    <w:name w:val="news"/>
    <w:basedOn w:val="1"/>
    <w:autoRedefine/>
    <w:qFormat/>
    <w:uiPriority w:val="0"/>
    <w:pPr>
      <w:widowControl/>
      <w:spacing w:before="100" w:beforeAutospacing="1" w:after="100" w:afterAutospacing="1"/>
      <w:jc w:val="left"/>
    </w:pPr>
    <w:rPr>
      <w:rFonts w:ascii="宋体" w:hAnsi="宋体"/>
      <w:kern w:val="0"/>
      <w:sz w:val="20"/>
      <w:szCs w:val="20"/>
    </w:rPr>
  </w:style>
  <w:style w:type="paragraph" w:customStyle="1" w:styleId="602">
    <w:name w:val="样式 标题 2 + (西文) 方正书宋简体 (中文) 方正黑体简体 非加粗 黑色 行距: 固定值 15 磅"/>
    <w:basedOn w:val="4"/>
    <w:autoRedefine/>
    <w:qFormat/>
    <w:uiPriority w:val="0"/>
    <w:pPr>
      <w:tabs>
        <w:tab w:val="left" w:pos="1418"/>
      </w:tabs>
      <w:autoSpaceDE/>
      <w:autoSpaceDN/>
      <w:adjustRightInd/>
      <w:spacing w:before="0" w:line="300" w:lineRule="exact"/>
      <w:ind w:firstLine="200" w:firstLineChars="200"/>
      <w:jc w:val="left"/>
    </w:pPr>
    <w:rPr>
      <w:rFonts w:ascii="方正书宋简体" w:hAnsi="宋体" w:eastAsia="方正小标宋简体" w:cs="宋体"/>
      <w:b w:val="0"/>
      <w:color w:val="000000"/>
      <w:kern w:val="2"/>
      <w:sz w:val="21"/>
    </w:rPr>
  </w:style>
  <w:style w:type="paragraph" w:customStyle="1" w:styleId="603">
    <w:name w:val="p0"/>
    <w:basedOn w:val="1"/>
    <w:autoRedefine/>
    <w:qFormat/>
    <w:uiPriority w:val="0"/>
    <w:pPr>
      <w:widowControl/>
    </w:pPr>
    <w:rPr>
      <w:rFonts w:ascii="Calibri" w:hAnsi="Calibri"/>
      <w:kern w:val="0"/>
      <w:szCs w:val="21"/>
    </w:rPr>
  </w:style>
  <w:style w:type="paragraph" w:customStyle="1" w:styleId="604">
    <w:name w:val="纯文本1"/>
    <w:basedOn w:val="1"/>
    <w:autoRedefine/>
    <w:qFormat/>
    <w:uiPriority w:val="0"/>
    <w:rPr>
      <w:rFonts w:ascii="宋体" w:hAnsi="Courier New"/>
      <w:szCs w:val="20"/>
    </w:rPr>
  </w:style>
  <w:style w:type="paragraph" w:customStyle="1" w:styleId="605">
    <w:name w:val="Char1 Char Char"/>
    <w:basedOn w:val="1"/>
    <w:autoRedefine/>
    <w:qFormat/>
    <w:uiPriority w:val="0"/>
    <w:rPr>
      <w:rFonts w:ascii="仿宋_GB2312" w:hAnsi="Calibri" w:eastAsia="仿宋_GB2312"/>
      <w:b/>
      <w:sz w:val="32"/>
      <w:szCs w:val="32"/>
    </w:rPr>
  </w:style>
  <w:style w:type="paragraph" w:customStyle="1" w:styleId="606">
    <w:name w:val="标书正文居左"/>
    <w:basedOn w:val="577"/>
    <w:autoRedefine/>
    <w:qFormat/>
    <w:uiPriority w:val="0"/>
    <w:pPr>
      <w:tabs>
        <w:tab w:val="clear" w:pos="600"/>
      </w:tabs>
      <w:jc w:val="both"/>
    </w:pPr>
    <w:rPr>
      <w:rFonts w:eastAsia="宋体"/>
      <w:b w:val="0"/>
      <w:bCs/>
      <w:color w:val="000000"/>
      <w:sz w:val="24"/>
      <w:szCs w:val="24"/>
      <w:shd w:val="clear" w:color="auto" w:fill="FFFFFF"/>
    </w:rPr>
  </w:style>
  <w:style w:type="paragraph" w:customStyle="1" w:styleId="607">
    <w:name w:val="修订11"/>
    <w:autoRedefine/>
    <w:qFormat/>
    <w:uiPriority w:val="0"/>
    <w:rPr>
      <w:rFonts w:ascii="Times New Roman" w:hAnsi="Times New Roman" w:eastAsia="宋体" w:cs="Times New Roman"/>
      <w:kern w:val="2"/>
      <w:sz w:val="21"/>
      <w:szCs w:val="24"/>
      <w:lang w:val="en-US" w:eastAsia="zh-CN" w:bidi="ar-SA"/>
    </w:rPr>
  </w:style>
  <w:style w:type="paragraph" w:customStyle="1" w:styleId="608">
    <w:name w:val="样式 标题 1 + 黑体 三号 非加粗 居中 段前: 6 磅 段后: 6 磅 行距: 固定值 20 磅"/>
    <w:basedOn w:val="3"/>
    <w:autoRedefine/>
    <w:qFormat/>
    <w:uiPriority w:val="0"/>
    <w:pPr>
      <w:autoSpaceDE/>
      <w:autoSpaceDN/>
      <w:adjustRightInd/>
      <w:spacing w:before="120" w:line="400" w:lineRule="exact"/>
    </w:pPr>
    <w:rPr>
      <w:rFonts w:ascii="黑体" w:hAnsi="黑体" w:eastAsia="黑体" w:cs="宋体"/>
      <w:b w:val="0"/>
    </w:rPr>
  </w:style>
  <w:style w:type="paragraph" w:customStyle="1" w:styleId="609">
    <w:name w:val=".."/>
    <w:basedOn w:val="1"/>
    <w:next w:val="1"/>
    <w:autoRedefine/>
    <w:qFormat/>
    <w:uiPriority w:val="0"/>
    <w:pPr>
      <w:autoSpaceDE w:val="0"/>
      <w:autoSpaceDN w:val="0"/>
      <w:adjustRightInd w:val="0"/>
      <w:jc w:val="left"/>
    </w:pPr>
    <w:rPr>
      <w:rFonts w:ascii="Sim Sun+ 2" w:hAnsi="Calibri" w:eastAsia="Sim Sun+ 2"/>
      <w:kern w:val="0"/>
      <w:sz w:val="20"/>
      <w:lang w:eastAsia="en-US"/>
    </w:rPr>
  </w:style>
  <w:style w:type="paragraph" w:customStyle="1" w:styleId="610">
    <w:name w:val="Char12"/>
    <w:basedOn w:val="1"/>
    <w:autoRedefine/>
    <w:qFormat/>
    <w:uiPriority w:val="99"/>
    <w:rPr>
      <w:rFonts w:ascii="Tahoma" w:hAnsi="Tahoma"/>
      <w:sz w:val="24"/>
      <w:szCs w:val="20"/>
    </w:rPr>
  </w:style>
  <w:style w:type="paragraph" w:customStyle="1" w:styleId="611">
    <w:name w:val="xl63"/>
    <w:basedOn w:val="1"/>
    <w:autoRedefine/>
    <w:qFormat/>
    <w:uiPriority w:val="0"/>
    <w:pPr>
      <w:widowControl/>
      <w:pBdr>
        <w:left w:val="single" w:color="auto" w:sz="4" w:space="0"/>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612">
    <w:name w:val="Char Char Char Char4"/>
    <w:basedOn w:val="1"/>
    <w:autoRedefine/>
    <w:qFormat/>
    <w:uiPriority w:val="0"/>
    <w:pPr>
      <w:widowControl/>
      <w:spacing w:after="160" w:line="240" w:lineRule="exact"/>
      <w:jc w:val="left"/>
    </w:pPr>
    <w:rPr>
      <w:szCs w:val="20"/>
    </w:rPr>
  </w:style>
  <w:style w:type="paragraph" w:customStyle="1" w:styleId="613">
    <w:name w:val="样式 标题 2 + (西文) 方正书宋简体 (中文) 方正黑体简体 非加粗 黑色 段前: 0 磅 段后: 0 磅 行..."/>
    <w:basedOn w:val="4"/>
    <w:autoRedefine/>
    <w:qFormat/>
    <w:uiPriority w:val="0"/>
    <w:pPr>
      <w:tabs>
        <w:tab w:val="left" w:pos="1134"/>
      </w:tabs>
      <w:autoSpaceDE/>
      <w:autoSpaceDN/>
      <w:adjustRightInd/>
      <w:spacing w:before="0" w:line="300" w:lineRule="exact"/>
      <w:jc w:val="left"/>
    </w:pPr>
    <w:rPr>
      <w:rFonts w:ascii="方正书宋简体" w:hAnsi="宋体" w:eastAsia="方正小标宋简体" w:cs="宋体"/>
      <w:b w:val="0"/>
      <w:color w:val="000000"/>
      <w:kern w:val="2"/>
      <w:sz w:val="21"/>
    </w:rPr>
  </w:style>
  <w:style w:type="paragraph" w:customStyle="1" w:styleId="614">
    <w:name w:val="样式"/>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615">
    <w:name w:val="Char13"/>
    <w:basedOn w:val="1"/>
    <w:autoRedefine/>
    <w:qFormat/>
    <w:uiPriority w:val="0"/>
    <w:rPr>
      <w:rFonts w:ascii="Tahoma" w:hAnsi="Tahoma"/>
      <w:sz w:val="24"/>
      <w:szCs w:val="20"/>
    </w:rPr>
  </w:style>
  <w:style w:type="paragraph" w:customStyle="1" w:styleId="616">
    <w:name w:val="项目符号A"/>
    <w:basedOn w:val="1"/>
    <w:autoRedefine/>
    <w:qFormat/>
    <w:uiPriority w:val="0"/>
    <w:pPr>
      <w:tabs>
        <w:tab w:val="left" w:pos="1936"/>
      </w:tabs>
      <w:spacing w:line="360" w:lineRule="auto"/>
      <w:ind w:left="420"/>
      <w:jc w:val="left"/>
    </w:pPr>
    <w:rPr>
      <w:rFonts w:ascii="Arial" w:hAnsi="Arial"/>
      <w:b/>
      <w:bCs/>
      <w:color w:val="000000"/>
      <w:sz w:val="24"/>
    </w:rPr>
  </w:style>
  <w:style w:type="character" w:customStyle="1" w:styleId="617">
    <w:name w:val="Char Char8"/>
    <w:autoRedefine/>
    <w:qFormat/>
    <w:uiPriority w:val="0"/>
    <w:rPr>
      <w:rFonts w:ascii="宋体" w:hAnsi="Calibri" w:eastAsia="宋体" w:cs="Times New Roman"/>
      <w:b/>
      <w:bCs/>
      <w:sz w:val="24"/>
      <w:szCs w:val="24"/>
      <w:lang w:val="en-US" w:eastAsia="zh-CN" w:bidi="ar-SA"/>
    </w:rPr>
  </w:style>
  <w:style w:type="character" w:customStyle="1" w:styleId="618">
    <w:name w:val="Char Char61"/>
    <w:autoRedefine/>
    <w:qFormat/>
    <w:uiPriority w:val="0"/>
    <w:rPr>
      <w:rFonts w:ascii="Calibri" w:hAnsi="Calibri" w:eastAsia="宋体" w:cs="Times New Roman"/>
      <w:kern w:val="2"/>
      <w:sz w:val="21"/>
      <w:szCs w:val="24"/>
      <w:lang w:val="en-US" w:eastAsia="zh-CN" w:bidi="ar-SA"/>
    </w:rPr>
  </w:style>
  <w:style w:type="character" w:customStyle="1" w:styleId="619">
    <w:name w:val="Char Char71"/>
    <w:autoRedefine/>
    <w:qFormat/>
    <w:uiPriority w:val="0"/>
    <w:rPr>
      <w:rFonts w:ascii="宋体" w:hAnsi="宋体" w:eastAsia="宋体" w:cs="Times New Roman"/>
      <w:b/>
      <w:sz w:val="24"/>
      <w:szCs w:val="24"/>
      <w:lang w:val="en-US" w:eastAsia="zh-CN" w:bidi="ar-SA"/>
    </w:rPr>
  </w:style>
  <w:style w:type="character" w:customStyle="1" w:styleId="620">
    <w:name w:val="Char Char112"/>
    <w:autoRedefine/>
    <w:qFormat/>
    <w:uiPriority w:val="0"/>
    <w:rPr>
      <w:rFonts w:ascii="宋体" w:hAnsi="Calibri" w:eastAsia="宋体" w:cs="Times New Roman"/>
      <w:sz w:val="24"/>
      <w:szCs w:val="24"/>
      <w:lang w:val="en-US" w:eastAsia="zh-CN" w:bidi="ar-SA"/>
    </w:rPr>
  </w:style>
  <w:style w:type="character" w:customStyle="1" w:styleId="621">
    <w:name w:val="Char Char51"/>
    <w:autoRedefine/>
    <w:qFormat/>
    <w:uiPriority w:val="0"/>
    <w:rPr>
      <w:rFonts w:ascii="宋体" w:hAnsi="Calibri" w:eastAsia="宋体" w:cs="Times New Roman"/>
      <w:sz w:val="24"/>
      <w:szCs w:val="24"/>
      <w:lang w:val="en-US" w:eastAsia="zh-CN" w:bidi="ar-SA"/>
    </w:rPr>
  </w:style>
  <w:style w:type="character" w:customStyle="1" w:styleId="622">
    <w:name w:val="Char Char32"/>
    <w:autoRedefine/>
    <w:qFormat/>
    <w:uiPriority w:val="0"/>
    <w:rPr>
      <w:rFonts w:ascii="Calibri" w:hAnsi="Calibri" w:eastAsia="宋体" w:cs="Times New Roman"/>
      <w:sz w:val="24"/>
      <w:lang w:val="en-US" w:eastAsia="zh-CN" w:bidi="ar-SA"/>
    </w:rPr>
  </w:style>
  <w:style w:type="character" w:customStyle="1" w:styleId="623">
    <w:name w:val="题注 字符"/>
    <w:autoRedefine/>
    <w:qFormat/>
    <w:uiPriority w:val="0"/>
    <w:rPr>
      <w:rFonts w:ascii="Arial" w:hAnsi="Arial" w:eastAsia="黑体" w:cs="Arial"/>
      <w:kern w:val="2"/>
      <w:lang w:eastAsia="ar-SA"/>
    </w:rPr>
  </w:style>
  <w:style w:type="character" w:customStyle="1" w:styleId="624">
    <w:name w:val="Char Char14"/>
    <w:autoRedefine/>
    <w:qFormat/>
    <w:uiPriority w:val="0"/>
    <w:rPr>
      <w:rFonts w:ascii="Calibri" w:hAnsi="Calibri" w:eastAsia="宋体" w:cs="Times New Roman"/>
      <w:kern w:val="2"/>
      <w:sz w:val="24"/>
      <w:lang w:val="en-US" w:eastAsia="zh-CN" w:bidi="ar-SA"/>
    </w:rPr>
  </w:style>
  <w:style w:type="character" w:customStyle="1" w:styleId="625">
    <w:name w:val="书籍标题2"/>
    <w:autoRedefine/>
    <w:qFormat/>
    <w:uiPriority w:val="0"/>
    <w:rPr>
      <w:rFonts w:ascii="Calibri" w:hAnsi="Calibri" w:eastAsia="宋体" w:cs="Times New Roman"/>
      <w:b/>
      <w:bCs/>
      <w:smallCaps/>
      <w:spacing w:val="5"/>
    </w:rPr>
  </w:style>
  <w:style w:type="paragraph" w:customStyle="1" w:styleId="626">
    <w:name w:val="Char14"/>
    <w:basedOn w:val="1"/>
    <w:autoRedefine/>
    <w:qFormat/>
    <w:uiPriority w:val="0"/>
    <w:rPr>
      <w:rFonts w:ascii="Tahoma" w:hAnsi="Tahoma"/>
      <w:sz w:val="24"/>
      <w:szCs w:val="20"/>
    </w:rPr>
  </w:style>
  <w:style w:type="paragraph" w:customStyle="1" w:styleId="627">
    <w:name w:val="修订2"/>
    <w:autoRedefine/>
    <w:qFormat/>
    <w:uiPriority w:val="99"/>
    <w:rPr>
      <w:rFonts w:ascii="Times New Roman" w:hAnsi="Times New Roman" w:eastAsia="宋体" w:cs="Times New Roman"/>
      <w:kern w:val="2"/>
      <w:sz w:val="21"/>
      <w:szCs w:val="24"/>
      <w:lang w:val="en-US" w:eastAsia="zh-CN" w:bidi="ar-SA"/>
    </w:rPr>
  </w:style>
  <w:style w:type="paragraph" w:customStyle="1" w:styleId="628">
    <w:name w:val="TOC 标题2"/>
    <w:basedOn w:val="3"/>
    <w:next w:val="1"/>
    <w:autoRedefine/>
    <w:qFormat/>
    <w:uiPriority w:val="0"/>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629">
    <w:name w:val="Char Char Char Char5"/>
    <w:basedOn w:val="1"/>
    <w:autoRedefine/>
    <w:qFormat/>
    <w:uiPriority w:val="0"/>
    <w:pPr>
      <w:widowControl/>
      <w:spacing w:after="160" w:line="240" w:lineRule="exact"/>
      <w:jc w:val="left"/>
    </w:pPr>
    <w:rPr>
      <w:rFonts w:ascii="Calibri" w:hAnsi="Calibri"/>
      <w:szCs w:val="20"/>
    </w:rPr>
  </w:style>
  <w:style w:type="paragraph" w:customStyle="1" w:styleId="630">
    <w:name w:val="Char4"/>
    <w:basedOn w:val="1"/>
    <w:autoRedefine/>
    <w:qFormat/>
    <w:uiPriority w:val="0"/>
    <w:rPr>
      <w:rFonts w:ascii="Tahoma" w:hAnsi="Tahoma"/>
      <w:sz w:val="24"/>
      <w:szCs w:val="20"/>
    </w:rPr>
  </w:style>
  <w:style w:type="paragraph" w:customStyle="1" w:styleId="631">
    <w:name w:val="Char Char Char Char Char Char Char Char Char Char Char Char Char2"/>
    <w:basedOn w:val="1"/>
    <w:autoRedefine/>
    <w:qFormat/>
    <w:uiPriority w:val="0"/>
    <w:rPr>
      <w:rFonts w:ascii="仿宋_GB2312" w:hAnsi="Calibri" w:eastAsia="仿宋_GB2312"/>
      <w:b/>
      <w:sz w:val="32"/>
      <w:szCs w:val="32"/>
    </w:rPr>
  </w:style>
  <w:style w:type="paragraph" w:customStyle="1" w:styleId="632">
    <w:name w:val="正文2"/>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33">
    <w:name w:val="列出段落3"/>
    <w:autoRedefine/>
    <w:qFormat/>
    <w:uiPriority w:val="34"/>
    <w:pPr>
      <w:ind w:firstLine="420" w:firstLineChars="200"/>
    </w:pPr>
    <w:rPr>
      <w:rFonts w:ascii="Times New Roman" w:hAnsi="Times New Roman" w:eastAsia="宋体" w:cs="Times New Roman"/>
      <w:lang w:val="en-US" w:eastAsia="zh-CN" w:bidi="ar-SA"/>
    </w:rPr>
  </w:style>
  <w:style w:type="character" w:customStyle="1" w:styleId="634">
    <w:name w:val="Char Char62"/>
    <w:autoRedefine/>
    <w:qFormat/>
    <w:uiPriority w:val="0"/>
    <w:rPr>
      <w:rFonts w:ascii="Calibri" w:hAnsi="Calibri" w:eastAsia="宋体" w:cs="Times New Roman"/>
      <w:kern w:val="2"/>
      <w:sz w:val="21"/>
      <w:szCs w:val="24"/>
      <w:lang w:val="en-US" w:eastAsia="zh-CN" w:bidi="ar-SA"/>
    </w:rPr>
  </w:style>
  <w:style w:type="character" w:customStyle="1" w:styleId="635">
    <w:name w:val="Char Char15"/>
    <w:autoRedefine/>
    <w:qFormat/>
    <w:uiPriority w:val="0"/>
    <w:rPr>
      <w:rFonts w:ascii="Calibri" w:hAnsi="Calibri" w:eastAsia="宋体" w:cs="Times New Roman"/>
      <w:kern w:val="2"/>
      <w:sz w:val="24"/>
      <w:lang w:val="en-US" w:eastAsia="zh-CN" w:bidi="ar-SA"/>
    </w:rPr>
  </w:style>
  <w:style w:type="character" w:customStyle="1" w:styleId="636">
    <w:name w:val="Char Char42"/>
    <w:autoRedefine/>
    <w:qFormat/>
    <w:uiPriority w:val="0"/>
    <w:rPr>
      <w:rFonts w:ascii="华文细黑" w:hAnsi="华文细黑" w:eastAsia="华文细黑" w:cs="Arial"/>
      <w:b/>
      <w:bCs/>
      <w:color w:val="000000"/>
      <w:sz w:val="52"/>
      <w:szCs w:val="32"/>
      <w:lang w:val="en-US" w:eastAsia="zh-CN" w:bidi="ar-SA"/>
    </w:rPr>
  </w:style>
  <w:style w:type="character" w:customStyle="1" w:styleId="637">
    <w:name w:val="Char Char33"/>
    <w:autoRedefine/>
    <w:qFormat/>
    <w:uiPriority w:val="0"/>
    <w:rPr>
      <w:rFonts w:ascii="Calibri" w:hAnsi="Calibri" w:eastAsia="宋体" w:cs="Times New Roman"/>
      <w:sz w:val="24"/>
      <w:lang w:val="en-US" w:eastAsia="zh-CN" w:bidi="ar-SA"/>
    </w:rPr>
  </w:style>
  <w:style w:type="character" w:customStyle="1" w:styleId="638">
    <w:name w:val="正文3"/>
    <w:autoRedefine/>
    <w:qFormat/>
    <w:uiPriority w:val="0"/>
    <w:rPr>
      <w:rFonts w:cs="Times New Roman"/>
    </w:rPr>
  </w:style>
  <w:style w:type="character" w:customStyle="1" w:styleId="639">
    <w:name w:val="Char Char52"/>
    <w:autoRedefine/>
    <w:qFormat/>
    <w:uiPriority w:val="0"/>
    <w:rPr>
      <w:rFonts w:ascii="宋体" w:hAnsi="Calibri" w:eastAsia="宋体" w:cs="Times New Roman"/>
      <w:sz w:val="24"/>
      <w:szCs w:val="24"/>
      <w:lang w:val="en-US" w:eastAsia="zh-CN" w:bidi="ar-SA"/>
    </w:rPr>
  </w:style>
  <w:style w:type="character" w:customStyle="1" w:styleId="640">
    <w:name w:val="Char Char9"/>
    <w:autoRedefine/>
    <w:qFormat/>
    <w:uiPriority w:val="0"/>
    <w:rPr>
      <w:rFonts w:ascii="宋体" w:hAnsi="Calibri" w:eastAsia="宋体" w:cs="Times New Roman"/>
      <w:b/>
      <w:bCs/>
      <w:sz w:val="24"/>
      <w:szCs w:val="24"/>
      <w:lang w:val="en-US" w:eastAsia="zh-CN" w:bidi="ar-SA"/>
    </w:rPr>
  </w:style>
  <w:style w:type="character" w:customStyle="1" w:styleId="641">
    <w:name w:val="Char Char72"/>
    <w:autoRedefine/>
    <w:qFormat/>
    <w:uiPriority w:val="0"/>
    <w:rPr>
      <w:rFonts w:ascii="宋体" w:hAnsi="宋体" w:eastAsia="宋体" w:cs="Times New Roman"/>
      <w:b/>
      <w:sz w:val="24"/>
      <w:szCs w:val="24"/>
      <w:lang w:val="en-US" w:eastAsia="zh-CN" w:bidi="ar-SA"/>
    </w:rPr>
  </w:style>
  <w:style w:type="character" w:customStyle="1" w:styleId="642">
    <w:name w:val="Char Char113"/>
    <w:autoRedefine/>
    <w:qFormat/>
    <w:uiPriority w:val="0"/>
    <w:rPr>
      <w:rFonts w:ascii="宋体" w:hAnsi="Calibri" w:eastAsia="宋体" w:cs="Times New Roman"/>
      <w:sz w:val="24"/>
      <w:szCs w:val="24"/>
      <w:lang w:val="en-US" w:eastAsia="zh-CN" w:bidi="ar-SA"/>
    </w:rPr>
  </w:style>
  <w:style w:type="paragraph" w:customStyle="1" w:styleId="643">
    <w:name w:val="样式 首行缩进:  2 字符"/>
    <w:basedOn w:val="1"/>
    <w:link w:val="644"/>
    <w:autoRedefine/>
    <w:qFormat/>
    <w:uiPriority w:val="0"/>
    <w:pPr>
      <w:spacing w:line="360" w:lineRule="auto"/>
      <w:ind w:firstLine="480" w:firstLineChars="200"/>
    </w:pPr>
    <w:rPr>
      <w:rFonts w:ascii="宋体" w:cs="宋体"/>
      <w:sz w:val="24"/>
    </w:rPr>
  </w:style>
  <w:style w:type="character" w:customStyle="1" w:styleId="644">
    <w:name w:val="样式 首行缩进:  2 字符 Char"/>
    <w:link w:val="643"/>
    <w:autoRedefine/>
    <w:qFormat/>
    <w:uiPriority w:val="0"/>
    <w:rPr>
      <w:rFonts w:ascii="宋体" w:cs="宋体"/>
      <w:kern w:val="2"/>
      <w:sz w:val="24"/>
      <w:szCs w:val="24"/>
    </w:rPr>
  </w:style>
  <w:style w:type="paragraph" w:customStyle="1" w:styleId="645">
    <w:name w:val="_Style 234"/>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6">
    <w:name w:val="TOC 标题21"/>
    <w:basedOn w:val="3"/>
    <w:next w:val="1"/>
    <w:autoRedefine/>
    <w:qFormat/>
    <w:uiPriority w:val="39"/>
    <w:pPr>
      <w:widowControl/>
      <w:tabs>
        <w:tab w:val="left" w:pos="432"/>
      </w:tabs>
      <w:autoSpaceDE/>
      <w:autoSpaceDN/>
      <w:adjustRightInd/>
      <w:spacing w:before="480" w:after="0" w:line="276" w:lineRule="auto"/>
      <w:jc w:val="left"/>
      <w:outlineLvl w:val="9"/>
    </w:pPr>
    <w:rPr>
      <w:rFonts w:ascii="Cambria" w:hAnsi="Cambria"/>
      <w:bCs/>
      <w:color w:val="365F91"/>
      <w:sz w:val="28"/>
      <w:szCs w:val="28"/>
    </w:rPr>
  </w:style>
  <w:style w:type="paragraph" w:customStyle="1" w:styleId="647">
    <w:name w:val="Char5"/>
    <w:basedOn w:val="1"/>
    <w:autoRedefine/>
    <w:qFormat/>
    <w:uiPriority w:val="0"/>
    <w:rPr>
      <w:rFonts w:ascii="Tahoma" w:hAnsi="Tahoma"/>
      <w:sz w:val="24"/>
      <w:szCs w:val="20"/>
    </w:rPr>
  </w:style>
  <w:style w:type="paragraph" w:customStyle="1" w:styleId="648">
    <w:name w:val="正文4"/>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49">
    <w:name w:val="列出段落4"/>
    <w:basedOn w:val="1"/>
    <w:autoRedefine/>
    <w:qFormat/>
    <w:uiPriority w:val="0"/>
    <w:pPr>
      <w:ind w:firstLine="420" w:firstLineChars="200"/>
    </w:pPr>
  </w:style>
  <w:style w:type="paragraph" w:customStyle="1" w:styleId="650">
    <w:name w:val="表内居中"/>
    <w:basedOn w:val="1"/>
    <w:autoRedefine/>
    <w:qFormat/>
    <w:uiPriority w:val="0"/>
    <w:pPr>
      <w:textAlignment w:val="center"/>
    </w:pPr>
    <w:rPr>
      <w:rFonts w:ascii="宋体" w:hAnsi="宋体"/>
      <w:b/>
      <w:sz w:val="24"/>
      <w:szCs w:val="21"/>
    </w:rPr>
  </w:style>
  <w:style w:type="paragraph" w:customStyle="1" w:styleId="651">
    <w:name w:val="Char15"/>
    <w:basedOn w:val="1"/>
    <w:autoRedefine/>
    <w:qFormat/>
    <w:uiPriority w:val="0"/>
    <w:rPr>
      <w:rFonts w:ascii="Tahoma" w:hAnsi="Tahoma"/>
      <w:sz w:val="24"/>
      <w:szCs w:val="20"/>
    </w:rPr>
  </w:style>
  <w:style w:type="paragraph" w:customStyle="1" w:styleId="652">
    <w:name w:val="_Style 241"/>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3">
    <w:name w:val="Char Char Char Char Char Char11"/>
    <w:basedOn w:val="1"/>
    <w:autoRedefine/>
    <w:qFormat/>
    <w:uiPriority w:val="0"/>
    <w:rPr>
      <w:rFonts w:ascii="Tahoma" w:hAnsi="Tahoma"/>
      <w:sz w:val="24"/>
      <w:szCs w:val="20"/>
    </w:rPr>
  </w:style>
  <w:style w:type="paragraph" w:customStyle="1" w:styleId="654">
    <w:name w:val="Char Char Char Char Char Char Char Char Char Char Char Char Char3"/>
    <w:basedOn w:val="1"/>
    <w:autoRedefine/>
    <w:qFormat/>
    <w:uiPriority w:val="0"/>
    <w:rPr>
      <w:rFonts w:ascii="仿宋_GB2312" w:hAnsi="Calibri" w:eastAsia="仿宋_GB2312"/>
      <w:b/>
      <w:sz w:val="32"/>
      <w:szCs w:val="32"/>
    </w:rPr>
  </w:style>
  <w:style w:type="character" w:customStyle="1" w:styleId="655">
    <w:name w:val="正文格式 Char1"/>
    <w:autoRedefine/>
    <w:qFormat/>
    <w:uiPriority w:val="0"/>
    <w:rPr>
      <w:kern w:val="2"/>
      <w:sz w:val="21"/>
      <w:szCs w:val="24"/>
    </w:rPr>
  </w:style>
  <w:style w:type="paragraph" w:customStyle="1" w:styleId="656">
    <w:name w:val="Char Char Char Char6"/>
    <w:basedOn w:val="1"/>
    <w:autoRedefine/>
    <w:qFormat/>
    <w:uiPriority w:val="0"/>
    <w:pPr>
      <w:widowControl/>
      <w:spacing w:after="160" w:line="240" w:lineRule="exact"/>
      <w:jc w:val="left"/>
    </w:pPr>
    <w:rPr>
      <w:rFonts w:ascii="Calibri" w:hAnsi="Calibri"/>
      <w:szCs w:val="20"/>
    </w:rPr>
  </w:style>
  <w:style w:type="character" w:customStyle="1" w:styleId="657">
    <w:name w:val="列出段落 字符"/>
    <w:autoRedefine/>
    <w:qFormat/>
    <w:uiPriority w:val="1"/>
    <w:rPr>
      <w:kern w:val="2"/>
      <w:sz w:val="21"/>
      <w:szCs w:val="22"/>
    </w:rPr>
  </w:style>
  <w:style w:type="character" w:customStyle="1" w:styleId="658">
    <w:name w:val="未处理的提及1"/>
    <w:autoRedefine/>
    <w:unhideWhenUsed/>
    <w:qFormat/>
    <w:uiPriority w:val="99"/>
    <w:rPr>
      <w:rFonts w:ascii="Calibri" w:hAnsi="Calibri" w:eastAsia="宋体" w:cs="Times New Roman"/>
      <w:color w:val="808080"/>
      <w:shd w:val="clear" w:color="auto" w:fill="E6E6E6"/>
    </w:rPr>
  </w:style>
  <w:style w:type="character" w:customStyle="1" w:styleId="659">
    <w:name w:val="标题 6 字符1"/>
    <w:autoRedefine/>
    <w:qFormat/>
    <w:uiPriority w:val="0"/>
    <w:rPr>
      <w:rFonts w:ascii="Cambria" w:hAnsi="Cambria" w:eastAsia="宋体" w:cs="Times New Roman"/>
      <w:b/>
      <w:bCs/>
      <w:kern w:val="2"/>
      <w:sz w:val="24"/>
      <w:szCs w:val="24"/>
    </w:rPr>
  </w:style>
  <w:style w:type="character" w:customStyle="1" w:styleId="660">
    <w:name w:val="文档结构图 字符1"/>
    <w:autoRedefine/>
    <w:qFormat/>
    <w:locked/>
    <w:uiPriority w:val="0"/>
    <w:rPr>
      <w:rFonts w:ascii="宋体" w:eastAsia="宋体"/>
      <w:kern w:val="2"/>
      <w:sz w:val="18"/>
      <w:lang w:eastAsia="zh-CN"/>
    </w:rPr>
  </w:style>
  <w:style w:type="character" w:customStyle="1" w:styleId="661">
    <w:name w:val="标题 9 字符1"/>
    <w:autoRedefine/>
    <w:qFormat/>
    <w:uiPriority w:val="0"/>
    <w:rPr>
      <w:rFonts w:ascii="Cambria" w:hAnsi="Cambria" w:eastAsia="宋体" w:cs="Times New Roman"/>
      <w:kern w:val="2"/>
      <w:sz w:val="21"/>
      <w:szCs w:val="21"/>
    </w:rPr>
  </w:style>
  <w:style w:type="character" w:customStyle="1" w:styleId="662">
    <w:name w:val="日期 字符1"/>
    <w:autoRedefine/>
    <w:qFormat/>
    <w:uiPriority w:val="0"/>
    <w:rPr>
      <w:kern w:val="2"/>
      <w:sz w:val="21"/>
      <w:szCs w:val="24"/>
    </w:rPr>
  </w:style>
  <w:style w:type="character" w:customStyle="1" w:styleId="663">
    <w:name w:val="标题 8 字符1"/>
    <w:autoRedefine/>
    <w:qFormat/>
    <w:uiPriority w:val="0"/>
    <w:rPr>
      <w:rFonts w:ascii="Cambria" w:hAnsi="Cambria" w:eastAsia="宋体" w:cs="Times New Roman"/>
      <w:kern w:val="2"/>
      <w:sz w:val="24"/>
      <w:szCs w:val="24"/>
    </w:rPr>
  </w:style>
  <w:style w:type="character" w:customStyle="1" w:styleId="664">
    <w:name w:val="标题 4 字符1"/>
    <w:autoRedefine/>
    <w:qFormat/>
    <w:uiPriority w:val="0"/>
    <w:rPr>
      <w:rFonts w:ascii="Cambria" w:hAnsi="Cambria" w:eastAsia="宋体" w:cs="Times New Roman"/>
      <w:b/>
      <w:bCs/>
      <w:kern w:val="2"/>
      <w:sz w:val="28"/>
      <w:szCs w:val="28"/>
    </w:rPr>
  </w:style>
  <w:style w:type="character" w:customStyle="1" w:styleId="665">
    <w:name w:val="标题 5 字符1"/>
    <w:autoRedefine/>
    <w:qFormat/>
    <w:uiPriority w:val="0"/>
    <w:rPr>
      <w:rFonts w:ascii="Times New Roman" w:hAnsi="Times New Roman" w:eastAsia="宋体" w:cs="Times New Roman"/>
      <w:b/>
      <w:bCs/>
      <w:kern w:val="2"/>
      <w:sz w:val="28"/>
      <w:szCs w:val="28"/>
    </w:rPr>
  </w:style>
  <w:style w:type="character" w:customStyle="1" w:styleId="666">
    <w:name w:val="标题 字符1"/>
    <w:autoRedefine/>
    <w:qFormat/>
    <w:locked/>
    <w:uiPriority w:val="0"/>
    <w:rPr>
      <w:rFonts w:ascii="Cambria" w:hAnsi="Cambria" w:eastAsia="宋体"/>
      <w:b/>
      <w:kern w:val="2"/>
      <w:sz w:val="32"/>
      <w:lang w:eastAsia="zh-CN"/>
    </w:rPr>
  </w:style>
  <w:style w:type="character" w:customStyle="1" w:styleId="667">
    <w:name w:val="正文文本 3 字符1"/>
    <w:autoRedefine/>
    <w:qFormat/>
    <w:uiPriority w:val="0"/>
    <w:rPr>
      <w:kern w:val="2"/>
      <w:sz w:val="16"/>
      <w:szCs w:val="16"/>
    </w:rPr>
  </w:style>
  <w:style w:type="character" w:customStyle="1" w:styleId="668">
    <w:name w:val="标题 7 字符1"/>
    <w:autoRedefine/>
    <w:qFormat/>
    <w:uiPriority w:val="0"/>
    <w:rPr>
      <w:rFonts w:ascii="Times New Roman" w:hAnsi="Times New Roman" w:eastAsia="宋体" w:cs="Times New Roman"/>
      <w:b/>
      <w:bCs/>
      <w:kern w:val="2"/>
      <w:sz w:val="24"/>
      <w:szCs w:val="24"/>
    </w:rPr>
  </w:style>
  <w:style w:type="character" w:customStyle="1" w:styleId="669">
    <w:name w:val="正文文本缩进 2 字符1"/>
    <w:autoRedefine/>
    <w:qFormat/>
    <w:locked/>
    <w:uiPriority w:val="0"/>
    <w:rPr>
      <w:kern w:val="2"/>
      <w:sz w:val="24"/>
    </w:rPr>
  </w:style>
  <w:style w:type="character" w:customStyle="1" w:styleId="670">
    <w:name w:val="正文文本缩进 字符1"/>
    <w:autoRedefine/>
    <w:qFormat/>
    <w:locked/>
    <w:uiPriority w:val="0"/>
    <w:rPr>
      <w:rFonts w:ascii="宋体" w:eastAsia="宋体"/>
      <w:kern w:val="2"/>
      <w:sz w:val="28"/>
    </w:rPr>
  </w:style>
  <w:style w:type="character" w:customStyle="1" w:styleId="671">
    <w:name w:val="正文文本 2 字符1"/>
    <w:autoRedefine/>
    <w:qFormat/>
    <w:uiPriority w:val="0"/>
    <w:rPr>
      <w:kern w:val="2"/>
      <w:sz w:val="21"/>
      <w:szCs w:val="24"/>
    </w:rPr>
  </w:style>
  <w:style w:type="character" w:customStyle="1" w:styleId="672">
    <w:name w:val="批注框文本 字符1"/>
    <w:autoRedefine/>
    <w:qFormat/>
    <w:locked/>
    <w:uiPriority w:val="0"/>
    <w:rPr>
      <w:kern w:val="2"/>
      <w:sz w:val="18"/>
    </w:rPr>
  </w:style>
  <w:style w:type="character" w:customStyle="1" w:styleId="673">
    <w:name w:val="批注主题 字符1"/>
    <w:autoRedefine/>
    <w:qFormat/>
    <w:locked/>
    <w:uiPriority w:val="0"/>
    <w:rPr>
      <w:rFonts w:cs="Times New Roman"/>
      <w:sz w:val="24"/>
    </w:rPr>
  </w:style>
  <w:style w:type="character" w:customStyle="1" w:styleId="674">
    <w:name w:val="HTML 预设格式 字符1"/>
    <w:autoRedefine/>
    <w:qFormat/>
    <w:uiPriority w:val="0"/>
    <w:rPr>
      <w:rFonts w:ascii="宋体" w:hAnsi="宋体" w:eastAsia="宋体" w:cs="Times New Roman"/>
      <w:sz w:val="24"/>
      <w:szCs w:val="24"/>
    </w:rPr>
  </w:style>
  <w:style w:type="character" w:customStyle="1" w:styleId="675">
    <w:name w:val="正文文本缩进 3 字符1"/>
    <w:autoRedefine/>
    <w:qFormat/>
    <w:uiPriority w:val="0"/>
    <w:rPr>
      <w:rFonts w:ascii="Times New Roman" w:hAnsi="Times New Roman" w:eastAsia="宋体" w:cs="Times New Roman"/>
      <w:kern w:val="2"/>
      <w:sz w:val="16"/>
      <w:szCs w:val="16"/>
    </w:rPr>
  </w:style>
  <w:style w:type="paragraph" w:customStyle="1" w:styleId="676">
    <w:name w:val="_Style 14"/>
    <w:basedOn w:val="1"/>
    <w:next w:val="44"/>
    <w:autoRedefine/>
    <w:qFormat/>
    <w:uiPriority w:val="0"/>
    <w:rPr>
      <w:rFonts w:hint="eastAsia" w:ascii="宋体" w:hAnsi="Courier New"/>
      <w:szCs w:val="21"/>
    </w:rPr>
  </w:style>
  <w:style w:type="character" w:customStyle="1" w:styleId="677">
    <w:name w:val="未处理的提及2"/>
    <w:autoRedefine/>
    <w:unhideWhenUsed/>
    <w:qFormat/>
    <w:uiPriority w:val="99"/>
    <w:rPr>
      <w:color w:val="605E5C"/>
      <w:shd w:val="clear" w:color="auto" w:fill="E1DFDD"/>
    </w:rPr>
  </w:style>
  <w:style w:type="paragraph" w:customStyle="1" w:styleId="678">
    <w:name w:val="彩色列表 - 强调文字颜色 11"/>
    <w:basedOn w:val="1"/>
    <w:autoRedefine/>
    <w:qFormat/>
    <w:uiPriority w:val="0"/>
    <w:pPr>
      <w:ind w:firstLine="420" w:firstLineChars="200"/>
    </w:pPr>
  </w:style>
  <w:style w:type="paragraph" w:customStyle="1" w:styleId="679">
    <w:name w:val="彩色列表 - 着色 11"/>
    <w:basedOn w:val="1"/>
    <w:autoRedefine/>
    <w:qFormat/>
    <w:uiPriority w:val="99"/>
    <w:pPr>
      <w:ind w:firstLine="420" w:firstLineChars="200"/>
    </w:pPr>
  </w:style>
  <w:style w:type="paragraph" w:customStyle="1" w:styleId="680">
    <w:name w:val="网格表 31"/>
    <w:basedOn w:val="3"/>
    <w:next w:val="1"/>
    <w:autoRedefine/>
    <w:qFormat/>
    <w:uiPriority w:val="9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681">
    <w:name w:val="_Style 434"/>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2">
    <w:name w:val="9-121"/>
    <w:autoRedefine/>
    <w:qFormat/>
    <w:uiPriority w:val="0"/>
    <w:rPr>
      <w:sz w:val="18"/>
    </w:rPr>
  </w:style>
  <w:style w:type="character" w:customStyle="1" w:styleId="683">
    <w:name w:val="font31"/>
    <w:autoRedefine/>
    <w:qFormat/>
    <w:uiPriority w:val="0"/>
    <w:rPr>
      <w:rFonts w:hint="eastAsia" w:ascii="宋体" w:hAnsi="宋体" w:eastAsia="宋体" w:cs="宋体"/>
      <w:color w:val="000000"/>
      <w:sz w:val="18"/>
      <w:szCs w:val="18"/>
      <w:u w:val="none"/>
    </w:rPr>
  </w:style>
  <w:style w:type="character" w:customStyle="1" w:styleId="684">
    <w:name w:val="apple-converted-space"/>
    <w:autoRedefine/>
    <w:qFormat/>
    <w:uiPriority w:val="0"/>
  </w:style>
  <w:style w:type="character" w:customStyle="1" w:styleId="685">
    <w:name w:val="标题 Char2"/>
    <w:autoRedefine/>
    <w:qFormat/>
    <w:uiPriority w:val="10"/>
    <w:rPr>
      <w:rFonts w:ascii="Cambria" w:hAnsi="Cambria" w:eastAsia="宋体" w:cs="Times New Roman"/>
      <w:b/>
      <w:bCs/>
      <w:sz w:val="32"/>
      <w:szCs w:val="32"/>
    </w:rPr>
  </w:style>
  <w:style w:type="character" w:customStyle="1" w:styleId="686">
    <w:name w:val="标准正文 Char"/>
    <w:link w:val="687"/>
    <w:autoRedefine/>
    <w:qFormat/>
    <w:uiPriority w:val="0"/>
    <w:rPr>
      <w:sz w:val="24"/>
    </w:rPr>
  </w:style>
  <w:style w:type="paragraph" w:customStyle="1" w:styleId="687">
    <w:name w:val="标准正文"/>
    <w:basedOn w:val="33"/>
    <w:link w:val="686"/>
    <w:autoRedefine/>
    <w:qFormat/>
    <w:uiPriority w:val="0"/>
    <w:pPr>
      <w:spacing w:before="60" w:after="60"/>
      <w:ind w:firstLine="482"/>
    </w:pPr>
    <w:rPr>
      <w:kern w:val="0"/>
      <w:szCs w:val="20"/>
    </w:rPr>
  </w:style>
  <w:style w:type="character" w:customStyle="1" w:styleId="688">
    <w:name w:val="font01"/>
    <w:autoRedefine/>
    <w:qFormat/>
    <w:uiPriority w:val="0"/>
    <w:rPr>
      <w:rFonts w:ascii="Palatino Linotype" w:hAnsi="Palatino Linotype" w:eastAsia="Palatino Linotype" w:cs="Palatino Linotype"/>
      <w:color w:val="000000"/>
      <w:sz w:val="18"/>
      <w:szCs w:val="18"/>
      <w:u w:val="none"/>
    </w:rPr>
  </w:style>
  <w:style w:type="character" w:customStyle="1" w:styleId="689">
    <w:name w:val="标准文本 Char"/>
    <w:link w:val="690"/>
    <w:autoRedefine/>
    <w:qFormat/>
    <w:uiPriority w:val="0"/>
    <w:rPr>
      <w:rFonts w:cs="宋体"/>
      <w:sz w:val="24"/>
    </w:rPr>
  </w:style>
  <w:style w:type="paragraph" w:customStyle="1" w:styleId="690">
    <w:name w:val="标准文本"/>
    <w:basedOn w:val="1"/>
    <w:link w:val="689"/>
    <w:autoRedefine/>
    <w:qFormat/>
    <w:uiPriority w:val="0"/>
    <w:pPr>
      <w:spacing w:line="360" w:lineRule="auto"/>
      <w:ind w:firstLine="480" w:firstLineChars="200"/>
    </w:pPr>
    <w:rPr>
      <w:rFonts w:cs="宋体"/>
      <w:kern w:val="0"/>
      <w:sz w:val="24"/>
      <w:szCs w:val="20"/>
    </w:rPr>
  </w:style>
  <w:style w:type="character" w:customStyle="1" w:styleId="691">
    <w:name w:val="font21"/>
    <w:autoRedefine/>
    <w:qFormat/>
    <w:uiPriority w:val="0"/>
    <w:rPr>
      <w:rFonts w:hint="eastAsia" w:ascii="宋体" w:hAnsi="宋体" w:eastAsia="宋体" w:cs="宋体"/>
      <w:color w:val="000000"/>
      <w:sz w:val="18"/>
      <w:szCs w:val="18"/>
      <w:u w:val="none"/>
    </w:rPr>
  </w:style>
  <w:style w:type="character" w:customStyle="1" w:styleId="692">
    <w:name w:val="彩色列表 - 着色 1 Char"/>
    <w:autoRedefine/>
    <w:qFormat/>
    <w:uiPriority w:val="34"/>
    <w:rPr>
      <w:kern w:val="2"/>
      <w:sz w:val="21"/>
      <w:szCs w:val="22"/>
    </w:rPr>
  </w:style>
  <w:style w:type="character" w:customStyle="1" w:styleId="693">
    <w:name w:val="页码1"/>
    <w:autoRedefine/>
    <w:qFormat/>
    <w:uiPriority w:val="99"/>
  </w:style>
  <w:style w:type="character" w:customStyle="1" w:styleId="694">
    <w:name w:val="样式 首行缩进:  2 字符 + 宋体 Char"/>
    <w:link w:val="695"/>
    <w:autoRedefine/>
    <w:qFormat/>
    <w:uiPriority w:val="0"/>
    <w:rPr>
      <w:rFonts w:ascii="宋体" w:hAnsi="宋体" w:cs="宋体"/>
      <w:sz w:val="24"/>
    </w:rPr>
  </w:style>
  <w:style w:type="paragraph" w:customStyle="1" w:styleId="695">
    <w:name w:val="样式 首行缩进:  2 字符 + 宋体"/>
    <w:basedOn w:val="1"/>
    <w:link w:val="694"/>
    <w:autoRedefine/>
    <w:qFormat/>
    <w:uiPriority w:val="0"/>
    <w:pPr>
      <w:spacing w:line="360" w:lineRule="auto"/>
      <w:ind w:firstLine="200" w:firstLineChars="200"/>
    </w:pPr>
    <w:rPr>
      <w:rFonts w:ascii="宋体" w:hAnsi="宋体" w:cs="宋体"/>
      <w:kern w:val="0"/>
      <w:sz w:val="24"/>
      <w:szCs w:val="20"/>
    </w:rPr>
  </w:style>
  <w:style w:type="character" w:customStyle="1" w:styleId="696">
    <w:name w:val="word331"/>
    <w:autoRedefine/>
    <w:qFormat/>
    <w:uiPriority w:val="0"/>
    <w:rPr>
      <w:b/>
      <w:bCs/>
      <w:color w:val="002A4E"/>
      <w:sz w:val="20"/>
      <w:szCs w:val="20"/>
    </w:rPr>
  </w:style>
  <w:style w:type="paragraph" w:customStyle="1" w:styleId="697">
    <w:name w:val="标题三"/>
    <w:basedOn w:val="5"/>
    <w:next w:val="8"/>
    <w:autoRedefine/>
    <w:qFormat/>
    <w:uiPriority w:val="0"/>
    <w:pPr>
      <w:tabs>
        <w:tab w:val="left" w:pos="720"/>
        <w:tab w:val="left" w:pos="1080"/>
      </w:tabs>
      <w:spacing w:before="120" w:line="380" w:lineRule="exact"/>
      <w:ind w:left="1418" w:right="567" w:hanging="851"/>
    </w:pPr>
    <w:rPr>
      <w:rFonts w:ascii="Times New Roman"/>
      <w:bCs/>
      <w:kern w:val="2"/>
      <w:sz w:val="21"/>
      <w:szCs w:val="21"/>
      <w:u w:val="none"/>
    </w:rPr>
  </w:style>
  <w:style w:type="paragraph" w:customStyle="1" w:styleId="698">
    <w:name w:val="普通 (Web)"/>
    <w:basedOn w:val="1"/>
    <w:autoRedefine/>
    <w:qFormat/>
    <w:uiPriority w:val="0"/>
    <w:pPr>
      <w:widowControl/>
      <w:spacing w:before="100" w:after="100" w:line="360" w:lineRule="auto"/>
      <w:jc w:val="left"/>
    </w:pPr>
    <w:rPr>
      <w:rFonts w:ascii="宋体" w:hAnsi="宋体"/>
      <w:color w:val="FFFFFF"/>
      <w:kern w:val="0"/>
      <w:sz w:val="24"/>
      <w:szCs w:val="20"/>
    </w:rPr>
  </w:style>
  <w:style w:type="paragraph" w:customStyle="1" w:styleId="699">
    <w:name w:val="Normal Bullets"/>
    <w:basedOn w:val="1"/>
    <w:autoRedefine/>
    <w:qFormat/>
    <w:uiPriority w:val="0"/>
    <w:pPr>
      <w:widowControl/>
      <w:tabs>
        <w:tab w:val="left" w:pos="3240"/>
      </w:tabs>
      <w:spacing w:after="120"/>
      <w:ind w:left="3240" w:hanging="360"/>
      <w:jc w:val="left"/>
    </w:pPr>
    <w:rPr>
      <w:rFonts w:ascii="Palatino Linotype" w:hAnsi="Palatino Linotype"/>
      <w:kern w:val="0"/>
      <w:sz w:val="20"/>
      <w:szCs w:val="20"/>
      <w:lang w:eastAsia="en-US"/>
    </w:rPr>
  </w:style>
  <w:style w:type="paragraph" w:customStyle="1" w:styleId="700">
    <w:name w:val="列出段落41"/>
    <w:basedOn w:val="1"/>
    <w:autoRedefine/>
    <w:qFormat/>
    <w:uiPriority w:val="99"/>
    <w:pPr>
      <w:ind w:firstLine="420" w:firstLineChars="200"/>
    </w:pPr>
    <w:rPr>
      <w:szCs w:val="20"/>
    </w:rPr>
  </w:style>
  <w:style w:type="paragraph" w:customStyle="1" w:styleId="701">
    <w:name w:val="索引 11"/>
    <w:basedOn w:val="1"/>
    <w:next w:val="1"/>
    <w:autoRedefine/>
    <w:qFormat/>
    <w:uiPriority w:val="0"/>
    <w:rPr>
      <w:szCs w:val="20"/>
    </w:rPr>
  </w:style>
  <w:style w:type="paragraph" w:customStyle="1" w:styleId="702">
    <w:name w:val="Sub Bullets"/>
    <w:basedOn w:val="699"/>
    <w:autoRedefine/>
    <w:qFormat/>
    <w:uiPriority w:val="0"/>
  </w:style>
  <w:style w:type="paragraph" w:customStyle="1" w:styleId="703">
    <w:name w:val="Char Char Char1 Char Char Char Char"/>
    <w:basedOn w:val="1"/>
    <w:autoRedefine/>
    <w:qFormat/>
    <w:uiPriority w:val="0"/>
    <w:rPr>
      <w:rFonts w:ascii="Tahoma" w:hAnsi="Tahoma"/>
      <w:sz w:val="24"/>
      <w:szCs w:val="20"/>
    </w:rPr>
  </w:style>
  <w:style w:type="paragraph" w:customStyle="1" w:styleId="704">
    <w:name w:val="标题8"/>
    <w:basedOn w:val="5"/>
    <w:autoRedefine/>
    <w:qFormat/>
    <w:uiPriority w:val="0"/>
    <w:pPr>
      <w:tabs>
        <w:tab w:val="left" w:pos="1827"/>
      </w:tabs>
      <w:autoSpaceDE/>
      <w:autoSpaceDN/>
      <w:adjustRightInd/>
      <w:spacing w:before="120" w:line="380" w:lineRule="exact"/>
      <w:ind w:left="1827" w:hanging="747"/>
      <w:jc w:val="both"/>
    </w:pPr>
    <w:rPr>
      <w:rFonts w:ascii="Times New Roman"/>
      <w:bCs/>
      <w:color w:val="000000"/>
      <w:kern w:val="2"/>
      <w:sz w:val="21"/>
      <w:szCs w:val="32"/>
      <w:u w:val="none"/>
    </w:rPr>
  </w:style>
  <w:style w:type="paragraph" w:customStyle="1" w:styleId="705">
    <w:name w:val="Char1 Char Char Char Char Char Char"/>
    <w:basedOn w:val="1"/>
    <w:autoRedefine/>
    <w:qFormat/>
    <w:uiPriority w:val="0"/>
    <w:rPr>
      <w:rFonts w:ascii="Tahoma" w:hAnsi="Tahoma"/>
      <w:sz w:val="24"/>
      <w:szCs w:val="20"/>
    </w:rPr>
  </w:style>
  <w:style w:type="paragraph" w:customStyle="1" w:styleId="706">
    <w:name w:val="正文文本缩进 31"/>
    <w:basedOn w:val="1"/>
    <w:autoRedefine/>
    <w:qFormat/>
    <w:uiPriority w:val="0"/>
    <w:pPr>
      <w:autoSpaceDE w:val="0"/>
      <w:autoSpaceDN w:val="0"/>
      <w:adjustRightInd w:val="0"/>
      <w:spacing w:before="120" w:line="22" w:lineRule="atLeast"/>
      <w:ind w:left="720" w:firstLine="480"/>
      <w:jc w:val="left"/>
    </w:pPr>
    <w:rPr>
      <w:sz w:val="16"/>
      <w:szCs w:val="16"/>
    </w:rPr>
  </w:style>
  <w:style w:type="paragraph" w:customStyle="1" w:styleId="707">
    <w:name w:val="jin normal"/>
    <w:basedOn w:val="1"/>
    <w:autoRedefine/>
    <w:qFormat/>
    <w:uiPriority w:val="0"/>
    <w:pPr>
      <w:spacing w:before="120" w:after="120" w:line="360" w:lineRule="auto"/>
      <w:ind w:firstLine="432"/>
    </w:pPr>
    <w:rPr>
      <w:rFonts w:eastAsia="楷体"/>
      <w:snapToGrid w:val="0"/>
      <w:sz w:val="24"/>
      <w:szCs w:val="20"/>
      <w:lang w:eastAsia="en-US"/>
    </w:rPr>
  </w:style>
  <w:style w:type="paragraph" w:customStyle="1" w:styleId="708">
    <w:name w:val="标题5"/>
    <w:basedOn w:val="5"/>
    <w:next w:val="8"/>
    <w:link w:val="709"/>
    <w:autoRedefine/>
    <w:qFormat/>
    <w:uiPriority w:val="0"/>
    <w:pPr>
      <w:tabs>
        <w:tab w:val="left" w:pos="720"/>
        <w:tab w:val="left" w:pos="1107"/>
      </w:tabs>
      <w:spacing w:before="120" w:line="380" w:lineRule="exact"/>
    </w:pPr>
    <w:rPr>
      <w:rFonts w:cs="宋体"/>
      <w:color w:val="000000"/>
      <w:sz w:val="21"/>
      <w:szCs w:val="21"/>
      <w:u w:val="none"/>
      <w:lang w:val="zh-CN"/>
    </w:rPr>
  </w:style>
  <w:style w:type="character" w:customStyle="1" w:styleId="709">
    <w:name w:val="标题5 Char"/>
    <w:link w:val="708"/>
    <w:autoRedefine/>
    <w:qFormat/>
    <w:uiPriority w:val="0"/>
    <w:rPr>
      <w:rFonts w:ascii="宋体" w:cs="宋体"/>
      <w:b/>
      <w:color w:val="000000"/>
      <w:sz w:val="21"/>
      <w:szCs w:val="21"/>
      <w:lang w:val="zh-CN"/>
    </w:rPr>
  </w:style>
  <w:style w:type="paragraph" w:customStyle="1" w:styleId="710">
    <w:name w:val="段"/>
    <w:link w:val="711"/>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711">
    <w:name w:val="段 Char"/>
    <w:link w:val="710"/>
    <w:autoRedefine/>
    <w:qFormat/>
    <w:uiPriority w:val="0"/>
    <w:rPr>
      <w:rFonts w:ascii="宋体"/>
      <w:sz w:val="21"/>
    </w:rPr>
  </w:style>
  <w:style w:type="paragraph" w:customStyle="1" w:styleId="712">
    <w:name w:val="样式7"/>
    <w:basedOn w:val="79"/>
    <w:link w:val="713"/>
    <w:autoRedefine/>
    <w:qFormat/>
    <w:uiPriority w:val="0"/>
    <w:pPr>
      <w:spacing w:before="240" w:after="60"/>
    </w:pPr>
    <w:rPr>
      <w:rFonts w:ascii="Cambria" w:hAnsi="Cambria"/>
      <w:bCs/>
      <w:kern w:val="0"/>
      <w:szCs w:val="32"/>
    </w:rPr>
  </w:style>
  <w:style w:type="character" w:customStyle="1" w:styleId="713">
    <w:name w:val="样式7 Char"/>
    <w:link w:val="712"/>
    <w:autoRedefine/>
    <w:qFormat/>
    <w:uiPriority w:val="0"/>
    <w:rPr>
      <w:rFonts w:ascii="Cambria" w:hAnsi="Cambria"/>
      <w:b/>
      <w:bCs/>
      <w:sz w:val="32"/>
      <w:szCs w:val="32"/>
    </w:rPr>
  </w:style>
  <w:style w:type="paragraph" w:customStyle="1" w:styleId="714">
    <w:name w:val="标题3"/>
    <w:basedOn w:val="5"/>
    <w:next w:val="8"/>
    <w:link w:val="715"/>
    <w:autoRedefine/>
    <w:qFormat/>
    <w:uiPriority w:val="0"/>
    <w:pPr>
      <w:tabs>
        <w:tab w:val="left" w:pos="735"/>
      </w:tabs>
      <w:autoSpaceDE/>
      <w:autoSpaceDN/>
      <w:adjustRightInd/>
      <w:spacing w:before="120" w:after="260" w:afterLines="50" w:line="380" w:lineRule="exact"/>
    </w:pPr>
    <w:rPr>
      <w:rFonts w:ascii="Times New Roman"/>
      <w:bCs/>
      <w:kern w:val="2"/>
      <w:sz w:val="21"/>
      <w:szCs w:val="32"/>
      <w:u w:val="none"/>
    </w:rPr>
  </w:style>
  <w:style w:type="character" w:customStyle="1" w:styleId="715">
    <w:name w:val="标题3 Char"/>
    <w:link w:val="714"/>
    <w:autoRedefine/>
    <w:qFormat/>
    <w:uiPriority w:val="0"/>
    <w:rPr>
      <w:b/>
      <w:bCs/>
      <w:kern w:val="2"/>
      <w:sz w:val="21"/>
      <w:szCs w:val="32"/>
    </w:rPr>
  </w:style>
  <w:style w:type="paragraph" w:customStyle="1" w:styleId="716">
    <w:name w:val="正文 + 小四"/>
    <w:basedOn w:val="1"/>
    <w:autoRedefine/>
    <w:qFormat/>
    <w:uiPriority w:val="0"/>
    <w:pPr>
      <w:spacing w:line="360" w:lineRule="auto"/>
      <w:ind w:firstLine="480" w:firstLineChars="200"/>
    </w:pPr>
    <w:rPr>
      <w:sz w:val="24"/>
    </w:rPr>
  </w:style>
  <w:style w:type="paragraph" w:customStyle="1" w:styleId="717">
    <w:name w:val="Table"/>
    <w:autoRedefine/>
    <w:qFormat/>
    <w:uiPriority w:val="0"/>
    <w:rPr>
      <w:rFonts w:ascii="Times New Roman" w:hAnsi="Times New Roman" w:eastAsia="宋体" w:cs="Times New Roman"/>
      <w:sz w:val="21"/>
      <w:lang w:val="en-US" w:eastAsia="en-US" w:bidi="ar-SA"/>
    </w:rPr>
  </w:style>
  <w:style w:type="paragraph" w:customStyle="1" w:styleId="718">
    <w:name w:val="正文缩排"/>
    <w:basedOn w:val="1"/>
    <w:autoRedefine/>
    <w:qFormat/>
    <w:uiPriority w:val="0"/>
    <w:pPr>
      <w:autoSpaceDE w:val="0"/>
      <w:autoSpaceDN w:val="0"/>
      <w:adjustRightInd w:val="0"/>
      <w:spacing w:line="600" w:lineRule="exact"/>
      <w:jc w:val="left"/>
      <w:textAlignment w:val="baseline"/>
    </w:pPr>
    <w:rPr>
      <w:rFonts w:ascii="Arial" w:hAnsi="Arial"/>
      <w:kern w:val="44"/>
      <w:sz w:val="24"/>
      <w:szCs w:val="20"/>
    </w:rPr>
  </w:style>
  <w:style w:type="paragraph" w:customStyle="1" w:styleId="719">
    <w:name w:val="小标题"/>
    <w:basedOn w:val="1"/>
    <w:autoRedefine/>
    <w:qFormat/>
    <w:uiPriority w:val="0"/>
    <w:pPr>
      <w:spacing w:line="380" w:lineRule="exact"/>
      <w:ind w:right="18"/>
      <w:jc w:val="left"/>
    </w:pPr>
    <w:rPr>
      <w:rFonts w:ascii="宋体" w:cs="宋体"/>
      <w:b/>
      <w:color w:val="000000"/>
      <w:kern w:val="0"/>
      <w:szCs w:val="20"/>
    </w:rPr>
  </w:style>
  <w:style w:type="paragraph" w:customStyle="1" w:styleId="720">
    <w:name w:val="wellhope正文"/>
    <w:basedOn w:val="1"/>
    <w:autoRedefine/>
    <w:qFormat/>
    <w:uiPriority w:val="0"/>
    <w:pPr>
      <w:spacing w:before="60" w:after="60" w:line="360" w:lineRule="auto"/>
      <w:ind w:firstLine="200" w:firstLineChars="200"/>
    </w:pPr>
    <w:rPr>
      <w:sz w:val="24"/>
      <w:szCs w:val="20"/>
    </w:rPr>
  </w:style>
  <w:style w:type="paragraph" w:customStyle="1" w:styleId="721">
    <w:name w:val="默认段落字体 Para Char"/>
    <w:basedOn w:val="1"/>
    <w:autoRedefine/>
    <w:qFormat/>
    <w:uiPriority w:val="0"/>
    <w:pPr>
      <w:adjustRightInd w:val="0"/>
      <w:spacing w:line="360" w:lineRule="auto"/>
    </w:pPr>
    <w:rPr>
      <w:kern w:val="0"/>
      <w:sz w:val="24"/>
      <w:szCs w:val="20"/>
    </w:rPr>
  </w:style>
  <w:style w:type="paragraph" w:customStyle="1" w:styleId="722">
    <w:name w:val="Char1 Char Char Char"/>
    <w:basedOn w:val="1"/>
    <w:autoRedefine/>
    <w:qFormat/>
    <w:uiPriority w:val="0"/>
    <w:rPr>
      <w:rFonts w:ascii="Tahoma" w:hAnsi="Tahoma"/>
      <w:sz w:val="24"/>
      <w:szCs w:val="20"/>
    </w:rPr>
  </w:style>
  <w:style w:type="paragraph" w:customStyle="1" w:styleId="723">
    <w:name w:val="样式 样式1 + 首行缩进:  2 字符"/>
    <w:basedOn w:val="1"/>
    <w:autoRedefine/>
    <w:qFormat/>
    <w:uiPriority w:val="0"/>
    <w:pPr>
      <w:ind w:firstLine="640" w:firstLineChars="200"/>
    </w:pPr>
    <w:rPr>
      <w:rFonts w:ascii="仿宋_GB2312" w:eastAsia="仿宋_GB2312"/>
      <w:sz w:val="28"/>
      <w:szCs w:val="20"/>
    </w:rPr>
  </w:style>
  <w:style w:type="paragraph" w:customStyle="1" w:styleId="724">
    <w:name w:val="空行"/>
    <w:basedOn w:val="1"/>
    <w:next w:val="1"/>
    <w:autoRedefine/>
    <w:qFormat/>
    <w:uiPriority w:val="0"/>
    <w:pPr>
      <w:spacing w:beforeLines="100" w:afterLines="100" w:line="360" w:lineRule="auto"/>
      <w:jc w:val="center"/>
    </w:pPr>
    <w:rPr>
      <w:spacing w:val="20"/>
      <w:sz w:val="24"/>
      <w:szCs w:val="20"/>
    </w:rPr>
  </w:style>
  <w:style w:type="paragraph" w:customStyle="1" w:styleId="725">
    <w:name w:val="Char Char1 Char Char Char Char Char Char Char Char Char Char Char Char Char Char Char"/>
    <w:basedOn w:val="1"/>
    <w:autoRedefine/>
    <w:qFormat/>
    <w:uiPriority w:val="0"/>
    <w:pPr>
      <w:widowControl/>
      <w:spacing w:after="160" w:line="240" w:lineRule="exact"/>
      <w:jc w:val="left"/>
    </w:pPr>
    <w:rPr>
      <w:rFonts w:ascii="Verdana" w:hAnsi="Verdana" w:eastAsia="楷体_GB2312"/>
      <w:kern w:val="0"/>
      <w:sz w:val="30"/>
      <w:szCs w:val="30"/>
      <w:lang w:eastAsia="en-US"/>
    </w:rPr>
  </w:style>
  <w:style w:type="paragraph" w:customStyle="1" w:styleId="726">
    <w:name w:val="Char Char Char Char Char Char Char Char Char Char Char Char Char Char Char Char Char Char Char"/>
    <w:basedOn w:val="1"/>
    <w:autoRedefine/>
    <w:qFormat/>
    <w:uiPriority w:val="0"/>
    <w:pPr>
      <w:widowControl/>
      <w:spacing w:before="100" w:beforeAutospacing="1" w:after="100" w:afterAutospacing="1" w:line="330" w:lineRule="atLeast"/>
      <w:ind w:left="360"/>
      <w:jc w:val="left"/>
    </w:pPr>
    <w:rPr>
      <w:rFonts w:eastAsia="仿宋_GB2312"/>
      <w:sz w:val="32"/>
      <w:szCs w:val="32"/>
    </w:rPr>
  </w:style>
  <w:style w:type="paragraph" w:customStyle="1" w:styleId="727">
    <w:name w:val="标题1"/>
    <w:basedOn w:val="3"/>
    <w:next w:val="4"/>
    <w:autoRedefine/>
    <w:qFormat/>
    <w:uiPriority w:val="0"/>
    <w:pPr>
      <w:tabs>
        <w:tab w:val="left" w:pos="605"/>
        <w:tab w:val="left" w:pos="720"/>
      </w:tabs>
      <w:spacing w:before="0" w:after="0" w:line="360" w:lineRule="auto"/>
      <w:ind w:left="605" w:right="17" w:hanging="425"/>
      <w:jc w:val="left"/>
    </w:pPr>
    <w:rPr>
      <w:rFonts w:cs="宋体"/>
      <w:bCs/>
      <w:color w:val="000000"/>
      <w:kern w:val="0"/>
      <w:szCs w:val="32"/>
      <w:lang w:val="zh-CN"/>
    </w:rPr>
  </w:style>
  <w:style w:type="paragraph" w:customStyle="1" w:styleId="728">
    <w:name w:val="content"/>
    <w:basedOn w:val="1"/>
    <w:autoRedefine/>
    <w:qFormat/>
    <w:uiPriority w:val="0"/>
    <w:pPr>
      <w:widowControl/>
      <w:spacing w:before="100" w:beforeAutospacing="1" w:after="100" w:afterAutospacing="1"/>
      <w:jc w:val="left"/>
    </w:pPr>
    <w:rPr>
      <w:rFonts w:ascii="Arial" w:hAnsi="Arial" w:cs="Arial"/>
      <w:color w:val="333333"/>
      <w:kern w:val="0"/>
      <w:sz w:val="20"/>
      <w:szCs w:val="20"/>
    </w:rPr>
  </w:style>
  <w:style w:type="paragraph" w:customStyle="1" w:styleId="729">
    <w:name w:val="正文文字缩进 2"/>
    <w:basedOn w:val="1"/>
    <w:autoRedefine/>
    <w:qFormat/>
    <w:uiPriority w:val="0"/>
    <w:pPr>
      <w:widowControl/>
      <w:spacing w:line="351" w:lineRule="atLeast"/>
      <w:ind w:firstLine="481"/>
      <w:textAlignment w:val="baseline"/>
    </w:pPr>
    <w:rPr>
      <w:rFonts w:ascii="仿宋_GB2312" w:eastAsia="仿宋_GB2312"/>
      <w:color w:val="000000"/>
      <w:kern w:val="0"/>
      <w:sz w:val="24"/>
      <w:szCs w:val="20"/>
    </w:rPr>
  </w:style>
  <w:style w:type="paragraph" w:customStyle="1" w:styleId="730">
    <w:name w:val="WW-正文（首行缩进两字）"/>
    <w:basedOn w:val="1"/>
    <w:autoRedefine/>
    <w:qFormat/>
    <w:uiPriority w:val="0"/>
    <w:pPr>
      <w:tabs>
        <w:tab w:val="left" w:pos="0"/>
        <w:tab w:val="left" w:pos="600"/>
        <w:tab w:val="left" w:pos="1865"/>
      </w:tabs>
      <w:suppressAutoHyphens/>
      <w:snapToGrid w:val="0"/>
      <w:spacing w:beforeLines="50" w:after="50" w:line="288" w:lineRule="auto"/>
      <w:ind w:right="22" w:rightChars="9" w:firstLine="420" w:firstLineChars="375"/>
      <w:textAlignment w:val="baseline"/>
    </w:pPr>
    <w:rPr>
      <w:rFonts w:ascii="仿宋_GB2312" w:hAnsi="宋体" w:eastAsia="仿宋_GB2312" w:cs="Arial"/>
      <w:bCs/>
      <w:kern w:val="20481"/>
      <w:sz w:val="24"/>
      <w:szCs w:val="20"/>
    </w:rPr>
  </w:style>
  <w:style w:type="paragraph" w:customStyle="1" w:styleId="731">
    <w:name w:val="Char Char 字元 字元 字元 Char Char Char Char"/>
    <w:basedOn w:val="1"/>
    <w:autoRedefine/>
    <w:qFormat/>
    <w:uiPriority w:val="0"/>
    <w:pPr>
      <w:adjustRightInd w:val="0"/>
      <w:spacing w:line="360" w:lineRule="auto"/>
    </w:pPr>
    <w:rPr>
      <w:kern w:val="0"/>
      <w:sz w:val="24"/>
      <w:szCs w:val="20"/>
    </w:rPr>
  </w:style>
  <w:style w:type="paragraph" w:customStyle="1" w:styleId="732">
    <w:name w:val="Normal (Web)2"/>
    <w:basedOn w:val="1"/>
    <w:autoRedefine/>
    <w:qFormat/>
    <w:uiPriority w:val="99"/>
    <w:pPr>
      <w:spacing w:before="100" w:beforeAutospacing="1" w:after="100" w:afterAutospacing="1"/>
    </w:pPr>
    <w:rPr>
      <w:rFonts w:ascii="Arial Unicode MS" w:hAnsi="Arial Unicode MS" w:eastAsia="Arial Unicode MS" w:cs="Arial Unicode MS"/>
      <w:sz w:val="24"/>
    </w:rPr>
  </w:style>
  <w:style w:type="paragraph" w:customStyle="1" w:styleId="733">
    <w:name w:val="标题一"/>
    <w:basedOn w:val="3"/>
    <w:next w:val="734"/>
    <w:autoRedefine/>
    <w:qFormat/>
    <w:uiPriority w:val="0"/>
    <w:pPr>
      <w:tabs>
        <w:tab w:val="left" w:pos="425"/>
      </w:tabs>
      <w:spacing w:before="120" w:line="240" w:lineRule="exact"/>
      <w:ind w:left="425" w:right="17" w:hanging="425"/>
      <w:jc w:val="left"/>
    </w:pPr>
    <w:rPr>
      <w:rFonts w:cs="宋体"/>
      <w:bCs/>
      <w:color w:val="000000"/>
      <w:kern w:val="0"/>
      <w:sz w:val="21"/>
      <w:szCs w:val="21"/>
      <w:lang w:val="zh-CN"/>
    </w:rPr>
  </w:style>
  <w:style w:type="paragraph" w:customStyle="1" w:styleId="734">
    <w:name w:val="标题二"/>
    <w:basedOn w:val="4"/>
    <w:next w:val="1"/>
    <w:autoRedefine/>
    <w:qFormat/>
    <w:uiPriority w:val="0"/>
    <w:pPr>
      <w:tabs>
        <w:tab w:val="left" w:pos="720"/>
        <w:tab w:val="left" w:pos="1342"/>
      </w:tabs>
      <w:spacing w:after="120" w:line="380" w:lineRule="exact"/>
      <w:ind w:left="839" w:right="227" w:hanging="612"/>
      <w:jc w:val="left"/>
    </w:pPr>
    <w:rPr>
      <w:rFonts w:ascii="宋体" w:eastAsia="宋体" w:cs="宋体"/>
      <w:bCs/>
      <w:color w:val="000000"/>
      <w:sz w:val="21"/>
      <w:szCs w:val="21"/>
      <w:lang w:val="zh-CN"/>
    </w:rPr>
  </w:style>
  <w:style w:type="character" w:customStyle="1" w:styleId="735">
    <w:name w:val="正文4 字符"/>
    <w:link w:val="736"/>
    <w:autoRedefine/>
    <w:qFormat/>
    <w:locked/>
    <w:uiPriority w:val="0"/>
    <w:rPr>
      <w:rFonts w:ascii="宋体" w:hAnsi="宋体"/>
      <w:sz w:val="24"/>
      <w:szCs w:val="24"/>
    </w:rPr>
  </w:style>
  <w:style w:type="paragraph" w:customStyle="1" w:styleId="736">
    <w:name w:val="正文41"/>
    <w:basedOn w:val="1"/>
    <w:link w:val="735"/>
    <w:autoRedefine/>
    <w:qFormat/>
    <w:uiPriority w:val="0"/>
    <w:pPr>
      <w:spacing w:line="360" w:lineRule="auto"/>
      <w:ind w:left="420" w:firstLine="482" w:firstLineChars="200"/>
    </w:pPr>
    <w:rPr>
      <w:rFonts w:ascii="宋体" w:hAnsi="宋体"/>
      <w:kern w:val="0"/>
      <w:sz w:val="24"/>
    </w:rPr>
  </w:style>
  <w:style w:type="character" w:customStyle="1" w:styleId="737">
    <w:name w:val="_Style 6 字符"/>
    <w:link w:val="738"/>
    <w:autoRedefine/>
    <w:qFormat/>
    <w:locked/>
    <w:uiPriority w:val="34"/>
  </w:style>
  <w:style w:type="paragraph" w:customStyle="1" w:styleId="738">
    <w:name w:val="_Style 6"/>
    <w:basedOn w:val="1"/>
    <w:link w:val="737"/>
    <w:autoRedefine/>
    <w:qFormat/>
    <w:uiPriority w:val="34"/>
    <w:pPr>
      <w:spacing w:line="360" w:lineRule="auto"/>
      <w:ind w:firstLine="420" w:firstLineChars="200"/>
    </w:pPr>
    <w:rPr>
      <w:kern w:val="0"/>
      <w:sz w:val="20"/>
      <w:szCs w:val="20"/>
    </w:rPr>
  </w:style>
  <w:style w:type="character" w:customStyle="1" w:styleId="739">
    <w:name w:val="表格 字符"/>
    <w:autoRedefine/>
    <w:qFormat/>
    <w:locked/>
    <w:uiPriority w:val="0"/>
    <w:rPr>
      <w:rFonts w:ascii="华文细黑" w:hAnsi="华文细黑"/>
      <w:sz w:val="21"/>
    </w:rPr>
  </w:style>
  <w:style w:type="character" w:customStyle="1" w:styleId="740">
    <w:name w:val="正文2 字符"/>
    <w:autoRedefine/>
    <w:qFormat/>
    <w:locked/>
    <w:uiPriority w:val="0"/>
    <w:rPr>
      <w:kern w:val="2"/>
      <w:sz w:val="24"/>
    </w:rPr>
  </w:style>
  <w:style w:type="character" w:customStyle="1" w:styleId="741">
    <w:name w:val="未处理的提及11"/>
    <w:autoRedefine/>
    <w:unhideWhenUsed/>
    <w:qFormat/>
    <w:uiPriority w:val="99"/>
    <w:rPr>
      <w:color w:val="605E5C"/>
      <w:shd w:val="clear" w:color="auto" w:fill="E1DFDD"/>
    </w:rPr>
  </w:style>
  <w:style w:type="paragraph" w:customStyle="1" w:styleId="742">
    <w:name w:val="_Style 19"/>
    <w:basedOn w:val="1"/>
    <w:next w:val="148"/>
    <w:autoRedefine/>
    <w:qFormat/>
    <w:uiPriority w:val="34"/>
    <w:pPr>
      <w:ind w:firstLine="420" w:firstLineChars="200"/>
    </w:pPr>
    <w:rPr>
      <w:rFonts w:ascii="Calibri" w:hAnsi="Calibri"/>
      <w:szCs w:val="20"/>
    </w:rPr>
  </w:style>
  <w:style w:type="paragraph" w:customStyle="1" w:styleId="743">
    <w:name w:val="正文部分"/>
    <w:basedOn w:val="32"/>
    <w:autoRedefine/>
    <w:qFormat/>
    <w:uiPriority w:val="0"/>
    <w:pPr>
      <w:tabs>
        <w:tab w:val="clear" w:pos="567"/>
      </w:tabs>
      <w:adjustRightInd w:val="0"/>
      <w:snapToGrid w:val="0"/>
      <w:spacing w:before="0" w:after="120" w:line="240" w:lineRule="auto"/>
      <w:ind w:firstLine="200" w:firstLineChars="200"/>
      <w:textAlignment w:val="baseline"/>
    </w:pPr>
    <w:rPr>
      <w:rFonts w:hAnsi="Calibri"/>
    </w:rPr>
  </w:style>
  <w:style w:type="character" w:customStyle="1" w:styleId="744">
    <w:name w:val="fontstyle01"/>
    <w:autoRedefine/>
    <w:qFormat/>
    <w:uiPriority w:val="0"/>
    <w:rPr>
      <w:rFonts w:hint="eastAsia" w:ascii="微软雅黑" w:hAnsi="微软雅黑" w:eastAsia="微软雅黑"/>
      <w:b/>
      <w:bCs/>
      <w:color w:val="000000"/>
      <w:sz w:val="24"/>
      <w:szCs w:val="24"/>
    </w:rPr>
  </w:style>
  <w:style w:type="character" w:customStyle="1" w:styleId="745">
    <w:name w:val="fontstyle11"/>
    <w:autoRedefine/>
    <w:qFormat/>
    <w:uiPriority w:val="0"/>
    <w:rPr>
      <w:rFonts w:hint="default" w:ascii="Wingdings" w:hAnsi="Wingdings"/>
      <w:color w:val="000000"/>
      <w:sz w:val="24"/>
      <w:szCs w:val="24"/>
    </w:rPr>
  </w:style>
  <w:style w:type="character" w:customStyle="1" w:styleId="746">
    <w:name w:val="fontstyle31"/>
    <w:autoRedefine/>
    <w:qFormat/>
    <w:uiPriority w:val="0"/>
    <w:rPr>
      <w:rFonts w:hint="eastAsia" w:ascii="微软雅黑" w:hAnsi="微软雅黑" w:eastAsia="微软雅黑"/>
      <w:color w:val="000000"/>
      <w:sz w:val="24"/>
      <w:szCs w:val="24"/>
    </w:rPr>
  </w:style>
  <w:style w:type="character" w:customStyle="1" w:styleId="747">
    <w:name w:val="fontstyle21"/>
    <w:autoRedefine/>
    <w:qFormat/>
    <w:uiPriority w:val="0"/>
    <w:rPr>
      <w:rFonts w:hint="eastAsia" w:ascii="微软雅黑" w:hAnsi="微软雅黑" w:eastAsia="微软雅黑"/>
      <w:color w:val="000000"/>
      <w:sz w:val="24"/>
      <w:szCs w:val="24"/>
    </w:rPr>
  </w:style>
  <w:style w:type="paragraph" w:customStyle="1" w:styleId="748">
    <w:name w:val="字母编号列项（一级）"/>
    <w:autoRedefine/>
    <w:qFormat/>
    <w:uiPriority w:val="0"/>
    <w:pPr>
      <w:numPr>
        <w:ilvl w:val="0"/>
        <w:numId w:val="17"/>
      </w:numPr>
      <w:tabs>
        <w:tab w:val="left" w:pos="840"/>
      </w:tabs>
      <w:jc w:val="both"/>
    </w:pPr>
    <w:rPr>
      <w:rFonts w:ascii="宋体" w:hAnsi="Times New Roman" w:eastAsia="宋体" w:cs="Times New Roman"/>
      <w:sz w:val="21"/>
      <w:lang w:val="en-US" w:eastAsia="zh-CN" w:bidi="ar-SA"/>
    </w:rPr>
  </w:style>
  <w:style w:type="paragraph" w:customStyle="1" w:styleId="749">
    <w:name w:val="Body Text Indent 21"/>
    <w:basedOn w:val="1"/>
    <w:autoRedefine/>
    <w:qFormat/>
    <w:uiPriority w:val="0"/>
    <w:pPr>
      <w:spacing w:after="120" w:line="480" w:lineRule="auto"/>
      <w:ind w:left="420" w:leftChars="200"/>
    </w:pPr>
    <w:rPr>
      <w:szCs w:val="21"/>
    </w:rPr>
  </w:style>
  <w:style w:type="character" w:customStyle="1" w:styleId="750">
    <w:name w:val="font101"/>
    <w:autoRedefine/>
    <w:qFormat/>
    <w:uiPriority w:val="0"/>
    <w:rPr>
      <w:rFonts w:hint="eastAsia" w:ascii="宋体" w:hAnsi="宋体" w:eastAsia="宋体" w:cs="宋体"/>
      <w:color w:val="000000"/>
      <w:sz w:val="20"/>
      <w:szCs w:val="20"/>
      <w:u w:val="none"/>
    </w:rPr>
  </w:style>
  <w:style w:type="character" w:customStyle="1" w:styleId="751">
    <w:name w:val="font91"/>
    <w:autoRedefine/>
    <w:qFormat/>
    <w:uiPriority w:val="0"/>
    <w:rPr>
      <w:rFonts w:hint="eastAsia" w:ascii="宋体" w:hAnsi="宋体" w:eastAsia="宋体" w:cs="宋体"/>
      <w:b/>
      <w:color w:val="000000"/>
      <w:sz w:val="20"/>
      <w:szCs w:val="20"/>
      <w:u w:val="none"/>
    </w:rPr>
  </w:style>
  <w:style w:type="character" w:customStyle="1" w:styleId="752">
    <w:name w:val="font51"/>
    <w:autoRedefine/>
    <w:qFormat/>
    <w:uiPriority w:val="0"/>
    <w:rPr>
      <w:rFonts w:hint="eastAsia" w:ascii="宋体" w:hAnsi="宋体" w:eastAsia="宋体" w:cs="宋体"/>
      <w:color w:val="FF0000"/>
      <w:sz w:val="20"/>
      <w:szCs w:val="20"/>
      <w:u w:val="none"/>
    </w:rPr>
  </w:style>
  <w:style w:type="paragraph" w:customStyle="1" w:styleId="753">
    <w:name w:val="无间距"/>
    <w:autoRedefine/>
    <w:qFormat/>
    <w:uiPriority w:val="1"/>
    <w:pPr>
      <w:widowControl w:val="0"/>
      <w:jc w:val="both"/>
    </w:pPr>
    <w:rPr>
      <w:rFonts w:ascii="Book Antiqua" w:hAnsi="Book Antiqua" w:eastAsia="宋体" w:cs="Times New Roman"/>
      <w:b/>
      <w:bCs/>
      <w:kern w:val="2"/>
      <w:sz w:val="32"/>
      <w:szCs w:val="24"/>
      <w:lang w:val="en-US" w:eastAsia="zh-CN" w:bidi="ar-SA"/>
    </w:rPr>
  </w:style>
  <w:style w:type="paragraph" w:customStyle="1" w:styleId="754">
    <w:name w:val="样式 小四"/>
    <w:basedOn w:val="1"/>
    <w:autoRedefine/>
    <w:qFormat/>
    <w:uiPriority w:val="0"/>
    <w:pPr>
      <w:widowControl/>
      <w:adjustRightInd w:val="0"/>
      <w:snapToGrid w:val="0"/>
      <w:spacing w:line="440" w:lineRule="exact"/>
      <w:ind w:firstLine="200" w:firstLineChars="200"/>
      <w:jc w:val="center"/>
    </w:pPr>
    <w:rPr>
      <w:rFonts w:ascii="Calibri" w:hAnsi="Calibri"/>
      <w:sz w:val="24"/>
      <w:szCs w:val="20"/>
    </w:rPr>
  </w:style>
  <w:style w:type="paragraph" w:customStyle="1" w:styleId="755">
    <w:name w:val="上标"/>
    <w:basedOn w:val="1"/>
    <w:autoRedefine/>
    <w:qFormat/>
    <w:uiPriority w:val="0"/>
    <w:pPr>
      <w:spacing w:line="400" w:lineRule="exact"/>
    </w:pPr>
    <w:rPr>
      <w:rFonts w:ascii="Arial" w:hAnsi="Arial"/>
      <w:vertAlign w:val="superscript"/>
    </w:rPr>
  </w:style>
  <w:style w:type="character" w:customStyle="1" w:styleId="756">
    <w:name w:val="副标题 Char1"/>
    <w:autoRedefine/>
    <w:qFormat/>
    <w:locked/>
    <w:uiPriority w:val="11"/>
    <w:rPr>
      <w:rFonts w:ascii="Cambria" w:hAnsi="Cambria"/>
      <w:b/>
      <w:bCs/>
      <w:kern w:val="28"/>
      <w:sz w:val="32"/>
      <w:szCs w:val="32"/>
    </w:rPr>
  </w:style>
  <w:style w:type="character" w:customStyle="1" w:styleId="757">
    <w:name w:val="样式6 Char"/>
    <w:link w:val="758"/>
    <w:autoRedefine/>
    <w:qFormat/>
    <w:uiPriority w:val="0"/>
    <w:rPr>
      <w:rFonts w:ascii="Arial" w:hAnsi="Arial" w:eastAsia="黑体"/>
      <w:b/>
      <w:sz w:val="28"/>
    </w:rPr>
  </w:style>
  <w:style w:type="paragraph" w:customStyle="1" w:styleId="758">
    <w:name w:val="样式6"/>
    <w:basedOn w:val="4"/>
    <w:next w:val="261"/>
    <w:link w:val="757"/>
    <w:autoRedefine/>
    <w:qFormat/>
    <w:uiPriority w:val="0"/>
    <w:pPr>
      <w:widowControl/>
      <w:spacing w:before="0" w:line="440" w:lineRule="exact"/>
      <w:ind w:firstLine="1687"/>
    </w:pPr>
    <w:rPr>
      <w:sz w:val="28"/>
    </w:rPr>
  </w:style>
  <w:style w:type="character" w:customStyle="1" w:styleId="759">
    <w:name w:val="样式5 Char"/>
    <w:link w:val="760"/>
    <w:autoRedefine/>
    <w:qFormat/>
    <w:uiPriority w:val="0"/>
    <w:rPr>
      <w:rFonts w:ascii="Arial" w:hAnsi="Arial" w:eastAsia="黑体"/>
      <w:b/>
      <w:sz w:val="24"/>
    </w:rPr>
  </w:style>
  <w:style w:type="paragraph" w:customStyle="1" w:styleId="760">
    <w:name w:val="样式5"/>
    <w:basedOn w:val="4"/>
    <w:next w:val="261"/>
    <w:link w:val="759"/>
    <w:autoRedefine/>
    <w:qFormat/>
    <w:uiPriority w:val="0"/>
    <w:pPr>
      <w:widowControl/>
      <w:spacing w:before="100" w:beforeAutospacing="1" w:after="100" w:afterAutospacing="1" w:line="440" w:lineRule="exact"/>
      <w:ind w:firstLine="1680" w:firstLineChars="700"/>
      <w:jc w:val="both"/>
    </w:pPr>
    <w:rPr>
      <w:sz w:val="24"/>
    </w:rPr>
  </w:style>
  <w:style w:type="character" w:customStyle="1" w:styleId="761">
    <w:name w:val="正文缩进 Char2"/>
    <w:autoRedefine/>
    <w:qFormat/>
    <w:uiPriority w:val="0"/>
    <w:rPr>
      <w:rFonts w:ascii="宋体"/>
      <w:sz w:val="24"/>
    </w:rPr>
  </w:style>
  <w:style w:type="character" w:customStyle="1" w:styleId="762">
    <w:name w:val="报告-正文段落 Char"/>
    <w:link w:val="763"/>
    <w:autoRedefine/>
    <w:qFormat/>
    <w:uiPriority w:val="0"/>
    <w:rPr>
      <w:rFonts w:eastAsia="仿宋_GB2312"/>
      <w:kern w:val="24"/>
      <w:sz w:val="24"/>
      <w:szCs w:val="24"/>
    </w:rPr>
  </w:style>
  <w:style w:type="paragraph" w:customStyle="1" w:styleId="763">
    <w:name w:val="报告-正文段落"/>
    <w:basedOn w:val="1"/>
    <w:link w:val="762"/>
    <w:autoRedefine/>
    <w:qFormat/>
    <w:uiPriority w:val="0"/>
    <w:pPr>
      <w:widowControl/>
      <w:spacing w:line="360" w:lineRule="auto"/>
      <w:ind w:firstLine="200" w:firstLineChars="200"/>
      <w:jc w:val="left"/>
    </w:pPr>
    <w:rPr>
      <w:rFonts w:eastAsia="仿宋_GB2312"/>
      <w:kern w:val="24"/>
      <w:sz w:val="24"/>
    </w:rPr>
  </w:style>
  <w:style w:type="character" w:customStyle="1" w:styleId="764">
    <w:name w:val="样式8 Char"/>
    <w:link w:val="765"/>
    <w:autoRedefine/>
    <w:qFormat/>
    <w:uiPriority w:val="0"/>
    <w:rPr>
      <w:rFonts w:ascii="华文楷体" w:hAnsi="华文楷体" w:eastAsia="华文楷体"/>
      <w:b/>
      <w:kern w:val="44"/>
      <w:sz w:val="24"/>
    </w:rPr>
  </w:style>
  <w:style w:type="paragraph" w:customStyle="1" w:styleId="765">
    <w:name w:val="样式8"/>
    <w:basedOn w:val="3"/>
    <w:next w:val="584"/>
    <w:link w:val="764"/>
    <w:autoRedefine/>
    <w:qFormat/>
    <w:uiPriority w:val="0"/>
    <w:pPr>
      <w:autoSpaceDE/>
      <w:autoSpaceDN/>
      <w:adjustRightInd/>
      <w:spacing w:before="100" w:beforeAutospacing="1" w:after="100" w:afterAutospacing="1" w:line="360" w:lineRule="auto"/>
      <w:jc w:val="left"/>
    </w:pPr>
    <w:rPr>
      <w:rFonts w:ascii="华文楷体" w:hAnsi="华文楷体" w:eastAsia="华文楷体"/>
      <w:sz w:val="24"/>
    </w:rPr>
  </w:style>
  <w:style w:type="character" w:customStyle="1" w:styleId="766">
    <w:name w:val="bulletintext1"/>
    <w:autoRedefine/>
    <w:qFormat/>
    <w:uiPriority w:val="0"/>
    <w:rPr>
      <w:color w:val="000000"/>
      <w:sz w:val="18"/>
    </w:rPr>
  </w:style>
  <w:style w:type="character" w:customStyle="1" w:styleId="767">
    <w:name w:val="emtidy-1"/>
    <w:autoRedefine/>
    <w:qFormat/>
    <w:uiPriority w:val="0"/>
  </w:style>
  <w:style w:type="character" w:customStyle="1" w:styleId="768">
    <w:name w:val="样式4 Char"/>
    <w:link w:val="769"/>
    <w:autoRedefine/>
    <w:qFormat/>
    <w:uiPriority w:val="0"/>
    <w:rPr>
      <w:rFonts w:ascii="Arial" w:hAnsi="Arial" w:eastAsia="黑体"/>
      <w:b/>
      <w:sz w:val="28"/>
    </w:rPr>
  </w:style>
  <w:style w:type="paragraph" w:customStyle="1" w:styleId="769">
    <w:name w:val="样式4"/>
    <w:basedOn w:val="4"/>
    <w:next w:val="261"/>
    <w:link w:val="768"/>
    <w:autoRedefine/>
    <w:qFormat/>
    <w:uiPriority w:val="0"/>
    <w:pPr>
      <w:widowControl/>
      <w:spacing w:before="0" w:line="440" w:lineRule="exact"/>
    </w:pPr>
    <w:rPr>
      <w:sz w:val="28"/>
    </w:rPr>
  </w:style>
  <w:style w:type="character" w:customStyle="1" w:styleId="770">
    <w:name w:val="a14px1"/>
    <w:autoRedefine/>
    <w:qFormat/>
    <w:uiPriority w:val="0"/>
    <w:rPr>
      <w:rFonts w:hint="default" w:ascii="Arial" w:hAnsi="Arial"/>
      <w:sz w:val="21"/>
    </w:rPr>
  </w:style>
  <w:style w:type="character" w:customStyle="1" w:styleId="771">
    <w:name w:val="样式3 Char"/>
    <w:link w:val="772"/>
    <w:autoRedefine/>
    <w:qFormat/>
    <w:uiPriority w:val="0"/>
    <w:rPr>
      <w:rFonts w:ascii="Arial" w:hAnsi="Arial" w:eastAsia="黑体"/>
      <w:b/>
      <w:sz w:val="28"/>
    </w:rPr>
  </w:style>
  <w:style w:type="paragraph" w:customStyle="1" w:styleId="772">
    <w:name w:val="样式3"/>
    <w:basedOn w:val="4"/>
    <w:next w:val="261"/>
    <w:link w:val="771"/>
    <w:autoRedefine/>
    <w:qFormat/>
    <w:uiPriority w:val="0"/>
    <w:pPr>
      <w:widowControl/>
      <w:spacing w:before="0" w:line="440" w:lineRule="exact"/>
    </w:pPr>
    <w:rPr>
      <w:sz w:val="28"/>
    </w:rPr>
  </w:style>
  <w:style w:type="paragraph" w:customStyle="1" w:styleId="773">
    <w:name w:val="默认 A"/>
    <w:autoRedefine/>
    <w:qFormat/>
    <w:uiPriority w:val="0"/>
    <w:rPr>
      <w:rFonts w:hint="eastAsia" w:ascii="Arial Unicode MS" w:hAnsi="Arial Unicode MS" w:eastAsia="Arial Unicode MS" w:cs="Arial Unicode MS"/>
      <w:color w:val="000000"/>
      <w:sz w:val="22"/>
      <w:szCs w:val="22"/>
      <w:lang w:val="zh-TW" w:eastAsia="zh-TW" w:bidi="ar-SA"/>
    </w:rPr>
  </w:style>
  <w:style w:type="paragraph" w:customStyle="1" w:styleId="774">
    <w:name w:val="点序列"/>
    <w:basedOn w:val="1"/>
    <w:autoRedefine/>
    <w:qFormat/>
    <w:uiPriority w:val="0"/>
    <w:pPr>
      <w:widowControl/>
      <w:tabs>
        <w:tab w:val="left" w:pos="0"/>
        <w:tab w:val="left" w:pos="1412"/>
      </w:tabs>
      <w:spacing w:line="400" w:lineRule="atLeast"/>
      <w:ind w:left="1412"/>
      <w:jc w:val="left"/>
    </w:pPr>
    <w:rPr>
      <w:kern w:val="0"/>
      <w:sz w:val="24"/>
    </w:rPr>
  </w:style>
  <w:style w:type="paragraph" w:customStyle="1" w:styleId="775">
    <w:name w:val="样式-篇"/>
    <w:basedOn w:val="3"/>
    <w:autoRedefine/>
    <w:qFormat/>
    <w:uiPriority w:val="0"/>
    <w:pPr>
      <w:numPr>
        <w:ilvl w:val="0"/>
        <w:numId w:val="11"/>
      </w:numPr>
      <w:tabs>
        <w:tab w:val="left" w:pos="360"/>
      </w:tabs>
      <w:autoSpaceDE/>
      <w:autoSpaceDN/>
      <w:adjustRightInd/>
      <w:spacing w:before="0" w:after="0" w:line="240" w:lineRule="auto"/>
      <w:ind w:left="0" w:firstLine="0"/>
      <w:jc w:val="left"/>
    </w:pPr>
    <w:rPr>
      <w:rFonts w:ascii="Times New Roman" w:eastAsia="仿宋_GB2312"/>
      <w:kern w:val="32"/>
      <w:szCs w:val="44"/>
    </w:rPr>
  </w:style>
  <w:style w:type="paragraph" w:customStyle="1" w:styleId="776">
    <w:name w:val="Char Char Char Char Char Char1 Char Char Char Char Char Char1 Char Char Char Char Char Char Char"/>
    <w:basedOn w:val="1"/>
    <w:autoRedefine/>
    <w:qFormat/>
    <w:uiPriority w:val="0"/>
    <w:rPr>
      <w:rFonts w:ascii="Tahoma" w:hAnsi="Tahoma"/>
      <w:sz w:val="24"/>
      <w:szCs w:val="20"/>
    </w:rPr>
  </w:style>
  <w:style w:type="paragraph" w:customStyle="1" w:styleId="777">
    <w:name w:val="Normal New New New New New"/>
    <w:autoRedefine/>
    <w:qFormat/>
    <w:uiPriority w:val="0"/>
    <w:pPr>
      <w:widowControl w:val="0"/>
      <w:jc w:val="both"/>
    </w:pPr>
    <w:rPr>
      <w:rFonts w:hint="eastAsia" w:ascii="Times New Roman" w:hAnsi="Times New Roman" w:eastAsia="仿宋_GB2312" w:cs="Times New Roman"/>
      <w:kern w:val="2"/>
      <w:sz w:val="32"/>
      <w:lang w:val="en-US" w:eastAsia="zh-CN" w:bidi="ar-SA"/>
    </w:rPr>
  </w:style>
  <w:style w:type="paragraph" w:customStyle="1" w:styleId="778">
    <w:name w:val="Char Char Char Char Char Char1"/>
    <w:basedOn w:val="1"/>
    <w:autoRedefine/>
    <w:qFormat/>
    <w:uiPriority w:val="0"/>
    <w:rPr>
      <w:rFonts w:ascii="Tahoma" w:hAnsi="Tahoma"/>
      <w:sz w:val="24"/>
      <w:szCs w:val="20"/>
    </w:rPr>
  </w:style>
  <w:style w:type="paragraph" w:customStyle="1" w:styleId="779">
    <w:name w:val="样式-篇-章-节-第四级"/>
    <w:basedOn w:val="8"/>
    <w:autoRedefine/>
    <w:qFormat/>
    <w:uiPriority w:val="0"/>
    <w:pPr>
      <w:tabs>
        <w:tab w:val="left" w:pos="1191"/>
        <w:tab w:val="left" w:pos="1995"/>
      </w:tabs>
      <w:adjustRightInd/>
      <w:spacing w:before="0" w:after="0" w:line="240" w:lineRule="auto"/>
      <w:ind w:left="851" w:hanging="851"/>
      <w:jc w:val="left"/>
      <w:textAlignment w:val="auto"/>
    </w:pPr>
    <w:rPr>
      <w:rFonts w:ascii="Times New Roman" w:hAnsi="Times New Roman" w:eastAsia="仿宋_GB2312"/>
      <w:bCs/>
      <w:kern w:val="28"/>
      <w:szCs w:val="28"/>
    </w:rPr>
  </w:style>
  <w:style w:type="paragraph" w:customStyle="1" w:styleId="780">
    <w:name w:val="Char Char Char Char Char Char1 Char Char Char Char Char Char Char Char Char Char"/>
    <w:basedOn w:val="1"/>
    <w:autoRedefine/>
    <w:qFormat/>
    <w:uiPriority w:val="0"/>
    <w:rPr>
      <w:rFonts w:ascii="Tahoma" w:hAnsi="Tahoma"/>
      <w:sz w:val="24"/>
      <w:szCs w:val="20"/>
    </w:rPr>
  </w:style>
  <w:style w:type="paragraph" w:customStyle="1" w:styleId="781">
    <w:name w:val="正文 A"/>
    <w:autoRedefine/>
    <w:qFormat/>
    <w:uiPriority w:val="0"/>
    <w:rPr>
      <w:rFonts w:ascii="Times New Roman" w:hAnsi="Times New Roman" w:eastAsia="Arial Unicode MS" w:cs="Arial Unicode MS"/>
      <w:color w:val="000000"/>
      <w:sz w:val="24"/>
      <w:szCs w:val="24"/>
      <w:lang w:val="en-US" w:eastAsia="zh-CN" w:bidi="ar-SA"/>
    </w:rPr>
  </w:style>
  <w:style w:type="paragraph" w:customStyle="1" w:styleId="782">
    <w:name w:val="Char Char Char Char Char Char1 Char Char Char Char Char Char1"/>
    <w:basedOn w:val="1"/>
    <w:autoRedefine/>
    <w:qFormat/>
    <w:uiPriority w:val="0"/>
    <w:rPr>
      <w:rFonts w:ascii="Tahoma" w:hAnsi="Tahoma"/>
      <w:sz w:val="24"/>
      <w:szCs w:val="20"/>
    </w:rPr>
  </w:style>
  <w:style w:type="paragraph" w:customStyle="1" w:styleId="783">
    <w:name w:val="Char Char Char Char Char Char1 Char Char Char Char Char Char1 Char Char Char"/>
    <w:basedOn w:val="1"/>
    <w:autoRedefine/>
    <w:qFormat/>
    <w:uiPriority w:val="0"/>
    <w:rPr>
      <w:rFonts w:ascii="Tahoma" w:hAnsi="Tahoma"/>
      <w:sz w:val="24"/>
      <w:szCs w:val="20"/>
    </w:rPr>
  </w:style>
  <w:style w:type="paragraph" w:customStyle="1" w:styleId="784">
    <w:name w:val="Default Text"/>
    <w:basedOn w:val="1"/>
    <w:autoRedefine/>
    <w:qFormat/>
    <w:uiPriority w:val="0"/>
    <w:pPr>
      <w:widowControl/>
      <w:overflowPunct w:val="0"/>
      <w:autoSpaceDE w:val="0"/>
      <w:autoSpaceDN w:val="0"/>
      <w:adjustRightInd w:val="0"/>
      <w:jc w:val="left"/>
    </w:pPr>
    <w:rPr>
      <w:kern w:val="0"/>
      <w:sz w:val="24"/>
      <w:szCs w:val="20"/>
    </w:rPr>
  </w:style>
  <w:style w:type="paragraph" w:customStyle="1" w:styleId="785">
    <w:name w:val="Char Char Char11"/>
    <w:basedOn w:val="1"/>
    <w:autoRedefine/>
    <w:qFormat/>
    <w:uiPriority w:val="0"/>
    <w:rPr>
      <w:rFonts w:ascii="宋体" w:hAnsi="宋体" w:cs="Courier New"/>
      <w:sz w:val="32"/>
      <w:szCs w:val="32"/>
    </w:rPr>
  </w:style>
  <w:style w:type="paragraph" w:customStyle="1" w:styleId="786">
    <w:name w:val="Char Char Char21"/>
    <w:basedOn w:val="1"/>
    <w:autoRedefine/>
    <w:qFormat/>
    <w:uiPriority w:val="0"/>
    <w:pPr>
      <w:jc w:val="left"/>
    </w:pPr>
    <w:rPr>
      <w:rFonts w:ascii="宋体" w:hAnsi="宋体"/>
      <w:sz w:val="28"/>
      <w:szCs w:val="20"/>
    </w:rPr>
  </w:style>
  <w:style w:type="paragraph" w:customStyle="1" w:styleId="787">
    <w:name w:val="Char Char Char Char Char Char1 Char Char Char1 Char Char Char Char"/>
    <w:basedOn w:val="1"/>
    <w:autoRedefine/>
    <w:qFormat/>
    <w:uiPriority w:val="0"/>
    <w:rPr>
      <w:rFonts w:ascii="Tahoma" w:hAnsi="Tahoma"/>
      <w:sz w:val="24"/>
      <w:szCs w:val="20"/>
    </w:rPr>
  </w:style>
  <w:style w:type="paragraph" w:customStyle="1" w:styleId="788">
    <w:name w:val="Char Char Char Char Char Char Char Char Char Char Char Char"/>
    <w:basedOn w:val="1"/>
    <w:autoRedefine/>
    <w:qFormat/>
    <w:uiPriority w:val="0"/>
    <w:rPr>
      <w:rFonts w:ascii="仿宋_GB2312" w:eastAsia="仿宋_GB2312"/>
      <w:b/>
      <w:sz w:val="32"/>
      <w:szCs w:val="20"/>
    </w:rPr>
  </w:style>
  <w:style w:type="paragraph" w:customStyle="1" w:styleId="789">
    <w:name w:val="Normal New"/>
    <w:autoRedefine/>
    <w:qFormat/>
    <w:uiPriority w:val="0"/>
    <w:pPr>
      <w:widowControl w:val="0"/>
      <w:jc w:val="both"/>
    </w:pPr>
    <w:rPr>
      <w:rFonts w:hint="eastAsia" w:ascii="Calibri" w:hAnsi="Calibri" w:eastAsia="宋体" w:cs="Times New Roman"/>
      <w:kern w:val="2"/>
      <w:sz w:val="21"/>
      <w:lang w:val="en-US" w:eastAsia="zh-CN" w:bidi="ar-SA"/>
    </w:rPr>
  </w:style>
  <w:style w:type="paragraph" w:customStyle="1" w:styleId="790">
    <w:name w:val="无缩进"/>
    <w:basedOn w:val="1"/>
    <w:link w:val="791"/>
    <w:autoRedefine/>
    <w:qFormat/>
    <w:uiPriority w:val="0"/>
    <w:pPr>
      <w:spacing w:line="620" w:lineRule="exact"/>
    </w:pPr>
    <w:rPr>
      <w:rFonts w:eastAsia="仿宋"/>
      <w:sz w:val="32"/>
      <w:szCs w:val="20"/>
    </w:rPr>
  </w:style>
  <w:style w:type="character" w:customStyle="1" w:styleId="791">
    <w:name w:val="无缩进 字符"/>
    <w:link w:val="790"/>
    <w:autoRedefine/>
    <w:qFormat/>
    <w:uiPriority w:val="0"/>
    <w:rPr>
      <w:rFonts w:eastAsia="仿宋"/>
      <w:kern w:val="2"/>
      <w:sz w:val="32"/>
    </w:rPr>
  </w:style>
  <w:style w:type="paragraph" w:customStyle="1" w:styleId="792">
    <w:name w:val="_Style 173"/>
    <w:autoRedefine/>
    <w:unhideWhenUsed/>
    <w:qFormat/>
    <w:uiPriority w:val="99"/>
    <w:rPr>
      <w:rFonts w:ascii="Times New Roman" w:hAnsi="Times New Roman" w:eastAsia="宋体" w:cs="Times New Roman"/>
      <w:kern w:val="2"/>
      <w:sz w:val="21"/>
      <w:lang w:val="en-US" w:eastAsia="zh-CN" w:bidi="ar-SA"/>
    </w:rPr>
  </w:style>
  <w:style w:type="paragraph" w:customStyle="1" w:styleId="793">
    <w:name w:val="zhang"/>
    <w:basedOn w:val="1"/>
    <w:autoRedefine/>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character" w:customStyle="1" w:styleId="794">
    <w:name w:val="15"/>
    <w:autoRedefine/>
    <w:qFormat/>
    <w:uiPriority w:val="0"/>
    <w:rPr>
      <w:rFonts w:hint="default" w:ascii="Times New Roman" w:hAnsi="Times New Roman" w:cs="Times New Roman"/>
      <w:color w:val="464445"/>
      <w:u w:val="none"/>
    </w:rPr>
  </w:style>
  <w:style w:type="paragraph" w:customStyle="1" w:styleId="795">
    <w:name w:val="表格样式 2"/>
    <w:autoRedefine/>
    <w:qFormat/>
    <w:uiPriority w:val="0"/>
    <w:rPr>
      <w:rFonts w:ascii="Helvetica Neue" w:hAnsi="Helvetica Neue" w:eastAsia="Arial Unicode MS" w:cs="Arial Unicode MS"/>
      <w:color w:val="000000"/>
      <w:lang w:val="en-US" w:eastAsia="zh-CN" w:bidi="ar-SA"/>
    </w:rPr>
  </w:style>
  <w:style w:type="paragraph" w:customStyle="1" w:styleId="796">
    <w:name w:val="样式14"/>
    <w:basedOn w:val="148"/>
    <w:link w:val="797"/>
    <w:autoRedefine/>
    <w:qFormat/>
    <w:uiPriority w:val="0"/>
    <w:pPr>
      <w:spacing w:line="240" w:lineRule="auto"/>
      <w:ind w:left="1305" w:firstLine="0" w:firstLineChars="0"/>
      <w:jc w:val="center"/>
    </w:pPr>
    <w:rPr>
      <w:rFonts w:ascii="宋体" w:hAnsi="宋体"/>
      <w:b/>
      <w:sz w:val="32"/>
      <w:szCs w:val="24"/>
    </w:rPr>
  </w:style>
  <w:style w:type="character" w:customStyle="1" w:styleId="797">
    <w:name w:val="样式14 Char"/>
    <w:link w:val="796"/>
    <w:autoRedefine/>
    <w:qFormat/>
    <w:locked/>
    <w:uiPriority w:val="0"/>
    <w:rPr>
      <w:rFonts w:ascii="宋体" w:hAnsi="宋体"/>
      <w:b/>
      <w:kern w:val="2"/>
      <w:sz w:val="32"/>
      <w:szCs w:val="24"/>
    </w:rPr>
  </w:style>
  <w:style w:type="character" w:customStyle="1" w:styleId="798">
    <w:name w:val="style71"/>
    <w:autoRedefine/>
    <w:qFormat/>
    <w:uiPriority w:val="0"/>
    <w:rPr>
      <w:b/>
      <w:color w:val="FF6600"/>
    </w:rPr>
  </w:style>
  <w:style w:type="character" w:customStyle="1" w:styleId="799">
    <w:name w:val="批注框文本 Char1"/>
    <w:autoRedefine/>
    <w:qFormat/>
    <w:uiPriority w:val="99"/>
    <w:rPr>
      <w:rFonts w:ascii="Times New Roman" w:hAnsi="Times New Roman" w:eastAsia="宋体" w:cs="Times New Roman"/>
      <w:sz w:val="18"/>
      <w:szCs w:val="18"/>
    </w:rPr>
  </w:style>
  <w:style w:type="paragraph" w:customStyle="1" w:styleId="800">
    <w:name w:val="修订3"/>
    <w:autoRedefine/>
    <w:qFormat/>
    <w:uiPriority w:val="0"/>
    <w:rPr>
      <w:rFonts w:ascii="Times New Roman" w:hAnsi="Times New Roman" w:eastAsia="宋体" w:cs="Times New Roman"/>
      <w:kern w:val="2"/>
      <w:sz w:val="21"/>
      <w:szCs w:val="24"/>
      <w:lang w:val="en-US" w:eastAsia="zh-CN" w:bidi="ar-SA"/>
    </w:rPr>
  </w:style>
  <w:style w:type="paragraph" w:customStyle="1" w:styleId="801">
    <w:name w:val="TOC 标题3"/>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802">
    <w:name w:val="目录 21"/>
    <w:basedOn w:val="1"/>
    <w:next w:val="1"/>
    <w:autoRedefine/>
    <w:qFormat/>
    <w:uiPriority w:val="39"/>
    <w:pPr>
      <w:spacing w:before="240"/>
      <w:jc w:val="left"/>
    </w:pPr>
    <w:rPr>
      <w:rFonts w:ascii="Calibri" w:hAnsi="Calibri"/>
      <w:b/>
      <w:bCs/>
      <w:sz w:val="20"/>
      <w:szCs w:val="20"/>
    </w:rPr>
  </w:style>
  <w:style w:type="paragraph" w:customStyle="1" w:styleId="803">
    <w:name w:val="目录 31"/>
    <w:basedOn w:val="1"/>
    <w:next w:val="1"/>
    <w:autoRedefine/>
    <w:qFormat/>
    <w:uiPriority w:val="39"/>
    <w:pPr>
      <w:tabs>
        <w:tab w:val="right" w:leader="dot" w:pos="8302"/>
      </w:tabs>
      <w:jc w:val="left"/>
    </w:pPr>
    <w:rPr>
      <w:rFonts w:ascii="Calibri" w:hAnsi="Calibri"/>
      <w:sz w:val="20"/>
      <w:szCs w:val="20"/>
    </w:rPr>
  </w:style>
  <w:style w:type="paragraph" w:customStyle="1" w:styleId="804">
    <w:name w:val="目录 41"/>
    <w:basedOn w:val="1"/>
    <w:next w:val="1"/>
    <w:autoRedefine/>
    <w:qFormat/>
    <w:uiPriority w:val="39"/>
    <w:pPr>
      <w:ind w:left="420"/>
      <w:jc w:val="left"/>
    </w:pPr>
    <w:rPr>
      <w:rFonts w:ascii="Calibri" w:hAnsi="Calibri"/>
      <w:sz w:val="20"/>
      <w:szCs w:val="20"/>
    </w:rPr>
  </w:style>
  <w:style w:type="paragraph" w:customStyle="1" w:styleId="805">
    <w:name w:val="目录 51"/>
    <w:basedOn w:val="1"/>
    <w:next w:val="1"/>
    <w:autoRedefine/>
    <w:qFormat/>
    <w:uiPriority w:val="39"/>
    <w:pPr>
      <w:ind w:left="630"/>
      <w:jc w:val="left"/>
    </w:pPr>
    <w:rPr>
      <w:rFonts w:ascii="Calibri" w:hAnsi="Calibri"/>
      <w:sz w:val="20"/>
      <w:szCs w:val="20"/>
    </w:rPr>
  </w:style>
  <w:style w:type="paragraph" w:customStyle="1" w:styleId="806">
    <w:name w:val="目录 61"/>
    <w:basedOn w:val="1"/>
    <w:next w:val="1"/>
    <w:autoRedefine/>
    <w:unhideWhenUsed/>
    <w:qFormat/>
    <w:uiPriority w:val="39"/>
    <w:pPr>
      <w:ind w:left="840"/>
      <w:jc w:val="left"/>
    </w:pPr>
    <w:rPr>
      <w:rFonts w:ascii="Calibri" w:hAnsi="Calibri"/>
      <w:sz w:val="20"/>
      <w:szCs w:val="20"/>
    </w:rPr>
  </w:style>
  <w:style w:type="paragraph" w:customStyle="1" w:styleId="807">
    <w:name w:val="目录 71"/>
    <w:basedOn w:val="1"/>
    <w:next w:val="1"/>
    <w:autoRedefine/>
    <w:unhideWhenUsed/>
    <w:qFormat/>
    <w:uiPriority w:val="39"/>
    <w:pPr>
      <w:ind w:left="1050"/>
      <w:jc w:val="left"/>
    </w:pPr>
    <w:rPr>
      <w:rFonts w:ascii="Calibri" w:hAnsi="Calibri"/>
      <w:sz w:val="20"/>
      <w:szCs w:val="20"/>
    </w:rPr>
  </w:style>
  <w:style w:type="paragraph" w:customStyle="1" w:styleId="808">
    <w:name w:val="目录 81"/>
    <w:basedOn w:val="1"/>
    <w:next w:val="1"/>
    <w:autoRedefine/>
    <w:unhideWhenUsed/>
    <w:qFormat/>
    <w:uiPriority w:val="39"/>
    <w:pPr>
      <w:ind w:left="1260"/>
      <w:jc w:val="left"/>
    </w:pPr>
    <w:rPr>
      <w:rFonts w:ascii="Calibri" w:hAnsi="Calibri"/>
      <w:sz w:val="20"/>
      <w:szCs w:val="20"/>
    </w:rPr>
  </w:style>
  <w:style w:type="paragraph" w:customStyle="1" w:styleId="809">
    <w:name w:val="目录 91"/>
    <w:basedOn w:val="1"/>
    <w:next w:val="1"/>
    <w:autoRedefine/>
    <w:unhideWhenUsed/>
    <w:qFormat/>
    <w:uiPriority w:val="39"/>
    <w:pPr>
      <w:ind w:left="1470"/>
      <w:jc w:val="left"/>
    </w:pPr>
    <w:rPr>
      <w:rFonts w:ascii="Calibri" w:hAnsi="Calibri"/>
      <w:sz w:val="20"/>
      <w:szCs w:val="20"/>
    </w:rPr>
  </w:style>
  <w:style w:type="paragraph" w:customStyle="1" w:styleId="810">
    <w:name w:val="正文_4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2">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13">
    <w:name w:val="普通(网站) Char"/>
    <w:autoRedefine/>
    <w:qFormat/>
    <w:uiPriority w:val="99"/>
    <w:rPr>
      <w:kern w:val="2"/>
      <w:sz w:val="24"/>
      <w:szCs w:val="24"/>
    </w:rPr>
  </w:style>
  <w:style w:type="character" w:customStyle="1" w:styleId="814">
    <w:name w:val="未处理的提及3"/>
    <w:autoRedefine/>
    <w:unhideWhenUsed/>
    <w:qFormat/>
    <w:uiPriority w:val="99"/>
    <w:rPr>
      <w:color w:val="605E5C"/>
      <w:shd w:val="clear" w:color="auto" w:fill="E1DFDD"/>
    </w:rPr>
  </w:style>
  <w:style w:type="character" w:customStyle="1" w:styleId="815">
    <w:name w:val="纯文本 Char2"/>
    <w:autoRedefine/>
    <w:qFormat/>
    <w:uiPriority w:val="0"/>
    <w:rPr>
      <w:rFonts w:ascii="宋体" w:hAnsi="Courier New" w:eastAsia="宋体" w:cs="Times New Roman"/>
      <w:szCs w:val="20"/>
    </w:rPr>
  </w:style>
  <w:style w:type="character" w:customStyle="1" w:styleId="816">
    <w:name w:val="10"/>
    <w:autoRedefine/>
    <w:qFormat/>
    <w:uiPriority w:val="0"/>
    <w:rPr>
      <w:rFonts w:hint="default" w:ascii="仿宋_GB2312" w:hAnsi="Times New Roman" w:eastAsia="仿宋_GB2312" w:cs="仿宋_GB2312"/>
    </w:rPr>
  </w:style>
  <w:style w:type="character" w:customStyle="1" w:styleId="817">
    <w:name w:val="Char Char63"/>
    <w:autoRedefine/>
    <w:qFormat/>
    <w:uiPriority w:val="0"/>
    <w:rPr>
      <w:rFonts w:ascii="Calibri" w:hAnsi="Calibri" w:eastAsia="宋体" w:cs="Times New Roman"/>
      <w:kern w:val="2"/>
      <w:sz w:val="21"/>
      <w:szCs w:val="24"/>
      <w:lang w:val="en-US" w:eastAsia="zh-CN" w:bidi="ar-SA"/>
    </w:rPr>
  </w:style>
  <w:style w:type="character" w:customStyle="1" w:styleId="818">
    <w:name w:val="hps"/>
    <w:autoRedefine/>
    <w:qFormat/>
    <w:uiPriority w:val="0"/>
    <w:rPr>
      <w:rFonts w:ascii="Times New Roman" w:hAnsi="Times New Roman" w:eastAsia="宋体" w:cs="Times New Roman"/>
    </w:rPr>
  </w:style>
  <w:style w:type="character" w:customStyle="1" w:styleId="819">
    <w:name w:val="Char Char34"/>
    <w:autoRedefine/>
    <w:qFormat/>
    <w:uiPriority w:val="0"/>
    <w:rPr>
      <w:rFonts w:ascii="Calibri" w:hAnsi="Calibri" w:eastAsia="宋体" w:cs="Times New Roman"/>
      <w:sz w:val="24"/>
      <w:lang w:val="en-US" w:eastAsia="zh-CN" w:bidi="ar-SA"/>
    </w:rPr>
  </w:style>
  <w:style w:type="character" w:customStyle="1" w:styleId="820">
    <w:name w:val="Char Char Char3"/>
    <w:autoRedefine/>
    <w:qFormat/>
    <w:uiPriority w:val="0"/>
    <w:rPr>
      <w:rFonts w:ascii="Arial" w:hAnsi="Arial" w:eastAsia="黑体"/>
      <w:b/>
      <w:bCs/>
      <w:kern w:val="2"/>
      <w:sz w:val="32"/>
      <w:szCs w:val="32"/>
      <w:lang w:val="en-US" w:eastAsia="zh-CN" w:bidi="ar-SA"/>
    </w:rPr>
  </w:style>
  <w:style w:type="character" w:customStyle="1" w:styleId="821">
    <w:name w:val="书籍标题3"/>
    <w:autoRedefine/>
    <w:qFormat/>
    <w:uiPriority w:val="33"/>
    <w:rPr>
      <w:b/>
      <w:bCs/>
      <w:smallCaps/>
      <w:spacing w:val="5"/>
    </w:rPr>
  </w:style>
  <w:style w:type="character" w:customStyle="1" w:styleId="822">
    <w:name w:val="font61"/>
    <w:autoRedefine/>
    <w:qFormat/>
    <w:uiPriority w:val="0"/>
    <w:rPr>
      <w:rFonts w:hint="eastAsia" w:ascii="微软雅黑" w:hAnsi="微软雅黑" w:eastAsia="微软雅黑" w:cs="微软雅黑"/>
      <w:b/>
      <w:color w:val="333333"/>
      <w:sz w:val="20"/>
      <w:szCs w:val="20"/>
      <w:u w:val="none"/>
    </w:rPr>
  </w:style>
  <w:style w:type="character" w:customStyle="1" w:styleId="823">
    <w:name w:val="Char Char10"/>
    <w:autoRedefine/>
    <w:qFormat/>
    <w:uiPriority w:val="0"/>
    <w:rPr>
      <w:rFonts w:ascii="Arial" w:hAnsi="Arial" w:eastAsia="黑体"/>
      <w:b/>
      <w:bCs/>
      <w:kern w:val="2"/>
      <w:sz w:val="32"/>
      <w:szCs w:val="32"/>
      <w:lang w:val="en-US" w:eastAsia="zh-CN" w:bidi="ar-SA"/>
    </w:rPr>
  </w:style>
  <w:style w:type="character" w:customStyle="1" w:styleId="824">
    <w:name w:val="正文文本 3 Char1"/>
    <w:autoRedefine/>
    <w:qFormat/>
    <w:uiPriority w:val="99"/>
    <w:rPr>
      <w:rFonts w:ascii="Times New Roman" w:hAnsi="Times New Roman" w:eastAsia="宋体" w:cs="Times New Roman"/>
      <w:kern w:val="2"/>
      <w:sz w:val="16"/>
      <w:szCs w:val="16"/>
    </w:rPr>
  </w:style>
  <w:style w:type="character" w:customStyle="1" w:styleId="825">
    <w:name w:val="Char Char43"/>
    <w:autoRedefine/>
    <w:qFormat/>
    <w:uiPriority w:val="0"/>
    <w:rPr>
      <w:rFonts w:ascii="华文细黑" w:hAnsi="华文细黑" w:eastAsia="华文细黑" w:cs="Arial"/>
      <w:b/>
      <w:bCs/>
      <w:color w:val="000000"/>
      <w:sz w:val="52"/>
      <w:szCs w:val="32"/>
      <w:lang w:val="en-US" w:eastAsia="zh-CN" w:bidi="ar-SA"/>
    </w:rPr>
  </w:style>
  <w:style w:type="character" w:customStyle="1" w:styleId="826">
    <w:name w:val="正文加重首行缩进2字 Char"/>
    <w:link w:val="827"/>
    <w:autoRedefine/>
    <w:qFormat/>
    <w:uiPriority w:val="0"/>
    <w:rPr>
      <w:rFonts w:eastAsia="楷体_GB2312"/>
      <w:b/>
      <w:bCs/>
      <w:sz w:val="28"/>
      <w:szCs w:val="24"/>
    </w:rPr>
  </w:style>
  <w:style w:type="paragraph" w:customStyle="1" w:styleId="827">
    <w:name w:val="正文加重首行缩进2字"/>
    <w:basedOn w:val="1"/>
    <w:link w:val="826"/>
    <w:autoRedefine/>
    <w:qFormat/>
    <w:uiPriority w:val="0"/>
    <w:pPr>
      <w:ind w:firstLine="560" w:firstLineChars="200"/>
    </w:pPr>
    <w:rPr>
      <w:rFonts w:eastAsia="楷体_GB2312"/>
      <w:b/>
      <w:bCs/>
      <w:kern w:val="0"/>
      <w:sz w:val="28"/>
    </w:rPr>
  </w:style>
  <w:style w:type="character" w:customStyle="1" w:styleId="828">
    <w:name w:val="正文文本 2 Char1"/>
    <w:autoRedefine/>
    <w:qFormat/>
    <w:uiPriority w:val="99"/>
    <w:rPr>
      <w:rFonts w:ascii="Times New Roman" w:hAnsi="Times New Roman" w:eastAsia="宋体" w:cs="Times New Roman"/>
      <w:kern w:val="2"/>
      <w:sz w:val="21"/>
      <w:szCs w:val="24"/>
    </w:rPr>
  </w:style>
  <w:style w:type="character" w:customStyle="1" w:styleId="829">
    <w:name w:val="Char Char114"/>
    <w:autoRedefine/>
    <w:qFormat/>
    <w:uiPriority w:val="0"/>
    <w:rPr>
      <w:rFonts w:ascii="宋体" w:hAnsi="Calibri" w:eastAsia="宋体" w:cs="Times New Roman"/>
      <w:sz w:val="24"/>
      <w:szCs w:val="24"/>
      <w:lang w:val="en-US" w:eastAsia="zh-CN" w:bidi="ar-SA"/>
    </w:rPr>
  </w:style>
  <w:style w:type="character" w:customStyle="1" w:styleId="830">
    <w:name w:val="Char Char73"/>
    <w:autoRedefine/>
    <w:qFormat/>
    <w:uiPriority w:val="0"/>
    <w:rPr>
      <w:rFonts w:ascii="宋体" w:hAnsi="宋体" w:eastAsia="宋体" w:cs="Times New Roman"/>
      <w:b/>
      <w:sz w:val="24"/>
      <w:szCs w:val="24"/>
      <w:lang w:val="en-US" w:eastAsia="zh-CN" w:bidi="ar-SA"/>
    </w:rPr>
  </w:style>
  <w:style w:type="character" w:customStyle="1" w:styleId="831">
    <w:name w:val="Char Char53"/>
    <w:autoRedefine/>
    <w:qFormat/>
    <w:uiPriority w:val="0"/>
    <w:rPr>
      <w:rFonts w:ascii="宋体" w:hAnsi="Calibri" w:eastAsia="宋体" w:cs="Times New Roman"/>
      <w:sz w:val="24"/>
      <w:szCs w:val="24"/>
      <w:lang w:val="en-US" w:eastAsia="zh-CN" w:bidi="ar-SA"/>
    </w:rPr>
  </w:style>
  <w:style w:type="paragraph" w:customStyle="1" w:styleId="832">
    <w:name w:val="Char Char1 Char Char Char Char Char Char Char1"/>
    <w:basedOn w:val="1"/>
    <w:autoRedefine/>
    <w:qFormat/>
    <w:uiPriority w:val="0"/>
    <w:rPr>
      <w:rFonts w:ascii="Tahoma" w:hAnsi="Tahoma"/>
      <w:kern w:val="0"/>
      <w:sz w:val="24"/>
      <w:szCs w:val="20"/>
    </w:rPr>
  </w:style>
  <w:style w:type="paragraph" w:customStyle="1" w:styleId="833">
    <w:name w:val="Char Char16"/>
    <w:basedOn w:val="25"/>
    <w:autoRedefine/>
    <w:qFormat/>
    <w:uiPriority w:val="0"/>
    <w:rPr>
      <w:rFonts w:ascii="Tahoma" w:hAnsi="Tahoma"/>
      <w:kern w:val="0"/>
      <w:sz w:val="24"/>
      <w:szCs w:val="20"/>
    </w:rPr>
  </w:style>
  <w:style w:type="paragraph" w:customStyle="1" w:styleId="834">
    <w:name w:val="修订4"/>
    <w:autoRedefine/>
    <w:qFormat/>
    <w:uiPriority w:val="99"/>
    <w:rPr>
      <w:rFonts w:ascii="Times New Roman" w:hAnsi="Times New Roman" w:eastAsia="宋体" w:cs="Times New Roman"/>
      <w:kern w:val="2"/>
      <w:sz w:val="21"/>
      <w:szCs w:val="24"/>
      <w:lang w:val="en-US" w:eastAsia="zh-CN" w:bidi="ar-SA"/>
    </w:rPr>
  </w:style>
  <w:style w:type="paragraph" w:customStyle="1" w:styleId="835">
    <w:name w:val="TOC 标题4"/>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836">
    <w:name w:val="中等深浅网格 1 - 强调文字颜色 21"/>
    <w:basedOn w:val="1"/>
    <w:autoRedefine/>
    <w:qFormat/>
    <w:uiPriority w:val="0"/>
    <w:pPr>
      <w:spacing w:line="360" w:lineRule="auto"/>
      <w:ind w:firstLine="420" w:firstLineChars="200"/>
    </w:pPr>
    <w:rPr>
      <w:rFonts w:ascii="宋体"/>
      <w:kern w:val="0"/>
      <w:sz w:val="24"/>
      <w:szCs w:val="20"/>
    </w:rPr>
  </w:style>
  <w:style w:type="paragraph" w:customStyle="1" w:styleId="837">
    <w:name w:val="正文5"/>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38">
    <w:name w:val="Char16"/>
    <w:basedOn w:val="1"/>
    <w:autoRedefine/>
    <w:qFormat/>
    <w:uiPriority w:val="0"/>
    <w:rPr>
      <w:rFonts w:ascii="Tahoma" w:hAnsi="Tahoma"/>
      <w:kern w:val="0"/>
      <w:sz w:val="24"/>
      <w:szCs w:val="20"/>
    </w:rPr>
  </w:style>
  <w:style w:type="paragraph" w:customStyle="1" w:styleId="839">
    <w:name w:val="Char Char Char Char7"/>
    <w:basedOn w:val="1"/>
    <w:autoRedefine/>
    <w:qFormat/>
    <w:uiPriority w:val="0"/>
    <w:pPr>
      <w:widowControl/>
      <w:spacing w:after="160" w:line="240" w:lineRule="exact"/>
      <w:jc w:val="left"/>
    </w:pPr>
    <w:rPr>
      <w:rFonts w:ascii="宋体"/>
      <w:kern w:val="0"/>
      <w:sz w:val="34"/>
      <w:szCs w:val="20"/>
    </w:rPr>
  </w:style>
  <w:style w:type="paragraph" w:customStyle="1" w:styleId="840">
    <w:name w:val="Char Char Char Char Char Char1 Char1"/>
    <w:basedOn w:val="1"/>
    <w:autoRedefine/>
    <w:qFormat/>
    <w:uiPriority w:val="0"/>
    <w:pPr>
      <w:widowControl/>
      <w:wordWrap w:val="0"/>
      <w:jc w:val="left"/>
    </w:pPr>
    <w:rPr>
      <w:rFonts w:ascii="Tahoma" w:hAnsi="Tahoma"/>
      <w:kern w:val="0"/>
      <w:sz w:val="24"/>
      <w:szCs w:val="20"/>
    </w:rPr>
  </w:style>
  <w:style w:type="paragraph" w:customStyle="1" w:styleId="841">
    <w:name w:val="标题2 alt+2"/>
    <w:basedOn w:val="1"/>
    <w:next w:val="6"/>
    <w:autoRedefine/>
    <w:qFormat/>
    <w:uiPriority w:val="0"/>
    <w:pPr>
      <w:spacing w:beforeLines="50"/>
      <w:jc w:val="left"/>
      <w:outlineLvl w:val="1"/>
    </w:pPr>
    <w:rPr>
      <w:rFonts w:eastAsia="黑体"/>
      <w:b/>
      <w:bCs/>
      <w:kern w:val="0"/>
      <w:sz w:val="28"/>
      <w:szCs w:val="28"/>
    </w:rPr>
  </w:style>
  <w:style w:type="paragraph" w:customStyle="1" w:styleId="842">
    <w:name w:val="Char Char Char Char Char Char2"/>
    <w:basedOn w:val="1"/>
    <w:autoRedefine/>
    <w:qFormat/>
    <w:uiPriority w:val="0"/>
    <w:pPr>
      <w:adjustRightInd w:val="0"/>
      <w:spacing w:line="360" w:lineRule="auto"/>
    </w:pPr>
    <w:rPr>
      <w:kern w:val="0"/>
      <w:sz w:val="24"/>
      <w:szCs w:val="20"/>
    </w:rPr>
  </w:style>
  <w:style w:type="paragraph" w:customStyle="1" w:styleId="843">
    <w:name w:val="Char Char Char Char Char Char Char Char Char Char Char Char Char4"/>
    <w:basedOn w:val="1"/>
    <w:autoRedefine/>
    <w:qFormat/>
    <w:uiPriority w:val="0"/>
    <w:rPr>
      <w:rFonts w:ascii="仿宋_GB2312" w:hAnsi="Calibri" w:eastAsia="仿宋_GB2312"/>
      <w:b/>
      <w:kern w:val="0"/>
      <w:sz w:val="32"/>
      <w:szCs w:val="32"/>
    </w:rPr>
  </w:style>
  <w:style w:type="paragraph" w:customStyle="1" w:styleId="844">
    <w:name w:val="Char6"/>
    <w:basedOn w:val="1"/>
    <w:next w:val="1"/>
    <w:autoRedefine/>
    <w:qFormat/>
    <w:uiPriority w:val="0"/>
    <w:pPr>
      <w:widowControl/>
      <w:spacing w:after="160" w:line="240" w:lineRule="exact"/>
      <w:jc w:val="left"/>
    </w:pPr>
    <w:rPr>
      <w:rFonts w:ascii="Verdana" w:hAnsi="Verdana" w:eastAsia="仿宋_GB2312"/>
      <w:kern w:val="0"/>
      <w:sz w:val="20"/>
      <w:szCs w:val="20"/>
      <w:lang w:eastAsia="en-US"/>
    </w:rPr>
  </w:style>
  <w:style w:type="character" w:customStyle="1" w:styleId="845">
    <w:name w:val="标题 1 Char1"/>
    <w:autoRedefine/>
    <w:qFormat/>
    <w:uiPriority w:val="0"/>
    <w:rPr>
      <w:b/>
      <w:bCs/>
      <w:kern w:val="44"/>
      <w:sz w:val="44"/>
      <w:szCs w:val="44"/>
    </w:rPr>
  </w:style>
  <w:style w:type="character" w:customStyle="1" w:styleId="846">
    <w:name w:val="标题 2 Char2"/>
    <w:autoRedefine/>
    <w:qFormat/>
    <w:uiPriority w:val="0"/>
    <w:rPr>
      <w:rFonts w:ascii="Cambria" w:hAnsi="Cambria"/>
      <w:b/>
      <w:bCs/>
      <w:kern w:val="2"/>
      <w:sz w:val="32"/>
      <w:szCs w:val="32"/>
    </w:rPr>
  </w:style>
  <w:style w:type="character" w:customStyle="1" w:styleId="847">
    <w:name w:val="标题 4 Char1"/>
    <w:autoRedefine/>
    <w:qFormat/>
    <w:uiPriority w:val="0"/>
    <w:rPr>
      <w:rFonts w:ascii="Arial" w:hAnsi="Arial" w:eastAsia="黑体"/>
      <w:b/>
    </w:rPr>
  </w:style>
  <w:style w:type="character" w:customStyle="1" w:styleId="848">
    <w:name w:val="标题 5 Char1"/>
    <w:autoRedefine/>
    <w:qFormat/>
    <w:uiPriority w:val="0"/>
    <w:rPr>
      <w:b/>
    </w:rPr>
  </w:style>
  <w:style w:type="character" w:customStyle="1" w:styleId="849">
    <w:name w:val="标题 6 Char1"/>
    <w:autoRedefine/>
    <w:qFormat/>
    <w:uiPriority w:val="0"/>
    <w:rPr>
      <w:rFonts w:ascii="Arial" w:hAnsi="Arial" w:eastAsia="黑体"/>
      <w:b/>
    </w:rPr>
  </w:style>
  <w:style w:type="character" w:customStyle="1" w:styleId="850">
    <w:name w:val="标题 7 Char1"/>
    <w:autoRedefine/>
    <w:qFormat/>
    <w:uiPriority w:val="0"/>
    <w:rPr>
      <w:b/>
    </w:rPr>
  </w:style>
  <w:style w:type="character" w:customStyle="1" w:styleId="851">
    <w:name w:val="标题 8 Char1"/>
    <w:autoRedefine/>
    <w:qFormat/>
    <w:uiPriority w:val="0"/>
    <w:rPr>
      <w:rFonts w:ascii="Arial" w:hAnsi="Arial" w:eastAsia="黑体"/>
    </w:rPr>
  </w:style>
  <w:style w:type="character" w:customStyle="1" w:styleId="852">
    <w:name w:val="标题 9 Char1"/>
    <w:autoRedefine/>
    <w:qFormat/>
    <w:uiPriority w:val="0"/>
    <w:rPr>
      <w:rFonts w:ascii="Arial" w:hAnsi="Arial" w:eastAsia="黑体"/>
    </w:rPr>
  </w:style>
  <w:style w:type="character" w:customStyle="1" w:styleId="853">
    <w:name w:val="文档结构图 Char1"/>
    <w:autoRedefine/>
    <w:qFormat/>
    <w:uiPriority w:val="0"/>
    <w:rPr>
      <w:rFonts w:ascii="宋体"/>
      <w:sz w:val="18"/>
      <w:szCs w:val="18"/>
    </w:rPr>
  </w:style>
  <w:style w:type="character" w:customStyle="1" w:styleId="854">
    <w:name w:val="批注文字 Char2"/>
    <w:autoRedefine/>
    <w:qFormat/>
    <w:uiPriority w:val="0"/>
  </w:style>
  <w:style w:type="character" w:customStyle="1" w:styleId="855">
    <w:name w:val="副标题 Char"/>
    <w:autoRedefine/>
    <w:qFormat/>
    <w:uiPriority w:val="0"/>
    <w:rPr>
      <w:rFonts w:ascii="Cambria" w:hAnsi="Cambria" w:eastAsia="黑体"/>
      <w:bCs/>
      <w:kern w:val="28"/>
      <w:sz w:val="24"/>
      <w:szCs w:val="32"/>
    </w:rPr>
  </w:style>
  <w:style w:type="character" w:customStyle="1" w:styleId="856">
    <w:name w:val="正文文本缩进 3 Char1"/>
    <w:autoRedefine/>
    <w:qFormat/>
    <w:uiPriority w:val="99"/>
    <w:rPr>
      <w:sz w:val="16"/>
      <w:szCs w:val="16"/>
    </w:rPr>
  </w:style>
  <w:style w:type="character" w:customStyle="1" w:styleId="857">
    <w:name w:val="批注主题 Char1"/>
    <w:autoRedefine/>
    <w:qFormat/>
    <w:uiPriority w:val="99"/>
    <w:rPr>
      <w:b/>
      <w:bCs/>
    </w:rPr>
  </w:style>
  <w:style w:type="character" w:customStyle="1" w:styleId="858">
    <w:name w:val="GP正文(首行缩进) Char Char"/>
    <w:autoRedefine/>
    <w:qFormat/>
    <w:locked/>
    <w:uiPriority w:val="0"/>
    <w:rPr>
      <w:szCs w:val="21"/>
    </w:rPr>
  </w:style>
  <w:style w:type="character" w:customStyle="1" w:styleId="859">
    <w:name w:val="样式13 Char"/>
    <w:link w:val="860"/>
    <w:autoRedefine/>
    <w:qFormat/>
    <w:locked/>
    <w:uiPriority w:val="0"/>
    <w:rPr>
      <w:kern w:val="2"/>
      <w:sz w:val="21"/>
      <w:szCs w:val="24"/>
    </w:rPr>
  </w:style>
  <w:style w:type="paragraph" w:customStyle="1" w:styleId="860">
    <w:name w:val="样式13"/>
    <w:basedOn w:val="1"/>
    <w:next w:val="1"/>
    <w:link w:val="859"/>
    <w:autoRedefine/>
    <w:qFormat/>
    <w:uiPriority w:val="0"/>
  </w:style>
  <w:style w:type="character" w:customStyle="1" w:styleId="861">
    <w:name w:val="样式12 Char"/>
    <w:link w:val="862"/>
    <w:autoRedefine/>
    <w:qFormat/>
    <w:locked/>
    <w:uiPriority w:val="0"/>
    <w:rPr>
      <w:sz w:val="21"/>
      <w:szCs w:val="24"/>
    </w:rPr>
  </w:style>
  <w:style w:type="paragraph" w:customStyle="1" w:styleId="862">
    <w:name w:val="样式12"/>
    <w:basedOn w:val="1"/>
    <w:next w:val="1"/>
    <w:link w:val="861"/>
    <w:autoRedefine/>
    <w:qFormat/>
    <w:uiPriority w:val="0"/>
    <w:rPr>
      <w:kern w:val="0"/>
    </w:rPr>
  </w:style>
  <w:style w:type="character" w:customStyle="1" w:styleId="863">
    <w:name w:val="样式9 Char"/>
    <w:link w:val="864"/>
    <w:autoRedefine/>
    <w:qFormat/>
    <w:locked/>
    <w:uiPriority w:val="0"/>
    <w:rPr>
      <w:kern w:val="2"/>
      <w:sz w:val="21"/>
      <w:szCs w:val="24"/>
    </w:rPr>
  </w:style>
  <w:style w:type="paragraph" w:customStyle="1" w:styleId="864">
    <w:name w:val="样式9"/>
    <w:basedOn w:val="1"/>
    <w:next w:val="1"/>
    <w:link w:val="863"/>
    <w:autoRedefine/>
    <w:qFormat/>
    <w:uiPriority w:val="0"/>
  </w:style>
  <w:style w:type="character" w:customStyle="1" w:styleId="865">
    <w:name w:val="样式18 Char"/>
    <w:link w:val="866"/>
    <w:autoRedefine/>
    <w:qFormat/>
    <w:locked/>
    <w:uiPriority w:val="0"/>
    <w:rPr>
      <w:kern w:val="2"/>
      <w:sz w:val="21"/>
      <w:szCs w:val="24"/>
    </w:rPr>
  </w:style>
  <w:style w:type="paragraph" w:customStyle="1" w:styleId="866">
    <w:name w:val="样式18"/>
    <w:basedOn w:val="1"/>
    <w:next w:val="1"/>
    <w:link w:val="865"/>
    <w:autoRedefine/>
    <w:qFormat/>
    <w:uiPriority w:val="0"/>
  </w:style>
  <w:style w:type="character" w:customStyle="1" w:styleId="867">
    <w:name w:val="样式17 Char"/>
    <w:link w:val="868"/>
    <w:autoRedefine/>
    <w:qFormat/>
    <w:locked/>
    <w:uiPriority w:val="0"/>
    <w:rPr>
      <w:kern w:val="2"/>
      <w:sz w:val="21"/>
      <w:szCs w:val="24"/>
    </w:rPr>
  </w:style>
  <w:style w:type="paragraph" w:customStyle="1" w:styleId="868">
    <w:name w:val="样式17"/>
    <w:basedOn w:val="1"/>
    <w:next w:val="1"/>
    <w:link w:val="867"/>
    <w:autoRedefine/>
    <w:qFormat/>
    <w:uiPriority w:val="0"/>
  </w:style>
  <w:style w:type="character" w:customStyle="1" w:styleId="869">
    <w:name w:val="样式10 Char"/>
    <w:link w:val="870"/>
    <w:autoRedefine/>
    <w:qFormat/>
    <w:locked/>
    <w:uiPriority w:val="0"/>
    <w:rPr>
      <w:sz w:val="21"/>
      <w:szCs w:val="24"/>
    </w:rPr>
  </w:style>
  <w:style w:type="paragraph" w:customStyle="1" w:styleId="870">
    <w:name w:val="样式10"/>
    <w:basedOn w:val="1"/>
    <w:next w:val="1"/>
    <w:link w:val="869"/>
    <w:autoRedefine/>
    <w:qFormat/>
    <w:uiPriority w:val="0"/>
    <w:rPr>
      <w:kern w:val="0"/>
    </w:rPr>
  </w:style>
  <w:style w:type="character" w:customStyle="1" w:styleId="871">
    <w:name w:val="样式11 Char"/>
    <w:link w:val="872"/>
    <w:autoRedefine/>
    <w:qFormat/>
    <w:locked/>
    <w:uiPriority w:val="0"/>
    <w:rPr>
      <w:kern w:val="2"/>
      <w:sz w:val="21"/>
      <w:szCs w:val="24"/>
    </w:rPr>
  </w:style>
  <w:style w:type="paragraph" w:customStyle="1" w:styleId="872">
    <w:name w:val="样式11"/>
    <w:basedOn w:val="1"/>
    <w:next w:val="1"/>
    <w:link w:val="871"/>
    <w:autoRedefine/>
    <w:qFormat/>
    <w:uiPriority w:val="0"/>
  </w:style>
  <w:style w:type="character" w:customStyle="1" w:styleId="873">
    <w:name w:val="样式19 Char"/>
    <w:link w:val="874"/>
    <w:autoRedefine/>
    <w:qFormat/>
    <w:locked/>
    <w:uiPriority w:val="0"/>
    <w:rPr>
      <w:kern w:val="2"/>
      <w:sz w:val="21"/>
      <w:szCs w:val="24"/>
    </w:rPr>
  </w:style>
  <w:style w:type="paragraph" w:customStyle="1" w:styleId="874">
    <w:name w:val="样式19"/>
    <w:basedOn w:val="1"/>
    <w:next w:val="1"/>
    <w:link w:val="873"/>
    <w:autoRedefine/>
    <w:qFormat/>
    <w:uiPriority w:val="0"/>
  </w:style>
  <w:style w:type="character" w:customStyle="1" w:styleId="875">
    <w:name w:val="样式16 Char"/>
    <w:link w:val="876"/>
    <w:autoRedefine/>
    <w:qFormat/>
    <w:locked/>
    <w:uiPriority w:val="0"/>
    <w:rPr>
      <w:sz w:val="21"/>
      <w:szCs w:val="24"/>
    </w:rPr>
  </w:style>
  <w:style w:type="paragraph" w:customStyle="1" w:styleId="876">
    <w:name w:val="样式16"/>
    <w:basedOn w:val="1"/>
    <w:next w:val="1"/>
    <w:link w:val="875"/>
    <w:autoRedefine/>
    <w:qFormat/>
    <w:uiPriority w:val="0"/>
    <w:rPr>
      <w:kern w:val="0"/>
    </w:rPr>
  </w:style>
  <w:style w:type="character" w:customStyle="1" w:styleId="877">
    <w:name w:val="样式15 Char"/>
    <w:link w:val="878"/>
    <w:autoRedefine/>
    <w:qFormat/>
    <w:locked/>
    <w:uiPriority w:val="0"/>
    <w:rPr>
      <w:kern w:val="2"/>
      <w:sz w:val="21"/>
      <w:szCs w:val="24"/>
    </w:rPr>
  </w:style>
  <w:style w:type="paragraph" w:customStyle="1" w:styleId="878">
    <w:name w:val="样式15"/>
    <w:basedOn w:val="1"/>
    <w:next w:val="1"/>
    <w:link w:val="877"/>
    <w:autoRedefine/>
    <w:qFormat/>
    <w:uiPriority w:val="0"/>
  </w:style>
  <w:style w:type="paragraph" w:customStyle="1" w:styleId="879">
    <w:name w:val="TOC 标题41"/>
    <w:basedOn w:val="3"/>
    <w:next w:val="1"/>
    <w:autoRedefine/>
    <w:qFormat/>
    <w:uiPriority w:val="99"/>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880">
    <w:name w:val="正文111 Char"/>
    <w:link w:val="881"/>
    <w:autoRedefine/>
    <w:qFormat/>
    <w:locked/>
    <w:uiPriority w:val="0"/>
    <w:rPr>
      <w:rFonts w:ascii="宋体" w:hAnsi="宋体"/>
      <w:kern w:val="2"/>
      <w:sz w:val="24"/>
      <w:szCs w:val="30"/>
    </w:rPr>
  </w:style>
  <w:style w:type="paragraph" w:customStyle="1" w:styleId="881">
    <w:name w:val="正文111"/>
    <w:basedOn w:val="44"/>
    <w:link w:val="880"/>
    <w:autoRedefine/>
    <w:qFormat/>
    <w:uiPriority w:val="0"/>
    <w:pPr>
      <w:tabs>
        <w:tab w:val="left" w:pos="5580"/>
      </w:tabs>
      <w:adjustRightInd w:val="0"/>
      <w:snapToGrid w:val="0"/>
      <w:spacing w:beforeLines="50" w:line="360" w:lineRule="auto"/>
      <w:ind w:firstLine="480" w:firstLineChars="200"/>
    </w:pPr>
    <w:rPr>
      <w:rFonts w:hint="default" w:hAnsi="宋体"/>
      <w:sz w:val="24"/>
      <w:szCs w:val="30"/>
    </w:rPr>
  </w:style>
  <w:style w:type="character" w:customStyle="1" w:styleId="882">
    <w:name w:val="明显参考1"/>
    <w:autoRedefine/>
    <w:qFormat/>
    <w:uiPriority w:val="0"/>
    <w:rPr>
      <w:b/>
      <w:bCs/>
      <w:smallCaps/>
      <w:color w:val="C0504D"/>
      <w:spacing w:val="5"/>
      <w:u w:val="single"/>
    </w:rPr>
  </w:style>
  <w:style w:type="character" w:customStyle="1" w:styleId="883">
    <w:name w:val="明显强调1"/>
    <w:autoRedefine/>
    <w:qFormat/>
    <w:uiPriority w:val="0"/>
    <w:rPr>
      <w:b/>
      <w:bCs/>
      <w:i/>
      <w:iCs/>
      <w:color w:val="4F81BD"/>
    </w:rPr>
  </w:style>
  <w:style w:type="character" w:customStyle="1" w:styleId="884">
    <w:name w:val="明显参考11"/>
    <w:autoRedefine/>
    <w:qFormat/>
    <w:uiPriority w:val="32"/>
    <w:rPr>
      <w:b/>
      <w:bCs/>
      <w:smallCaps/>
      <w:color w:val="C0504D"/>
      <w:spacing w:val="5"/>
      <w:u w:val="single"/>
    </w:rPr>
  </w:style>
  <w:style w:type="character" w:customStyle="1" w:styleId="885">
    <w:name w:val="日期 Char Char"/>
    <w:autoRedefine/>
    <w:qFormat/>
    <w:uiPriority w:val="99"/>
    <w:rPr>
      <w:rFonts w:ascii="宋体"/>
      <w:sz w:val="24"/>
    </w:rPr>
  </w:style>
  <w:style w:type="character" w:customStyle="1" w:styleId="886">
    <w:name w:val="页脚 Char Char"/>
    <w:autoRedefine/>
    <w:qFormat/>
    <w:uiPriority w:val="0"/>
    <w:rPr>
      <w:rFonts w:ascii="MingLiU" w:eastAsia="MingLiU"/>
      <w:sz w:val="18"/>
      <w:szCs w:val="18"/>
      <w:lang w:eastAsia="zh-TW"/>
    </w:rPr>
  </w:style>
  <w:style w:type="paragraph" w:customStyle="1" w:styleId="887">
    <w:name w:val="样式 标题 3标题 3 Char + 行距: 固定值 22 磅"/>
    <w:basedOn w:val="5"/>
    <w:autoRedefine/>
    <w:qFormat/>
    <w:uiPriority w:val="0"/>
    <w:pPr>
      <w:keepNext w:val="0"/>
      <w:keepLines w:val="0"/>
      <w:numPr>
        <w:ilvl w:val="2"/>
        <w:numId w:val="8"/>
      </w:numPr>
      <w:tabs>
        <w:tab w:val="left" w:pos="720"/>
        <w:tab w:val="left" w:pos="1260"/>
        <w:tab w:val="left" w:pos="1560"/>
      </w:tabs>
      <w:spacing w:before="0" w:after="0" w:line="440" w:lineRule="exact"/>
      <w:ind w:firstLine="564" w:firstLineChars="200"/>
    </w:pPr>
    <w:rPr>
      <w:rFonts w:hAnsi="宋体" w:cs="宋体"/>
      <w:b w:val="0"/>
      <w:bCs/>
      <w:snapToGrid w:val="0"/>
      <w:kern w:val="2"/>
      <w:sz w:val="32"/>
      <w:u w:val="none"/>
    </w:rPr>
  </w:style>
  <w:style w:type="paragraph" w:customStyle="1" w:styleId="888">
    <w:name w:val="_Style 65"/>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9">
    <w:name w:val="_Style 59"/>
    <w:next w:val="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90">
    <w:name w:val="明显强调11"/>
    <w:autoRedefine/>
    <w:qFormat/>
    <w:uiPriority w:val="21"/>
    <w:rPr>
      <w:b/>
      <w:bCs/>
      <w:i/>
      <w:iCs/>
      <w:color w:val="4F81BD"/>
    </w:rPr>
  </w:style>
  <w:style w:type="paragraph" w:customStyle="1" w:styleId="891">
    <w:name w:val="_Style 89"/>
    <w:basedOn w:val="1"/>
    <w:next w:val="148"/>
    <w:autoRedefine/>
    <w:qFormat/>
    <w:uiPriority w:val="99"/>
    <w:pPr>
      <w:ind w:firstLine="420" w:firstLineChars="200"/>
    </w:pPr>
  </w:style>
  <w:style w:type="character" w:customStyle="1" w:styleId="892">
    <w:name w:val="Char Char81"/>
    <w:autoRedefine/>
    <w:qFormat/>
    <w:uiPriority w:val="0"/>
    <w:rPr>
      <w:rFonts w:ascii="Arial" w:hAnsi="Arial" w:eastAsia="黑体"/>
      <w:b/>
      <w:bCs/>
      <w:kern w:val="2"/>
      <w:sz w:val="32"/>
      <w:szCs w:val="32"/>
      <w:lang w:val="en-US" w:eastAsia="zh-CN" w:bidi="ar-SA"/>
    </w:rPr>
  </w:style>
  <w:style w:type="character" w:customStyle="1" w:styleId="893">
    <w:name w:val="副标题 字符1"/>
    <w:autoRedefine/>
    <w:qFormat/>
    <w:uiPriority w:val="11"/>
    <w:rPr>
      <w:rFonts w:ascii="等线 Light" w:hAnsi="等线 Light" w:cs="Times New Roman"/>
      <w:b/>
      <w:bCs/>
      <w:kern w:val="28"/>
      <w:sz w:val="32"/>
      <w:szCs w:val="32"/>
    </w:rPr>
  </w:style>
  <w:style w:type="character" w:customStyle="1" w:styleId="894">
    <w:name w:val="页脚 字符1_0"/>
    <w:link w:val="895"/>
    <w:autoRedefine/>
    <w:qFormat/>
    <w:uiPriority w:val="99"/>
    <w:rPr>
      <w:sz w:val="18"/>
      <w:szCs w:val="18"/>
    </w:rPr>
  </w:style>
  <w:style w:type="paragraph" w:customStyle="1" w:styleId="895">
    <w:name w:val="Footer_0"/>
    <w:basedOn w:val="896"/>
    <w:link w:val="894"/>
    <w:autoRedefine/>
    <w:qFormat/>
    <w:uiPriority w:val="99"/>
    <w:pPr>
      <w:tabs>
        <w:tab w:val="center" w:pos="4153"/>
        <w:tab w:val="right" w:pos="8306"/>
      </w:tabs>
      <w:snapToGrid w:val="0"/>
      <w:jc w:val="left"/>
    </w:pPr>
    <w:rPr>
      <w:sz w:val="18"/>
      <w:szCs w:val="18"/>
    </w:rPr>
  </w:style>
  <w:style w:type="paragraph" w:customStyle="1" w:styleId="896">
    <w:name w:val="Normal_1"/>
    <w:autoRedefine/>
    <w:qFormat/>
    <w:uiPriority w:val="0"/>
    <w:pPr>
      <w:widowControl w:val="0"/>
      <w:jc w:val="both"/>
    </w:pPr>
    <w:rPr>
      <w:rFonts w:ascii="Times New Roman" w:hAnsi="Times New Roman" w:eastAsia="宋体" w:cs="Times New Roman"/>
      <w:lang w:val="en-US" w:eastAsia="zh-CN" w:bidi="ar-SA"/>
    </w:rPr>
  </w:style>
  <w:style w:type="character" w:customStyle="1" w:styleId="897">
    <w:name w:val="正文文本首行缩进 2 字符1"/>
    <w:autoRedefine/>
    <w:qFormat/>
    <w:uiPriority w:val="0"/>
  </w:style>
  <w:style w:type="character" w:customStyle="1" w:styleId="898">
    <w:name w:val="注释标题 字符1"/>
    <w:autoRedefine/>
    <w:qFormat/>
    <w:uiPriority w:val="0"/>
  </w:style>
  <w:style w:type="character" w:customStyle="1" w:styleId="899">
    <w:name w:val="z-窗体底端 字符2"/>
    <w:link w:val="900"/>
    <w:autoRedefine/>
    <w:qFormat/>
    <w:uiPriority w:val="0"/>
    <w:rPr>
      <w:rFonts w:ascii="Arial" w:hAnsi="Arial" w:cs="Arial"/>
      <w:vanish/>
      <w:sz w:val="16"/>
      <w:szCs w:val="16"/>
    </w:rPr>
  </w:style>
  <w:style w:type="paragraph" w:customStyle="1" w:styleId="900">
    <w:name w:val="z-窗体底端1"/>
    <w:basedOn w:val="1"/>
    <w:next w:val="1"/>
    <w:link w:val="899"/>
    <w:autoRedefine/>
    <w:qFormat/>
    <w:uiPriority w:val="0"/>
    <w:pPr>
      <w:widowControl/>
      <w:pBdr>
        <w:top w:val="single" w:color="auto" w:sz="6" w:space="1"/>
      </w:pBdr>
      <w:jc w:val="center"/>
    </w:pPr>
    <w:rPr>
      <w:rFonts w:ascii="Arial" w:hAnsi="Arial" w:cs="Arial"/>
      <w:vanish/>
      <w:kern w:val="0"/>
      <w:sz w:val="16"/>
      <w:szCs w:val="16"/>
    </w:rPr>
  </w:style>
  <w:style w:type="character" w:customStyle="1" w:styleId="901">
    <w:name w:val="z-窗体底端 字符1"/>
    <w:autoRedefine/>
    <w:qFormat/>
    <w:uiPriority w:val="0"/>
    <w:rPr>
      <w:rFonts w:ascii="Arial" w:hAnsi="Arial" w:cs="Arial"/>
      <w:vanish/>
      <w:sz w:val="16"/>
      <w:szCs w:val="16"/>
    </w:rPr>
  </w:style>
  <w:style w:type="character" w:customStyle="1" w:styleId="902">
    <w:name w:val="Char Char21"/>
    <w:autoRedefine/>
    <w:qFormat/>
    <w:uiPriority w:val="99"/>
    <w:rPr>
      <w:rFonts w:eastAsia="宋体"/>
      <w:kern w:val="2"/>
      <w:sz w:val="21"/>
      <w:szCs w:val="24"/>
      <w:lang w:val="en-US" w:eastAsia="zh-CN" w:bidi="ar-SA"/>
    </w:rPr>
  </w:style>
  <w:style w:type="character" w:customStyle="1" w:styleId="903">
    <w:name w:val="Blockquote Char Char"/>
    <w:link w:val="904"/>
    <w:autoRedefine/>
    <w:qFormat/>
    <w:uiPriority w:val="0"/>
    <w:rPr>
      <w:kern w:val="2"/>
      <w:sz w:val="24"/>
      <w:szCs w:val="24"/>
    </w:rPr>
  </w:style>
  <w:style w:type="paragraph" w:customStyle="1" w:styleId="904">
    <w:name w:val="Blockquote Char"/>
    <w:basedOn w:val="1"/>
    <w:link w:val="903"/>
    <w:autoRedefine/>
    <w:qFormat/>
    <w:uiPriority w:val="0"/>
    <w:pPr>
      <w:autoSpaceDE w:val="0"/>
      <w:autoSpaceDN w:val="0"/>
      <w:adjustRightInd w:val="0"/>
      <w:spacing w:before="100" w:after="100"/>
      <w:ind w:left="360" w:right="360"/>
      <w:jc w:val="left"/>
    </w:pPr>
    <w:rPr>
      <w:sz w:val="24"/>
    </w:rPr>
  </w:style>
  <w:style w:type="paragraph" w:customStyle="1" w:styleId="905">
    <w:name w:val="xl76"/>
    <w:basedOn w:val="1"/>
    <w:autoRedefine/>
    <w:qFormat/>
    <w:uiPriority w:val="0"/>
    <w:pPr>
      <w:widowControl/>
      <w:pBdr>
        <w:top w:val="single" w:color="000000" w:sz="4" w:space="0"/>
        <w:left w:val="single" w:color="000000" w:sz="8"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906">
    <w:name w:val="表格2"/>
    <w:basedOn w:val="1"/>
    <w:autoRedefine/>
    <w:qFormat/>
    <w:uiPriority w:val="0"/>
    <w:pPr>
      <w:adjustRightInd w:val="0"/>
      <w:spacing w:before="60" w:after="60"/>
      <w:jc w:val="center"/>
    </w:pPr>
    <w:rPr>
      <w:rFonts w:ascii="宋体"/>
      <w:color w:val="000000"/>
      <w:kern w:val="0"/>
      <w:sz w:val="24"/>
      <w:szCs w:val="20"/>
    </w:rPr>
  </w:style>
  <w:style w:type="paragraph" w:customStyle="1" w:styleId="907">
    <w:name w:val="xl79"/>
    <w:basedOn w:val="1"/>
    <w:autoRedefine/>
    <w:qFormat/>
    <w:uiPriority w:val="0"/>
    <w:pPr>
      <w:widowControl/>
      <w:pBdr>
        <w:top w:val="single" w:color="000000" w:sz="8" w:space="0"/>
        <w:left w:val="single" w:color="000000" w:sz="8"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908">
    <w:name w:val="xl84"/>
    <w:basedOn w:val="1"/>
    <w:autoRedefine/>
    <w:qFormat/>
    <w:uiPriority w:val="0"/>
    <w:pPr>
      <w:widowControl/>
      <w:shd w:val="clear" w:color="FFFFFF" w:fill="FFFFFF"/>
      <w:spacing w:before="100" w:beforeAutospacing="1" w:after="100" w:afterAutospacing="1"/>
      <w:jc w:val="left"/>
      <w:textAlignment w:val="center"/>
    </w:pPr>
    <w:rPr>
      <w:rFonts w:ascii="黑体" w:hAnsi="黑体" w:eastAsia="黑体" w:cs="宋体"/>
      <w:kern w:val="0"/>
      <w:sz w:val="20"/>
      <w:szCs w:val="20"/>
    </w:rPr>
  </w:style>
  <w:style w:type="paragraph" w:customStyle="1" w:styleId="909">
    <w:name w:val="xl72"/>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910">
    <w:name w:val="xl80"/>
    <w:basedOn w:val="1"/>
    <w:autoRedefine/>
    <w:qFormat/>
    <w:uiPriority w:val="0"/>
    <w:pPr>
      <w:widowControl/>
      <w:pBdr>
        <w:top w:val="single" w:color="000000" w:sz="8"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911">
    <w:name w:val="xl74"/>
    <w:basedOn w:val="1"/>
    <w:autoRedefine/>
    <w:qFormat/>
    <w:uiPriority w:val="0"/>
    <w:pPr>
      <w:widowControl/>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912">
    <w:name w:val="xl75"/>
    <w:basedOn w:val="1"/>
    <w:autoRedefine/>
    <w:qFormat/>
    <w:uiPriority w:val="0"/>
    <w:pPr>
      <w:widowControl/>
      <w:shd w:val="clear" w:color="FFFFFF" w:fill="FFFFFF"/>
      <w:spacing w:before="100" w:beforeAutospacing="1" w:after="100" w:afterAutospacing="1"/>
      <w:jc w:val="center"/>
      <w:textAlignment w:val="center"/>
    </w:pPr>
    <w:rPr>
      <w:rFonts w:ascii="黑体" w:hAnsi="黑体" w:eastAsia="黑体" w:cs="宋体"/>
      <w:kern w:val="0"/>
      <w:sz w:val="32"/>
      <w:szCs w:val="32"/>
    </w:rPr>
  </w:style>
  <w:style w:type="paragraph" w:customStyle="1" w:styleId="913">
    <w:name w:val="xl73"/>
    <w:basedOn w:val="1"/>
    <w:autoRedefine/>
    <w:qFormat/>
    <w:uiPriority w:val="0"/>
    <w:pPr>
      <w:widowControl/>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914">
    <w:name w:val="xl83"/>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915">
    <w:name w:val="Char Char121"/>
    <w:basedOn w:val="1"/>
    <w:autoRedefine/>
    <w:qFormat/>
    <w:uiPriority w:val="0"/>
    <w:rPr>
      <w:rFonts w:ascii="Tahoma" w:hAnsi="Tahoma"/>
      <w:sz w:val="24"/>
      <w:szCs w:val="20"/>
    </w:rPr>
  </w:style>
  <w:style w:type="paragraph" w:customStyle="1" w:styleId="916">
    <w:name w:val="xl70"/>
    <w:basedOn w:val="1"/>
    <w:link w:val="917"/>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right"/>
      <w:textAlignment w:val="center"/>
    </w:pPr>
    <w:rPr>
      <w:rFonts w:ascii="宋体" w:hAnsi="宋体" w:cs="宋体"/>
      <w:kern w:val="0"/>
      <w:sz w:val="24"/>
    </w:rPr>
  </w:style>
  <w:style w:type="character" w:customStyle="1" w:styleId="917">
    <w:name w:val="xl70 Char"/>
    <w:link w:val="916"/>
    <w:autoRedefine/>
    <w:qFormat/>
    <w:uiPriority w:val="0"/>
    <w:rPr>
      <w:rFonts w:ascii="宋体" w:hAnsi="宋体" w:cs="宋体"/>
      <w:sz w:val="24"/>
      <w:szCs w:val="24"/>
      <w:shd w:val="clear" w:color="FFFFFF" w:fill="FFFFFF"/>
    </w:rPr>
  </w:style>
  <w:style w:type="paragraph" w:customStyle="1" w:styleId="918">
    <w:name w:val="xl69"/>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919">
    <w:name w:val="_Style 44"/>
    <w:basedOn w:val="1"/>
    <w:next w:val="1"/>
    <w:autoRedefine/>
    <w:qFormat/>
    <w:uiPriority w:val="0"/>
    <w:pPr>
      <w:widowControl/>
      <w:pBdr>
        <w:top w:val="single" w:color="auto" w:sz="6" w:space="1"/>
      </w:pBdr>
      <w:jc w:val="center"/>
    </w:pPr>
    <w:rPr>
      <w:rFonts w:ascii="Arial" w:hAnsi="Arial" w:cs="Arial"/>
      <w:vanish/>
      <w:kern w:val="0"/>
      <w:sz w:val="16"/>
      <w:szCs w:val="16"/>
    </w:rPr>
  </w:style>
  <w:style w:type="paragraph" w:customStyle="1" w:styleId="920">
    <w:name w:val="xl67"/>
    <w:basedOn w:val="1"/>
    <w:autoRedefine/>
    <w:qFormat/>
    <w:uiPriority w:val="0"/>
    <w:pPr>
      <w:widowControl/>
      <w:pBdr>
        <w:top w:val="single" w:color="000000" w:sz="4" w:space="0"/>
        <w:left w:val="single" w:color="000000" w:sz="8"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921">
    <w:name w:val="xl68"/>
    <w:basedOn w:val="1"/>
    <w:autoRedefine/>
    <w:qFormat/>
    <w:uiPriority w:val="0"/>
    <w:pPr>
      <w:widowControl/>
      <w:pBdr>
        <w:top w:val="single" w:color="000000" w:sz="4" w:space="0"/>
        <w:left w:val="single" w:color="000000" w:sz="4" w:space="0"/>
        <w:bottom w:val="single" w:color="000000" w:sz="4" w:space="0"/>
        <w:right w:val="single" w:color="000000" w:sz="4" w:space="0"/>
      </w:pBdr>
      <w:shd w:val="clear" w:color="FFFFFF" w:fill="FFFFFF"/>
      <w:spacing w:before="100" w:beforeAutospacing="1" w:after="100" w:afterAutospacing="1"/>
      <w:jc w:val="left"/>
      <w:textAlignment w:val="center"/>
    </w:pPr>
    <w:rPr>
      <w:rFonts w:ascii="宋体" w:hAnsi="宋体" w:cs="宋体"/>
      <w:kern w:val="0"/>
      <w:sz w:val="24"/>
    </w:rPr>
  </w:style>
  <w:style w:type="paragraph" w:customStyle="1" w:styleId="922">
    <w:name w:val="xl77"/>
    <w:basedOn w:val="1"/>
    <w:autoRedefine/>
    <w:qFormat/>
    <w:uiPriority w:val="0"/>
    <w:pPr>
      <w:widowControl/>
      <w:pBdr>
        <w:top w:val="single" w:color="000000" w:sz="4" w:space="0"/>
        <w:left w:val="single" w:color="000000" w:sz="4" w:space="0"/>
        <w:bottom w:val="single" w:color="000000" w:sz="8" w:space="0"/>
        <w:right w:val="single" w:color="000000" w:sz="4"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923">
    <w:name w:val="xl81"/>
    <w:basedOn w:val="1"/>
    <w:autoRedefine/>
    <w:qFormat/>
    <w:uiPriority w:val="0"/>
    <w:pPr>
      <w:widowControl/>
      <w:pBdr>
        <w:top w:val="single" w:color="000000" w:sz="4" w:space="0"/>
        <w:left w:val="single" w:color="000000" w:sz="4" w:space="0"/>
        <w:bottom w:val="single" w:color="000000" w:sz="4"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924">
    <w:name w:val="xl78"/>
    <w:basedOn w:val="1"/>
    <w:autoRedefine/>
    <w:qFormat/>
    <w:uiPriority w:val="0"/>
    <w:pPr>
      <w:widowControl/>
      <w:pBdr>
        <w:top w:val="single" w:color="000000" w:sz="8" w:space="0"/>
        <w:left w:val="single" w:color="000000" w:sz="4" w:space="0"/>
        <w:bottom w:val="single" w:color="000000" w:sz="4" w:space="0"/>
        <w:right w:val="single" w:color="000000" w:sz="8" w:space="0"/>
      </w:pBdr>
      <w:shd w:val="clear" w:color="FFFFFF" w:fill="FFFFFF"/>
      <w:spacing w:before="100" w:beforeAutospacing="1" w:after="100" w:afterAutospacing="1"/>
      <w:jc w:val="center"/>
      <w:textAlignment w:val="center"/>
    </w:pPr>
    <w:rPr>
      <w:rFonts w:ascii="宋体" w:hAnsi="宋体" w:cs="宋体"/>
      <w:kern w:val="0"/>
      <w:sz w:val="24"/>
    </w:rPr>
  </w:style>
  <w:style w:type="paragraph" w:customStyle="1" w:styleId="925">
    <w:name w:val="xl71"/>
    <w:basedOn w:val="1"/>
    <w:link w:val="926"/>
    <w:autoRedefine/>
    <w:qFormat/>
    <w:uiPriority w:val="0"/>
    <w:pPr>
      <w:widowControl/>
      <w:shd w:val="clear" w:color="FFFFFF" w:fill="FFFFFF"/>
      <w:spacing w:before="100" w:beforeAutospacing="1" w:after="100" w:afterAutospacing="1"/>
      <w:jc w:val="left"/>
      <w:textAlignment w:val="center"/>
    </w:pPr>
    <w:rPr>
      <w:rFonts w:ascii="宋体" w:hAnsi="宋体" w:cs="宋体"/>
      <w:kern w:val="0"/>
      <w:sz w:val="24"/>
    </w:rPr>
  </w:style>
  <w:style w:type="character" w:customStyle="1" w:styleId="926">
    <w:name w:val="xl71 Char Char"/>
    <w:link w:val="925"/>
    <w:autoRedefine/>
    <w:qFormat/>
    <w:locked/>
    <w:uiPriority w:val="0"/>
    <w:rPr>
      <w:rFonts w:ascii="宋体" w:hAnsi="宋体" w:cs="宋体"/>
      <w:sz w:val="24"/>
      <w:szCs w:val="24"/>
      <w:shd w:val="clear" w:color="FFFFFF" w:fill="FFFFFF"/>
    </w:rPr>
  </w:style>
  <w:style w:type="paragraph" w:customStyle="1" w:styleId="927">
    <w:name w:val="列表段落11"/>
    <w:basedOn w:val="1"/>
    <w:autoRedefine/>
    <w:qFormat/>
    <w:uiPriority w:val="34"/>
    <w:pPr>
      <w:ind w:firstLine="420" w:firstLineChars="200"/>
    </w:pPr>
    <w:rPr>
      <w:rFonts w:ascii="Calibri" w:hAnsi="Calibri"/>
      <w:szCs w:val="22"/>
    </w:rPr>
  </w:style>
  <w:style w:type="paragraph" w:customStyle="1" w:styleId="928">
    <w:name w:val="xl82"/>
    <w:basedOn w:val="1"/>
    <w:autoRedefine/>
    <w:qFormat/>
    <w:uiPriority w:val="0"/>
    <w:pPr>
      <w:widowControl/>
      <w:pBdr>
        <w:top w:val="single" w:color="000000" w:sz="4" w:space="0"/>
        <w:left w:val="single" w:color="000000" w:sz="4" w:space="0"/>
        <w:bottom w:val="single" w:color="000000" w:sz="8" w:space="0"/>
        <w:right w:val="single" w:color="000000" w:sz="8" w:space="0"/>
      </w:pBdr>
      <w:shd w:val="clear" w:color="FFFFFF" w:fill="FFFFFF"/>
      <w:spacing w:before="100" w:beforeAutospacing="1" w:after="100" w:afterAutospacing="1"/>
      <w:jc w:val="right"/>
      <w:textAlignment w:val="center"/>
    </w:pPr>
    <w:rPr>
      <w:rFonts w:ascii="宋体" w:hAnsi="宋体" w:cs="宋体"/>
      <w:kern w:val="0"/>
      <w:sz w:val="24"/>
    </w:rPr>
  </w:style>
  <w:style w:type="paragraph" w:customStyle="1" w:styleId="929">
    <w:name w:val="_Style 291"/>
    <w:basedOn w:val="33"/>
    <w:next w:val="82"/>
    <w:link w:val="930"/>
    <w:autoRedefine/>
    <w:qFormat/>
    <w:uiPriority w:val="0"/>
    <w:pPr>
      <w:spacing w:after="120" w:line="240" w:lineRule="auto"/>
      <w:ind w:left="420" w:leftChars="200" w:firstLine="420" w:firstLineChars="200"/>
    </w:pPr>
    <w:rPr>
      <w:sz w:val="21"/>
    </w:rPr>
  </w:style>
  <w:style w:type="character" w:customStyle="1" w:styleId="930">
    <w:name w:val="正文首行缩进 2 字符"/>
    <w:link w:val="929"/>
    <w:autoRedefine/>
    <w:qFormat/>
    <w:uiPriority w:val="0"/>
    <w:rPr>
      <w:kern w:val="2"/>
      <w:sz w:val="21"/>
      <w:szCs w:val="24"/>
    </w:rPr>
  </w:style>
  <w:style w:type="paragraph" w:customStyle="1" w:styleId="931">
    <w:name w:val="样式 小四 行距: 1.5 倍行距"/>
    <w:basedOn w:val="1"/>
    <w:autoRedefine/>
    <w:qFormat/>
    <w:uiPriority w:val="0"/>
    <w:pPr>
      <w:ind w:firstLine="480"/>
    </w:pPr>
    <w:rPr>
      <w:rFonts w:cs="宋体"/>
      <w:szCs w:val="20"/>
    </w:rPr>
  </w:style>
  <w:style w:type="paragraph" w:customStyle="1" w:styleId="932">
    <w:name w:val="修订5"/>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933">
    <w:name w:val="日期 Char"/>
    <w:autoRedefine/>
    <w:qFormat/>
    <w:uiPriority w:val="0"/>
    <w:rPr>
      <w:rFonts w:ascii="仿宋_GB2312" w:hAnsi="宋体" w:eastAsia="仿宋_GB2312" w:cs="Times New Roman"/>
      <w:color w:val="000000"/>
      <w:sz w:val="24"/>
      <w:szCs w:val="24"/>
    </w:rPr>
  </w:style>
  <w:style w:type="character" w:customStyle="1" w:styleId="934">
    <w:name w:val="纯文本 Char"/>
    <w:autoRedefine/>
    <w:qFormat/>
    <w:uiPriority w:val="99"/>
    <w:rPr>
      <w:rFonts w:ascii="宋体" w:hAnsi="Courier New" w:eastAsia="宋体" w:cs="Courier New"/>
      <w:szCs w:val="21"/>
    </w:rPr>
  </w:style>
  <w:style w:type="character" w:customStyle="1" w:styleId="935">
    <w:name w:val="标题 1 Char"/>
    <w:autoRedefine/>
    <w:qFormat/>
    <w:uiPriority w:val="99"/>
    <w:rPr>
      <w:rFonts w:ascii="宋体" w:hAnsi="Times New Roman" w:eastAsia="宋体" w:cs="Times New Roman"/>
      <w:b/>
      <w:kern w:val="44"/>
      <w:sz w:val="32"/>
      <w:szCs w:val="20"/>
    </w:rPr>
  </w:style>
  <w:style w:type="character" w:customStyle="1" w:styleId="936">
    <w:name w:val="正文文本 3 Char"/>
    <w:autoRedefine/>
    <w:qFormat/>
    <w:uiPriority w:val="99"/>
    <w:rPr>
      <w:rFonts w:ascii="宋体" w:hAnsi="宋体" w:eastAsia="宋体" w:cs="Times New Roman"/>
      <w:b/>
      <w:sz w:val="24"/>
      <w:szCs w:val="24"/>
    </w:rPr>
  </w:style>
  <w:style w:type="character" w:customStyle="1" w:styleId="937">
    <w:name w:val="正文文本 Char"/>
    <w:autoRedefine/>
    <w:qFormat/>
    <w:uiPriority w:val="99"/>
    <w:rPr>
      <w:rFonts w:ascii="宋体" w:hAnsi="宋体" w:eastAsia="宋体" w:cs="Times New Roman"/>
      <w:sz w:val="24"/>
      <w:szCs w:val="24"/>
    </w:rPr>
  </w:style>
  <w:style w:type="character" w:customStyle="1" w:styleId="938">
    <w:name w:val="页脚 Char1"/>
    <w:autoRedefine/>
    <w:qFormat/>
    <w:uiPriority w:val="99"/>
    <w:rPr>
      <w:rFonts w:ascii="Times New Roman" w:hAnsi="Times New Roman" w:eastAsia="宋体" w:cs="Times New Roman"/>
      <w:kern w:val="2"/>
      <w:sz w:val="18"/>
      <w:szCs w:val="18"/>
    </w:rPr>
  </w:style>
  <w:style w:type="character" w:customStyle="1" w:styleId="939">
    <w:name w:val="标题 8 Char"/>
    <w:autoRedefine/>
    <w:qFormat/>
    <w:uiPriority w:val="99"/>
    <w:rPr>
      <w:rFonts w:ascii="Arial" w:hAnsi="Arial" w:eastAsia="黑体" w:cs="Times New Roman"/>
      <w:sz w:val="24"/>
    </w:rPr>
  </w:style>
  <w:style w:type="character" w:customStyle="1" w:styleId="940">
    <w:name w:val="标题 3 Char1"/>
    <w:autoRedefine/>
    <w:qFormat/>
    <w:uiPriority w:val="0"/>
    <w:rPr>
      <w:rFonts w:ascii="黑体" w:hAnsi="Calibri" w:eastAsia="黑体" w:cs="Times New Roman"/>
      <w:sz w:val="28"/>
      <w:szCs w:val="24"/>
      <w:lang w:val="en-US" w:eastAsia="zh-CN" w:bidi="ar-SA"/>
    </w:rPr>
  </w:style>
  <w:style w:type="character" w:customStyle="1" w:styleId="941">
    <w:name w:val="标题 5 Char"/>
    <w:autoRedefine/>
    <w:qFormat/>
    <w:uiPriority w:val="99"/>
    <w:rPr>
      <w:b/>
      <w:bCs/>
      <w:sz w:val="28"/>
      <w:szCs w:val="28"/>
      <w:lang w:eastAsia="ar-SA"/>
    </w:rPr>
  </w:style>
  <w:style w:type="character" w:customStyle="1" w:styleId="942">
    <w:name w:val="标题 4 Char"/>
    <w:autoRedefine/>
    <w:qFormat/>
    <w:uiPriority w:val="99"/>
    <w:rPr>
      <w:rFonts w:ascii="Arial" w:hAnsi="Arial" w:eastAsia="黑体" w:cs="Times New Roman"/>
      <w:b/>
      <w:bCs/>
      <w:sz w:val="28"/>
      <w:szCs w:val="28"/>
    </w:rPr>
  </w:style>
  <w:style w:type="character" w:customStyle="1" w:styleId="943">
    <w:name w:val="标题 6 Char"/>
    <w:autoRedefine/>
    <w:qFormat/>
    <w:uiPriority w:val="99"/>
    <w:rPr>
      <w:rFonts w:ascii="Arial" w:hAnsi="Arial" w:eastAsia="黑体" w:cs="Times New Roman"/>
      <w:b/>
      <w:bCs/>
      <w:sz w:val="24"/>
      <w:szCs w:val="24"/>
    </w:rPr>
  </w:style>
  <w:style w:type="character" w:customStyle="1" w:styleId="944">
    <w:name w:val="正文文本缩进 2 Char"/>
    <w:autoRedefine/>
    <w:qFormat/>
    <w:uiPriority w:val="0"/>
    <w:rPr>
      <w:rFonts w:ascii="仿宋_GB2312" w:hAnsi="Times New Roman" w:eastAsia="仿宋_GB2312" w:cs="Times New Roman"/>
      <w:sz w:val="24"/>
      <w:szCs w:val="24"/>
    </w:rPr>
  </w:style>
  <w:style w:type="character" w:customStyle="1" w:styleId="945">
    <w:name w:val="标题 9 Char"/>
    <w:autoRedefine/>
    <w:qFormat/>
    <w:uiPriority w:val="0"/>
    <w:rPr>
      <w:rFonts w:ascii="Arial" w:hAnsi="Arial" w:eastAsia="黑体" w:cs="Times New Roman"/>
      <w:sz w:val="21"/>
    </w:rPr>
  </w:style>
  <w:style w:type="character" w:customStyle="1" w:styleId="946">
    <w:name w:val="批注框文本 Char"/>
    <w:autoRedefine/>
    <w:qFormat/>
    <w:uiPriority w:val="0"/>
    <w:rPr>
      <w:rFonts w:ascii="Times New Roman" w:hAnsi="Times New Roman" w:eastAsia="宋体" w:cs="Times New Roman"/>
      <w:sz w:val="18"/>
      <w:szCs w:val="18"/>
    </w:rPr>
  </w:style>
  <w:style w:type="character" w:customStyle="1" w:styleId="947">
    <w:name w:val="批注主题 Char"/>
    <w:autoRedefine/>
    <w:qFormat/>
    <w:uiPriority w:val="99"/>
    <w:rPr>
      <w:rFonts w:ascii="Times New Roman" w:hAnsi="Times New Roman" w:eastAsia="宋体" w:cs="Times New Roman"/>
      <w:b/>
      <w:bCs/>
      <w:szCs w:val="24"/>
    </w:rPr>
  </w:style>
  <w:style w:type="character" w:customStyle="1" w:styleId="948">
    <w:name w:val="HTML 预设格式 Char"/>
    <w:autoRedefine/>
    <w:qFormat/>
    <w:uiPriority w:val="0"/>
    <w:rPr>
      <w:rFonts w:ascii="宋体" w:hAnsi="宋体" w:eastAsia="宋体" w:cs="宋体"/>
      <w:kern w:val="0"/>
      <w:sz w:val="24"/>
      <w:szCs w:val="24"/>
    </w:rPr>
  </w:style>
  <w:style w:type="character" w:customStyle="1" w:styleId="949">
    <w:name w:val="标题 7 Char"/>
    <w:autoRedefine/>
    <w:qFormat/>
    <w:uiPriority w:val="99"/>
    <w:rPr>
      <w:rFonts w:ascii="Times New Roman" w:hAnsi="Times New Roman" w:eastAsia="宋体" w:cs="Times New Roman"/>
      <w:b/>
      <w:bCs/>
      <w:sz w:val="24"/>
      <w:szCs w:val="24"/>
    </w:rPr>
  </w:style>
  <w:style w:type="character" w:customStyle="1" w:styleId="950">
    <w:name w:val="文档结构图 Char"/>
    <w:autoRedefine/>
    <w:qFormat/>
    <w:uiPriority w:val="99"/>
    <w:rPr>
      <w:rFonts w:ascii="Times New Roman" w:hAnsi="Times New Roman" w:eastAsia="宋体" w:cs="Times New Roman"/>
      <w:szCs w:val="24"/>
      <w:shd w:val="clear" w:color="auto" w:fill="000080"/>
    </w:rPr>
  </w:style>
  <w:style w:type="character" w:customStyle="1" w:styleId="951">
    <w:name w:val="页眉 Char1"/>
    <w:autoRedefine/>
    <w:qFormat/>
    <w:uiPriority w:val="0"/>
    <w:rPr>
      <w:rFonts w:ascii="Times New Roman" w:hAnsi="Times New Roman" w:eastAsia="宋体" w:cs="Times New Roman"/>
      <w:kern w:val="2"/>
      <w:sz w:val="18"/>
      <w:szCs w:val="18"/>
    </w:rPr>
  </w:style>
  <w:style w:type="character" w:customStyle="1" w:styleId="952">
    <w:name w:val="正文文本缩进 3 Char"/>
    <w:autoRedefine/>
    <w:qFormat/>
    <w:uiPriority w:val="99"/>
    <w:rPr>
      <w:rFonts w:ascii="宋体" w:hAnsi="Times New Roman" w:eastAsia="宋体" w:cs="Times New Roman"/>
      <w:kern w:val="0"/>
      <w:sz w:val="24"/>
      <w:szCs w:val="20"/>
    </w:rPr>
  </w:style>
  <w:style w:type="paragraph" w:customStyle="1" w:styleId="953">
    <w:name w:val="修订6"/>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954">
    <w:name w:val="修订7"/>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955">
    <w:name w:val="未处理的提及4"/>
    <w:basedOn w:val="86"/>
    <w:autoRedefine/>
    <w:unhideWhenUsed/>
    <w:qFormat/>
    <w:uiPriority w:val="99"/>
    <w:rPr>
      <w:color w:val="605E5C"/>
      <w:shd w:val="clear" w:color="auto" w:fill="E1DFDD"/>
    </w:rPr>
  </w:style>
  <w:style w:type="character" w:customStyle="1" w:styleId="956">
    <w:name w:val="题注 字符2"/>
    <w:autoRedefine/>
    <w:qFormat/>
    <w:uiPriority w:val="0"/>
    <w:rPr>
      <w:rFonts w:ascii="Arial" w:hAnsi="Arial" w:eastAsia="黑体" w:cs="Arial"/>
      <w:kern w:val="2"/>
      <w:lang w:eastAsia="ar-SA"/>
    </w:rPr>
  </w:style>
  <w:style w:type="character" w:customStyle="1" w:styleId="957">
    <w:name w:val="正文文本 字符3"/>
    <w:autoRedefine/>
    <w:qFormat/>
    <w:uiPriority w:val="99"/>
    <w:rPr>
      <w:rFonts w:ascii="宋体" w:hAnsi="宋体" w:eastAsia="宋体" w:cs="Times New Roman"/>
      <w:sz w:val="24"/>
      <w:szCs w:val="24"/>
    </w:rPr>
  </w:style>
  <w:style w:type="character" w:customStyle="1" w:styleId="958">
    <w:name w:val="称呼 字符1"/>
    <w:autoRedefine/>
    <w:qFormat/>
    <w:uiPriority w:val="0"/>
    <w:rPr>
      <w:rFonts w:ascii="..ì." w:hAnsi="Calibri" w:eastAsia="..ì."/>
      <w:sz w:val="24"/>
    </w:rPr>
  </w:style>
  <w:style w:type="character" w:customStyle="1" w:styleId="959">
    <w:name w:val="页脚 字符3"/>
    <w:autoRedefine/>
    <w:qFormat/>
    <w:uiPriority w:val="99"/>
    <w:rPr>
      <w:rFonts w:ascii="Calibri" w:hAnsi="Calibri" w:eastAsia="宋体" w:cs="Times New Roman"/>
      <w:sz w:val="18"/>
      <w:szCs w:val="18"/>
    </w:rPr>
  </w:style>
  <w:style w:type="character" w:customStyle="1" w:styleId="960">
    <w:name w:val="页眉 字符3"/>
    <w:autoRedefine/>
    <w:qFormat/>
    <w:uiPriority w:val="0"/>
    <w:rPr>
      <w:rFonts w:ascii="Calibri" w:hAnsi="Calibri" w:eastAsia="宋体" w:cs="Times New Roman"/>
      <w:sz w:val="18"/>
      <w:szCs w:val="18"/>
    </w:rPr>
  </w:style>
  <w:style w:type="character" w:customStyle="1" w:styleId="961">
    <w:name w:val="签名 字符1"/>
    <w:autoRedefine/>
    <w:qFormat/>
    <w:uiPriority w:val="0"/>
  </w:style>
  <w:style w:type="character" w:customStyle="1" w:styleId="962">
    <w:name w:val="脚注文本 字符2"/>
    <w:autoRedefine/>
    <w:qFormat/>
    <w:uiPriority w:val="0"/>
    <w:rPr>
      <w:rFonts w:ascii="Times New Roman" w:hAnsi="Times New Roman" w:eastAsia="宋体" w:cs="Times New Roman"/>
      <w:sz w:val="18"/>
      <w:szCs w:val="18"/>
    </w:rPr>
  </w:style>
  <w:style w:type="character" w:customStyle="1" w:styleId="963">
    <w:name w:val="正文文本 2 字符3"/>
    <w:autoRedefine/>
    <w:qFormat/>
    <w:uiPriority w:val="99"/>
    <w:rPr>
      <w:rFonts w:ascii="Times New Roman" w:hAnsi="Times New Roman" w:eastAsia="黑体" w:cs="Times New Roman"/>
      <w:bCs/>
      <w:kern w:val="2"/>
      <w:sz w:val="72"/>
      <w:szCs w:val="24"/>
    </w:rPr>
  </w:style>
  <w:style w:type="character" w:customStyle="1" w:styleId="964">
    <w:name w:val="普通(网站) 字符1"/>
    <w:autoRedefine/>
    <w:qFormat/>
    <w:uiPriority w:val="0"/>
    <w:rPr>
      <w:kern w:val="2"/>
      <w:sz w:val="24"/>
      <w:szCs w:val="24"/>
    </w:rPr>
  </w:style>
  <w:style w:type="character" w:customStyle="1" w:styleId="965">
    <w:name w:val="正文文本首行缩进 字符3"/>
    <w:autoRedefine/>
    <w:qFormat/>
    <w:uiPriority w:val="0"/>
    <w:rPr>
      <w:rFonts w:ascii="Times New Roman" w:hAnsi="Times New Roman" w:eastAsia="宋体" w:cs="Times New Roman"/>
      <w:sz w:val="24"/>
      <w:szCs w:val="24"/>
    </w:rPr>
  </w:style>
  <w:style w:type="character" w:customStyle="1" w:styleId="966">
    <w:name w:val="Char Char64"/>
    <w:autoRedefine/>
    <w:qFormat/>
    <w:uiPriority w:val="0"/>
    <w:rPr>
      <w:rFonts w:ascii="Calibri" w:hAnsi="Calibri" w:eastAsia="宋体" w:cs="Times New Roman"/>
      <w:kern w:val="2"/>
      <w:sz w:val="21"/>
      <w:szCs w:val="24"/>
      <w:lang w:val="en-US" w:eastAsia="zh-CN" w:bidi="ar-SA"/>
    </w:rPr>
  </w:style>
  <w:style w:type="paragraph" w:customStyle="1" w:styleId="967">
    <w:name w:val="无间隔2"/>
    <w:autoRedefine/>
    <w:qFormat/>
    <w:uiPriority w:val="0"/>
    <w:rPr>
      <w:rFonts w:ascii="Times New Roman" w:hAnsi="Times New Roman" w:eastAsia="宋体" w:cs="Times New Roman"/>
      <w:sz w:val="22"/>
      <w:lang w:val="en-US" w:eastAsia="zh-CN" w:bidi="ar-SA"/>
    </w:rPr>
  </w:style>
  <w:style w:type="character" w:customStyle="1" w:styleId="968">
    <w:name w:val="Char Char17"/>
    <w:autoRedefine/>
    <w:qFormat/>
    <w:uiPriority w:val="0"/>
    <w:rPr>
      <w:rFonts w:ascii="Calibri" w:hAnsi="Calibri" w:eastAsia="宋体" w:cs="Times New Roman"/>
      <w:kern w:val="2"/>
      <w:sz w:val="24"/>
      <w:lang w:val="en-US" w:eastAsia="zh-CN" w:bidi="ar-SA"/>
    </w:rPr>
  </w:style>
  <w:style w:type="character" w:customStyle="1" w:styleId="969">
    <w:name w:val="Char Char44"/>
    <w:autoRedefine/>
    <w:qFormat/>
    <w:uiPriority w:val="0"/>
    <w:rPr>
      <w:rFonts w:ascii="华文细黑" w:hAnsi="华文细黑" w:eastAsia="华文细黑" w:cs="Arial"/>
      <w:b/>
      <w:bCs/>
      <w:color w:val="000000"/>
      <w:sz w:val="52"/>
      <w:szCs w:val="32"/>
      <w:lang w:val="en-US" w:eastAsia="zh-CN" w:bidi="ar-SA"/>
    </w:rPr>
  </w:style>
  <w:style w:type="character" w:customStyle="1" w:styleId="970">
    <w:name w:val="Char Char35"/>
    <w:autoRedefine/>
    <w:qFormat/>
    <w:uiPriority w:val="0"/>
    <w:rPr>
      <w:rFonts w:ascii="Calibri" w:hAnsi="Calibri" w:eastAsia="宋体" w:cs="Times New Roman"/>
      <w:sz w:val="24"/>
      <w:lang w:val="en-US" w:eastAsia="zh-CN" w:bidi="ar-SA"/>
    </w:rPr>
  </w:style>
  <w:style w:type="character" w:customStyle="1" w:styleId="971">
    <w:name w:val="正文6"/>
    <w:autoRedefine/>
    <w:qFormat/>
    <w:uiPriority w:val="0"/>
    <w:rPr>
      <w:rFonts w:cs="Times New Roman"/>
    </w:rPr>
  </w:style>
  <w:style w:type="character" w:customStyle="1" w:styleId="972">
    <w:name w:val="Char Char54"/>
    <w:autoRedefine/>
    <w:qFormat/>
    <w:uiPriority w:val="0"/>
    <w:rPr>
      <w:rFonts w:ascii="宋体" w:hAnsi="Calibri" w:eastAsia="宋体" w:cs="Times New Roman"/>
      <w:sz w:val="24"/>
      <w:szCs w:val="24"/>
      <w:lang w:val="en-US" w:eastAsia="zh-CN" w:bidi="ar-SA"/>
    </w:rPr>
  </w:style>
  <w:style w:type="character" w:customStyle="1" w:styleId="973">
    <w:name w:val="Char Char18"/>
    <w:autoRedefine/>
    <w:qFormat/>
    <w:uiPriority w:val="0"/>
    <w:rPr>
      <w:rFonts w:ascii="宋体" w:hAnsi="Calibri" w:eastAsia="宋体" w:cs="Times New Roman"/>
      <w:b/>
      <w:bCs/>
      <w:sz w:val="24"/>
      <w:szCs w:val="24"/>
      <w:lang w:val="en-US" w:eastAsia="zh-CN" w:bidi="ar-SA"/>
    </w:rPr>
  </w:style>
  <w:style w:type="character" w:customStyle="1" w:styleId="974">
    <w:name w:val="Char Char74"/>
    <w:autoRedefine/>
    <w:qFormat/>
    <w:uiPriority w:val="0"/>
    <w:rPr>
      <w:rFonts w:ascii="宋体" w:hAnsi="宋体" w:eastAsia="宋体" w:cs="Times New Roman"/>
      <w:b/>
      <w:sz w:val="24"/>
      <w:szCs w:val="24"/>
      <w:lang w:val="en-US" w:eastAsia="zh-CN" w:bidi="ar-SA"/>
    </w:rPr>
  </w:style>
  <w:style w:type="character" w:customStyle="1" w:styleId="975">
    <w:name w:val="标题 3 Char2"/>
    <w:autoRedefine/>
    <w:qFormat/>
    <w:uiPriority w:val="0"/>
    <w:rPr>
      <w:rFonts w:ascii="宋体" w:hAnsi="Times New Roman" w:eastAsia="宋体" w:cs="Times New Roman"/>
      <w:b/>
      <w:kern w:val="0"/>
      <w:sz w:val="24"/>
      <w:szCs w:val="20"/>
      <w:u w:val="single"/>
    </w:rPr>
  </w:style>
  <w:style w:type="character" w:customStyle="1" w:styleId="976">
    <w:name w:val="Char Char115"/>
    <w:autoRedefine/>
    <w:qFormat/>
    <w:uiPriority w:val="0"/>
    <w:rPr>
      <w:rFonts w:ascii="宋体" w:hAnsi="Calibri" w:eastAsia="宋体" w:cs="Times New Roman"/>
      <w:sz w:val="24"/>
      <w:szCs w:val="24"/>
      <w:lang w:val="en-US" w:eastAsia="zh-CN" w:bidi="ar-SA"/>
    </w:rPr>
  </w:style>
  <w:style w:type="character" w:customStyle="1" w:styleId="977">
    <w:name w:val="书籍标题4"/>
    <w:autoRedefine/>
    <w:qFormat/>
    <w:uiPriority w:val="0"/>
    <w:rPr>
      <w:rFonts w:ascii="Calibri" w:hAnsi="Calibri" w:eastAsia="宋体" w:cs="Times New Roman"/>
      <w:b/>
      <w:bCs/>
      <w:smallCaps/>
      <w:spacing w:val="5"/>
    </w:rPr>
  </w:style>
  <w:style w:type="paragraph" w:customStyle="1" w:styleId="978">
    <w:name w:val="TOC 标题5"/>
    <w:basedOn w:val="3"/>
    <w:next w:val="1"/>
    <w:autoRedefine/>
    <w:qFormat/>
    <w:uiPriority w:val="39"/>
    <w:pPr>
      <w:widowControl/>
      <w:tabs>
        <w:tab w:val="left" w:pos="432"/>
      </w:tabs>
      <w:autoSpaceDE/>
      <w:autoSpaceDN/>
      <w:adjustRightInd/>
      <w:spacing w:before="480" w:after="0" w:line="276" w:lineRule="auto"/>
      <w:jc w:val="left"/>
      <w:outlineLvl w:val="9"/>
    </w:pPr>
    <w:rPr>
      <w:rFonts w:ascii="Cambria" w:hAnsi="Cambria"/>
      <w:bCs/>
      <w:color w:val="365F91"/>
      <w:sz w:val="28"/>
      <w:szCs w:val="28"/>
    </w:rPr>
  </w:style>
  <w:style w:type="paragraph" w:customStyle="1" w:styleId="979">
    <w:name w:val="Char7"/>
    <w:basedOn w:val="1"/>
    <w:autoRedefine/>
    <w:qFormat/>
    <w:uiPriority w:val="0"/>
    <w:rPr>
      <w:rFonts w:ascii="Tahoma" w:hAnsi="Tahoma"/>
      <w:sz w:val="24"/>
      <w:szCs w:val="20"/>
    </w:rPr>
  </w:style>
  <w:style w:type="paragraph" w:customStyle="1" w:styleId="980">
    <w:name w:val="正文7"/>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981">
    <w:name w:val="列表段落2"/>
    <w:basedOn w:val="1"/>
    <w:autoRedefine/>
    <w:qFormat/>
    <w:uiPriority w:val="34"/>
    <w:pPr>
      <w:ind w:firstLine="420" w:firstLineChars="200"/>
    </w:pPr>
  </w:style>
  <w:style w:type="paragraph" w:customStyle="1" w:styleId="982">
    <w:name w:val="Char17"/>
    <w:basedOn w:val="1"/>
    <w:autoRedefine/>
    <w:qFormat/>
    <w:uiPriority w:val="0"/>
    <w:rPr>
      <w:rFonts w:ascii="Tahoma" w:hAnsi="Tahoma"/>
      <w:sz w:val="24"/>
      <w:szCs w:val="20"/>
    </w:rPr>
  </w:style>
  <w:style w:type="paragraph" w:customStyle="1" w:styleId="983">
    <w:name w:val="Char Char Char Char Char Char3"/>
    <w:basedOn w:val="1"/>
    <w:autoRedefine/>
    <w:qFormat/>
    <w:uiPriority w:val="0"/>
    <w:rPr>
      <w:rFonts w:ascii="Tahoma" w:hAnsi="Tahoma"/>
      <w:sz w:val="24"/>
      <w:szCs w:val="20"/>
    </w:rPr>
  </w:style>
  <w:style w:type="paragraph" w:customStyle="1" w:styleId="984">
    <w:name w:val="Char Char Char Char Char Char Char Char Char Char Char Char Char5"/>
    <w:basedOn w:val="1"/>
    <w:autoRedefine/>
    <w:qFormat/>
    <w:uiPriority w:val="0"/>
    <w:rPr>
      <w:rFonts w:ascii="仿宋_GB2312" w:hAnsi="Calibri" w:eastAsia="仿宋_GB2312"/>
      <w:b/>
      <w:sz w:val="32"/>
      <w:szCs w:val="32"/>
    </w:rPr>
  </w:style>
  <w:style w:type="paragraph" w:customStyle="1" w:styleId="985">
    <w:name w:val="TOC 标题6"/>
    <w:basedOn w:val="3"/>
    <w:next w:val="1"/>
    <w:autoRedefine/>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986">
    <w:name w:val="Char Char Char Char8"/>
    <w:basedOn w:val="1"/>
    <w:autoRedefine/>
    <w:qFormat/>
    <w:uiPriority w:val="0"/>
    <w:pPr>
      <w:widowControl/>
      <w:spacing w:after="160" w:line="240" w:lineRule="exact"/>
      <w:jc w:val="left"/>
    </w:pPr>
    <w:rPr>
      <w:rFonts w:ascii="Calibri" w:hAnsi="Calibri"/>
      <w:szCs w:val="20"/>
    </w:rPr>
  </w:style>
  <w:style w:type="paragraph" w:customStyle="1" w:styleId="987">
    <w:name w:val="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8">
    <w:name w:val="5"/>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9">
    <w:name w:val="未处理的提及41"/>
    <w:autoRedefine/>
    <w:unhideWhenUsed/>
    <w:qFormat/>
    <w:uiPriority w:val="99"/>
    <w:rPr>
      <w:rFonts w:ascii="Calibri" w:hAnsi="Calibri" w:eastAsia="宋体" w:cs="Times New Roman"/>
      <w:color w:val="808080"/>
      <w:shd w:val="clear" w:color="auto" w:fill="E6E6E6"/>
    </w:rPr>
  </w:style>
  <w:style w:type="paragraph" w:customStyle="1" w:styleId="990">
    <w:name w:val="7"/>
    <w:basedOn w:val="1"/>
    <w:next w:val="148"/>
    <w:autoRedefine/>
    <w:qFormat/>
    <w:uiPriority w:val="99"/>
    <w:pPr>
      <w:ind w:firstLine="420" w:firstLineChars="200"/>
    </w:pPr>
  </w:style>
  <w:style w:type="character" w:customStyle="1" w:styleId="991">
    <w:name w:val="标题 2 Char1"/>
    <w:autoRedefine/>
    <w:qFormat/>
    <w:uiPriority w:val="0"/>
    <w:rPr>
      <w:rFonts w:ascii="Arial" w:hAnsi="Arial" w:eastAsia="黑体" w:cs="Times New Roman"/>
      <w:b/>
      <w:kern w:val="0"/>
      <w:sz w:val="30"/>
      <w:szCs w:val="20"/>
    </w:rPr>
  </w:style>
  <w:style w:type="character" w:customStyle="1" w:styleId="992">
    <w:name w:val="页眉 Char2"/>
    <w:autoRedefine/>
    <w:qFormat/>
    <w:uiPriority w:val="0"/>
    <w:rPr>
      <w:rFonts w:ascii="Calibri" w:hAnsi="Calibri" w:eastAsia="宋体" w:cs="Times New Roman"/>
      <w:sz w:val="18"/>
      <w:szCs w:val="18"/>
    </w:rPr>
  </w:style>
  <w:style w:type="character" w:customStyle="1" w:styleId="993">
    <w:name w:val="题注 Char1"/>
    <w:autoRedefine/>
    <w:qFormat/>
    <w:uiPriority w:val="0"/>
    <w:rPr>
      <w:rFonts w:ascii="Arial" w:hAnsi="Arial" w:eastAsia="黑体" w:cs="Arial"/>
      <w:kern w:val="2"/>
      <w:lang w:eastAsia="ar-SA"/>
    </w:rPr>
  </w:style>
  <w:style w:type="character" w:customStyle="1" w:styleId="994">
    <w:name w:val="日期 Char2"/>
    <w:autoRedefine/>
    <w:qFormat/>
    <w:uiPriority w:val="0"/>
    <w:rPr>
      <w:rFonts w:ascii="仿宋_GB2312" w:hAnsi="宋体" w:eastAsia="仿宋_GB2312" w:cs="Times New Roman"/>
      <w:color w:val="000000"/>
      <w:sz w:val="24"/>
      <w:szCs w:val="24"/>
    </w:rPr>
  </w:style>
  <w:style w:type="character" w:customStyle="1" w:styleId="995">
    <w:name w:val="标题 Char1"/>
    <w:autoRedefine/>
    <w:qFormat/>
    <w:uiPriority w:val="0"/>
    <w:rPr>
      <w:rFonts w:ascii="Cambria" w:hAnsi="Cambria" w:eastAsia="宋体" w:cs="Times New Roman"/>
      <w:b/>
      <w:bCs/>
      <w:sz w:val="32"/>
      <w:szCs w:val="32"/>
    </w:rPr>
  </w:style>
  <w:style w:type="character" w:customStyle="1" w:styleId="996">
    <w:name w:val="正文文本 Char2"/>
    <w:autoRedefine/>
    <w:qFormat/>
    <w:uiPriority w:val="0"/>
    <w:rPr>
      <w:rFonts w:ascii="宋体" w:hAnsi="宋体" w:eastAsia="宋体" w:cs="Times New Roman"/>
      <w:sz w:val="24"/>
      <w:szCs w:val="24"/>
    </w:rPr>
  </w:style>
  <w:style w:type="character" w:customStyle="1" w:styleId="997">
    <w:name w:val="页脚 Char2"/>
    <w:autoRedefine/>
    <w:qFormat/>
    <w:uiPriority w:val="0"/>
    <w:rPr>
      <w:rFonts w:ascii="Calibri" w:hAnsi="Calibri" w:eastAsia="宋体" w:cs="Times New Roman"/>
      <w:sz w:val="18"/>
      <w:szCs w:val="18"/>
    </w:rPr>
  </w:style>
  <w:style w:type="character" w:customStyle="1" w:styleId="998">
    <w:name w:val="正文文本缩进 Char2"/>
    <w:autoRedefine/>
    <w:qFormat/>
    <w:uiPriority w:val="0"/>
    <w:rPr>
      <w:rFonts w:ascii="Times New Roman" w:hAnsi="Times New Roman" w:eastAsia="宋体" w:cs="Times New Roman"/>
      <w:sz w:val="24"/>
      <w:szCs w:val="24"/>
    </w:rPr>
  </w:style>
  <w:style w:type="character" w:customStyle="1" w:styleId="999">
    <w:name w:val="正文首行缩进 Char1"/>
    <w:autoRedefine/>
    <w:qFormat/>
    <w:uiPriority w:val="99"/>
    <w:rPr>
      <w:rFonts w:ascii="Times New Roman" w:hAnsi="Times New Roman" w:eastAsia="宋体" w:cs="Times New Roman"/>
      <w:sz w:val="24"/>
      <w:szCs w:val="24"/>
    </w:rPr>
  </w:style>
  <w:style w:type="character" w:customStyle="1" w:styleId="1000">
    <w:name w:val="脚注文本 Char1"/>
    <w:autoRedefine/>
    <w:qFormat/>
    <w:uiPriority w:val="0"/>
    <w:rPr>
      <w:rFonts w:ascii="Times New Roman" w:hAnsi="Times New Roman" w:eastAsia="宋体" w:cs="Times New Roman"/>
      <w:sz w:val="18"/>
      <w:szCs w:val="18"/>
    </w:rPr>
  </w:style>
  <w:style w:type="character" w:customStyle="1" w:styleId="1001">
    <w:name w:val="HTML 预设格式 Char1"/>
    <w:autoRedefine/>
    <w:qFormat/>
    <w:uiPriority w:val="0"/>
    <w:rPr>
      <w:rFonts w:ascii="宋体" w:hAnsi="宋体" w:eastAsia="宋体" w:cs="宋体"/>
      <w:kern w:val="0"/>
      <w:sz w:val="24"/>
      <w:szCs w:val="24"/>
    </w:rPr>
  </w:style>
  <w:style w:type="character" w:customStyle="1" w:styleId="1002">
    <w:name w:val="正文缩进 Char1"/>
    <w:autoRedefine/>
    <w:qFormat/>
    <w:uiPriority w:val="0"/>
    <w:rPr>
      <w:rFonts w:ascii="宋体" w:hAnsi="Times New Roman" w:eastAsia="宋体" w:cs="Times New Roman"/>
      <w:kern w:val="0"/>
      <w:sz w:val="24"/>
      <w:szCs w:val="20"/>
    </w:rPr>
  </w:style>
  <w:style w:type="character" w:customStyle="1" w:styleId="1003">
    <w:name w:val="正文文本缩进 2 Char2"/>
    <w:autoRedefine/>
    <w:qFormat/>
    <w:uiPriority w:val="0"/>
    <w:rPr>
      <w:rFonts w:ascii="仿宋_GB2312" w:hAnsi="Times New Roman" w:eastAsia="仿宋_GB2312" w:cs="Times New Roman"/>
      <w:sz w:val="24"/>
      <w:szCs w:val="24"/>
    </w:rPr>
  </w:style>
  <w:style w:type="character" w:customStyle="1" w:styleId="1004">
    <w:name w:val="批注文字 Char3"/>
    <w:autoRedefine/>
    <w:qFormat/>
    <w:uiPriority w:val="99"/>
    <w:rPr>
      <w:kern w:val="2"/>
      <w:sz w:val="21"/>
      <w:szCs w:val="24"/>
    </w:rPr>
  </w:style>
  <w:style w:type="character" w:customStyle="1" w:styleId="1005">
    <w:name w:val="纯文本 Char3"/>
    <w:autoRedefine/>
    <w:qFormat/>
    <w:uiPriority w:val="99"/>
    <w:rPr>
      <w:rFonts w:ascii="宋体" w:hAnsi="Courier New" w:cs="Courier New"/>
      <w:kern w:val="2"/>
      <w:sz w:val="21"/>
      <w:szCs w:val="21"/>
    </w:rPr>
  </w:style>
  <w:style w:type="character" w:customStyle="1" w:styleId="1006">
    <w:name w:val="标准文本 Char Char"/>
    <w:autoRedefine/>
    <w:qFormat/>
    <w:uiPriority w:val="0"/>
    <w:rPr>
      <w:rFonts w:cs="宋体"/>
      <w:kern w:val="2"/>
      <w:sz w:val="24"/>
    </w:rPr>
  </w:style>
  <w:style w:type="character" w:customStyle="1" w:styleId="1007">
    <w:name w:val="msoins"/>
    <w:autoRedefine/>
    <w:qFormat/>
    <w:uiPriority w:val="0"/>
  </w:style>
  <w:style w:type="character" w:customStyle="1" w:styleId="1008">
    <w:name w:val="left2"/>
    <w:autoRedefine/>
    <w:qFormat/>
    <w:uiPriority w:val="99"/>
    <w:rPr>
      <w:rFonts w:cs="Times New Roman"/>
    </w:rPr>
  </w:style>
  <w:style w:type="character" w:customStyle="1" w:styleId="1009">
    <w:name w:val="H1 Char1"/>
    <w:autoRedefine/>
    <w:qFormat/>
    <w:uiPriority w:val="0"/>
    <w:rPr>
      <w:rFonts w:cs="Times New Roman"/>
      <w:b/>
      <w:bCs/>
      <w:kern w:val="44"/>
      <w:sz w:val="44"/>
      <w:szCs w:val="44"/>
    </w:rPr>
  </w:style>
  <w:style w:type="character" w:customStyle="1" w:styleId="1010">
    <w:name w:val="标题2 Char"/>
    <w:autoRedefine/>
    <w:qFormat/>
    <w:uiPriority w:val="0"/>
    <w:rPr>
      <w:rFonts w:ascii="Arial" w:hAnsi="Arial" w:eastAsia="黑体" w:cs="Times New Roman"/>
      <w:b/>
      <w:kern w:val="0"/>
      <w:sz w:val="30"/>
      <w:szCs w:val="20"/>
    </w:rPr>
  </w:style>
  <w:style w:type="character" w:customStyle="1" w:styleId="1011">
    <w:name w:val="highlight1"/>
    <w:autoRedefine/>
    <w:qFormat/>
    <w:uiPriority w:val="0"/>
    <w:rPr>
      <w:shd w:val="clear" w:color="auto" w:fill="FFFF00"/>
    </w:rPr>
  </w:style>
  <w:style w:type="character" w:customStyle="1" w:styleId="1012">
    <w:name w:val="样式 标题 1 + 加粗 Char"/>
    <w:link w:val="1013"/>
    <w:autoRedefine/>
    <w:qFormat/>
    <w:uiPriority w:val="0"/>
    <w:rPr>
      <w:b/>
      <w:bCs/>
      <w:sz w:val="36"/>
      <w:szCs w:val="24"/>
    </w:rPr>
  </w:style>
  <w:style w:type="paragraph" w:customStyle="1" w:styleId="1013">
    <w:name w:val="样式 标题 1 + 加粗"/>
    <w:basedOn w:val="3"/>
    <w:link w:val="1012"/>
    <w:autoRedefine/>
    <w:qFormat/>
    <w:uiPriority w:val="0"/>
    <w:pPr>
      <w:keepLines w:val="0"/>
      <w:autoSpaceDE/>
      <w:autoSpaceDN/>
      <w:adjustRightInd/>
      <w:spacing w:before="0" w:after="0" w:line="240" w:lineRule="auto"/>
    </w:pPr>
    <w:rPr>
      <w:rFonts w:ascii="Times New Roman"/>
      <w:bCs/>
      <w:kern w:val="0"/>
      <w:sz w:val="36"/>
      <w:szCs w:val="24"/>
    </w:rPr>
  </w:style>
  <w:style w:type="character" w:customStyle="1" w:styleId="1014">
    <w:name w:val="样式 标题 2 + 宋体 小三 Char"/>
    <w:link w:val="1015"/>
    <w:autoRedefine/>
    <w:qFormat/>
    <w:uiPriority w:val="0"/>
    <w:rPr>
      <w:rFonts w:ascii="宋体" w:hAnsi="宋体"/>
      <w:b/>
      <w:bCs/>
      <w:sz w:val="24"/>
      <w:szCs w:val="32"/>
    </w:rPr>
  </w:style>
  <w:style w:type="paragraph" w:customStyle="1" w:styleId="1015">
    <w:name w:val="样式 标题 2 + 宋体 小三"/>
    <w:basedOn w:val="4"/>
    <w:link w:val="1014"/>
    <w:autoRedefine/>
    <w:qFormat/>
    <w:uiPriority w:val="0"/>
    <w:pPr>
      <w:autoSpaceDE/>
      <w:autoSpaceDN/>
      <w:adjustRightInd/>
      <w:spacing w:before="260" w:after="260" w:line="415" w:lineRule="auto"/>
    </w:pPr>
    <w:rPr>
      <w:rFonts w:ascii="宋体" w:hAnsi="宋体" w:eastAsia="宋体"/>
      <w:bCs/>
      <w:sz w:val="24"/>
      <w:szCs w:val="32"/>
    </w:rPr>
  </w:style>
  <w:style w:type="character" w:customStyle="1" w:styleId="1016">
    <w:name w:val="普通文字1 Char Char"/>
    <w:autoRedefine/>
    <w:qFormat/>
    <w:uiPriority w:val="0"/>
    <w:rPr>
      <w:rFonts w:ascii="宋体" w:hAnsi="Courier New" w:eastAsia="宋体"/>
      <w:kern w:val="2"/>
      <w:sz w:val="21"/>
      <w:lang w:val="en-US" w:eastAsia="zh-CN" w:bidi="ar-SA"/>
    </w:rPr>
  </w:style>
  <w:style w:type="character" w:customStyle="1" w:styleId="1017">
    <w:name w:val="normal1"/>
    <w:autoRedefine/>
    <w:qFormat/>
    <w:uiPriority w:val="0"/>
    <w:rPr>
      <w:rFonts w:hint="default" w:ascii="Tahoma" w:hAnsi="Tahoma" w:cs="Tahoma"/>
      <w:sz w:val="18"/>
      <w:szCs w:val="18"/>
    </w:rPr>
  </w:style>
  <w:style w:type="character" w:customStyle="1" w:styleId="1018">
    <w:name w:val="H1 Char"/>
    <w:autoRedefine/>
    <w:qFormat/>
    <w:uiPriority w:val="0"/>
    <w:rPr>
      <w:rFonts w:ascii="宋体" w:hAnsi="Times New Roman" w:eastAsia="宋体" w:cs="Times New Roman"/>
      <w:b/>
      <w:kern w:val="44"/>
      <w:sz w:val="32"/>
      <w:szCs w:val="20"/>
    </w:rPr>
  </w:style>
  <w:style w:type="character" w:customStyle="1" w:styleId="1019">
    <w:name w:val="尾注文本 Char1"/>
    <w:autoRedefine/>
    <w:qFormat/>
    <w:uiPriority w:val="0"/>
    <w:rPr>
      <w:kern w:val="2"/>
      <w:sz w:val="21"/>
      <w:szCs w:val="24"/>
    </w:rPr>
  </w:style>
  <w:style w:type="paragraph" w:customStyle="1" w:styleId="1020">
    <w:name w:val="样式 样式 标题 3X + 段前: 0.5 行 段后: 0.5 行"/>
    <w:basedOn w:val="1021"/>
    <w:autoRedefine/>
    <w:qFormat/>
    <w:uiPriority w:val="0"/>
    <w:rPr>
      <w:szCs w:val="20"/>
    </w:rPr>
  </w:style>
  <w:style w:type="paragraph" w:customStyle="1" w:styleId="1021">
    <w:name w:val="样式 标题 3X"/>
    <w:basedOn w:val="1"/>
    <w:next w:val="1"/>
    <w:autoRedefine/>
    <w:qFormat/>
    <w:uiPriority w:val="0"/>
    <w:pPr>
      <w:spacing w:beforeLines="50" w:afterLines="50" w:line="360" w:lineRule="auto"/>
      <w:ind w:firstLine="482" w:firstLineChars="200"/>
      <w:jc w:val="left"/>
    </w:pPr>
    <w:rPr>
      <w:rFonts w:ascii="宋体" w:hAnsi="宋体" w:cs="宋体"/>
      <w:bCs/>
      <w:color w:val="000000"/>
      <w:sz w:val="30"/>
      <w:szCs w:val="30"/>
    </w:rPr>
  </w:style>
  <w:style w:type="paragraph" w:customStyle="1" w:styleId="1022">
    <w:name w:val="样式 标题 3"/>
    <w:basedOn w:val="1"/>
    <w:next w:val="1"/>
    <w:autoRedefine/>
    <w:qFormat/>
    <w:uiPriority w:val="0"/>
    <w:pPr>
      <w:spacing w:beforeLines="100" w:afterLines="100" w:line="360" w:lineRule="auto"/>
      <w:ind w:firstLine="482" w:firstLineChars="200"/>
      <w:jc w:val="left"/>
    </w:pPr>
    <w:rPr>
      <w:rFonts w:ascii="宋体" w:hAnsi="宋体" w:cs="宋体"/>
      <w:bCs/>
      <w:color w:val="000000"/>
      <w:sz w:val="30"/>
      <w:szCs w:val="30"/>
    </w:rPr>
  </w:style>
  <w:style w:type="paragraph" w:customStyle="1" w:styleId="1023">
    <w:name w:val="样式 样式 标题 2 + 行距: 单倍行距 + 华文仿宋 加粗 行距: 固定值 18 磅"/>
    <w:basedOn w:val="5"/>
    <w:autoRedefine/>
    <w:qFormat/>
    <w:uiPriority w:val="0"/>
    <w:pPr>
      <w:widowControl/>
      <w:autoSpaceDE/>
      <w:autoSpaceDN/>
      <w:adjustRightInd/>
      <w:spacing w:before="120" w:line="360" w:lineRule="exact"/>
      <w:ind w:left="720" w:hanging="720"/>
    </w:pPr>
    <w:rPr>
      <w:rFonts w:ascii="华文仿宋" w:hAnsi="华文仿宋" w:eastAsia="华文仿宋"/>
      <w:b w:val="0"/>
      <w:bCs/>
      <w:color w:val="000000"/>
      <w:sz w:val="30"/>
      <w:szCs w:val="28"/>
      <w:u w:val="none"/>
    </w:rPr>
  </w:style>
  <w:style w:type="paragraph" w:customStyle="1" w:styleId="1024">
    <w:name w:val="样式 样式 标题 3 + 段前: 1 行 段后: 1 行"/>
    <w:basedOn w:val="1022"/>
    <w:autoRedefine/>
    <w:qFormat/>
    <w:uiPriority w:val="0"/>
    <w:rPr>
      <w:szCs w:val="20"/>
    </w:rPr>
  </w:style>
  <w:style w:type="paragraph" w:customStyle="1" w:styleId="1025">
    <w:name w:val="文章标题"/>
    <w:basedOn w:val="79"/>
    <w:next w:val="79"/>
    <w:autoRedefine/>
    <w:qFormat/>
    <w:uiPriority w:val="0"/>
    <w:pPr>
      <w:widowControl/>
      <w:tabs>
        <w:tab w:val="left" w:pos="0"/>
      </w:tabs>
      <w:spacing w:before="240" w:after="60"/>
    </w:pPr>
    <w:rPr>
      <w:rFonts w:ascii="宋体" w:hAnsi="宋体" w:cs="Arial"/>
      <w:bCs/>
      <w:kern w:val="0"/>
      <w:szCs w:val="32"/>
    </w:rPr>
  </w:style>
  <w:style w:type="paragraph" w:customStyle="1" w:styleId="1026">
    <w:name w:val="Char Char Char1 Char Char Char Char1"/>
    <w:basedOn w:val="1"/>
    <w:autoRedefine/>
    <w:qFormat/>
    <w:uiPriority w:val="0"/>
    <w:rPr>
      <w:rFonts w:ascii="Tahoma" w:hAnsi="Tahoma"/>
      <w:sz w:val="24"/>
      <w:szCs w:val="20"/>
    </w:rPr>
  </w:style>
  <w:style w:type="paragraph" w:customStyle="1" w:styleId="1027">
    <w:name w:val="样式 标题 2 + 左"/>
    <w:basedOn w:val="4"/>
    <w:autoRedefine/>
    <w:qFormat/>
    <w:uiPriority w:val="0"/>
    <w:pPr>
      <w:widowControl/>
      <w:tabs>
        <w:tab w:val="left" w:pos="498"/>
      </w:tabs>
      <w:autoSpaceDE/>
      <w:autoSpaceDN/>
      <w:adjustRightInd/>
      <w:snapToGrid w:val="0"/>
      <w:spacing w:before="260" w:beforeLines="100" w:after="260" w:afterLines="100" w:line="360" w:lineRule="auto"/>
      <w:ind w:left="200" w:leftChars="100" w:right="100" w:rightChars="100"/>
      <w:jc w:val="left"/>
    </w:pPr>
    <w:rPr>
      <w:rFonts w:ascii="宋体" w:hAnsi="宋体" w:eastAsia="宋体"/>
      <w:bCs/>
      <w:sz w:val="28"/>
      <w:szCs w:val="28"/>
    </w:rPr>
  </w:style>
  <w:style w:type="paragraph" w:customStyle="1" w:styleId="1028">
    <w:name w:val="TEXT"/>
    <w:basedOn w:val="1"/>
    <w:autoRedefine/>
    <w:qFormat/>
    <w:uiPriority w:val="0"/>
    <w:pPr>
      <w:widowControl/>
      <w:tabs>
        <w:tab w:val="left" w:pos="360"/>
      </w:tabs>
      <w:spacing w:line="360" w:lineRule="auto"/>
      <w:ind w:firstLine="480"/>
      <w:jc w:val="left"/>
    </w:pPr>
    <w:rPr>
      <w:rFonts w:ascii="Calibri" w:hAnsi="Calibri"/>
      <w:kern w:val="0"/>
      <w:sz w:val="24"/>
    </w:rPr>
  </w:style>
  <w:style w:type="paragraph" w:customStyle="1" w:styleId="1029">
    <w:name w:val="font12"/>
    <w:basedOn w:val="1"/>
    <w:autoRedefine/>
    <w:qFormat/>
    <w:uiPriority w:val="0"/>
    <w:pPr>
      <w:widowControl/>
      <w:spacing w:before="100" w:beforeAutospacing="1" w:after="100" w:afterAutospacing="1"/>
      <w:jc w:val="left"/>
    </w:pPr>
    <w:rPr>
      <w:rFonts w:hint="eastAsia" w:ascii="宋体" w:hAnsi="宋体"/>
      <w:color w:val="000000"/>
      <w:kern w:val="0"/>
      <w:sz w:val="18"/>
      <w:szCs w:val="18"/>
    </w:rPr>
  </w:style>
  <w:style w:type="paragraph" w:customStyle="1" w:styleId="1030">
    <w:name w:val="中等深浅网格 21"/>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031">
    <w:name w:val="中等深浅列表 2 - 着色 2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1032">
    <w:name w:val="Normal (Web)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33">
    <w:name w:val="样式 标题 2 + 行距: 单倍行距"/>
    <w:basedOn w:val="4"/>
    <w:autoRedefine/>
    <w:qFormat/>
    <w:uiPriority w:val="0"/>
    <w:pPr>
      <w:widowControl/>
      <w:autoSpaceDE/>
      <w:autoSpaceDN/>
      <w:adjustRightInd/>
      <w:snapToGrid w:val="0"/>
      <w:spacing w:before="260" w:beforeLines="100" w:after="260" w:afterLines="100" w:line="240" w:lineRule="auto"/>
    </w:pPr>
    <w:rPr>
      <w:rFonts w:ascii="宋体" w:hAnsi="宋体" w:eastAsia="宋体"/>
      <w:sz w:val="28"/>
      <w:szCs w:val="28"/>
    </w:rPr>
  </w:style>
  <w:style w:type="paragraph" w:customStyle="1" w:styleId="1034">
    <w:name w:val="_Style 85"/>
    <w:basedOn w:val="1"/>
    <w:next w:val="6"/>
    <w:autoRedefine/>
    <w:qFormat/>
    <w:uiPriority w:val="0"/>
    <w:pPr>
      <w:ind w:firstLine="420" w:firstLineChars="200"/>
    </w:pPr>
    <w:rPr>
      <w:rFonts w:ascii="Calibri" w:hAnsi="Calibri"/>
      <w:szCs w:val="20"/>
    </w:rPr>
  </w:style>
  <w:style w:type="paragraph" w:customStyle="1" w:styleId="1035">
    <w:name w:val="USE 1"/>
    <w:basedOn w:val="1"/>
    <w:autoRedefine/>
    <w:qFormat/>
    <w:uiPriority w:val="0"/>
    <w:pPr>
      <w:spacing w:line="200" w:lineRule="atLeast"/>
      <w:jc w:val="left"/>
    </w:pPr>
    <w:rPr>
      <w:rFonts w:ascii="宋体" w:hAnsi="宋体"/>
      <w:b/>
      <w:sz w:val="24"/>
      <w:szCs w:val="20"/>
    </w:rPr>
  </w:style>
  <w:style w:type="paragraph" w:customStyle="1" w:styleId="1036">
    <w:name w:val="目录"/>
    <w:basedOn w:val="1"/>
    <w:autoRedefine/>
    <w:qFormat/>
    <w:uiPriority w:val="0"/>
    <w:pPr>
      <w:widowControl/>
      <w:jc w:val="center"/>
    </w:pPr>
    <w:rPr>
      <w:rFonts w:ascii="宋体" w:hAnsi="Calibri"/>
      <w:b/>
      <w:kern w:val="0"/>
      <w:sz w:val="36"/>
      <w:szCs w:val="20"/>
    </w:rPr>
  </w:style>
  <w:style w:type="paragraph" w:customStyle="1" w:styleId="1037">
    <w:name w:val="批注主题 Char Char"/>
    <w:basedOn w:val="27"/>
    <w:next w:val="27"/>
    <w:autoRedefine/>
    <w:qFormat/>
    <w:uiPriority w:val="0"/>
    <w:rPr>
      <w:rFonts w:ascii="Calibri" w:hAnsi="Calibri"/>
      <w:b/>
      <w:kern w:val="0"/>
      <w:sz w:val="20"/>
    </w:rPr>
  </w:style>
  <w:style w:type="paragraph" w:customStyle="1" w:styleId="1038">
    <w:name w:val="样式 标题 2 + 左侧:  0 厘米 首行缩进:  0 厘米"/>
    <w:basedOn w:val="1039"/>
    <w:autoRedefine/>
    <w:qFormat/>
    <w:uiPriority w:val="0"/>
    <w:pPr>
      <w:tabs>
        <w:tab w:val="left" w:pos="851"/>
      </w:tabs>
    </w:pPr>
  </w:style>
  <w:style w:type="paragraph" w:customStyle="1" w:styleId="1039">
    <w:name w:val="标题 21"/>
    <w:basedOn w:val="1"/>
    <w:next w:val="6"/>
    <w:autoRedefine/>
    <w:qFormat/>
    <w:uiPriority w:val="0"/>
    <w:pPr>
      <w:tabs>
        <w:tab w:val="left" w:pos="851"/>
      </w:tabs>
      <w:spacing w:line="360" w:lineRule="auto"/>
      <w:ind w:left="851" w:hanging="851"/>
      <w:jc w:val="left"/>
      <w:outlineLvl w:val="1"/>
    </w:pPr>
    <w:rPr>
      <w:rFonts w:ascii="宋体" w:hAnsi="宋体"/>
      <w:kern w:val="0"/>
      <w:sz w:val="24"/>
    </w:rPr>
  </w:style>
  <w:style w:type="paragraph" w:customStyle="1" w:styleId="1040">
    <w:name w:val="样式 标题 2 + 宋体 两端对齐 段前: 0 磅 行距: 1.5 倍行距"/>
    <w:basedOn w:val="4"/>
    <w:next w:val="1"/>
    <w:autoRedefine/>
    <w:qFormat/>
    <w:uiPriority w:val="0"/>
    <w:pPr>
      <w:tabs>
        <w:tab w:val="left" w:pos="-2415"/>
      </w:tabs>
      <w:spacing w:before="260" w:beforeLines="50" w:after="260" w:afterLines="50" w:line="360" w:lineRule="auto"/>
      <w:ind w:firstLine="482" w:firstLineChars="200"/>
    </w:pPr>
    <w:rPr>
      <w:rFonts w:ascii="Times New Roman" w:hAnsi="Times New Roman" w:eastAsia="宋体" w:cs="宋体"/>
      <w:bCs/>
      <w:color w:val="000000"/>
      <w:szCs w:val="30"/>
    </w:rPr>
  </w:style>
  <w:style w:type="paragraph" w:customStyle="1" w:styleId="1041">
    <w:name w:val="样式 楷体_GB2312 小四 首行缩进:  0.8 厘米 行距: 固定值 28 磅"/>
    <w:basedOn w:val="1"/>
    <w:autoRedefine/>
    <w:qFormat/>
    <w:uiPriority w:val="0"/>
    <w:pPr>
      <w:spacing w:line="360" w:lineRule="auto"/>
      <w:jc w:val="center"/>
    </w:pPr>
    <w:rPr>
      <w:rFonts w:ascii="Calibri" w:hAnsi="Calibri" w:eastAsia="仿宋_GB2312"/>
      <w:b/>
      <w:bCs/>
      <w:sz w:val="32"/>
    </w:rPr>
  </w:style>
  <w:style w:type="paragraph" w:customStyle="1" w:styleId="1042">
    <w:name w:val="中等深浅网格 1 - 着色 21"/>
    <w:basedOn w:val="1"/>
    <w:autoRedefine/>
    <w:qFormat/>
    <w:uiPriority w:val="99"/>
    <w:pPr>
      <w:ind w:firstLine="420" w:firstLineChars="200"/>
    </w:pPr>
    <w:rPr>
      <w:rFonts w:ascii="Calibri" w:hAnsi="Calibri"/>
    </w:rPr>
  </w:style>
  <w:style w:type="paragraph" w:customStyle="1" w:styleId="1043">
    <w:name w:val="2级列表"/>
    <w:basedOn w:val="1"/>
    <w:autoRedefine/>
    <w:qFormat/>
    <w:uiPriority w:val="0"/>
    <w:pPr>
      <w:spacing w:beforeLines="50"/>
    </w:pPr>
    <w:rPr>
      <w:rFonts w:ascii="Calibri" w:hAnsi="Calibri" w:eastAsia="楷体_GB2312"/>
      <w:sz w:val="24"/>
    </w:rPr>
  </w:style>
  <w:style w:type="paragraph" w:customStyle="1" w:styleId="1044">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1045">
    <w:name w:val="产品特点"/>
    <w:basedOn w:val="1"/>
    <w:autoRedefine/>
    <w:qFormat/>
    <w:uiPriority w:val="0"/>
    <w:pPr>
      <w:tabs>
        <w:tab w:val="left" w:pos="420"/>
      </w:tabs>
      <w:spacing w:line="120" w:lineRule="atLeast"/>
      <w:ind w:left="420" w:hanging="420"/>
      <w:jc w:val="left"/>
    </w:pPr>
    <w:rPr>
      <w:rFonts w:ascii="Calibri" w:hAnsi="Calibri" w:eastAsia="微软雅黑" w:cs="宋体"/>
      <w:szCs w:val="20"/>
    </w:rPr>
  </w:style>
  <w:style w:type="paragraph" w:customStyle="1" w:styleId="1046">
    <w:name w:val="样式 样式 标题 2 + 左 + 右侧:  2.49字符"/>
    <w:basedOn w:val="1027"/>
    <w:autoRedefine/>
    <w:qFormat/>
    <w:uiPriority w:val="0"/>
    <w:pPr>
      <w:ind w:left="100"/>
    </w:pPr>
  </w:style>
  <w:style w:type="paragraph" w:customStyle="1" w:styleId="1047">
    <w:name w:val="样式 样式 标题 4 + (中文) 仿宋_GB2312 段前: 24 磅 段后: 0 磅 行距: 固定值 22 磅 + 段后: ..."/>
    <w:basedOn w:val="1"/>
    <w:autoRedefine/>
    <w:qFormat/>
    <w:uiPriority w:val="0"/>
    <w:pPr>
      <w:tabs>
        <w:tab w:val="left" w:pos="720"/>
        <w:tab w:val="left" w:pos="1931"/>
      </w:tabs>
      <w:adjustRightInd w:val="0"/>
      <w:spacing w:line="312" w:lineRule="atLeast"/>
      <w:ind w:left="284" w:firstLine="567"/>
      <w:textAlignment w:val="baseline"/>
    </w:pPr>
    <w:rPr>
      <w:rFonts w:ascii="Calibri" w:hAnsi="Calibri"/>
      <w:kern w:val="0"/>
      <w:szCs w:val="20"/>
    </w:rPr>
  </w:style>
  <w:style w:type="paragraph" w:customStyle="1" w:styleId="1048">
    <w:name w:val="款"/>
    <w:basedOn w:val="1"/>
    <w:autoRedefine/>
    <w:qFormat/>
    <w:uiPriority w:val="0"/>
    <w:pPr>
      <w:autoSpaceDE w:val="0"/>
      <w:autoSpaceDN w:val="0"/>
      <w:adjustRightInd w:val="0"/>
      <w:spacing w:line="360" w:lineRule="auto"/>
      <w:ind w:left="-2" w:leftChars="-1" w:firstLine="2"/>
    </w:pPr>
    <w:rPr>
      <w:rFonts w:ascii="宋体" w:hAnsi="宋体"/>
      <w:bCs/>
      <w:szCs w:val="28"/>
    </w:rPr>
  </w:style>
  <w:style w:type="paragraph" w:customStyle="1" w:styleId="1049">
    <w:name w:val="Char1 Char Char Char Char Char Char1"/>
    <w:basedOn w:val="1"/>
    <w:autoRedefine/>
    <w:qFormat/>
    <w:uiPriority w:val="0"/>
    <w:rPr>
      <w:rFonts w:ascii="Calibri" w:hAnsi="Calibri"/>
      <w:szCs w:val="20"/>
    </w:rPr>
  </w:style>
  <w:style w:type="paragraph" w:customStyle="1" w:styleId="1050">
    <w:name w:val="p_0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51">
    <w:name w:val="标题 31"/>
    <w:basedOn w:val="536"/>
    <w:next w:val="6"/>
    <w:autoRedefine/>
    <w:qFormat/>
    <w:uiPriority w:val="0"/>
    <w:pPr>
      <w:tabs>
        <w:tab w:val="left" w:pos="851"/>
      </w:tabs>
      <w:spacing w:line="360" w:lineRule="auto"/>
      <w:ind w:left="851" w:hanging="851"/>
      <w:outlineLvl w:val="2"/>
    </w:pPr>
    <w:rPr>
      <w:rFonts w:hAnsi="Calibri"/>
      <w:kern w:val="2"/>
      <w:sz w:val="24"/>
      <w:szCs w:val="24"/>
    </w:rPr>
  </w:style>
  <w:style w:type="paragraph" w:customStyle="1" w:styleId="1052">
    <w:name w:val="样式 正文文本 + 加粗 居中 段后: 0 磅 行距: 1.5 倍行距"/>
    <w:basedOn w:val="32"/>
    <w:autoRedefine/>
    <w:qFormat/>
    <w:uiPriority w:val="0"/>
    <w:pPr>
      <w:tabs>
        <w:tab w:val="clear" w:pos="567"/>
      </w:tabs>
      <w:spacing w:before="0" w:line="360" w:lineRule="auto"/>
      <w:jc w:val="center"/>
    </w:pPr>
    <w:rPr>
      <w:rFonts w:ascii="Calibri" w:hAnsi="Calibri" w:cs="宋体"/>
      <w:bCs/>
      <w:kern w:val="0"/>
      <w:sz w:val="20"/>
      <w:szCs w:val="20"/>
    </w:rPr>
  </w:style>
  <w:style w:type="paragraph" w:customStyle="1" w:styleId="1053">
    <w:name w:val="样式 标题 1 + 两端对齐"/>
    <w:basedOn w:val="3"/>
    <w:autoRedefine/>
    <w:qFormat/>
    <w:uiPriority w:val="0"/>
    <w:pPr>
      <w:keepLines w:val="0"/>
      <w:autoSpaceDE/>
      <w:autoSpaceDN/>
      <w:adjustRightInd/>
      <w:spacing w:before="0" w:after="0" w:line="240" w:lineRule="auto"/>
      <w:jc w:val="both"/>
    </w:pPr>
    <w:rPr>
      <w:rFonts w:ascii="Calibri" w:hAnsi="Calibri" w:cs="宋体"/>
      <w:b w:val="0"/>
      <w:kern w:val="0"/>
      <w:sz w:val="44"/>
    </w:rPr>
  </w:style>
  <w:style w:type="paragraph" w:customStyle="1" w:styleId="1054">
    <w:name w:val="标题 32"/>
    <w:basedOn w:val="1"/>
    <w:next w:val="6"/>
    <w:autoRedefine/>
    <w:qFormat/>
    <w:uiPriority w:val="0"/>
    <w:pPr>
      <w:widowControl/>
      <w:spacing w:line="360" w:lineRule="auto"/>
      <w:jc w:val="left"/>
      <w:outlineLvl w:val="2"/>
    </w:pPr>
    <w:rPr>
      <w:rFonts w:ascii="Calibri" w:hAnsi="Calibri"/>
      <w:sz w:val="24"/>
    </w:rPr>
  </w:style>
  <w:style w:type="paragraph" w:customStyle="1" w:styleId="1055">
    <w:name w:val="样式 正文缩进 + 宋体 小三 加粗 居中 首行缩进:  0.85 厘米 行距: 1.5 倍行距"/>
    <w:basedOn w:val="6"/>
    <w:autoRedefine/>
    <w:qFormat/>
    <w:uiPriority w:val="0"/>
    <w:pPr>
      <w:widowControl/>
      <w:autoSpaceDE/>
      <w:autoSpaceDN/>
      <w:adjustRightInd/>
      <w:spacing w:line="360" w:lineRule="auto"/>
      <w:ind w:firstLine="480"/>
      <w:jc w:val="center"/>
    </w:pPr>
    <w:rPr>
      <w:rFonts w:hAnsi="宋体" w:cs="宋体"/>
      <w:b/>
      <w:bCs/>
      <w:kern w:val="0"/>
      <w:szCs w:val="20"/>
    </w:rPr>
  </w:style>
  <w:style w:type="paragraph" w:customStyle="1" w:styleId="1056">
    <w:name w:val="项目正文0"/>
    <w:basedOn w:val="1"/>
    <w:autoRedefine/>
    <w:qFormat/>
    <w:uiPriority w:val="0"/>
    <w:pPr>
      <w:spacing w:line="360" w:lineRule="auto"/>
      <w:ind w:firstLine="420" w:firstLineChars="200"/>
    </w:pPr>
    <w:rPr>
      <w:rFonts w:ascii="宋体" w:hAnsi="宋体"/>
      <w:szCs w:val="21"/>
    </w:rPr>
  </w:style>
  <w:style w:type="paragraph" w:customStyle="1" w:styleId="1057">
    <w:name w:val="王越的正文"/>
    <w:basedOn w:val="1"/>
    <w:autoRedefine/>
    <w:qFormat/>
    <w:uiPriority w:val="0"/>
    <w:pPr>
      <w:ind w:firstLine="480"/>
      <w:jc w:val="left"/>
    </w:pPr>
    <w:rPr>
      <w:rFonts w:ascii="宋体" w:hAnsi="宋体"/>
    </w:rPr>
  </w:style>
  <w:style w:type="paragraph" w:customStyle="1" w:styleId="1058">
    <w:name w:val="Normal1"/>
    <w:basedOn w:val="3"/>
    <w:next w:val="3"/>
    <w:autoRedefine/>
    <w:qFormat/>
    <w:uiPriority w:val="0"/>
    <w:pPr>
      <w:keepNext w:val="0"/>
      <w:keepLines w:val="0"/>
      <w:tabs>
        <w:tab w:val="left" w:pos="851"/>
        <w:tab w:val="left" w:pos="1005"/>
      </w:tabs>
      <w:autoSpaceDE/>
      <w:autoSpaceDN/>
      <w:spacing w:before="0" w:after="0" w:line="360" w:lineRule="auto"/>
      <w:ind w:left="1005" w:hanging="360"/>
      <w:jc w:val="left"/>
      <w:textAlignment w:val="baseline"/>
    </w:pPr>
    <w:rPr>
      <w:rFonts w:hAnsi="宋体"/>
      <w:kern w:val="0"/>
      <w:sz w:val="24"/>
      <w:szCs w:val="24"/>
    </w:rPr>
  </w:style>
  <w:style w:type="paragraph" w:customStyle="1" w:styleId="1059">
    <w:name w:val="样式 样式 样式 标题 3 + 段前: 1 行 段后: 1 行 + 段前: 1 行 段后: 1 行"/>
    <w:basedOn w:val="1024"/>
    <w:autoRedefine/>
    <w:qFormat/>
    <w:uiPriority w:val="0"/>
    <w:pPr>
      <w:spacing w:beforeLines="50" w:afterLines="50"/>
    </w:pPr>
  </w:style>
  <w:style w:type="paragraph" w:customStyle="1" w:styleId="1060">
    <w:name w:val="2 Char Char Char Char Char Char Char"/>
    <w:basedOn w:val="1"/>
    <w:autoRedefine/>
    <w:qFormat/>
    <w:uiPriority w:val="0"/>
    <w:rPr>
      <w:rFonts w:ascii="Tahoma" w:hAnsi="Tahoma"/>
      <w:sz w:val="24"/>
      <w:szCs w:val="20"/>
    </w:rPr>
  </w:style>
  <w:style w:type="paragraph" w:customStyle="1" w:styleId="1061">
    <w:name w:val="样式 标题 4 + 首行缩进:  0 厘米 段前: 0.5 行 段后: 0.25 行1"/>
    <w:basedOn w:val="8"/>
    <w:next w:val="1035"/>
    <w:autoRedefine/>
    <w:qFormat/>
    <w:uiPriority w:val="0"/>
    <w:pPr>
      <w:adjustRightInd/>
      <w:spacing w:beforeLines="50" w:afterLines="25" w:line="376" w:lineRule="auto"/>
      <w:textAlignment w:val="auto"/>
    </w:pPr>
    <w:rPr>
      <w:rFonts w:eastAsia="宋体" w:cs="宋体"/>
      <w:bCs/>
      <w:kern w:val="2"/>
    </w:rPr>
  </w:style>
  <w:style w:type="character" w:customStyle="1" w:styleId="1062">
    <w:name w:val="列出段落 Char2"/>
    <w:autoRedefine/>
    <w:qFormat/>
    <w:uiPriority w:val="0"/>
    <w:rPr>
      <w:rFonts w:ascii="Times New Roman" w:hAnsi="Times New Roman"/>
      <w:sz w:val="24"/>
      <w:szCs w:val="24"/>
    </w:rPr>
  </w:style>
  <w:style w:type="paragraph" w:customStyle="1" w:styleId="1063">
    <w:name w:val="TOC Heading1"/>
    <w:basedOn w:val="3"/>
    <w:next w:val="1"/>
    <w:autoRedefine/>
    <w:qFormat/>
    <w:uiPriority w:val="39"/>
    <w:pPr>
      <w:widowControl/>
      <w:tabs>
        <w:tab w:val="left" w:pos="432"/>
      </w:tabs>
      <w:autoSpaceDE/>
      <w:autoSpaceDN/>
      <w:adjustRightInd/>
      <w:spacing w:before="480" w:after="0" w:line="276" w:lineRule="auto"/>
      <w:jc w:val="left"/>
      <w:outlineLvl w:val="9"/>
    </w:pPr>
    <w:rPr>
      <w:rFonts w:ascii="Cambria" w:hAnsi="Cambria"/>
      <w:bCs/>
      <w:color w:val="365F91"/>
      <w:sz w:val="28"/>
      <w:szCs w:val="28"/>
    </w:rPr>
  </w:style>
  <w:style w:type="paragraph" w:customStyle="1" w:styleId="1064">
    <w:name w:val="p15"/>
    <w:basedOn w:val="1"/>
    <w:autoRedefine/>
    <w:qFormat/>
    <w:uiPriority w:val="0"/>
    <w:pPr>
      <w:widowControl/>
    </w:pPr>
    <w:rPr>
      <w:rFonts w:ascii="仿宋_GB2312" w:hAnsi="仿宋_GB2312" w:eastAsia="Cambria" w:cs="仿宋_GB2312"/>
      <w:kern w:val="0"/>
      <w:szCs w:val="21"/>
    </w:rPr>
  </w:style>
  <w:style w:type="paragraph" w:customStyle="1" w:styleId="1065">
    <w:name w:val="_Style 628"/>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066">
    <w:name w:val="样式 标题 2 + (符号) 宋体 小四 Char"/>
    <w:autoRedefine/>
    <w:qFormat/>
    <w:uiPriority w:val="0"/>
    <w:rPr>
      <w:rFonts w:ascii="Arial" w:hAnsi="Arial" w:eastAsia="宋体"/>
      <w:b/>
      <w:bCs/>
      <w:kern w:val="2"/>
      <w:sz w:val="24"/>
      <w:szCs w:val="32"/>
      <w:lang w:val="en-US" w:eastAsia="zh-CN" w:bidi="ar-SA"/>
    </w:rPr>
  </w:style>
  <w:style w:type="paragraph" w:customStyle="1" w:styleId="1067">
    <w:name w:val="黑列表"/>
    <w:basedOn w:val="1"/>
    <w:autoRedefine/>
    <w:qFormat/>
    <w:uiPriority w:val="0"/>
    <w:pPr>
      <w:widowControl/>
      <w:tabs>
        <w:tab w:val="left" w:pos="482"/>
        <w:tab w:val="left" w:pos="960"/>
      </w:tabs>
      <w:adjustRightInd w:val="0"/>
      <w:spacing w:line="300" w:lineRule="auto"/>
      <w:ind w:left="840" w:hanging="240"/>
      <w:jc w:val="left"/>
    </w:pPr>
    <w:rPr>
      <w:rFonts w:ascii="Calibri" w:hAnsi="Calibri"/>
      <w:kern w:val="0"/>
      <w:sz w:val="24"/>
      <w:szCs w:val="20"/>
    </w:rPr>
  </w:style>
  <w:style w:type="paragraph" w:customStyle="1" w:styleId="1068">
    <w:name w:val="页眉1"/>
    <w:basedOn w:val="1"/>
    <w:autoRedefine/>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1069">
    <w:name w:val="明显引用 Char1"/>
    <w:autoRedefine/>
    <w:qFormat/>
    <w:uiPriority w:val="99"/>
    <w:rPr>
      <w:b/>
      <w:bCs/>
      <w:i/>
      <w:iCs/>
      <w:color w:val="4F81BD"/>
      <w:kern w:val="2"/>
      <w:sz w:val="21"/>
      <w:szCs w:val="24"/>
    </w:rPr>
  </w:style>
  <w:style w:type="character" w:customStyle="1" w:styleId="1070">
    <w:name w:val="明显参考2"/>
    <w:autoRedefine/>
    <w:qFormat/>
    <w:uiPriority w:val="0"/>
    <w:rPr>
      <w:b/>
      <w:bCs/>
      <w:smallCaps/>
      <w:color w:val="C0504D"/>
      <w:spacing w:val="5"/>
      <w:u w:val="single"/>
    </w:rPr>
  </w:style>
  <w:style w:type="character" w:customStyle="1" w:styleId="1071">
    <w:name w:val="已访问的超链接1"/>
    <w:autoRedefine/>
    <w:qFormat/>
    <w:uiPriority w:val="0"/>
    <w:rPr>
      <w:color w:val="800080"/>
      <w:u w:val="single"/>
    </w:rPr>
  </w:style>
  <w:style w:type="character" w:customStyle="1" w:styleId="1072">
    <w:name w:val="引用 字符"/>
    <w:autoRedefine/>
    <w:qFormat/>
    <w:uiPriority w:val="0"/>
    <w:rPr>
      <w:i/>
      <w:iCs/>
      <w:color w:val="404040"/>
      <w:kern w:val="2"/>
      <w:sz w:val="21"/>
    </w:rPr>
  </w:style>
  <w:style w:type="character" w:customStyle="1" w:styleId="1073">
    <w:name w:val="明显引用 字符"/>
    <w:autoRedefine/>
    <w:qFormat/>
    <w:uiPriority w:val="0"/>
    <w:rPr>
      <w:i/>
      <w:iCs/>
      <w:color w:val="4472C4"/>
      <w:kern w:val="2"/>
      <w:sz w:val="21"/>
    </w:rPr>
  </w:style>
  <w:style w:type="character" w:customStyle="1" w:styleId="1074">
    <w:name w:val="不明显强调1"/>
    <w:autoRedefine/>
    <w:qFormat/>
    <w:uiPriority w:val="0"/>
    <w:rPr>
      <w:i/>
      <w:iCs/>
      <w:color w:val="808080"/>
    </w:rPr>
  </w:style>
  <w:style w:type="character" w:customStyle="1" w:styleId="1075">
    <w:name w:val="明显强调2"/>
    <w:autoRedefine/>
    <w:qFormat/>
    <w:uiPriority w:val="0"/>
    <w:rPr>
      <w:b/>
      <w:bCs/>
      <w:i/>
      <w:iCs/>
      <w:color w:val="4F81BD"/>
    </w:rPr>
  </w:style>
  <w:style w:type="character" w:customStyle="1" w:styleId="1076">
    <w:name w:val="明显引用 字符1"/>
    <w:link w:val="1077"/>
    <w:autoRedefine/>
    <w:qFormat/>
    <w:uiPriority w:val="30"/>
    <w:rPr>
      <w:b/>
      <w:bCs/>
      <w:i/>
      <w:iCs/>
      <w:color w:val="4F81BD"/>
      <w:kern w:val="2"/>
      <w:sz w:val="21"/>
      <w:szCs w:val="22"/>
    </w:rPr>
  </w:style>
  <w:style w:type="paragraph" w:styleId="1077">
    <w:name w:val="Intense Quote"/>
    <w:basedOn w:val="1"/>
    <w:next w:val="1"/>
    <w:link w:val="1076"/>
    <w:autoRedefine/>
    <w:qFormat/>
    <w:uiPriority w:val="30"/>
    <w:pPr>
      <w:widowControl/>
      <w:pBdr>
        <w:bottom w:val="single" w:color="4F81BD" w:sz="4" w:space="4"/>
      </w:pBdr>
      <w:spacing w:before="200" w:after="280"/>
      <w:ind w:left="936" w:right="936"/>
    </w:pPr>
    <w:rPr>
      <w:b/>
      <w:bCs/>
      <w:i/>
      <w:iCs/>
      <w:color w:val="4F81BD"/>
      <w:szCs w:val="22"/>
    </w:rPr>
  </w:style>
  <w:style w:type="character" w:customStyle="1" w:styleId="1078">
    <w:name w:val="明显引用 字符2"/>
    <w:basedOn w:val="86"/>
    <w:autoRedefine/>
    <w:qFormat/>
    <w:uiPriority w:val="30"/>
    <w:rPr>
      <w:i/>
      <w:iCs/>
      <w:color w:val="4F81BD" w:themeColor="accent1"/>
      <w:kern w:val="2"/>
      <w:sz w:val="21"/>
      <w:szCs w:val="24"/>
      <w14:textFill>
        <w14:solidFill>
          <w14:schemeClr w14:val="accent1"/>
        </w14:solidFill>
      </w14:textFill>
    </w:rPr>
  </w:style>
  <w:style w:type="character" w:customStyle="1" w:styleId="1079">
    <w:name w:val="Body Char"/>
    <w:autoRedefine/>
    <w:qFormat/>
    <w:uiPriority w:val="0"/>
    <w:rPr>
      <w:rFonts w:hint="default" w:ascii="Helvetica" w:hAnsi="Helvetica" w:eastAsia="宋体"/>
      <w:kern w:val="2"/>
      <w:sz w:val="21"/>
      <w:szCs w:val="24"/>
      <w:lang w:val="en-US" w:eastAsia="de-CH" w:bidi="ar-SA"/>
    </w:rPr>
  </w:style>
  <w:style w:type="character" w:customStyle="1" w:styleId="1080">
    <w:name w:val="textcontents"/>
    <w:autoRedefine/>
    <w:qFormat/>
    <w:uiPriority w:val="0"/>
    <w:rPr>
      <w:rFonts w:hint="default" w:ascii="Times New Roman" w:hAnsi="Times New Roman" w:cs="Times New Roman"/>
    </w:rPr>
  </w:style>
  <w:style w:type="character" w:customStyle="1" w:styleId="1081">
    <w:name w:val="标题4 Char Char"/>
    <w:autoRedefine/>
    <w:qFormat/>
    <w:locked/>
    <w:uiPriority w:val="0"/>
    <w:rPr>
      <w:rFonts w:ascii="Arial" w:hAnsi="Arial" w:cs="Arial"/>
      <w:b/>
      <w:bCs/>
      <w:sz w:val="24"/>
      <w:szCs w:val="32"/>
    </w:rPr>
  </w:style>
  <w:style w:type="character" w:customStyle="1" w:styleId="1082">
    <w:name w:val="引用 Char1"/>
    <w:autoRedefine/>
    <w:qFormat/>
    <w:uiPriority w:val="99"/>
    <w:rPr>
      <w:i/>
      <w:iCs/>
      <w:color w:val="000000"/>
      <w:kern w:val="2"/>
      <w:sz w:val="21"/>
      <w:szCs w:val="24"/>
    </w:rPr>
  </w:style>
  <w:style w:type="character" w:customStyle="1" w:styleId="1083">
    <w:name w:val="标题5 Char Char"/>
    <w:autoRedefine/>
    <w:qFormat/>
    <w:locked/>
    <w:uiPriority w:val="0"/>
    <w:rPr>
      <w:rFonts w:ascii="Arial" w:hAnsi="Arial" w:cs="Arial"/>
      <w:b/>
      <w:bCs/>
      <w:sz w:val="24"/>
      <w:szCs w:val="32"/>
    </w:rPr>
  </w:style>
  <w:style w:type="character" w:customStyle="1" w:styleId="1084">
    <w:name w:val="引用 字符1"/>
    <w:link w:val="1085"/>
    <w:autoRedefine/>
    <w:qFormat/>
    <w:uiPriority w:val="29"/>
    <w:rPr>
      <w:i/>
      <w:iCs/>
      <w:color w:val="000000"/>
      <w:kern w:val="2"/>
      <w:sz w:val="21"/>
      <w:szCs w:val="22"/>
    </w:rPr>
  </w:style>
  <w:style w:type="paragraph" w:styleId="1085">
    <w:name w:val="Quote"/>
    <w:basedOn w:val="1"/>
    <w:next w:val="1"/>
    <w:link w:val="1084"/>
    <w:autoRedefine/>
    <w:qFormat/>
    <w:uiPriority w:val="29"/>
    <w:pPr>
      <w:widowControl/>
    </w:pPr>
    <w:rPr>
      <w:i/>
      <w:iCs/>
      <w:color w:val="000000"/>
      <w:szCs w:val="22"/>
    </w:rPr>
  </w:style>
  <w:style w:type="character" w:customStyle="1" w:styleId="1086">
    <w:name w:val="引用 字符2"/>
    <w:basedOn w:val="86"/>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customStyle="1" w:styleId="1087">
    <w:name w:val="批注文字 Char Char"/>
    <w:autoRedefine/>
    <w:qFormat/>
    <w:uiPriority w:val="0"/>
    <w:rPr>
      <w:rFonts w:hint="eastAsia" w:ascii="宋体" w:hAnsi="Times New Roman" w:eastAsia="宋体" w:cs="Times New Roman"/>
      <w:sz w:val="28"/>
      <w:szCs w:val="20"/>
    </w:rPr>
  </w:style>
  <w:style w:type="character" w:customStyle="1" w:styleId="1088">
    <w:name w:val="引用 Char2"/>
    <w:autoRedefine/>
    <w:qFormat/>
    <w:uiPriority w:val="29"/>
    <w:rPr>
      <w:i/>
      <w:iCs/>
      <w:color w:val="000000"/>
      <w:kern w:val="2"/>
      <w:sz w:val="21"/>
      <w:szCs w:val="24"/>
    </w:rPr>
  </w:style>
  <w:style w:type="character" w:customStyle="1" w:styleId="1089">
    <w:name w:val="不明显参考1"/>
    <w:autoRedefine/>
    <w:qFormat/>
    <w:uiPriority w:val="0"/>
    <w:rPr>
      <w:smallCaps/>
      <w:color w:val="C0504D"/>
      <w:u w:val="single"/>
    </w:rPr>
  </w:style>
  <w:style w:type="paragraph" w:customStyle="1" w:styleId="1090">
    <w:name w:val="_Style 694"/>
    <w:basedOn w:val="1"/>
    <w:next w:val="148"/>
    <w:autoRedefine/>
    <w:qFormat/>
    <w:uiPriority w:val="1"/>
    <w:pPr>
      <w:widowControl/>
      <w:ind w:firstLine="420" w:firstLineChars="200"/>
    </w:pPr>
    <w:rPr>
      <w:rFonts w:ascii="ˎ̥" w:hAnsi="ˎ̥" w:cs="Arial"/>
      <w:kern w:val="0"/>
      <w:sz w:val="24"/>
    </w:rPr>
  </w:style>
  <w:style w:type="character" w:customStyle="1" w:styleId="1091">
    <w:name w:val="副标题 字符2"/>
    <w:autoRedefine/>
    <w:qFormat/>
    <w:uiPriority w:val="11"/>
    <w:rPr>
      <w:rFonts w:ascii="等线 Light" w:hAnsi="等线 Light" w:eastAsia="宋体" w:cs="Times New Roman"/>
      <w:b/>
      <w:bCs/>
      <w:kern w:val="28"/>
      <w:sz w:val="32"/>
      <w:szCs w:val="32"/>
    </w:rPr>
  </w:style>
  <w:style w:type="paragraph" w:customStyle="1" w:styleId="1092">
    <w:name w:val="xl8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093">
    <w:name w:val="Char Char Char Char Char Char1 Char Char Char1 Char Char Char Char Char Char Char Char Char Char Char Char Char Char Char"/>
    <w:basedOn w:val="1"/>
    <w:autoRedefine/>
    <w:qFormat/>
    <w:uiPriority w:val="0"/>
    <w:pPr>
      <w:widowControl/>
    </w:pPr>
    <w:rPr>
      <w:rFonts w:ascii="Tahoma" w:hAnsi="Tahoma" w:cs="Arial"/>
      <w:kern w:val="0"/>
      <w:sz w:val="24"/>
    </w:rPr>
  </w:style>
  <w:style w:type="paragraph" w:customStyle="1" w:styleId="1094">
    <w:name w:val="Char Char Char Char Char Char1 Char Char Char1 Char Char Char Char Char Char"/>
    <w:basedOn w:val="1"/>
    <w:autoRedefine/>
    <w:qFormat/>
    <w:uiPriority w:val="0"/>
    <w:pPr>
      <w:widowControl/>
    </w:pPr>
    <w:rPr>
      <w:rFonts w:ascii="Tahoma" w:hAnsi="Tahoma" w:cs="Arial"/>
      <w:kern w:val="0"/>
      <w:sz w:val="24"/>
    </w:rPr>
  </w:style>
  <w:style w:type="paragraph" w:customStyle="1" w:styleId="1095">
    <w:name w:val="Char Char Char Char Char Char1 Char Char Char Char Char Char1 Char Char Char Char Char Char Char Char Char"/>
    <w:basedOn w:val="1"/>
    <w:autoRedefine/>
    <w:qFormat/>
    <w:uiPriority w:val="0"/>
    <w:pPr>
      <w:widowControl/>
    </w:pPr>
    <w:rPr>
      <w:rFonts w:ascii="Tahoma" w:hAnsi="Tahoma" w:cs="Arial"/>
      <w:kern w:val="0"/>
      <w:sz w:val="24"/>
    </w:rPr>
  </w:style>
  <w:style w:type="paragraph" w:customStyle="1" w:styleId="1096">
    <w:name w:val="Char Char Char Char Char Char12"/>
    <w:basedOn w:val="1"/>
    <w:autoRedefine/>
    <w:qFormat/>
    <w:uiPriority w:val="0"/>
    <w:pPr>
      <w:widowControl/>
    </w:pPr>
    <w:rPr>
      <w:rFonts w:ascii="Tahoma" w:hAnsi="Tahoma" w:cs="Arial"/>
      <w:kern w:val="0"/>
      <w:sz w:val="24"/>
    </w:rPr>
  </w:style>
  <w:style w:type="paragraph" w:customStyle="1" w:styleId="1097">
    <w:name w:val="Char Char Char Char Char Char1 Char Char Char Char Char Char"/>
    <w:basedOn w:val="1"/>
    <w:autoRedefine/>
    <w:qFormat/>
    <w:uiPriority w:val="0"/>
    <w:pPr>
      <w:widowControl/>
    </w:pPr>
    <w:rPr>
      <w:rFonts w:ascii="Tahoma" w:hAnsi="Tahoma" w:cs="Arial"/>
      <w:kern w:val="0"/>
      <w:sz w:val="24"/>
    </w:rPr>
  </w:style>
  <w:style w:type="paragraph" w:customStyle="1" w:styleId="1098">
    <w:name w:val="Char Char Char Char Char Char1 Char Char Char Char Char Char1 Char Char Char11"/>
    <w:basedOn w:val="1"/>
    <w:autoRedefine/>
    <w:qFormat/>
    <w:uiPriority w:val="0"/>
    <w:pPr>
      <w:widowControl/>
    </w:pPr>
    <w:rPr>
      <w:rFonts w:ascii="Tahoma" w:hAnsi="Tahoma" w:cs="Arial"/>
      <w:kern w:val="0"/>
      <w:sz w:val="24"/>
    </w:rPr>
  </w:style>
  <w:style w:type="paragraph" w:customStyle="1" w:styleId="1099">
    <w:name w:val="Char Char Char Char Char Char1 Char Char Char Char Char Char1 Char Char Char Char Char Char Char1"/>
    <w:basedOn w:val="1"/>
    <w:autoRedefine/>
    <w:qFormat/>
    <w:uiPriority w:val="0"/>
    <w:pPr>
      <w:widowControl/>
    </w:pPr>
    <w:rPr>
      <w:rFonts w:ascii="Tahoma" w:hAnsi="Tahoma" w:cs="Arial"/>
      <w:kern w:val="0"/>
      <w:sz w:val="24"/>
    </w:rPr>
  </w:style>
  <w:style w:type="paragraph" w:customStyle="1" w:styleId="1100">
    <w:name w:val="Char Char Char Char Char Char1 Char Char Char Char Char Char11"/>
    <w:basedOn w:val="1"/>
    <w:autoRedefine/>
    <w:qFormat/>
    <w:uiPriority w:val="0"/>
    <w:pPr>
      <w:widowControl/>
    </w:pPr>
    <w:rPr>
      <w:rFonts w:ascii="Tahoma" w:hAnsi="Tahoma" w:cs="Arial"/>
      <w:kern w:val="0"/>
      <w:sz w:val="24"/>
    </w:rPr>
  </w:style>
  <w:style w:type="paragraph" w:customStyle="1" w:styleId="1101">
    <w:name w:val="Char Char Char4"/>
    <w:basedOn w:val="1"/>
    <w:autoRedefine/>
    <w:qFormat/>
    <w:uiPriority w:val="0"/>
    <w:pPr>
      <w:widowControl/>
    </w:pPr>
    <w:rPr>
      <w:rFonts w:ascii="Tahoma" w:hAnsi="Tahoma" w:cs="Arial"/>
      <w:kern w:val="0"/>
      <w:sz w:val="24"/>
    </w:rPr>
  </w:style>
  <w:style w:type="paragraph" w:customStyle="1" w:styleId="1102">
    <w:name w:val="Char Char Char Char Char Char1 Char Char Char"/>
    <w:basedOn w:val="1"/>
    <w:autoRedefine/>
    <w:qFormat/>
    <w:uiPriority w:val="0"/>
    <w:pPr>
      <w:widowControl/>
    </w:pPr>
    <w:rPr>
      <w:rFonts w:ascii="Tahoma" w:hAnsi="Tahoma" w:cs="Arial"/>
      <w:kern w:val="0"/>
      <w:sz w:val="24"/>
    </w:rPr>
  </w:style>
  <w:style w:type="paragraph" w:customStyle="1" w:styleId="1103">
    <w:name w:val="flNote"/>
    <w:basedOn w:val="1"/>
    <w:autoRedefine/>
    <w:qFormat/>
    <w:uiPriority w:val="0"/>
    <w:pPr>
      <w:widowControl/>
      <w:adjustRightInd w:val="0"/>
      <w:spacing w:before="320" w:after="160" w:line="360" w:lineRule="atLeast"/>
      <w:jc w:val="center"/>
    </w:pPr>
    <w:rPr>
      <w:rFonts w:ascii="Arial" w:hAnsi="Calibri" w:eastAsia="黑体" w:cs="Arial"/>
      <w:kern w:val="0"/>
      <w:sz w:val="30"/>
    </w:rPr>
  </w:style>
  <w:style w:type="paragraph" w:customStyle="1" w:styleId="1104">
    <w:name w:val="g2"/>
    <w:basedOn w:val="1"/>
    <w:autoRedefine/>
    <w:qFormat/>
    <w:uiPriority w:val="0"/>
    <w:pPr>
      <w:widowControl/>
      <w:spacing w:before="100" w:beforeAutospacing="1" w:after="100" w:afterAutospacing="1"/>
      <w:jc w:val="left"/>
    </w:pPr>
    <w:rPr>
      <w:rFonts w:ascii="仿宋_GB2312" w:hAnsi="宋体" w:eastAsia="仿宋_GB2312" w:cs="宋体"/>
      <w:kern w:val="0"/>
      <w:sz w:val="33"/>
      <w:szCs w:val="33"/>
    </w:rPr>
  </w:style>
  <w:style w:type="paragraph" w:customStyle="1" w:styleId="1105">
    <w:name w:val="Char Char Char Char Char Char Char Char"/>
    <w:basedOn w:val="25"/>
    <w:autoRedefine/>
    <w:qFormat/>
    <w:uiPriority w:val="0"/>
    <w:pPr>
      <w:widowControl/>
    </w:pPr>
    <w:rPr>
      <w:rFonts w:ascii="Tahoma" w:hAnsi="Tahoma"/>
      <w:sz w:val="24"/>
    </w:rPr>
  </w:style>
  <w:style w:type="paragraph" w:customStyle="1" w:styleId="1106">
    <w:name w:val="空半行"/>
    <w:basedOn w:val="1"/>
    <w:autoRedefine/>
    <w:qFormat/>
    <w:uiPriority w:val="0"/>
    <w:pPr>
      <w:widowControl/>
      <w:adjustRightInd w:val="0"/>
      <w:spacing w:line="120" w:lineRule="exact"/>
    </w:pPr>
    <w:rPr>
      <w:rFonts w:ascii="Calibri" w:hAnsi="Calibri" w:eastAsia="仿宋_GB2312" w:cs="Arial"/>
      <w:color w:val="FFFFFF"/>
      <w:kern w:val="0"/>
      <w:sz w:val="30"/>
    </w:rPr>
  </w:style>
  <w:style w:type="paragraph" w:customStyle="1" w:styleId="1107">
    <w:name w:val="Char Char Char Char Char Char1 Char Char Char1 Char Char Char Char Char Char Char Char Char Char Char Char Char Char Char Char"/>
    <w:basedOn w:val="1"/>
    <w:autoRedefine/>
    <w:qFormat/>
    <w:uiPriority w:val="0"/>
    <w:pPr>
      <w:widowControl/>
    </w:pPr>
    <w:rPr>
      <w:rFonts w:ascii="Tahoma" w:hAnsi="Tahoma" w:cs="Arial"/>
      <w:kern w:val="0"/>
      <w:sz w:val="24"/>
    </w:rPr>
  </w:style>
  <w:style w:type="paragraph" w:customStyle="1" w:styleId="1108">
    <w:name w:val="_Style 107"/>
    <w:basedOn w:val="1"/>
    <w:next w:val="1"/>
    <w:autoRedefine/>
    <w:unhideWhenUsed/>
    <w:qFormat/>
    <w:uiPriority w:val="39"/>
    <w:pPr>
      <w:widowControl/>
      <w:ind w:left="3360" w:leftChars="1600"/>
    </w:pPr>
    <w:rPr>
      <w:rFonts w:ascii="Calibri" w:hAnsi="Calibri" w:cs="Arial"/>
      <w:kern w:val="0"/>
      <w:sz w:val="24"/>
      <w:szCs w:val="22"/>
    </w:rPr>
  </w:style>
  <w:style w:type="paragraph" w:customStyle="1" w:styleId="1109">
    <w:name w:val="Char23"/>
    <w:basedOn w:val="1"/>
    <w:autoRedefine/>
    <w:qFormat/>
    <w:uiPriority w:val="0"/>
    <w:pPr>
      <w:widowControl/>
      <w:tabs>
        <w:tab w:val="left" w:pos="360"/>
      </w:tabs>
      <w:ind w:left="480" w:hanging="480" w:hangingChars="200"/>
      <w:jc w:val="center"/>
    </w:pPr>
    <w:rPr>
      <w:rFonts w:ascii="仿宋_GB2312" w:hAnsi="ˎ̥" w:eastAsia="仿宋_GB2312" w:cs="Arial"/>
      <w:b/>
      <w:kern w:val="0"/>
      <w:sz w:val="24"/>
    </w:rPr>
  </w:style>
  <w:style w:type="paragraph" w:customStyle="1" w:styleId="1110">
    <w:name w:val="Char Char Char Char Char Char1 Char Char Char1 Char Char Char"/>
    <w:basedOn w:val="1"/>
    <w:autoRedefine/>
    <w:qFormat/>
    <w:uiPriority w:val="0"/>
    <w:pPr>
      <w:widowControl/>
    </w:pPr>
    <w:rPr>
      <w:rFonts w:ascii="Tahoma" w:hAnsi="Tahoma" w:cs="Arial"/>
      <w:kern w:val="0"/>
      <w:sz w:val="24"/>
    </w:rPr>
  </w:style>
  <w:style w:type="paragraph" w:customStyle="1" w:styleId="1111">
    <w:name w:val="Char Char Char Char Char Char1 Char Char Char Char Char Char Char Char Char"/>
    <w:basedOn w:val="1"/>
    <w:autoRedefine/>
    <w:qFormat/>
    <w:uiPriority w:val="0"/>
    <w:pPr>
      <w:widowControl/>
    </w:pPr>
    <w:rPr>
      <w:rFonts w:ascii="Tahoma" w:hAnsi="Tahoma" w:cs="Arial"/>
      <w:kern w:val="0"/>
      <w:sz w:val="24"/>
    </w:rPr>
  </w:style>
  <w:style w:type="paragraph" w:customStyle="1" w:styleId="1112">
    <w:name w:val="Char Char Char Char Char Char Char Char Char Char Char Char1"/>
    <w:basedOn w:val="1"/>
    <w:autoRedefine/>
    <w:qFormat/>
    <w:uiPriority w:val="0"/>
    <w:pPr>
      <w:widowControl/>
    </w:pPr>
    <w:rPr>
      <w:rFonts w:ascii="仿宋_GB2312" w:hAnsi="ˎ̥" w:eastAsia="仿宋_GB2312" w:cs="Arial"/>
      <w:b/>
      <w:kern w:val="0"/>
      <w:sz w:val="32"/>
    </w:rPr>
  </w:style>
  <w:style w:type="paragraph" w:customStyle="1" w:styleId="1113">
    <w:name w:val="Char Char Char Char Char Char1 Char Char Char1 Char Char Char Char Char Char Char Char Char Char Char Char"/>
    <w:basedOn w:val="1"/>
    <w:autoRedefine/>
    <w:qFormat/>
    <w:uiPriority w:val="0"/>
    <w:pPr>
      <w:widowControl/>
    </w:pPr>
    <w:rPr>
      <w:rFonts w:ascii="Tahoma" w:hAnsi="Tahoma" w:cs="Arial"/>
      <w:kern w:val="0"/>
      <w:sz w:val="24"/>
    </w:rPr>
  </w:style>
  <w:style w:type="paragraph" w:customStyle="1" w:styleId="1114">
    <w:name w:val="Char1 Char Char Char2"/>
    <w:basedOn w:val="1"/>
    <w:autoRedefine/>
    <w:qFormat/>
    <w:uiPriority w:val="0"/>
    <w:pPr>
      <w:widowControl/>
    </w:pPr>
    <w:rPr>
      <w:rFonts w:ascii="ˎ̥" w:hAnsi="ˎ̥" w:cs="Arial"/>
      <w:color w:val="000000"/>
      <w:kern w:val="0"/>
      <w:sz w:val="24"/>
    </w:rPr>
  </w:style>
  <w:style w:type="paragraph" w:customStyle="1" w:styleId="1115">
    <w:name w:val="Bullet"/>
    <w:basedOn w:val="1116"/>
    <w:autoRedefine/>
    <w:qFormat/>
    <w:uiPriority w:val="0"/>
    <w:pPr>
      <w:tabs>
        <w:tab w:val="left" w:pos="0"/>
        <w:tab w:val="left" w:pos="360"/>
        <w:tab w:val="left" w:pos="425"/>
        <w:tab w:val="left" w:pos="900"/>
        <w:tab w:val="left" w:pos="1418"/>
      </w:tabs>
      <w:ind w:hanging="360"/>
    </w:pPr>
  </w:style>
  <w:style w:type="paragraph" w:customStyle="1" w:styleId="1116">
    <w:name w:val="Body"/>
    <w:autoRedefine/>
    <w:qFormat/>
    <w:uiPriority w:val="0"/>
    <w:pPr>
      <w:spacing w:after="60"/>
      <w:ind w:left="567" w:right="2835"/>
    </w:pPr>
    <w:rPr>
      <w:rFonts w:ascii="Helvetica" w:hAnsi="Helvetica" w:eastAsia="宋体" w:cs="Times New Roman"/>
      <w:kern w:val="2"/>
      <w:sz w:val="21"/>
      <w:szCs w:val="24"/>
      <w:lang w:val="en-US" w:eastAsia="de-CH" w:bidi="ar-SA"/>
    </w:rPr>
  </w:style>
  <w:style w:type="paragraph" w:customStyle="1" w:styleId="1117">
    <w:name w:val="Char Char Char Char Char Char1 Char Char Char1 Char Char Char Char1"/>
    <w:basedOn w:val="1"/>
    <w:autoRedefine/>
    <w:qFormat/>
    <w:uiPriority w:val="0"/>
    <w:pPr>
      <w:widowControl/>
    </w:pPr>
    <w:rPr>
      <w:rFonts w:ascii="Tahoma" w:hAnsi="Tahoma" w:cs="Arial"/>
      <w:kern w:val="0"/>
      <w:sz w:val="24"/>
    </w:rPr>
  </w:style>
  <w:style w:type="paragraph" w:customStyle="1" w:styleId="1118">
    <w:name w:val="Char Char Char Char Char Char1 Char Char Char Char Char Char1 Char Char Char1"/>
    <w:basedOn w:val="1"/>
    <w:autoRedefine/>
    <w:qFormat/>
    <w:uiPriority w:val="0"/>
    <w:pPr>
      <w:widowControl/>
    </w:pPr>
    <w:rPr>
      <w:rFonts w:ascii="Tahoma" w:hAnsi="Tahoma" w:cs="Arial"/>
      <w:kern w:val="0"/>
      <w:sz w:val="24"/>
    </w:rPr>
  </w:style>
  <w:style w:type="character" w:customStyle="1" w:styleId="1119">
    <w:name w:val="引用 Char"/>
    <w:autoRedefine/>
    <w:qFormat/>
    <w:uiPriority w:val="0"/>
    <w:rPr>
      <w:i/>
      <w:iCs/>
      <w:color w:val="000000"/>
      <w:kern w:val="2"/>
      <w:sz w:val="21"/>
      <w:szCs w:val="22"/>
    </w:rPr>
  </w:style>
  <w:style w:type="character" w:customStyle="1" w:styleId="1120">
    <w:name w:val="明显引用 Char"/>
    <w:autoRedefine/>
    <w:qFormat/>
    <w:uiPriority w:val="0"/>
    <w:rPr>
      <w:b/>
      <w:bCs/>
      <w:i/>
      <w:iCs/>
      <w:color w:val="4F81BD"/>
      <w:kern w:val="2"/>
      <w:sz w:val="21"/>
      <w:szCs w:val="22"/>
    </w:rPr>
  </w:style>
  <w:style w:type="paragraph" w:customStyle="1" w:styleId="1121">
    <w:name w:val="378020"/>
    <w:basedOn w:val="1"/>
    <w:autoRedefine/>
    <w:qFormat/>
    <w:uiPriority w:val="0"/>
    <w:pPr>
      <w:keepNext/>
      <w:widowControl/>
      <w:spacing w:line="400" w:lineRule="atLeast"/>
    </w:pPr>
    <w:rPr>
      <w:rFonts w:ascii="ˎ̥" w:hAnsi="ˎ̥" w:cs="Arial"/>
      <w:kern w:val="0"/>
      <w:sz w:val="24"/>
    </w:rPr>
  </w:style>
  <w:style w:type="paragraph" w:customStyle="1" w:styleId="1122">
    <w:name w:val="CM13"/>
    <w:basedOn w:val="7"/>
    <w:next w:val="7"/>
    <w:autoRedefine/>
    <w:unhideWhenUsed/>
    <w:qFormat/>
    <w:uiPriority w:val="99"/>
    <w:pPr>
      <w:spacing w:line="520" w:lineRule="atLeast"/>
    </w:pPr>
    <w:rPr>
      <w:rFonts w:ascii="仿宋" w:hAnsi="仿宋" w:eastAsia="仿宋" w:cs="Times New Roman"/>
    </w:rPr>
  </w:style>
  <w:style w:type="paragraph" w:customStyle="1" w:styleId="1123">
    <w:name w:val="CM14"/>
    <w:basedOn w:val="7"/>
    <w:next w:val="7"/>
    <w:autoRedefine/>
    <w:unhideWhenUsed/>
    <w:qFormat/>
    <w:uiPriority w:val="99"/>
    <w:pPr>
      <w:spacing w:line="546" w:lineRule="atLeast"/>
    </w:pPr>
    <w:rPr>
      <w:rFonts w:ascii="仿宋" w:hAnsi="仿宋" w:eastAsia="仿宋" w:cs="Times New Roman"/>
    </w:rPr>
  </w:style>
  <w:style w:type="paragraph" w:customStyle="1" w:styleId="1124">
    <w:name w:val="CM19"/>
    <w:basedOn w:val="7"/>
    <w:next w:val="7"/>
    <w:autoRedefine/>
    <w:unhideWhenUsed/>
    <w:qFormat/>
    <w:uiPriority w:val="99"/>
    <w:rPr>
      <w:rFonts w:ascii="仿宋" w:hAnsi="仿宋" w:eastAsia="仿宋" w:cs="Times New Roman"/>
    </w:rPr>
  </w:style>
  <w:style w:type="paragraph" w:customStyle="1" w:styleId="1125">
    <w:name w:val="CM11"/>
    <w:basedOn w:val="7"/>
    <w:next w:val="7"/>
    <w:autoRedefine/>
    <w:unhideWhenUsed/>
    <w:qFormat/>
    <w:uiPriority w:val="0"/>
    <w:pPr>
      <w:spacing w:line="520" w:lineRule="atLeast"/>
    </w:pPr>
    <w:rPr>
      <w:rFonts w:ascii="仿宋" w:hAnsi="仿宋" w:eastAsia="仿宋" w:cs="Times New Roman"/>
    </w:rPr>
  </w:style>
  <w:style w:type="character" w:customStyle="1" w:styleId="1126">
    <w:name w:val="纯文本 字符4"/>
    <w:autoRedefine/>
    <w:qFormat/>
    <w:uiPriority w:val="0"/>
    <w:rPr>
      <w:rFonts w:ascii="宋体" w:hAnsi="宋体"/>
      <w:kern w:val="3"/>
      <w:sz w:val="21"/>
    </w:rPr>
  </w:style>
  <w:style w:type="paragraph" w:customStyle="1" w:styleId="1127">
    <w:name w:val="_Style 5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8">
    <w:name w:val="Char111"/>
    <w:basedOn w:val="1"/>
    <w:autoRedefine/>
    <w:qFormat/>
    <w:uiPriority w:val="0"/>
    <w:rPr>
      <w:rFonts w:ascii="Tahoma" w:hAnsi="Tahoma"/>
      <w:sz w:val="24"/>
      <w:szCs w:val="20"/>
    </w:rPr>
  </w:style>
  <w:style w:type="paragraph" w:customStyle="1" w:styleId="1129">
    <w:name w:val="Char Char Char Char11"/>
    <w:basedOn w:val="1"/>
    <w:autoRedefine/>
    <w:qFormat/>
    <w:uiPriority w:val="0"/>
    <w:pPr>
      <w:widowControl/>
      <w:spacing w:after="160" w:line="240" w:lineRule="exact"/>
      <w:jc w:val="left"/>
    </w:pPr>
    <w:rPr>
      <w:szCs w:val="20"/>
    </w:rPr>
  </w:style>
  <w:style w:type="character" w:customStyle="1" w:styleId="1130">
    <w:name w:val="表中文字 Char Char"/>
    <w:link w:val="1131"/>
    <w:autoRedefine/>
    <w:qFormat/>
    <w:uiPriority w:val="0"/>
    <w:rPr>
      <w:sz w:val="16"/>
      <w:szCs w:val="16"/>
    </w:rPr>
  </w:style>
  <w:style w:type="paragraph" w:customStyle="1" w:styleId="1131">
    <w:name w:val="表中文字"/>
    <w:basedOn w:val="1"/>
    <w:link w:val="1130"/>
    <w:autoRedefine/>
    <w:qFormat/>
    <w:uiPriority w:val="0"/>
    <w:pPr>
      <w:spacing w:line="240" w:lineRule="exact"/>
      <w:jc w:val="center"/>
    </w:pPr>
    <w:rPr>
      <w:kern w:val="0"/>
      <w:sz w:val="16"/>
      <w:szCs w:val="16"/>
    </w:rPr>
  </w:style>
  <w:style w:type="character" w:customStyle="1" w:styleId="1132">
    <w:name w:val="样式 样式 行距: 最小值 25 磅 + (符号) 宋体 Char Char"/>
    <w:link w:val="1133"/>
    <w:autoRedefine/>
    <w:qFormat/>
    <w:uiPriority w:val="0"/>
    <w:rPr>
      <w:rFonts w:cs="宋体"/>
      <w:sz w:val="28"/>
    </w:rPr>
  </w:style>
  <w:style w:type="paragraph" w:customStyle="1" w:styleId="1133">
    <w:name w:val="样式 样式 行距: 最小值 25 磅 + (符号) 宋体"/>
    <w:basedOn w:val="1"/>
    <w:link w:val="1132"/>
    <w:autoRedefine/>
    <w:qFormat/>
    <w:uiPriority w:val="0"/>
    <w:pPr>
      <w:spacing w:line="500" w:lineRule="atLeast"/>
      <w:ind w:firstLine="560" w:firstLineChars="200"/>
    </w:pPr>
    <w:rPr>
      <w:rFonts w:cs="宋体"/>
      <w:kern w:val="0"/>
      <w:sz w:val="28"/>
      <w:szCs w:val="20"/>
    </w:rPr>
  </w:style>
  <w:style w:type="character" w:customStyle="1" w:styleId="1134">
    <w:name w:val="正文(小四) Char Char"/>
    <w:link w:val="1135"/>
    <w:autoRedefine/>
    <w:qFormat/>
    <w:uiPriority w:val="0"/>
    <w:rPr>
      <w:rFonts w:ascii="Arial" w:hAnsi="Arial"/>
      <w:sz w:val="24"/>
      <w:szCs w:val="24"/>
    </w:rPr>
  </w:style>
  <w:style w:type="paragraph" w:customStyle="1" w:styleId="1135">
    <w:name w:val="正文(小四)"/>
    <w:basedOn w:val="1"/>
    <w:link w:val="1134"/>
    <w:autoRedefine/>
    <w:qFormat/>
    <w:uiPriority w:val="0"/>
    <w:pPr>
      <w:snapToGrid w:val="0"/>
      <w:spacing w:line="480" w:lineRule="exact"/>
      <w:ind w:firstLine="200" w:firstLineChars="200"/>
    </w:pPr>
    <w:rPr>
      <w:rFonts w:ascii="Arial" w:hAnsi="Arial"/>
      <w:kern w:val="0"/>
      <w:sz w:val="24"/>
    </w:rPr>
  </w:style>
  <w:style w:type="paragraph" w:customStyle="1" w:styleId="1136">
    <w:name w:val="样式 正文文本缩进 3 + 四号 行距: 最小值 25 磅"/>
    <w:basedOn w:val="67"/>
    <w:autoRedefine/>
    <w:qFormat/>
    <w:uiPriority w:val="0"/>
    <w:pPr>
      <w:autoSpaceDE/>
      <w:autoSpaceDN/>
      <w:adjustRightInd/>
      <w:spacing w:before="0" w:line="500" w:lineRule="atLeast"/>
      <w:ind w:left="0" w:firstLine="561"/>
      <w:jc w:val="both"/>
    </w:pPr>
    <w:rPr>
      <w:rFonts w:ascii="Times New Roman" w:cs="宋体"/>
      <w:kern w:val="2"/>
      <w:sz w:val="28"/>
    </w:rPr>
  </w:style>
  <w:style w:type="paragraph" w:customStyle="1" w:styleId="1137">
    <w:name w:val="TOC 标题11"/>
    <w:basedOn w:val="3"/>
    <w:next w:val="1"/>
    <w:autoRedefine/>
    <w:qFormat/>
    <w:uiPriority w:val="0"/>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1138">
    <w:name w:val="样式 四号 首行缩进:  0.99 厘米 行距: 最小值 25 磅3"/>
    <w:basedOn w:val="1"/>
    <w:autoRedefine/>
    <w:qFormat/>
    <w:uiPriority w:val="0"/>
    <w:pPr>
      <w:spacing w:line="500" w:lineRule="atLeast"/>
      <w:ind w:firstLine="561"/>
    </w:pPr>
    <w:rPr>
      <w:rFonts w:cs="宋体"/>
      <w:sz w:val="28"/>
      <w:szCs w:val="20"/>
    </w:rPr>
  </w:style>
  <w:style w:type="character" w:customStyle="1" w:styleId="1139">
    <w:name w:val="不明显强调11"/>
    <w:autoRedefine/>
    <w:qFormat/>
    <w:uiPriority w:val="0"/>
    <w:rPr>
      <w:i/>
      <w:iCs/>
      <w:color w:val="808080"/>
    </w:rPr>
  </w:style>
  <w:style w:type="character" w:customStyle="1" w:styleId="1140">
    <w:name w:val="不明显参考11"/>
    <w:autoRedefine/>
    <w:qFormat/>
    <w:uiPriority w:val="0"/>
    <w:rPr>
      <w:smallCaps/>
      <w:color w:val="C0504D"/>
      <w:u w:val="single"/>
    </w:rPr>
  </w:style>
  <w:style w:type="character" w:customStyle="1" w:styleId="1141">
    <w:name w:val="icontext1"/>
    <w:autoRedefine/>
    <w:qFormat/>
    <w:uiPriority w:val="0"/>
  </w:style>
  <w:style w:type="character" w:customStyle="1" w:styleId="1142">
    <w:name w:val="icontext11"/>
    <w:autoRedefine/>
    <w:qFormat/>
    <w:uiPriority w:val="0"/>
  </w:style>
  <w:style w:type="character" w:customStyle="1" w:styleId="1143">
    <w:name w:val="icontext12"/>
    <w:autoRedefine/>
    <w:qFormat/>
    <w:uiPriority w:val="0"/>
  </w:style>
  <w:style w:type="character" w:customStyle="1" w:styleId="1144">
    <w:name w:val="active2"/>
    <w:autoRedefine/>
    <w:qFormat/>
    <w:uiPriority w:val="0"/>
    <w:rPr>
      <w:color w:val="00FF00"/>
      <w:shd w:val="clear" w:color="auto" w:fill="111111"/>
    </w:rPr>
  </w:style>
  <w:style w:type="character" w:customStyle="1" w:styleId="1145">
    <w:name w:val="estimate_gray"/>
    <w:autoRedefine/>
    <w:qFormat/>
    <w:uiPriority w:val="0"/>
  </w:style>
  <w:style w:type="character" w:customStyle="1" w:styleId="1146">
    <w:name w:val="estimate_gray1"/>
    <w:autoRedefine/>
    <w:qFormat/>
    <w:uiPriority w:val="0"/>
    <w:rPr>
      <w:color w:val="FFFFFF"/>
    </w:rPr>
  </w:style>
  <w:style w:type="character" w:customStyle="1" w:styleId="1147">
    <w:name w:val="viewscale"/>
    <w:autoRedefine/>
    <w:qFormat/>
    <w:uiPriority w:val="0"/>
    <w:rPr>
      <w:color w:val="FFFFFF"/>
      <w:sz w:val="24"/>
      <w:szCs w:val="24"/>
    </w:rPr>
  </w:style>
  <w:style w:type="character" w:customStyle="1" w:styleId="1148">
    <w:name w:val="w32"/>
    <w:autoRedefine/>
    <w:qFormat/>
    <w:uiPriority w:val="0"/>
  </w:style>
  <w:style w:type="character" w:customStyle="1" w:styleId="1149">
    <w:name w:val="cdropright"/>
    <w:autoRedefine/>
    <w:qFormat/>
    <w:uiPriority w:val="0"/>
  </w:style>
  <w:style w:type="character" w:customStyle="1" w:styleId="1150">
    <w:name w:val="drapbtn"/>
    <w:autoRedefine/>
    <w:qFormat/>
    <w:uiPriority w:val="0"/>
  </w:style>
  <w:style w:type="character" w:customStyle="1" w:styleId="1151">
    <w:name w:val="cdropleft"/>
    <w:autoRedefine/>
    <w:qFormat/>
    <w:uiPriority w:val="0"/>
  </w:style>
  <w:style w:type="character" w:customStyle="1" w:styleId="1152">
    <w:name w:val="tmpztreemove_arrow"/>
    <w:autoRedefine/>
    <w:qFormat/>
    <w:uiPriority w:val="0"/>
  </w:style>
  <w:style w:type="character" w:customStyle="1" w:styleId="1153">
    <w:name w:val="icontext2"/>
    <w:autoRedefine/>
    <w:qFormat/>
    <w:uiPriority w:val="0"/>
  </w:style>
  <w:style w:type="character" w:customStyle="1" w:styleId="1154">
    <w:name w:val="hilite"/>
    <w:autoRedefine/>
    <w:qFormat/>
    <w:uiPriority w:val="0"/>
    <w:rPr>
      <w:color w:val="FFFFFF"/>
      <w:shd w:val="clear" w:color="auto" w:fill="666666"/>
    </w:rPr>
  </w:style>
  <w:style w:type="character" w:customStyle="1" w:styleId="1155">
    <w:name w:val="layui-layer-tabnow"/>
    <w:autoRedefine/>
    <w:qFormat/>
    <w:uiPriority w:val="0"/>
    <w:rPr>
      <w:bdr w:val="single" w:color="CCCCCC" w:sz="6" w:space="0"/>
      <w:shd w:val="clear" w:color="auto" w:fill="FFFFFF"/>
    </w:rPr>
  </w:style>
  <w:style w:type="character" w:customStyle="1" w:styleId="1156">
    <w:name w:val="first-child"/>
    <w:autoRedefine/>
    <w:qFormat/>
    <w:uiPriority w:val="0"/>
  </w:style>
  <w:style w:type="character" w:customStyle="1" w:styleId="1157">
    <w:name w:val="after"/>
    <w:autoRedefine/>
    <w:qFormat/>
    <w:uiPriority w:val="0"/>
    <w:rPr>
      <w:sz w:val="16"/>
      <w:szCs w:val="0"/>
    </w:rPr>
  </w:style>
  <w:style w:type="character" w:customStyle="1" w:styleId="1158">
    <w:name w:val="liked_gray"/>
    <w:autoRedefine/>
    <w:qFormat/>
    <w:uiPriority w:val="0"/>
    <w:rPr>
      <w:color w:val="FFFFFF"/>
    </w:rPr>
  </w:style>
  <w:style w:type="character" w:customStyle="1" w:styleId="1159">
    <w:name w:val="choosename"/>
    <w:autoRedefine/>
    <w:qFormat/>
    <w:uiPriority w:val="0"/>
  </w:style>
  <w:style w:type="character" w:customStyle="1" w:styleId="1160">
    <w:name w:val="moreaction32"/>
    <w:autoRedefine/>
    <w:qFormat/>
    <w:uiPriority w:val="0"/>
  </w:style>
  <w:style w:type="character" w:customStyle="1" w:styleId="1161">
    <w:name w:val="ico1654"/>
    <w:autoRedefine/>
    <w:qFormat/>
    <w:uiPriority w:val="0"/>
  </w:style>
  <w:style w:type="character" w:customStyle="1" w:styleId="1162">
    <w:name w:val="ico1655"/>
    <w:autoRedefine/>
    <w:qFormat/>
    <w:uiPriority w:val="0"/>
  </w:style>
  <w:style w:type="character" w:customStyle="1" w:styleId="1163">
    <w:name w:val="ico1656"/>
    <w:autoRedefine/>
    <w:qFormat/>
    <w:uiPriority w:val="0"/>
  </w:style>
  <w:style w:type="character" w:customStyle="1" w:styleId="1164">
    <w:name w:val="iconline2"/>
    <w:autoRedefine/>
    <w:qFormat/>
    <w:uiPriority w:val="0"/>
  </w:style>
  <w:style w:type="character" w:customStyle="1" w:styleId="1165">
    <w:name w:val="iconline21"/>
    <w:autoRedefine/>
    <w:qFormat/>
    <w:uiPriority w:val="0"/>
  </w:style>
  <w:style w:type="character" w:customStyle="1" w:styleId="1166">
    <w:name w:val="pagechatarealistclose_box"/>
    <w:autoRedefine/>
    <w:qFormat/>
    <w:uiPriority w:val="0"/>
  </w:style>
  <w:style w:type="character" w:customStyle="1" w:styleId="1167">
    <w:name w:val="pagechatarealistclose_box1"/>
    <w:autoRedefine/>
    <w:qFormat/>
    <w:uiPriority w:val="0"/>
  </w:style>
  <w:style w:type="character" w:customStyle="1" w:styleId="1168">
    <w:name w:val="associateddata"/>
    <w:autoRedefine/>
    <w:qFormat/>
    <w:uiPriority w:val="0"/>
    <w:rPr>
      <w:shd w:val="clear" w:color="auto" w:fill="50A6F9"/>
    </w:rPr>
  </w:style>
  <w:style w:type="character" w:customStyle="1" w:styleId="1169">
    <w:name w:val="cy"/>
    <w:autoRedefine/>
    <w:qFormat/>
    <w:uiPriority w:val="0"/>
  </w:style>
  <w:style w:type="character" w:customStyle="1" w:styleId="1170">
    <w:name w:val="icontext3"/>
    <w:autoRedefine/>
    <w:qFormat/>
    <w:uiPriority w:val="0"/>
  </w:style>
  <w:style w:type="character" w:customStyle="1" w:styleId="1171">
    <w:name w:val="button4"/>
    <w:autoRedefine/>
    <w:qFormat/>
    <w:uiPriority w:val="0"/>
  </w:style>
  <w:style w:type="character" w:customStyle="1" w:styleId="1172">
    <w:name w:val="hover42"/>
    <w:autoRedefine/>
    <w:qFormat/>
    <w:uiPriority w:val="0"/>
    <w:rPr>
      <w:color w:val="FFFFFF"/>
    </w:rPr>
  </w:style>
  <w:style w:type="character" w:customStyle="1" w:styleId="1173">
    <w:name w:val="不明显强调2"/>
    <w:autoRedefine/>
    <w:qFormat/>
    <w:uiPriority w:val="0"/>
    <w:rPr>
      <w:i/>
      <w:iCs/>
      <w:color w:val="808080"/>
    </w:rPr>
  </w:style>
  <w:style w:type="character" w:customStyle="1" w:styleId="1174">
    <w:name w:val="明显参考21"/>
    <w:autoRedefine/>
    <w:qFormat/>
    <w:uiPriority w:val="0"/>
    <w:rPr>
      <w:b/>
      <w:bCs/>
      <w:smallCaps/>
      <w:color w:val="C0504D"/>
      <w:spacing w:val="5"/>
      <w:u w:val="single"/>
    </w:rPr>
  </w:style>
  <w:style w:type="character" w:customStyle="1" w:styleId="1175">
    <w:name w:val="明显强调21"/>
    <w:autoRedefine/>
    <w:qFormat/>
    <w:uiPriority w:val="0"/>
    <w:rPr>
      <w:b/>
      <w:bCs/>
      <w:i/>
      <w:iCs/>
      <w:color w:val="4F81BD"/>
    </w:rPr>
  </w:style>
  <w:style w:type="character" w:customStyle="1" w:styleId="1176">
    <w:name w:val="不明显参考2"/>
    <w:autoRedefine/>
    <w:qFormat/>
    <w:uiPriority w:val="0"/>
    <w:rPr>
      <w:smallCaps/>
      <w:color w:val="C0504D"/>
      <w:u w:val="single"/>
    </w:rPr>
  </w:style>
  <w:style w:type="paragraph" w:customStyle="1" w:styleId="1177">
    <w:name w:val="正文_0_0"/>
    <w:autoRedefine/>
    <w:qFormat/>
    <w:uiPriority w:val="0"/>
    <w:pPr>
      <w:widowControl w:val="0"/>
      <w:jc w:val="both"/>
    </w:pPr>
    <w:rPr>
      <w:rFonts w:ascii="Times New Roman" w:hAnsi="Times New Roman" w:eastAsia="宋体" w:cs="Times New Roman"/>
      <w:sz w:val="21"/>
      <w:szCs w:val="24"/>
      <w:lang w:val="en-US" w:eastAsia="zh-CN" w:bidi="ar-SA"/>
    </w:rPr>
  </w:style>
  <w:style w:type="character" w:customStyle="1" w:styleId="1178">
    <w:name w:val="样式1 字符"/>
    <w:autoRedefine/>
    <w:qFormat/>
    <w:uiPriority w:val="1"/>
    <w:rPr>
      <w:rFonts w:ascii="宋体" w:hAnsi="宋体" w:eastAsia="宋体" w:cs="宋体"/>
      <w:spacing w:val="-1"/>
      <w:sz w:val="21"/>
      <w:szCs w:val="24"/>
      <w:lang w:eastAsia="zh-CN"/>
    </w:rPr>
  </w:style>
  <w:style w:type="paragraph" w:customStyle="1" w:styleId="1179">
    <w:name w:val="正文 + 首行缩进:  2 字符 Char"/>
    <w:basedOn w:val="1"/>
    <w:autoRedefine/>
    <w:qFormat/>
    <w:uiPriority w:val="0"/>
    <w:pPr>
      <w:spacing w:line="360" w:lineRule="auto"/>
      <w:ind w:firstLine="480" w:firstLineChars="200"/>
    </w:pPr>
    <w:rPr>
      <w:rFonts w:cs="宋体"/>
      <w:sz w:val="24"/>
      <w:szCs w:val="20"/>
    </w:rPr>
  </w:style>
  <w:style w:type="paragraph" w:customStyle="1" w:styleId="1180">
    <w:name w:val="xl93"/>
    <w:basedOn w:val="1"/>
    <w:autoRedefine/>
    <w:qFormat/>
    <w:uiPriority w:val="0"/>
    <w:pPr>
      <w:widowControl/>
      <w:pBdr>
        <w:top w:val="single" w:color="auto" w:sz="4" w:space="0"/>
        <w:left w:val="single" w:color="auto" w:sz="4" w:space="0"/>
        <w:bottom w:val="single" w:color="auto" w:sz="4" w:space="0"/>
        <w:right w:val="single" w:color="auto" w:sz="4" w:space="0"/>
      </w:pBdr>
      <w:spacing w:beforeAutospacing="1" w:afterAutospacing="1"/>
      <w:jc w:val="center"/>
    </w:pPr>
    <w:rPr>
      <w:rFonts w:ascii="华文中宋" w:hAnsi="华文中宋" w:eastAsia="华文中宋" w:cs="华文中宋"/>
      <w:kern w:val="0"/>
      <w:sz w:val="20"/>
      <w:szCs w:val="20"/>
    </w:rPr>
  </w:style>
  <w:style w:type="paragraph" w:customStyle="1" w:styleId="1181">
    <w:name w:val="xl87"/>
    <w:basedOn w:val="1"/>
    <w:autoRedefine/>
    <w:qFormat/>
    <w:uiPriority w:val="0"/>
    <w:pPr>
      <w:widowControl/>
      <w:spacing w:beforeAutospacing="1" w:afterAutospacing="1"/>
      <w:jc w:val="center"/>
    </w:pPr>
    <w:rPr>
      <w:rFonts w:ascii="华文中宋" w:hAnsi="华文中宋" w:eastAsia="华文中宋" w:cs="华文中宋"/>
      <w:b/>
      <w:bCs/>
      <w:kern w:val="0"/>
      <w:sz w:val="30"/>
      <w:szCs w:val="30"/>
    </w:rPr>
  </w:style>
  <w:style w:type="paragraph" w:customStyle="1" w:styleId="1182">
    <w:name w:val="评标报告_标题-国际"/>
    <w:basedOn w:val="5"/>
    <w:next w:val="1"/>
    <w:autoRedefine/>
    <w:qFormat/>
    <w:uiPriority w:val="99"/>
    <w:pPr>
      <w:autoSpaceDE/>
      <w:autoSpaceDN/>
      <w:adjustRightInd/>
      <w:spacing w:before="0" w:after="0" w:line="440" w:lineRule="exact"/>
      <w:jc w:val="both"/>
    </w:pPr>
    <w:rPr>
      <w:rFonts w:ascii="仿宋_GB2312" w:cs="仿宋_GB2312"/>
      <w:bCs/>
      <w:kern w:val="2"/>
      <w:szCs w:val="24"/>
      <w:u w:val="none"/>
    </w:rPr>
  </w:style>
  <w:style w:type="paragraph" w:customStyle="1" w:styleId="1183">
    <w:name w:val="xl92"/>
    <w:basedOn w:val="1"/>
    <w:autoRedefine/>
    <w:qFormat/>
    <w:uiPriority w:val="0"/>
    <w:pPr>
      <w:widowControl/>
      <w:pBdr>
        <w:top w:val="single" w:color="auto" w:sz="4" w:space="0"/>
        <w:bottom w:val="single" w:color="auto" w:sz="4" w:space="0"/>
        <w:right w:val="single" w:color="auto" w:sz="4" w:space="0"/>
      </w:pBdr>
      <w:spacing w:beforeAutospacing="1" w:afterAutospacing="1"/>
      <w:jc w:val="center"/>
    </w:pPr>
    <w:rPr>
      <w:rFonts w:ascii="华文中宋" w:hAnsi="华文中宋" w:eastAsia="华文中宋" w:cs="华文中宋"/>
      <w:kern w:val="0"/>
      <w:sz w:val="20"/>
      <w:szCs w:val="20"/>
    </w:rPr>
  </w:style>
  <w:style w:type="paragraph" w:customStyle="1" w:styleId="1184">
    <w:name w:val="Indent 1"/>
    <w:basedOn w:val="1"/>
    <w:autoRedefine/>
    <w:qFormat/>
    <w:uiPriority w:val="99"/>
    <w:pPr>
      <w:widowControl/>
      <w:spacing w:line="260" w:lineRule="atLeast"/>
      <w:ind w:left="454" w:hanging="454"/>
      <w:jc w:val="left"/>
    </w:pPr>
    <w:rPr>
      <w:rFonts w:ascii="Arial" w:hAnsi="Arial" w:cs="Arial"/>
      <w:kern w:val="0"/>
      <w:sz w:val="22"/>
      <w:szCs w:val="22"/>
      <w:lang w:eastAsia="en-US"/>
    </w:rPr>
  </w:style>
  <w:style w:type="paragraph" w:customStyle="1" w:styleId="1185">
    <w:name w:val="xl91"/>
    <w:basedOn w:val="1"/>
    <w:autoRedefine/>
    <w:qFormat/>
    <w:uiPriority w:val="0"/>
    <w:pPr>
      <w:widowControl/>
      <w:pBdr>
        <w:top w:val="single" w:color="auto" w:sz="4" w:space="0"/>
        <w:left w:val="single" w:color="auto" w:sz="4" w:space="0"/>
        <w:bottom w:val="single" w:color="auto" w:sz="4" w:space="0"/>
      </w:pBdr>
      <w:spacing w:beforeAutospacing="1" w:afterAutospacing="1"/>
      <w:jc w:val="center"/>
    </w:pPr>
    <w:rPr>
      <w:rFonts w:ascii="华文中宋" w:hAnsi="华文中宋" w:eastAsia="华文中宋" w:cs="华文中宋"/>
      <w:kern w:val="0"/>
      <w:sz w:val="20"/>
      <w:szCs w:val="20"/>
    </w:rPr>
  </w:style>
  <w:style w:type="paragraph" w:customStyle="1" w:styleId="1186">
    <w:name w:val="表头"/>
    <w:basedOn w:val="1"/>
    <w:autoRedefine/>
    <w:qFormat/>
    <w:uiPriority w:val="0"/>
    <w:pPr>
      <w:jc w:val="center"/>
    </w:pPr>
    <w:rPr>
      <w:rFonts w:eastAsia="黑体"/>
      <w:b/>
      <w:bCs/>
      <w:szCs w:val="21"/>
    </w:rPr>
  </w:style>
  <w:style w:type="paragraph" w:customStyle="1" w:styleId="1187">
    <w:name w:val="reader-word-laye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188">
    <w:name w:val="No. list"/>
    <w:basedOn w:val="1"/>
    <w:autoRedefine/>
    <w:qFormat/>
    <w:uiPriority w:val="99"/>
    <w:pPr>
      <w:widowControl/>
      <w:tabs>
        <w:tab w:val="left" w:pos="1500"/>
      </w:tabs>
      <w:ind w:left="1500" w:hanging="420"/>
    </w:pPr>
    <w:rPr>
      <w:kern w:val="0"/>
      <w:sz w:val="24"/>
      <w:lang w:val="en-GB" w:eastAsia="en-US"/>
    </w:rPr>
  </w:style>
  <w:style w:type="paragraph" w:customStyle="1" w:styleId="1189">
    <w:name w:val="样式 标题 2H2h2l22nd level2Header 2节Titre2Heading 2 Hidden..."/>
    <w:basedOn w:val="4"/>
    <w:autoRedefine/>
    <w:qFormat/>
    <w:uiPriority w:val="0"/>
    <w:pPr>
      <w:tabs>
        <w:tab w:val="left" w:pos="540"/>
      </w:tabs>
      <w:autoSpaceDE/>
      <w:autoSpaceDN/>
      <w:adjustRightInd/>
      <w:spacing w:before="0" w:line="360" w:lineRule="auto"/>
      <w:ind w:left="1116" w:hanging="1116"/>
      <w:jc w:val="both"/>
    </w:pPr>
    <w:rPr>
      <w:rFonts w:ascii="仿宋_GB2312" w:hAnsi="宋体" w:eastAsia="仿宋_GB2312" w:cs="仿宋_GB2312"/>
      <w:bCs/>
      <w:sz w:val="24"/>
      <w:szCs w:val="24"/>
    </w:rPr>
  </w:style>
  <w:style w:type="paragraph" w:customStyle="1" w:styleId="1190">
    <w:name w:val="样式 标题 3h3Level 3 Topic HeadingHeading 3 - oldH3l33rd level..."/>
    <w:basedOn w:val="5"/>
    <w:autoRedefine/>
    <w:qFormat/>
    <w:uiPriority w:val="99"/>
    <w:pPr>
      <w:autoSpaceDE/>
      <w:autoSpaceDN/>
      <w:adjustRightInd/>
      <w:spacing w:before="0" w:after="0" w:line="360" w:lineRule="auto"/>
      <w:ind w:left="1080" w:hanging="1080"/>
      <w:jc w:val="both"/>
    </w:pPr>
    <w:rPr>
      <w:rFonts w:ascii="仿宋_GB2312" w:hAnsi="宋体" w:eastAsia="仿宋_GB2312" w:cs="仿宋_GB2312"/>
      <w:bCs/>
      <w:kern w:val="2"/>
      <w:szCs w:val="24"/>
      <w:u w:val="none"/>
    </w:rPr>
  </w:style>
  <w:style w:type="paragraph" w:customStyle="1" w:styleId="1191">
    <w:name w:val="评标报告_正文-国际"/>
    <w:basedOn w:val="1"/>
    <w:link w:val="1192"/>
    <w:autoRedefine/>
    <w:qFormat/>
    <w:uiPriority w:val="99"/>
    <w:pPr>
      <w:spacing w:afterLines="50" w:line="440" w:lineRule="exact"/>
      <w:ind w:firstLine="200" w:firstLineChars="200"/>
    </w:pPr>
    <w:rPr>
      <w:rFonts w:ascii="仿宋_GB2312" w:hAnsi="宋体" w:cs="仿宋_GB2312"/>
      <w:kern w:val="0"/>
      <w:sz w:val="24"/>
    </w:rPr>
  </w:style>
  <w:style w:type="character" w:customStyle="1" w:styleId="1192">
    <w:name w:val="评标报告_正文-国际 Char Char"/>
    <w:link w:val="1191"/>
    <w:autoRedefine/>
    <w:qFormat/>
    <w:locked/>
    <w:uiPriority w:val="99"/>
    <w:rPr>
      <w:rFonts w:ascii="仿宋_GB2312" w:hAnsi="宋体" w:cs="仿宋_GB2312"/>
      <w:sz w:val="24"/>
      <w:szCs w:val="24"/>
    </w:rPr>
  </w:style>
  <w:style w:type="paragraph" w:customStyle="1" w:styleId="1193">
    <w:name w:val="xl89"/>
    <w:basedOn w:val="1"/>
    <w:autoRedefine/>
    <w:qFormat/>
    <w:uiPriority w:val="0"/>
    <w:pPr>
      <w:widowControl/>
      <w:pBdr>
        <w:top w:val="single" w:color="auto" w:sz="4" w:space="0"/>
        <w:bottom w:val="single" w:color="auto" w:sz="4" w:space="0"/>
      </w:pBdr>
      <w:spacing w:beforeAutospacing="1" w:afterAutospacing="1"/>
      <w:jc w:val="center"/>
    </w:pPr>
    <w:rPr>
      <w:rFonts w:ascii="华文中宋" w:hAnsi="华文中宋" w:eastAsia="华文中宋" w:cs="华文中宋"/>
      <w:kern w:val="0"/>
      <w:sz w:val="20"/>
      <w:szCs w:val="20"/>
    </w:rPr>
  </w:style>
  <w:style w:type="paragraph" w:customStyle="1" w:styleId="1194">
    <w:name w:val="xl86"/>
    <w:basedOn w:val="1"/>
    <w:autoRedefine/>
    <w:qFormat/>
    <w:uiPriority w:val="0"/>
    <w:pPr>
      <w:widowControl/>
      <w:pBdr>
        <w:left w:val="single" w:color="auto" w:sz="4" w:space="0"/>
        <w:bottom w:val="single" w:color="auto" w:sz="4" w:space="0"/>
        <w:right w:val="single" w:color="auto" w:sz="4" w:space="0"/>
      </w:pBdr>
      <w:spacing w:beforeAutospacing="1" w:afterAutospacing="1"/>
      <w:jc w:val="center"/>
    </w:pPr>
    <w:rPr>
      <w:rFonts w:ascii="华文中宋" w:hAnsi="华文中宋" w:eastAsia="华文中宋" w:cs="华文中宋"/>
      <w:b/>
      <w:bCs/>
      <w:kern w:val="0"/>
      <w:sz w:val="24"/>
    </w:rPr>
  </w:style>
  <w:style w:type="paragraph" w:customStyle="1" w:styleId="1195">
    <w:name w:val="xl88"/>
    <w:basedOn w:val="1"/>
    <w:link w:val="1196"/>
    <w:autoRedefine/>
    <w:qFormat/>
    <w:uiPriority w:val="0"/>
    <w:pPr>
      <w:widowControl/>
      <w:pBdr>
        <w:top w:val="single" w:color="auto" w:sz="4" w:space="0"/>
        <w:left w:val="single" w:color="auto" w:sz="4" w:space="0"/>
        <w:bottom w:val="single" w:color="auto" w:sz="4" w:space="0"/>
      </w:pBdr>
      <w:spacing w:beforeAutospacing="1" w:afterAutospacing="1"/>
      <w:jc w:val="center"/>
    </w:pPr>
    <w:rPr>
      <w:rFonts w:ascii="华文中宋" w:hAnsi="华文中宋" w:eastAsia="华文中宋" w:cs="华文中宋"/>
      <w:b/>
      <w:bCs/>
      <w:kern w:val="0"/>
      <w:sz w:val="20"/>
      <w:szCs w:val="20"/>
    </w:rPr>
  </w:style>
  <w:style w:type="character" w:customStyle="1" w:styleId="1196">
    <w:name w:val="xl88 Char Char"/>
    <w:link w:val="1195"/>
    <w:autoRedefine/>
    <w:qFormat/>
    <w:locked/>
    <w:uiPriority w:val="0"/>
    <w:rPr>
      <w:rFonts w:ascii="华文中宋" w:hAnsi="华文中宋" w:eastAsia="华文中宋" w:cs="华文中宋"/>
      <w:b/>
      <w:bCs/>
    </w:rPr>
  </w:style>
  <w:style w:type="paragraph" w:customStyle="1" w:styleId="1197">
    <w:name w:val="xl90"/>
    <w:basedOn w:val="1"/>
    <w:autoRedefine/>
    <w:qFormat/>
    <w:uiPriority w:val="0"/>
    <w:pPr>
      <w:widowControl/>
      <w:pBdr>
        <w:top w:val="single" w:color="auto" w:sz="4" w:space="0"/>
        <w:bottom w:val="single" w:color="auto" w:sz="4" w:space="0"/>
        <w:right w:val="single" w:color="auto" w:sz="4" w:space="0"/>
      </w:pBdr>
      <w:spacing w:beforeAutospacing="1" w:afterAutospacing="1"/>
      <w:jc w:val="center"/>
    </w:pPr>
    <w:rPr>
      <w:rFonts w:ascii="华文中宋" w:hAnsi="华文中宋" w:eastAsia="华文中宋" w:cs="华文中宋"/>
      <w:kern w:val="0"/>
      <w:sz w:val="20"/>
      <w:szCs w:val="20"/>
    </w:rPr>
  </w:style>
  <w:style w:type="paragraph" w:customStyle="1" w:styleId="1198">
    <w:name w:val="样式 居中"/>
    <w:basedOn w:val="1"/>
    <w:autoRedefine/>
    <w:qFormat/>
    <w:uiPriority w:val="99"/>
    <w:pPr>
      <w:ind w:right="280" w:rightChars="100"/>
      <w:jc w:val="center"/>
    </w:pPr>
    <w:rPr>
      <w:rFonts w:ascii="华文中宋" w:hAnsi="华文中宋" w:eastAsia="华文中宋" w:cs="华文中宋"/>
      <w:b/>
      <w:bCs/>
      <w:sz w:val="32"/>
      <w:szCs w:val="32"/>
    </w:rPr>
  </w:style>
  <w:style w:type="paragraph" w:customStyle="1" w:styleId="1199">
    <w:name w:val="样式 Arial 小四 行距: 1.5 倍行距 首行缩进:  2 字符 Char Char"/>
    <w:autoRedefine/>
    <w:qFormat/>
    <w:uiPriority w:val="99"/>
    <w:pPr>
      <w:spacing w:line="360" w:lineRule="auto"/>
      <w:ind w:firstLine="480" w:firstLineChars="200"/>
    </w:pPr>
    <w:rPr>
      <w:rFonts w:ascii="Arial" w:hAnsi="Arial" w:eastAsia="宋体" w:cs="Arial"/>
      <w:sz w:val="24"/>
      <w:szCs w:val="24"/>
      <w:lang w:val="en-US" w:eastAsia="zh-CN" w:bidi="ar-SA"/>
    </w:rPr>
  </w:style>
  <w:style w:type="paragraph" w:customStyle="1" w:styleId="1200">
    <w:name w:val="msolistparagraph"/>
    <w:basedOn w:val="1"/>
    <w:autoRedefine/>
    <w:qFormat/>
    <w:uiPriority w:val="99"/>
    <w:pPr>
      <w:ind w:left="720"/>
    </w:pPr>
    <w:rPr>
      <w:szCs w:val="21"/>
    </w:rPr>
  </w:style>
  <w:style w:type="paragraph" w:customStyle="1" w:styleId="1201">
    <w:name w:val="王霞正文"/>
    <w:basedOn w:val="1"/>
    <w:autoRedefine/>
    <w:qFormat/>
    <w:uiPriority w:val="99"/>
    <w:pPr>
      <w:ind w:left="420"/>
    </w:pPr>
    <w:rPr>
      <w:rFonts w:ascii="Calibri" w:hAnsi="Calibri" w:eastAsia="华文楷体" w:cs="Calibri"/>
      <w:sz w:val="28"/>
      <w:szCs w:val="28"/>
    </w:rPr>
  </w:style>
  <w:style w:type="paragraph" w:customStyle="1" w:styleId="1202">
    <w:name w:val="样式 样式 首行缩进:  2 字符 + 首行缩进:  2 字符 Char Char"/>
    <w:basedOn w:val="1"/>
    <w:autoRedefine/>
    <w:qFormat/>
    <w:uiPriority w:val="99"/>
    <w:pPr>
      <w:ind w:firstLine="480" w:firstLineChars="200"/>
    </w:pPr>
    <w:rPr>
      <w:sz w:val="24"/>
    </w:rPr>
  </w:style>
  <w:style w:type="character" w:customStyle="1" w:styleId="1203">
    <w:name w:val="addr_sj"/>
    <w:autoRedefine/>
    <w:qFormat/>
    <w:uiPriority w:val="99"/>
    <w:rPr>
      <w:color w:val="auto"/>
      <w:sz w:val="15"/>
      <w:szCs w:val="15"/>
    </w:rPr>
  </w:style>
  <w:style w:type="character" w:customStyle="1" w:styleId="1204">
    <w:name w:val="diy_check1"/>
    <w:autoRedefine/>
    <w:qFormat/>
    <w:uiPriority w:val="99"/>
  </w:style>
  <w:style w:type="character" w:customStyle="1" w:styleId="1205">
    <w:name w:val="diy_check"/>
    <w:autoRedefine/>
    <w:qFormat/>
    <w:uiPriority w:val="99"/>
  </w:style>
  <w:style w:type="character" w:customStyle="1" w:styleId="1206">
    <w:name w:val="mcms"/>
    <w:autoRedefine/>
    <w:qFormat/>
    <w:uiPriority w:val="99"/>
  </w:style>
  <w:style w:type="character" w:customStyle="1" w:styleId="1207">
    <w:name w:val="封面标题"/>
    <w:autoRedefine/>
    <w:qFormat/>
    <w:uiPriority w:val="99"/>
    <w:rPr>
      <w:rFonts w:ascii="Arial" w:hAnsi="Arial" w:eastAsia="黑体" w:cs="Arial"/>
      <w:sz w:val="48"/>
      <w:szCs w:val="48"/>
    </w:rPr>
  </w:style>
  <w:style w:type="character" w:customStyle="1" w:styleId="1208">
    <w:name w:val="suc"/>
    <w:autoRedefine/>
    <w:qFormat/>
    <w:uiPriority w:val="99"/>
    <w:rPr>
      <w:color w:val="000000"/>
    </w:rPr>
  </w:style>
  <w:style w:type="character" w:customStyle="1" w:styleId="1209">
    <w:name w:val="maxwidth"/>
    <w:autoRedefine/>
    <w:qFormat/>
    <w:uiPriority w:val="99"/>
  </w:style>
  <w:style w:type="character" w:customStyle="1" w:styleId="1210">
    <w:name w:val="foldecurrent"/>
    <w:autoRedefine/>
    <w:qFormat/>
    <w:uiPriority w:val="99"/>
    <w:rPr>
      <w:color w:val="FFFFFF"/>
      <w:shd w:val="clear" w:color="auto" w:fill="auto"/>
    </w:rPr>
  </w:style>
  <w:style w:type="character" w:customStyle="1" w:styleId="1211">
    <w:name w:val="pushphoneico"/>
    <w:autoRedefine/>
    <w:qFormat/>
    <w:uiPriority w:val="99"/>
  </w:style>
  <w:style w:type="character" w:customStyle="1" w:styleId="1212">
    <w:name w:val="hover50"/>
    <w:autoRedefine/>
    <w:qFormat/>
    <w:uiPriority w:val="99"/>
    <w:rPr>
      <w:shd w:val="clear" w:color="auto" w:fill="auto"/>
    </w:rPr>
  </w:style>
  <w:style w:type="character" w:customStyle="1" w:styleId="1213">
    <w:name w:val="tabct1"/>
    <w:autoRedefine/>
    <w:qFormat/>
    <w:uiPriority w:val="99"/>
    <w:rPr>
      <w:color w:val="000000"/>
    </w:rPr>
  </w:style>
  <w:style w:type="character" w:customStyle="1" w:styleId="1214">
    <w:name w:val="pushphone"/>
    <w:autoRedefine/>
    <w:qFormat/>
    <w:uiPriority w:val="99"/>
    <w:rPr>
      <w:b/>
      <w:bCs/>
    </w:rPr>
  </w:style>
  <w:style w:type="character" w:customStyle="1" w:styleId="1215">
    <w:name w:val="diy_checked"/>
    <w:autoRedefine/>
    <w:qFormat/>
    <w:uiPriority w:val="99"/>
  </w:style>
  <w:style w:type="character" w:customStyle="1" w:styleId="1216">
    <w:name w:val="error"/>
    <w:autoRedefine/>
    <w:qFormat/>
    <w:uiPriority w:val="99"/>
    <w:rPr>
      <w:color w:val="000000"/>
    </w:rPr>
  </w:style>
  <w:style w:type="character" w:customStyle="1" w:styleId="1217">
    <w:name w:val="pushopa"/>
    <w:autoRedefine/>
    <w:qFormat/>
    <w:uiPriority w:val="99"/>
  </w:style>
  <w:style w:type="character" w:customStyle="1" w:styleId="1218">
    <w:name w:val="gpa"/>
    <w:autoRedefine/>
    <w:qFormat/>
    <w:uiPriority w:val="0"/>
    <w:rPr>
      <w:rFonts w:ascii="Arial" w:hAnsi="Arial" w:eastAsia="宋体" w:cs="Arial"/>
      <w:sz w:val="15"/>
      <w:szCs w:val="15"/>
    </w:rPr>
  </w:style>
  <w:style w:type="character" w:customStyle="1" w:styleId="1219">
    <w:name w:val="displayarti"/>
    <w:autoRedefine/>
    <w:qFormat/>
    <w:uiPriority w:val="0"/>
    <w:rPr>
      <w:rFonts w:ascii="Calibri" w:hAnsi="Calibri" w:eastAsia="宋体" w:cs="Times New Roman"/>
      <w:color w:val="FFFFFF"/>
      <w:shd w:val="clear" w:color="auto" w:fill="A00000"/>
    </w:rPr>
  </w:style>
  <w:style w:type="character" w:customStyle="1" w:styleId="1220">
    <w:name w:val="selected"/>
    <w:autoRedefine/>
    <w:qFormat/>
    <w:uiPriority w:val="0"/>
    <w:rPr>
      <w:rFonts w:ascii="Calibri" w:hAnsi="Calibri" w:eastAsia="宋体" w:cs="Times New Roman"/>
      <w:shd w:val="clear" w:color="auto" w:fill="B00006"/>
    </w:rPr>
  </w:style>
  <w:style w:type="character" w:customStyle="1" w:styleId="1221">
    <w:name w:val="fontborder"/>
    <w:autoRedefine/>
    <w:qFormat/>
    <w:uiPriority w:val="0"/>
    <w:rPr>
      <w:rFonts w:ascii="Calibri" w:hAnsi="Calibri" w:eastAsia="宋体" w:cs="Times New Roman"/>
      <w:bdr w:val="single" w:color="000000" w:sz="6" w:space="0"/>
    </w:rPr>
  </w:style>
  <w:style w:type="character" w:customStyle="1" w:styleId="1222">
    <w:name w:val="fontstrikethrough"/>
    <w:autoRedefine/>
    <w:qFormat/>
    <w:uiPriority w:val="0"/>
    <w:rPr>
      <w:rFonts w:ascii="Calibri" w:hAnsi="Calibri" w:eastAsia="宋体" w:cs="Times New Roman"/>
      <w:strike/>
    </w:rPr>
  </w:style>
  <w:style w:type="character" w:customStyle="1" w:styleId="1223">
    <w:name w:val="正文（首行缩进2字符） Char"/>
    <w:link w:val="1224"/>
    <w:autoRedefine/>
    <w:qFormat/>
    <w:uiPriority w:val="0"/>
    <w:rPr>
      <w:sz w:val="24"/>
      <w:szCs w:val="24"/>
    </w:rPr>
  </w:style>
  <w:style w:type="paragraph" w:customStyle="1" w:styleId="1224">
    <w:name w:val="正文（首行缩进2字符）"/>
    <w:basedOn w:val="1"/>
    <w:link w:val="1223"/>
    <w:autoRedefine/>
    <w:qFormat/>
    <w:uiPriority w:val="0"/>
    <w:pPr>
      <w:spacing w:beforeLines="25" w:afterLines="25" w:line="480" w:lineRule="exact"/>
      <w:ind w:firstLine="210" w:firstLineChars="210"/>
    </w:pPr>
    <w:rPr>
      <w:kern w:val="0"/>
      <w:sz w:val="24"/>
    </w:rPr>
  </w:style>
  <w:style w:type="character" w:customStyle="1" w:styleId="1225">
    <w:name w:val="列表 1 Char"/>
    <w:link w:val="1226"/>
    <w:autoRedefine/>
    <w:qFormat/>
    <w:uiPriority w:val="0"/>
    <w:rPr>
      <w:sz w:val="24"/>
    </w:rPr>
  </w:style>
  <w:style w:type="paragraph" w:customStyle="1" w:styleId="1226">
    <w:name w:val="列表 1"/>
    <w:link w:val="1225"/>
    <w:autoRedefine/>
    <w:qFormat/>
    <w:uiPriority w:val="0"/>
    <w:pPr>
      <w:tabs>
        <w:tab w:val="left" w:pos="620"/>
      </w:tabs>
      <w:spacing w:line="360" w:lineRule="auto"/>
      <w:ind w:left="620" w:hanging="420"/>
    </w:pPr>
    <w:rPr>
      <w:rFonts w:ascii="Times New Roman" w:hAnsi="Times New Roman" w:eastAsia="宋体" w:cs="Times New Roman"/>
      <w:sz w:val="24"/>
      <w:lang w:val="en-US" w:eastAsia="zh-CN" w:bidi="ar-SA"/>
    </w:rPr>
  </w:style>
  <w:style w:type="character" w:customStyle="1" w:styleId="1227">
    <w:name w:val="tytytyty Char"/>
    <w:link w:val="1228"/>
    <w:autoRedefine/>
    <w:qFormat/>
    <w:uiPriority w:val="0"/>
    <w:rPr>
      <w:sz w:val="24"/>
      <w:szCs w:val="24"/>
    </w:rPr>
  </w:style>
  <w:style w:type="paragraph" w:customStyle="1" w:styleId="1228">
    <w:name w:val="tytytyty"/>
    <w:basedOn w:val="1"/>
    <w:link w:val="1227"/>
    <w:autoRedefine/>
    <w:qFormat/>
    <w:uiPriority w:val="0"/>
    <w:pPr>
      <w:spacing w:line="360" w:lineRule="auto"/>
      <w:ind w:left="359" w:leftChars="171" w:firstLine="480" w:firstLineChars="200"/>
    </w:pPr>
    <w:rPr>
      <w:kern w:val="0"/>
      <w:sz w:val="24"/>
    </w:rPr>
  </w:style>
  <w:style w:type="character" w:customStyle="1" w:styleId="1229">
    <w:name w:val="样式 正文 +"/>
    <w:autoRedefine/>
    <w:qFormat/>
    <w:uiPriority w:val="0"/>
    <w:rPr>
      <w:rFonts w:eastAsia="宋体"/>
      <w:kern w:val="0"/>
      <w:sz w:val="24"/>
      <w:szCs w:val="24"/>
      <w:lang w:val="en-US" w:eastAsia="zh-CN" w:bidi="ar-SA"/>
    </w:rPr>
  </w:style>
  <w:style w:type="character" w:customStyle="1" w:styleId="1230">
    <w:name w:val="样式 样式 仿宋_GB2312 四号 加粗 行距: 1.5 倍行距 + 小四 Char"/>
    <w:link w:val="1231"/>
    <w:autoRedefine/>
    <w:qFormat/>
    <w:uiPriority w:val="0"/>
    <w:rPr>
      <w:rFonts w:ascii="仿宋_GB2312" w:hAnsi="宋体" w:cs="宋体"/>
      <w:sz w:val="24"/>
    </w:rPr>
  </w:style>
  <w:style w:type="paragraph" w:customStyle="1" w:styleId="1231">
    <w:name w:val="样式 样式 仿宋_GB2312 四号 加粗 行距: 1.5 倍行距 + 小四"/>
    <w:basedOn w:val="1"/>
    <w:link w:val="1230"/>
    <w:autoRedefine/>
    <w:qFormat/>
    <w:uiPriority w:val="0"/>
    <w:pPr>
      <w:spacing w:line="360" w:lineRule="auto"/>
      <w:ind w:firstLine="200" w:firstLineChars="200"/>
    </w:pPr>
    <w:rPr>
      <w:rFonts w:ascii="仿宋_GB2312" w:hAnsi="宋体" w:cs="宋体"/>
      <w:kern w:val="0"/>
      <w:sz w:val="24"/>
      <w:szCs w:val="20"/>
    </w:rPr>
  </w:style>
  <w:style w:type="character" w:customStyle="1" w:styleId="1232">
    <w:name w:val="样式 仿宋_GB2312 四号 加粗 行距: 1.5 倍行距 Char"/>
    <w:link w:val="1233"/>
    <w:autoRedefine/>
    <w:qFormat/>
    <w:uiPriority w:val="0"/>
    <w:rPr>
      <w:rFonts w:ascii="仿宋_GB2312" w:hAnsi="宋体" w:cs="宋体"/>
      <w:bCs/>
      <w:sz w:val="30"/>
    </w:rPr>
  </w:style>
  <w:style w:type="paragraph" w:customStyle="1" w:styleId="1233">
    <w:name w:val="样式 仿宋_GB2312 四号 加粗 行距: 1.5 倍行距"/>
    <w:basedOn w:val="1"/>
    <w:link w:val="1232"/>
    <w:autoRedefine/>
    <w:qFormat/>
    <w:uiPriority w:val="0"/>
    <w:pPr>
      <w:spacing w:line="360" w:lineRule="auto"/>
      <w:ind w:firstLine="562" w:firstLineChars="200"/>
    </w:pPr>
    <w:rPr>
      <w:rFonts w:ascii="仿宋_GB2312" w:hAnsi="宋体" w:cs="宋体"/>
      <w:bCs/>
      <w:kern w:val="0"/>
      <w:sz w:val="30"/>
      <w:szCs w:val="20"/>
    </w:rPr>
  </w:style>
  <w:style w:type="character" w:customStyle="1" w:styleId="1234">
    <w:name w:val="3zw"/>
    <w:autoRedefine/>
    <w:qFormat/>
    <w:uiPriority w:val="0"/>
  </w:style>
  <w:style w:type="character" w:customStyle="1" w:styleId="1235">
    <w:name w:val="名称2 Char"/>
    <w:autoRedefine/>
    <w:qFormat/>
    <w:uiPriority w:val="0"/>
    <w:rPr>
      <w:rFonts w:hint="eastAsia" w:ascii="宋体" w:hAnsi="宋体" w:eastAsia="宋体"/>
      <w:b/>
      <w:kern w:val="2"/>
      <w:sz w:val="28"/>
      <w:szCs w:val="28"/>
      <w:lang w:val="en-US" w:eastAsia="zh-CN" w:bidi="ar-SA"/>
    </w:rPr>
  </w:style>
  <w:style w:type="character" w:customStyle="1" w:styleId="1236">
    <w:name w:val="标题 4 z"/>
    <w:autoRedefine/>
    <w:qFormat/>
    <w:uiPriority w:val="0"/>
    <w:rPr>
      <w:rFonts w:ascii="Arial" w:hAnsi="Arial" w:eastAsia="黑体"/>
      <w:b/>
      <w:bCs/>
      <w:kern w:val="2"/>
      <w:sz w:val="28"/>
      <w:szCs w:val="28"/>
      <w:lang w:val="en-US" w:eastAsia="zh-CN" w:bidi="ar-SA"/>
    </w:rPr>
  </w:style>
  <w:style w:type="character" w:customStyle="1" w:styleId="1237">
    <w:name w:val="样式 纯文本普通文字 Char纯文本 Char普通文字 Char Char标题1 + Times New Roman ... Char1"/>
    <w:link w:val="1238"/>
    <w:autoRedefine/>
    <w:qFormat/>
    <w:uiPriority w:val="0"/>
    <w:rPr>
      <w:rFonts w:cs="宋体"/>
      <w:sz w:val="24"/>
    </w:rPr>
  </w:style>
  <w:style w:type="paragraph" w:customStyle="1" w:styleId="1238">
    <w:name w:val="样式 纯文本普通文字 Char纯文本 Char普通文字 Char Char标题1 + Times New Roman ..."/>
    <w:next w:val="25"/>
    <w:link w:val="1237"/>
    <w:autoRedefine/>
    <w:qFormat/>
    <w:uiPriority w:val="0"/>
    <w:pPr>
      <w:autoSpaceDE w:val="0"/>
      <w:autoSpaceDN w:val="0"/>
      <w:adjustRightInd w:val="0"/>
      <w:spacing w:line="480" w:lineRule="atLeast"/>
      <w:ind w:firstLine="482"/>
    </w:pPr>
    <w:rPr>
      <w:rFonts w:ascii="Times New Roman" w:hAnsi="Times New Roman" w:eastAsia="宋体" w:cs="宋体"/>
      <w:sz w:val="24"/>
      <w:lang w:val="en-US" w:eastAsia="zh-CN" w:bidi="ar-SA"/>
    </w:rPr>
  </w:style>
  <w:style w:type="character" w:customStyle="1" w:styleId="1239">
    <w:name w:val="标题2 Char Char"/>
    <w:autoRedefine/>
    <w:qFormat/>
    <w:uiPriority w:val="0"/>
    <w:rPr>
      <w:rFonts w:ascii="Cambria" w:hAnsi="Cambria" w:eastAsia="宋体"/>
      <w:b/>
      <w:bCs/>
      <w:kern w:val="2"/>
      <w:sz w:val="30"/>
      <w:szCs w:val="32"/>
      <w:lang w:val="en-US" w:eastAsia="zh-CN" w:bidi="ar-SA"/>
    </w:rPr>
  </w:style>
  <w:style w:type="character" w:customStyle="1" w:styleId="1240">
    <w:name w:val="txt1"/>
    <w:autoRedefine/>
    <w:qFormat/>
    <w:uiPriority w:val="0"/>
  </w:style>
  <w:style w:type="character" w:customStyle="1" w:styleId="1241">
    <w:name w:val="9p-201"/>
    <w:autoRedefine/>
    <w:qFormat/>
    <w:uiPriority w:val="0"/>
    <w:rPr>
      <w:sz w:val="18"/>
      <w:szCs w:val="18"/>
      <w:u w:val="none"/>
    </w:rPr>
  </w:style>
  <w:style w:type="character" w:customStyle="1" w:styleId="1242">
    <w:name w:val="可研报告正文 Char Char Char Char"/>
    <w:link w:val="1243"/>
    <w:autoRedefine/>
    <w:qFormat/>
    <w:uiPriority w:val="0"/>
    <w:rPr>
      <w:rFonts w:ascii="仿宋_GB2312" w:eastAsia="仿宋_GB2312"/>
      <w:sz w:val="28"/>
      <w:szCs w:val="28"/>
    </w:rPr>
  </w:style>
  <w:style w:type="paragraph" w:customStyle="1" w:styleId="1243">
    <w:name w:val="可研报告正文 Char Char Char"/>
    <w:basedOn w:val="33"/>
    <w:link w:val="1242"/>
    <w:autoRedefine/>
    <w:qFormat/>
    <w:uiPriority w:val="0"/>
    <w:pPr>
      <w:ind w:firstLine="177" w:firstLineChars="177"/>
    </w:pPr>
    <w:rPr>
      <w:rFonts w:ascii="仿宋_GB2312" w:eastAsia="仿宋_GB2312"/>
      <w:kern w:val="0"/>
      <w:sz w:val="28"/>
      <w:szCs w:val="28"/>
    </w:rPr>
  </w:style>
  <w:style w:type="character" w:customStyle="1" w:styleId="1244">
    <w:name w:val="样式 样式 首行缩进:  2.25 字符 + 首行缩进:  2.25 字符 Char"/>
    <w:link w:val="1245"/>
    <w:autoRedefine/>
    <w:qFormat/>
    <w:uiPriority w:val="0"/>
    <w:rPr>
      <w:rFonts w:ascii="仿宋_GB2312" w:eastAsia="仿宋_GB2312" w:cs="宋体"/>
      <w:sz w:val="28"/>
      <w:szCs w:val="28"/>
    </w:rPr>
  </w:style>
  <w:style w:type="paragraph" w:customStyle="1" w:styleId="1245">
    <w:name w:val="样式 样式 首行缩进:  2.25 字符 + 首行缩进:  2.25 字符"/>
    <w:basedOn w:val="1"/>
    <w:link w:val="1244"/>
    <w:autoRedefine/>
    <w:qFormat/>
    <w:uiPriority w:val="0"/>
    <w:pPr>
      <w:spacing w:line="360" w:lineRule="auto"/>
      <w:ind w:firstLine="630" w:firstLineChars="225"/>
    </w:pPr>
    <w:rPr>
      <w:rFonts w:ascii="仿宋_GB2312" w:eastAsia="仿宋_GB2312" w:cs="宋体"/>
      <w:kern w:val="0"/>
      <w:sz w:val="28"/>
      <w:szCs w:val="28"/>
    </w:rPr>
  </w:style>
  <w:style w:type="character" w:customStyle="1" w:styleId="1246">
    <w:name w:val="标五 Char"/>
    <w:link w:val="1247"/>
    <w:autoRedefine/>
    <w:qFormat/>
    <w:uiPriority w:val="0"/>
    <w:rPr>
      <w:rFonts w:ascii="仿宋_GB2312" w:eastAsia="仿宋_GB2312"/>
      <w:sz w:val="24"/>
      <w:szCs w:val="24"/>
    </w:rPr>
  </w:style>
  <w:style w:type="paragraph" w:customStyle="1" w:styleId="1247">
    <w:name w:val="标五"/>
    <w:next w:val="1"/>
    <w:link w:val="1246"/>
    <w:autoRedefine/>
    <w:qFormat/>
    <w:uiPriority w:val="0"/>
    <w:pPr>
      <w:spacing w:line="360" w:lineRule="auto"/>
      <w:ind w:firstLine="1"/>
      <w:outlineLvl w:val="4"/>
    </w:pPr>
    <w:rPr>
      <w:rFonts w:ascii="仿宋_GB2312" w:hAnsi="Times New Roman" w:eastAsia="仿宋_GB2312" w:cs="Times New Roman"/>
      <w:sz w:val="24"/>
      <w:szCs w:val="24"/>
      <w:lang w:val="en-US" w:eastAsia="zh-CN" w:bidi="ar-SA"/>
    </w:rPr>
  </w:style>
  <w:style w:type="character" w:styleId="1248">
    <w:name w:val="Placeholder Text"/>
    <w:autoRedefine/>
    <w:qFormat/>
    <w:uiPriority w:val="0"/>
    <w:rPr>
      <w:color w:val="808080"/>
    </w:rPr>
  </w:style>
  <w:style w:type="character" w:customStyle="1" w:styleId="1249">
    <w:name w:val="编制组成员"/>
    <w:autoRedefine/>
    <w:qFormat/>
    <w:uiPriority w:val="0"/>
    <w:rPr>
      <w:sz w:val="32"/>
    </w:rPr>
  </w:style>
  <w:style w:type="character" w:customStyle="1" w:styleId="1250">
    <w:name w:val="p11b1"/>
    <w:autoRedefine/>
    <w:qFormat/>
    <w:uiPriority w:val="0"/>
    <w:rPr>
      <w:rFonts w:eastAsia="楷体_GB2312"/>
      <w:spacing w:val="330"/>
      <w:sz w:val="21"/>
      <w:szCs w:val="21"/>
      <w:u w:val="none"/>
    </w:rPr>
  </w:style>
  <w:style w:type="character" w:customStyle="1" w:styleId="1251">
    <w:name w:val="normalclass1"/>
    <w:autoRedefine/>
    <w:qFormat/>
    <w:uiPriority w:val="0"/>
  </w:style>
  <w:style w:type="character" w:customStyle="1" w:styleId="1252">
    <w:name w:val="MM Topic 4 Char"/>
    <w:autoRedefine/>
    <w:qFormat/>
    <w:uiPriority w:val="0"/>
    <w:rPr>
      <w:rFonts w:ascii="Arial" w:hAnsi="Arial" w:eastAsia="黑体"/>
      <w:b/>
      <w:sz w:val="28"/>
      <w:szCs w:val="28"/>
    </w:rPr>
  </w:style>
  <w:style w:type="character" w:customStyle="1" w:styleId="1253">
    <w:name w:val="inm1"/>
    <w:autoRedefine/>
    <w:qFormat/>
    <w:uiPriority w:val="0"/>
    <w:rPr>
      <w:color w:val="505050"/>
      <w:spacing w:val="300"/>
      <w:sz w:val="18"/>
      <w:szCs w:val="18"/>
      <w:u w:val="none"/>
      <w:shd w:val="clear" w:color="auto" w:fill="FFFFFF"/>
    </w:rPr>
  </w:style>
  <w:style w:type="character" w:customStyle="1" w:styleId="1254">
    <w:name w:val="封面单位"/>
    <w:autoRedefine/>
    <w:qFormat/>
    <w:uiPriority w:val="0"/>
    <w:rPr>
      <w:rFonts w:ascii="黑体" w:hAnsi="黑体" w:eastAsia="黑体"/>
      <w:sz w:val="32"/>
    </w:rPr>
  </w:style>
  <w:style w:type="character" w:customStyle="1" w:styleId="1255">
    <w:name w:val="样式 样式 (中文) 仿宋_GB2312 四号 黑色 首行缩进:  0.96 厘米 行距: 最小值 25 磅 + 自动设置 Char"/>
    <w:link w:val="1256"/>
    <w:autoRedefine/>
    <w:qFormat/>
    <w:uiPriority w:val="0"/>
    <w:rPr>
      <w:rFonts w:eastAsia="仿宋_GB2312" w:cs="宋体"/>
      <w:sz w:val="28"/>
      <w:szCs w:val="28"/>
    </w:rPr>
  </w:style>
  <w:style w:type="paragraph" w:customStyle="1" w:styleId="1256">
    <w:name w:val="样式 样式 (中文) 仿宋_GB2312 四号 黑色 首行缩进:  0.96 厘米 行距: 最小值 25 磅 + 自动设置"/>
    <w:basedOn w:val="1"/>
    <w:link w:val="1255"/>
    <w:autoRedefine/>
    <w:qFormat/>
    <w:uiPriority w:val="0"/>
    <w:pPr>
      <w:spacing w:line="500" w:lineRule="atLeast"/>
      <w:ind w:firstLine="561" w:firstLineChars="200"/>
    </w:pPr>
    <w:rPr>
      <w:rFonts w:eastAsia="仿宋_GB2312" w:cs="宋体"/>
      <w:kern w:val="0"/>
      <w:sz w:val="28"/>
      <w:szCs w:val="28"/>
    </w:rPr>
  </w:style>
  <w:style w:type="character" w:customStyle="1" w:styleId="1257">
    <w:name w:val="五号正文（标准） Char"/>
    <w:link w:val="1258"/>
    <w:autoRedefine/>
    <w:qFormat/>
    <w:uiPriority w:val="0"/>
    <w:rPr>
      <w:rFonts w:ascii="宋体" w:hAnsi="宋体"/>
      <w:b/>
      <w:color w:val="000000"/>
      <w:sz w:val="24"/>
      <w:szCs w:val="24"/>
    </w:rPr>
  </w:style>
  <w:style w:type="paragraph" w:customStyle="1" w:styleId="1258">
    <w:name w:val="五号正文（标准）"/>
    <w:basedOn w:val="1"/>
    <w:link w:val="1257"/>
    <w:autoRedefine/>
    <w:qFormat/>
    <w:uiPriority w:val="0"/>
    <w:pPr>
      <w:spacing w:line="360" w:lineRule="auto"/>
      <w:ind w:firstLine="482" w:firstLineChars="200"/>
    </w:pPr>
    <w:rPr>
      <w:rFonts w:ascii="宋体" w:hAnsi="宋体"/>
      <w:b/>
      <w:color w:val="000000"/>
      <w:kern w:val="0"/>
      <w:sz w:val="24"/>
    </w:rPr>
  </w:style>
  <w:style w:type="paragraph" w:customStyle="1" w:styleId="1259">
    <w:name w:val="xl2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right"/>
    </w:pPr>
    <w:rPr>
      <w:rFonts w:ascii="宋体" w:hAnsi="宋体" w:cs="宋体"/>
      <w:color w:val="000000"/>
      <w:kern w:val="0"/>
      <w:sz w:val="18"/>
      <w:szCs w:val="18"/>
    </w:rPr>
  </w:style>
  <w:style w:type="paragraph" w:customStyle="1" w:styleId="1260">
    <w:name w:val="xl26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right"/>
    </w:pPr>
    <w:rPr>
      <w:rFonts w:ascii="宋体" w:hAnsi="宋体" w:cs="宋体"/>
      <w:b/>
      <w:bCs/>
      <w:color w:val="000000"/>
      <w:kern w:val="0"/>
      <w:sz w:val="18"/>
      <w:szCs w:val="18"/>
    </w:rPr>
  </w:style>
  <w:style w:type="paragraph" w:customStyle="1" w:styleId="1261">
    <w:name w:val="q2"/>
    <w:basedOn w:val="4"/>
    <w:autoRedefine/>
    <w:qFormat/>
    <w:uiPriority w:val="0"/>
    <w:pPr>
      <w:tabs>
        <w:tab w:val="left" w:pos="0"/>
      </w:tabs>
      <w:autoSpaceDE/>
      <w:autoSpaceDN/>
      <w:spacing w:before="0" w:beforeLines="50" w:afterLines="50" w:line="360" w:lineRule="auto"/>
      <w:jc w:val="both"/>
    </w:pPr>
    <w:rPr>
      <w:rFonts w:ascii="Times New Roman" w:hAnsi="Times New Roman" w:eastAsia="宋体"/>
      <w:bCs/>
      <w:kern w:val="2"/>
      <w:sz w:val="32"/>
      <w:szCs w:val="32"/>
    </w:rPr>
  </w:style>
  <w:style w:type="paragraph" w:customStyle="1" w:styleId="1262">
    <w:name w:val="样式 样式 小四 段前: 0.5 行 + 首行缩进:  2 字符"/>
    <w:basedOn w:val="1"/>
    <w:autoRedefine/>
    <w:qFormat/>
    <w:uiPriority w:val="0"/>
    <w:pPr>
      <w:spacing w:beforeLines="50" w:line="360" w:lineRule="auto"/>
      <w:ind w:firstLine="480" w:firstLineChars="200"/>
    </w:pPr>
    <w:rPr>
      <w:rFonts w:cs="宋体"/>
      <w:sz w:val="24"/>
      <w:szCs w:val="20"/>
    </w:rPr>
  </w:style>
  <w:style w:type="paragraph" w:customStyle="1" w:styleId="1263">
    <w:name w:val="xl24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000000"/>
      <w:kern w:val="0"/>
      <w:sz w:val="18"/>
      <w:szCs w:val="18"/>
    </w:rPr>
  </w:style>
  <w:style w:type="paragraph" w:customStyle="1" w:styleId="1264">
    <w:name w:val="样式 标题 4H4Ref Heading 1rh1Heading sqlsect 1.2.3.4h4First S...2"/>
    <w:basedOn w:val="8"/>
    <w:autoRedefine/>
    <w:qFormat/>
    <w:uiPriority w:val="0"/>
    <w:pPr>
      <w:tabs>
        <w:tab w:val="left" w:pos="1080"/>
      </w:tabs>
      <w:adjustRightInd/>
      <w:spacing w:before="0" w:beforeLines="50" w:after="163" w:line="360" w:lineRule="auto"/>
      <w:ind w:left="1180" w:hanging="1180"/>
      <w:textAlignment w:val="auto"/>
    </w:pPr>
    <w:rPr>
      <w:rFonts w:ascii="Arial Black" w:hAnsi="Arial Black" w:eastAsia="宋体" w:cs="宋体"/>
      <w:color w:val="365F91"/>
      <w:kern w:val="2"/>
    </w:rPr>
  </w:style>
  <w:style w:type="paragraph" w:customStyle="1" w:styleId="1265">
    <w:name w:val="xl4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000000"/>
      <w:kern w:val="0"/>
      <w:sz w:val="20"/>
      <w:szCs w:val="20"/>
    </w:rPr>
  </w:style>
  <w:style w:type="paragraph" w:customStyle="1" w:styleId="1266">
    <w:name w:val="Plain Text1"/>
    <w:basedOn w:val="1"/>
    <w:autoRedefine/>
    <w:qFormat/>
    <w:uiPriority w:val="0"/>
    <w:pPr>
      <w:autoSpaceDE w:val="0"/>
      <w:autoSpaceDN w:val="0"/>
      <w:adjustRightInd w:val="0"/>
      <w:spacing w:line="312" w:lineRule="atLeast"/>
      <w:ind w:firstLine="200" w:firstLineChars="200"/>
      <w:textAlignment w:val="baseline"/>
    </w:pPr>
    <w:rPr>
      <w:rFonts w:ascii="宋体"/>
      <w:kern w:val="0"/>
      <w:sz w:val="24"/>
      <w:szCs w:val="20"/>
    </w:rPr>
  </w:style>
  <w:style w:type="paragraph" w:customStyle="1" w:styleId="1267">
    <w:name w:val="xl2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color w:val="000000"/>
      <w:kern w:val="0"/>
      <w:sz w:val="18"/>
      <w:szCs w:val="18"/>
    </w:rPr>
  </w:style>
  <w:style w:type="paragraph" w:customStyle="1" w:styleId="1268">
    <w:name w:val="xl4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kern w:val="0"/>
      <w:sz w:val="20"/>
      <w:szCs w:val="20"/>
    </w:rPr>
  </w:style>
  <w:style w:type="paragraph" w:customStyle="1" w:styleId="1269">
    <w:name w:val="xl41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360" w:lineRule="auto"/>
      <w:ind w:firstLine="200" w:firstLineChars="200"/>
      <w:jc w:val="center"/>
    </w:pPr>
    <w:rPr>
      <w:rFonts w:ascii="宋体" w:hAnsi="宋体" w:cs="宋体"/>
      <w:b/>
      <w:bCs/>
      <w:color w:val="000000"/>
      <w:kern w:val="0"/>
      <w:sz w:val="20"/>
      <w:szCs w:val="20"/>
    </w:rPr>
  </w:style>
  <w:style w:type="paragraph" w:customStyle="1" w:styleId="1270">
    <w:name w:val="xl413"/>
    <w:basedOn w:val="1"/>
    <w:autoRedefine/>
    <w:qFormat/>
    <w:uiPriority w:val="0"/>
    <w:pPr>
      <w:widowControl/>
      <w:spacing w:before="100" w:beforeAutospacing="1" w:after="100" w:afterAutospacing="1" w:line="360" w:lineRule="auto"/>
      <w:ind w:firstLine="200" w:firstLineChars="200"/>
      <w:jc w:val="left"/>
    </w:pPr>
    <w:rPr>
      <w:rFonts w:ascii="宋体" w:hAnsi="宋体" w:cs="宋体"/>
      <w:b/>
      <w:bCs/>
      <w:color w:val="000000"/>
      <w:kern w:val="0"/>
      <w:sz w:val="20"/>
      <w:szCs w:val="20"/>
    </w:rPr>
  </w:style>
  <w:style w:type="paragraph" w:customStyle="1" w:styleId="1271">
    <w:name w:val="小四 行距: 1.5 倍行距"/>
    <w:basedOn w:val="1"/>
    <w:autoRedefine/>
    <w:qFormat/>
    <w:uiPriority w:val="0"/>
    <w:pPr>
      <w:tabs>
        <w:tab w:val="left" w:pos="907"/>
      </w:tabs>
      <w:spacing w:line="360" w:lineRule="auto"/>
      <w:ind w:left="907" w:hanging="619" w:firstLineChars="200"/>
    </w:pPr>
    <w:rPr>
      <w:rFonts w:cs="宋体"/>
      <w:sz w:val="24"/>
      <w:szCs w:val="20"/>
    </w:rPr>
  </w:style>
  <w:style w:type="paragraph" w:customStyle="1" w:styleId="1272">
    <w:name w:val="名称"/>
    <w:basedOn w:val="1"/>
    <w:next w:val="1"/>
    <w:autoRedefine/>
    <w:qFormat/>
    <w:uiPriority w:val="0"/>
    <w:pPr>
      <w:tabs>
        <w:tab w:val="left" w:pos="2730"/>
      </w:tabs>
      <w:spacing w:before="240" w:after="240" w:line="360" w:lineRule="auto"/>
      <w:ind w:firstLine="113" w:firstLineChars="200"/>
      <w:jc w:val="center"/>
    </w:pPr>
    <w:rPr>
      <w:rFonts w:ascii="宋体" w:hAnsi="宋体"/>
      <w:b/>
      <w:bCs/>
      <w:sz w:val="44"/>
      <w:szCs w:val="44"/>
    </w:rPr>
  </w:style>
  <w:style w:type="paragraph" w:customStyle="1" w:styleId="1273">
    <w:name w:val="!k三级标题"/>
    <w:basedOn w:val="5"/>
    <w:next w:val="1"/>
    <w:autoRedefine/>
    <w:qFormat/>
    <w:uiPriority w:val="0"/>
    <w:pPr>
      <w:tabs>
        <w:tab w:val="left" w:pos="0"/>
      </w:tabs>
      <w:autoSpaceDE/>
      <w:autoSpaceDN/>
      <w:adjustRightInd/>
      <w:snapToGrid w:val="0"/>
      <w:spacing w:before="0" w:beforeLines="50" w:after="0" w:afterLines="50"/>
      <w:ind w:left="-32767" w:firstLine="32767"/>
      <w:jc w:val="both"/>
    </w:pPr>
    <w:rPr>
      <w:rFonts w:hAnsi="宋体"/>
      <w:szCs w:val="32"/>
      <w:u w:val="none"/>
    </w:rPr>
  </w:style>
  <w:style w:type="paragraph" w:customStyle="1" w:styleId="1274">
    <w:name w:val="样式 正文缩进表正文正文非缩进ALT+Z四号特点段1正文不缩进特点 Char水上软件标题4正文（首行缩进两..."/>
    <w:basedOn w:val="1"/>
    <w:autoRedefine/>
    <w:qFormat/>
    <w:uiPriority w:val="0"/>
    <w:pPr>
      <w:tabs>
        <w:tab w:val="left" w:pos="907"/>
      </w:tabs>
      <w:spacing w:line="360" w:lineRule="auto"/>
      <w:ind w:left="907" w:hanging="619" w:firstLineChars="200"/>
    </w:pPr>
    <w:rPr>
      <w:rFonts w:ascii="宋体" w:hAnsi="宋体"/>
      <w:sz w:val="24"/>
      <w:szCs w:val="20"/>
    </w:rPr>
  </w:style>
  <w:style w:type="paragraph" w:customStyle="1" w:styleId="1275">
    <w:name w:val="默认段落字体 Para Char Char Char Char Char Char Char Char Char Char"/>
    <w:basedOn w:val="1"/>
    <w:autoRedefine/>
    <w:qFormat/>
    <w:uiPriority w:val="0"/>
    <w:pPr>
      <w:spacing w:line="360" w:lineRule="auto"/>
      <w:ind w:firstLine="200" w:firstLineChars="200"/>
    </w:pPr>
    <w:rPr>
      <w:rFonts w:ascii="Tahoma" w:hAnsi="Tahoma" w:eastAsia="仿宋_GB2312"/>
      <w:sz w:val="24"/>
      <w:szCs w:val="20"/>
    </w:rPr>
  </w:style>
  <w:style w:type="paragraph" w:customStyle="1" w:styleId="1276">
    <w:name w:val="样式 正文（首行缩进两字） + 首行缩进:  2 字符1"/>
    <w:basedOn w:val="6"/>
    <w:autoRedefine/>
    <w:qFormat/>
    <w:uiPriority w:val="0"/>
    <w:pPr>
      <w:tabs>
        <w:tab w:val="left" w:pos="2730"/>
      </w:tabs>
      <w:autoSpaceDE/>
      <w:autoSpaceDN/>
      <w:adjustRightInd/>
      <w:spacing w:line="360" w:lineRule="auto"/>
      <w:ind w:firstLine="480" w:firstLineChars="200"/>
      <w:jc w:val="both"/>
    </w:pPr>
    <w:rPr>
      <w:rFonts w:ascii="Times New Roman"/>
      <w:bCs/>
      <w:szCs w:val="20"/>
    </w:rPr>
  </w:style>
  <w:style w:type="paragraph" w:customStyle="1" w:styleId="1277">
    <w:name w:val="项目编号1级"/>
    <w:basedOn w:val="279"/>
    <w:autoRedefine/>
    <w:qFormat/>
    <w:uiPriority w:val="0"/>
    <w:pPr>
      <w:widowControl w:val="0"/>
      <w:tabs>
        <w:tab w:val="left" w:pos="840"/>
      </w:tabs>
      <w:adjustRightInd/>
      <w:snapToGrid/>
      <w:spacing w:line="360" w:lineRule="auto"/>
      <w:ind w:left="840" w:hanging="420"/>
    </w:pPr>
    <w:rPr>
      <w:rFonts w:ascii="Verdana" w:hAnsi="Verdana"/>
      <w:snapToGrid/>
      <w:kern w:val="2"/>
      <w:sz w:val="24"/>
      <w:szCs w:val="21"/>
      <w:lang w:val="en-US"/>
    </w:rPr>
  </w:style>
  <w:style w:type="paragraph" w:customStyle="1" w:styleId="1278">
    <w:name w:val="并列样式"/>
    <w:basedOn w:val="1"/>
    <w:autoRedefine/>
    <w:qFormat/>
    <w:uiPriority w:val="0"/>
    <w:pPr>
      <w:spacing w:before="60" w:after="60" w:line="360" w:lineRule="auto"/>
      <w:ind w:firstLine="200" w:firstLineChars="200"/>
    </w:pPr>
    <w:rPr>
      <w:sz w:val="24"/>
      <w:szCs w:val="20"/>
    </w:rPr>
  </w:style>
  <w:style w:type="paragraph" w:customStyle="1" w:styleId="1279">
    <w:name w:val="xl271"/>
    <w:basedOn w:val="1"/>
    <w:autoRedefine/>
    <w:qFormat/>
    <w:uiPriority w:val="0"/>
    <w:pPr>
      <w:widowControl/>
      <w:pBdr>
        <w:top w:val="single" w:color="auto" w:sz="4" w:space="0"/>
        <w:left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kern w:val="0"/>
      <w:sz w:val="18"/>
      <w:szCs w:val="18"/>
    </w:rPr>
  </w:style>
  <w:style w:type="paragraph" w:customStyle="1" w:styleId="1280">
    <w:name w:val="xl2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color w:val="000000"/>
      <w:kern w:val="0"/>
      <w:sz w:val="18"/>
      <w:szCs w:val="18"/>
    </w:rPr>
  </w:style>
  <w:style w:type="paragraph" w:customStyle="1" w:styleId="1281">
    <w:name w:val="带编号的正文"/>
    <w:basedOn w:val="1"/>
    <w:autoRedefine/>
    <w:qFormat/>
    <w:uiPriority w:val="0"/>
    <w:pPr>
      <w:tabs>
        <w:tab w:val="left" w:pos="1320"/>
      </w:tabs>
      <w:spacing w:line="360" w:lineRule="auto"/>
      <w:ind w:left="1320" w:hanging="420" w:firstLineChars="200"/>
    </w:pPr>
    <w:rPr>
      <w:rFonts w:ascii="宋体" w:hAnsi="宋体"/>
      <w:sz w:val="24"/>
    </w:rPr>
  </w:style>
  <w:style w:type="paragraph" w:customStyle="1" w:styleId="1282">
    <w:name w:val="xl41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360" w:lineRule="auto"/>
      <w:ind w:firstLine="200" w:firstLineChars="200"/>
      <w:jc w:val="center"/>
    </w:pPr>
    <w:rPr>
      <w:rFonts w:ascii="宋体" w:hAnsi="宋体" w:cs="宋体"/>
      <w:b/>
      <w:bCs/>
      <w:color w:val="000000"/>
      <w:kern w:val="0"/>
      <w:sz w:val="20"/>
      <w:szCs w:val="20"/>
    </w:rPr>
  </w:style>
  <w:style w:type="paragraph" w:customStyle="1" w:styleId="1283">
    <w:name w:val="xl41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line="360" w:lineRule="auto"/>
      <w:ind w:firstLine="200" w:firstLineChars="200"/>
      <w:jc w:val="center"/>
    </w:pPr>
    <w:rPr>
      <w:rFonts w:ascii="宋体" w:hAnsi="宋体" w:cs="宋体"/>
      <w:b/>
      <w:bCs/>
      <w:color w:val="000000"/>
      <w:kern w:val="0"/>
      <w:sz w:val="20"/>
      <w:szCs w:val="20"/>
    </w:rPr>
  </w:style>
  <w:style w:type="paragraph" w:customStyle="1" w:styleId="1284">
    <w:name w:val="样式 标题 1H1PIM 1h1标书1第*部分第A章L1bocLevel 1 Topic HeadingHe..."/>
    <w:basedOn w:val="3"/>
    <w:autoRedefine/>
    <w:qFormat/>
    <w:uiPriority w:val="0"/>
    <w:pPr>
      <w:tabs>
        <w:tab w:val="left" w:pos="0"/>
      </w:tabs>
      <w:autoSpaceDE/>
      <w:autoSpaceDN/>
      <w:adjustRightInd/>
      <w:spacing w:before="0" w:beforeLines="50" w:after="0" w:afterLines="50" w:line="360" w:lineRule="auto"/>
      <w:ind w:left="1440"/>
      <w:jc w:val="left"/>
    </w:pPr>
    <w:rPr>
      <w:rFonts w:ascii="Times New Roman" w:cs="宋体"/>
      <w:bCs/>
      <w:sz w:val="44"/>
    </w:rPr>
  </w:style>
  <w:style w:type="paragraph" w:customStyle="1" w:styleId="1285">
    <w:name w:val="标题首行"/>
    <w:basedOn w:val="1"/>
    <w:autoRedefine/>
    <w:qFormat/>
    <w:uiPriority w:val="0"/>
    <w:pPr>
      <w:spacing w:line="360" w:lineRule="auto"/>
      <w:ind w:firstLine="200" w:firstLineChars="200"/>
      <w:jc w:val="center"/>
    </w:pPr>
    <w:rPr>
      <w:rFonts w:ascii="黑体" w:eastAsia="黑体" w:cs="宋体"/>
      <w:sz w:val="44"/>
      <w:szCs w:val="20"/>
    </w:rPr>
  </w:style>
  <w:style w:type="paragraph" w:customStyle="1" w:styleId="1286">
    <w:name w:val="xl23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kern w:val="0"/>
      <w:sz w:val="18"/>
      <w:szCs w:val="18"/>
    </w:rPr>
  </w:style>
  <w:style w:type="paragraph" w:customStyle="1" w:styleId="1287">
    <w:name w:val="section list"/>
    <w:basedOn w:val="1"/>
    <w:autoRedefine/>
    <w:qFormat/>
    <w:uiPriority w:val="0"/>
    <w:pPr>
      <w:widowControl/>
      <w:spacing w:line="360" w:lineRule="auto"/>
      <w:ind w:firstLine="200" w:firstLineChars="200"/>
      <w:jc w:val="left"/>
    </w:pPr>
    <w:rPr>
      <w:kern w:val="0"/>
      <w:sz w:val="24"/>
      <w:lang w:val="en-GB" w:eastAsia="en-US"/>
    </w:rPr>
  </w:style>
  <w:style w:type="paragraph" w:customStyle="1" w:styleId="1288">
    <w:name w:val="样式 标题 4Titre4H4PIM 4h4blbbITT t4PA Micro SectionTE Head..."/>
    <w:basedOn w:val="8"/>
    <w:autoRedefine/>
    <w:qFormat/>
    <w:uiPriority w:val="0"/>
    <w:pPr>
      <w:tabs>
        <w:tab w:val="left" w:pos="0"/>
      </w:tabs>
      <w:adjustRightInd/>
      <w:spacing w:before="0" w:beforeLines="50" w:after="163" w:line="360" w:lineRule="auto"/>
      <w:ind w:left="810"/>
      <w:textAlignment w:val="auto"/>
    </w:pPr>
    <w:rPr>
      <w:rFonts w:eastAsia="宋体" w:cs="宋体"/>
      <w:b w:val="0"/>
      <w:bCs/>
      <w:color w:val="365F91"/>
    </w:rPr>
  </w:style>
  <w:style w:type="paragraph" w:customStyle="1" w:styleId="1289">
    <w:name w:val="xl426"/>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290">
    <w:name w:val="xl2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color w:val="000000"/>
      <w:kern w:val="0"/>
      <w:sz w:val="18"/>
      <w:szCs w:val="18"/>
    </w:rPr>
  </w:style>
  <w:style w:type="paragraph" w:customStyle="1" w:styleId="1291">
    <w:name w:val="xl4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color w:val="000000"/>
      <w:kern w:val="0"/>
      <w:sz w:val="20"/>
      <w:szCs w:val="20"/>
    </w:rPr>
  </w:style>
  <w:style w:type="paragraph" w:customStyle="1" w:styleId="1292">
    <w:name w:val="样式 Arial 小四 段前: 7.8 磅 首行缩进:  2 字符"/>
    <w:basedOn w:val="1"/>
    <w:autoRedefine/>
    <w:qFormat/>
    <w:uiPriority w:val="0"/>
    <w:pPr>
      <w:spacing w:before="156" w:line="360" w:lineRule="auto"/>
      <w:ind w:firstLine="200" w:firstLineChars="200"/>
    </w:pPr>
    <w:rPr>
      <w:rFonts w:ascii="Arial" w:hAnsi="Arial" w:cs="宋体"/>
      <w:sz w:val="24"/>
      <w:szCs w:val="20"/>
    </w:rPr>
  </w:style>
  <w:style w:type="paragraph" w:customStyle="1" w:styleId="1293">
    <w:name w:val="Char31"/>
    <w:basedOn w:val="1"/>
    <w:autoRedefine/>
    <w:qFormat/>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1294">
    <w:name w:val="a1"/>
    <w:basedOn w:val="3"/>
    <w:autoRedefine/>
    <w:qFormat/>
    <w:uiPriority w:val="0"/>
    <w:pPr>
      <w:autoSpaceDE/>
      <w:autoSpaceDN/>
      <w:adjustRightInd/>
      <w:spacing w:before="0" w:beforeLines="50" w:after="0" w:afterLines="50" w:line="360" w:lineRule="auto"/>
      <w:ind w:left="425" w:hanging="425"/>
      <w:jc w:val="left"/>
    </w:pPr>
    <w:rPr>
      <w:rFonts w:ascii="Calibri" w:hAnsi="Calibri"/>
      <w:b w:val="0"/>
      <w:bCs/>
      <w:sz w:val="44"/>
      <w:szCs w:val="44"/>
    </w:rPr>
  </w:style>
  <w:style w:type="paragraph" w:customStyle="1" w:styleId="1295">
    <w:name w:val="#"/>
    <w:basedOn w:val="1296"/>
    <w:autoRedefine/>
    <w:qFormat/>
    <w:uiPriority w:val="0"/>
    <w:pPr>
      <w:tabs>
        <w:tab w:val="left" w:pos="964"/>
      </w:tabs>
    </w:pPr>
  </w:style>
  <w:style w:type="paragraph" w:customStyle="1" w:styleId="1296">
    <w:name w:val="@"/>
    <w:basedOn w:val="570"/>
    <w:autoRedefine/>
    <w:qFormat/>
    <w:uiPriority w:val="0"/>
    <w:pPr>
      <w:ind w:firstLine="200" w:firstLineChars="200"/>
    </w:pPr>
    <w:rPr>
      <w:rFonts w:ascii="Times New Roman" w:hAnsi="Times New Roman"/>
    </w:rPr>
  </w:style>
  <w:style w:type="paragraph" w:customStyle="1" w:styleId="1297">
    <w:name w:val="符号悬挂缩进"/>
    <w:basedOn w:val="1"/>
    <w:autoRedefine/>
    <w:qFormat/>
    <w:uiPriority w:val="0"/>
    <w:pPr>
      <w:tabs>
        <w:tab w:val="left" w:pos="2730"/>
      </w:tabs>
      <w:spacing w:line="360" w:lineRule="auto"/>
      <w:ind w:firstLine="200" w:firstLineChars="200"/>
    </w:pPr>
    <w:rPr>
      <w:bCs/>
      <w:kern w:val="0"/>
      <w:sz w:val="24"/>
    </w:rPr>
  </w:style>
  <w:style w:type="paragraph" w:customStyle="1" w:styleId="1298">
    <w:name w:val="my（1）"/>
    <w:basedOn w:val="453"/>
    <w:autoRedefine/>
    <w:qFormat/>
    <w:uiPriority w:val="0"/>
    <w:pPr>
      <w:tabs>
        <w:tab w:val="left" w:pos="0"/>
        <w:tab w:val="left" w:pos="360"/>
      </w:tabs>
      <w:spacing w:before="156" w:after="156"/>
      <w:ind w:firstLine="0" w:firstLineChars="0"/>
    </w:pPr>
  </w:style>
  <w:style w:type="paragraph" w:customStyle="1" w:styleId="1299">
    <w:name w:val="样式 小四 行距: 1.5 倍行距 首行缩进:  2 字符"/>
    <w:basedOn w:val="1"/>
    <w:autoRedefine/>
    <w:qFormat/>
    <w:uiPriority w:val="0"/>
    <w:pPr>
      <w:spacing w:line="360" w:lineRule="auto"/>
      <w:ind w:firstLine="480" w:firstLineChars="200"/>
    </w:pPr>
    <w:rPr>
      <w:rFonts w:eastAsia="楷体_GB2312"/>
      <w:sz w:val="24"/>
      <w:szCs w:val="20"/>
    </w:rPr>
  </w:style>
  <w:style w:type="paragraph" w:customStyle="1" w:styleId="1300">
    <w:name w:val="Text"/>
    <w:autoRedefine/>
    <w:qFormat/>
    <w:uiPriority w:val="0"/>
    <w:pPr>
      <w:tabs>
        <w:tab w:val="left" w:pos="420"/>
        <w:tab w:val="left" w:pos="840"/>
        <w:tab w:val="left" w:pos="1260"/>
      </w:tabs>
      <w:adjustRightInd w:val="0"/>
      <w:snapToGrid w:val="0"/>
      <w:spacing w:beforeLines="75" w:afterLines="50" w:line="300" w:lineRule="auto"/>
      <w:ind w:firstLine="540" w:firstLineChars="225"/>
      <w:jc w:val="both"/>
    </w:pPr>
    <w:rPr>
      <w:rFonts w:ascii="仿宋_GB2312" w:hAnsi="Palatino Linotype" w:eastAsia="仿宋_GB2312" w:cs="Times New Roman"/>
      <w:sz w:val="24"/>
      <w:szCs w:val="22"/>
      <w:lang w:val="en-US" w:eastAsia="zh-CN" w:bidi="ar-SA"/>
    </w:rPr>
  </w:style>
  <w:style w:type="paragraph" w:customStyle="1" w:styleId="1301">
    <w:name w:val="Bullet 1"/>
    <w:basedOn w:val="1"/>
    <w:autoRedefine/>
    <w:qFormat/>
    <w:uiPriority w:val="0"/>
    <w:pPr>
      <w:widowControl/>
      <w:tabs>
        <w:tab w:val="left" w:pos="619"/>
      </w:tabs>
      <w:spacing w:before="72" w:line="360" w:lineRule="auto"/>
      <w:ind w:left="619" w:hanging="619" w:firstLineChars="200"/>
      <w:jc w:val="left"/>
    </w:pPr>
    <w:rPr>
      <w:rFonts w:ascii="Arial" w:hAnsi="Arial"/>
      <w:kern w:val="0"/>
      <w:sz w:val="20"/>
      <w:lang w:val="en-GB" w:eastAsia="en-US"/>
    </w:rPr>
  </w:style>
  <w:style w:type="paragraph" w:customStyle="1" w:styleId="1302">
    <w:name w:val="Body Single"/>
    <w:basedOn w:val="1"/>
    <w:autoRedefine/>
    <w:qFormat/>
    <w:uiPriority w:val="0"/>
    <w:pPr>
      <w:widowControl/>
      <w:overflowPunct w:val="0"/>
      <w:autoSpaceDE w:val="0"/>
      <w:autoSpaceDN w:val="0"/>
      <w:adjustRightInd w:val="0"/>
      <w:spacing w:line="360" w:lineRule="auto"/>
      <w:ind w:firstLine="200" w:firstLineChars="200"/>
      <w:jc w:val="left"/>
      <w:textAlignment w:val="baseline"/>
    </w:pPr>
    <w:rPr>
      <w:rFonts w:eastAsia="Times New Roman"/>
      <w:kern w:val="0"/>
      <w:sz w:val="24"/>
      <w:szCs w:val="20"/>
      <w:lang w:eastAsia="en-US"/>
    </w:rPr>
  </w:style>
  <w:style w:type="paragraph" w:customStyle="1" w:styleId="1303">
    <w:name w:val="xl265"/>
    <w:basedOn w:val="1"/>
    <w:autoRedefine/>
    <w:qFormat/>
    <w:uiPriority w:val="0"/>
    <w:pPr>
      <w:widowControl/>
      <w:spacing w:before="100" w:beforeAutospacing="1" w:after="100" w:afterAutospacing="1" w:line="360" w:lineRule="auto"/>
      <w:ind w:firstLine="200" w:firstLineChars="200"/>
      <w:jc w:val="left"/>
    </w:pPr>
    <w:rPr>
      <w:rFonts w:ascii="宋体" w:hAnsi="宋体" w:cs="宋体"/>
      <w:color w:val="0000FF"/>
      <w:kern w:val="0"/>
      <w:sz w:val="18"/>
      <w:szCs w:val="18"/>
    </w:rPr>
  </w:style>
  <w:style w:type="paragraph" w:customStyle="1" w:styleId="1304">
    <w:name w:val="Char Char Char Char Char Char1 Char Char Char Char Char Char Char Char Char Char Char Char Char Char Char Char Char"/>
    <w:basedOn w:val="1"/>
    <w:autoRedefine/>
    <w:qFormat/>
    <w:uiPriority w:val="0"/>
    <w:pPr>
      <w:widowControl/>
      <w:spacing w:after="160" w:line="240" w:lineRule="exact"/>
      <w:ind w:firstLine="200" w:firstLineChars="200"/>
      <w:jc w:val="left"/>
    </w:pPr>
    <w:rPr>
      <w:rFonts w:ascii="Verdana" w:hAnsi="Verdana" w:eastAsia="仿宋_GB2312"/>
      <w:sz w:val="24"/>
      <w:lang w:eastAsia="en-US"/>
    </w:rPr>
  </w:style>
  <w:style w:type="paragraph" w:customStyle="1" w:styleId="1305">
    <w:name w:val="xl241"/>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1306">
    <w:name w:val="xl4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307">
    <w:name w:val="0"/>
    <w:basedOn w:val="1"/>
    <w:autoRedefine/>
    <w:qFormat/>
    <w:uiPriority w:val="0"/>
    <w:pPr>
      <w:widowControl/>
      <w:snapToGrid w:val="0"/>
      <w:spacing w:line="365" w:lineRule="atLeast"/>
      <w:ind w:left="1" w:firstLine="200" w:firstLineChars="200"/>
      <w:textAlignment w:val="bottom"/>
    </w:pPr>
    <w:rPr>
      <w:kern w:val="0"/>
      <w:sz w:val="20"/>
      <w:szCs w:val="20"/>
    </w:rPr>
  </w:style>
  <w:style w:type="paragraph" w:customStyle="1" w:styleId="1308">
    <w:name w:val="项目"/>
    <w:basedOn w:val="1"/>
    <w:autoRedefine/>
    <w:qFormat/>
    <w:uiPriority w:val="0"/>
    <w:pPr>
      <w:tabs>
        <w:tab w:val="left" w:pos="907"/>
      </w:tabs>
      <w:adjustRightInd w:val="0"/>
      <w:spacing w:line="360" w:lineRule="auto"/>
      <w:ind w:left="907" w:hanging="619" w:firstLineChars="200"/>
      <w:jc w:val="left"/>
      <w:textAlignment w:val="baseline"/>
    </w:pPr>
    <w:rPr>
      <w:rFonts w:ascii="宋体" w:hAnsi="宋体"/>
      <w:kern w:val="0"/>
      <w:sz w:val="24"/>
      <w:szCs w:val="20"/>
    </w:rPr>
  </w:style>
  <w:style w:type="paragraph" w:customStyle="1" w:styleId="1309">
    <w:name w:val="xl25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kern w:val="0"/>
      <w:sz w:val="18"/>
      <w:szCs w:val="18"/>
    </w:rPr>
  </w:style>
  <w:style w:type="paragraph" w:customStyle="1" w:styleId="1310">
    <w:name w:val="xl2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kern w:val="0"/>
      <w:sz w:val="18"/>
      <w:szCs w:val="18"/>
    </w:rPr>
  </w:style>
  <w:style w:type="character" w:customStyle="1" w:styleId="1311">
    <w:name w:val="一般文字 Char1"/>
    <w:autoRedefine/>
    <w:qFormat/>
    <w:uiPriority w:val="0"/>
    <w:rPr>
      <w:rFonts w:ascii="宋体" w:hAnsi="Plotter" w:cs="Plotter"/>
      <w:kern w:val="2"/>
      <w:sz w:val="24"/>
      <w:szCs w:val="24"/>
    </w:rPr>
  </w:style>
  <w:style w:type="paragraph" w:customStyle="1" w:styleId="1312">
    <w:name w:val="xl266"/>
    <w:basedOn w:val="1"/>
    <w:autoRedefine/>
    <w:qFormat/>
    <w:uiPriority w:val="0"/>
    <w:pPr>
      <w:widowControl/>
      <w:spacing w:before="100" w:beforeAutospacing="1" w:after="100" w:afterAutospacing="1" w:line="360" w:lineRule="auto"/>
      <w:ind w:firstLine="200" w:firstLineChars="200"/>
      <w:jc w:val="center"/>
    </w:pPr>
    <w:rPr>
      <w:rFonts w:ascii="宋体" w:hAnsi="宋体" w:cs="宋体"/>
      <w:color w:val="0000FF"/>
      <w:kern w:val="0"/>
      <w:sz w:val="18"/>
      <w:szCs w:val="18"/>
    </w:rPr>
  </w:style>
  <w:style w:type="paragraph" w:customStyle="1" w:styleId="1313">
    <w:name w:val="xl264"/>
    <w:basedOn w:val="1"/>
    <w:autoRedefine/>
    <w:qFormat/>
    <w:uiPriority w:val="0"/>
    <w:pPr>
      <w:widowControl/>
      <w:spacing w:before="100" w:beforeAutospacing="1" w:after="100" w:afterAutospacing="1" w:line="360" w:lineRule="auto"/>
      <w:ind w:firstLine="200" w:firstLineChars="200"/>
      <w:jc w:val="center"/>
    </w:pPr>
    <w:rPr>
      <w:rFonts w:ascii="宋体" w:hAnsi="宋体" w:cs="宋体"/>
      <w:kern w:val="0"/>
      <w:sz w:val="18"/>
      <w:szCs w:val="18"/>
    </w:rPr>
  </w:style>
  <w:style w:type="paragraph" w:customStyle="1" w:styleId="1314">
    <w:name w:val="xl272"/>
    <w:basedOn w:val="1"/>
    <w:autoRedefine/>
    <w:qFormat/>
    <w:uiPriority w:val="0"/>
    <w:pPr>
      <w:widowControl/>
      <w:pBdr>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kern w:val="0"/>
      <w:sz w:val="18"/>
      <w:szCs w:val="18"/>
    </w:rPr>
  </w:style>
  <w:style w:type="paragraph" w:customStyle="1" w:styleId="1315">
    <w:name w:val="!a章标题"/>
    <w:basedOn w:val="3"/>
    <w:next w:val="1"/>
    <w:autoRedefine/>
    <w:qFormat/>
    <w:uiPriority w:val="0"/>
    <w:pPr>
      <w:autoSpaceDE/>
      <w:autoSpaceDN/>
      <w:adjustRightInd/>
      <w:spacing w:before="0" w:after="0" w:line="240" w:lineRule="auto"/>
      <w:ind w:left="-32767" w:firstLine="32767"/>
      <w:jc w:val="left"/>
    </w:pPr>
    <w:rPr>
      <w:rFonts w:hAnsi="宋体"/>
      <w:kern w:val="32"/>
      <w:szCs w:val="32"/>
    </w:rPr>
  </w:style>
  <w:style w:type="paragraph" w:customStyle="1" w:styleId="1316">
    <w:name w:val="文档正文 Char"/>
    <w:basedOn w:val="1"/>
    <w:autoRedefine/>
    <w:qFormat/>
    <w:uiPriority w:val="0"/>
    <w:pPr>
      <w:adjustRightInd w:val="0"/>
      <w:spacing w:line="500" w:lineRule="exact"/>
      <w:ind w:firstLine="567" w:firstLineChars="200"/>
      <w:textAlignment w:val="baseline"/>
    </w:pPr>
    <w:rPr>
      <w:rFonts w:ascii="仿宋_GB2312" w:eastAsia="仿宋_GB2312"/>
      <w:sz w:val="28"/>
    </w:rPr>
  </w:style>
  <w:style w:type="paragraph" w:customStyle="1" w:styleId="1317">
    <w:name w:val="xl27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kern w:val="0"/>
      <w:sz w:val="18"/>
      <w:szCs w:val="18"/>
    </w:rPr>
  </w:style>
  <w:style w:type="paragraph" w:customStyle="1" w:styleId="1318">
    <w:name w:val="xl26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left"/>
    </w:pPr>
    <w:rPr>
      <w:rFonts w:ascii="宋体" w:hAnsi="宋体" w:cs="宋体"/>
      <w:b/>
      <w:bCs/>
      <w:color w:val="000000"/>
      <w:kern w:val="0"/>
      <w:sz w:val="18"/>
      <w:szCs w:val="18"/>
    </w:rPr>
  </w:style>
  <w:style w:type="paragraph" w:customStyle="1" w:styleId="1319">
    <w:name w:val="xl257"/>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color w:val="000000"/>
      <w:kern w:val="0"/>
      <w:sz w:val="18"/>
      <w:szCs w:val="18"/>
    </w:rPr>
  </w:style>
  <w:style w:type="paragraph" w:customStyle="1" w:styleId="1320">
    <w:name w:val="带符号正文加粗"/>
    <w:basedOn w:val="1"/>
    <w:autoRedefine/>
    <w:qFormat/>
    <w:uiPriority w:val="0"/>
    <w:pPr>
      <w:tabs>
        <w:tab w:val="left" w:pos="620"/>
      </w:tabs>
      <w:spacing w:before="120" w:after="120" w:line="360" w:lineRule="auto"/>
      <w:ind w:left="620" w:hanging="420" w:firstLineChars="200"/>
    </w:pPr>
    <w:rPr>
      <w:b/>
      <w:bCs/>
      <w:sz w:val="24"/>
    </w:rPr>
  </w:style>
  <w:style w:type="paragraph" w:customStyle="1" w:styleId="1321">
    <w:name w:val="参编人员"/>
    <w:basedOn w:val="1"/>
    <w:autoRedefine/>
    <w:qFormat/>
    <w:uiPriority w:val="0"/>
    <w:pPr>
      <w:spacing w:before="312" w:after="312" w:line="480" w:lineRule="auto"/>
      <w:ind w:firstLine="200" w:firstLineChars="200"/>
      <w:jc w:val="center"/>
    </w:pPr>
    <w:rPr>
      <w:rFonts w:ascii="Arial Black" w:hAnsi="宋体" w:cs="宋体"/>
      <w:b/>
      <w:bCs/>
      <w:sz w:val="44"/>
      <w:szCs w:val="20"/>
    </w:rPr>
  </w:style>
  <w:style w:type="paragraph" w:customStyle="1" w:styleId="1322">
    <w:name w:val="!BECC正文"/>
    <w:basedOn w:val="1"/>
    <w:autoRedefine/>
    <w:qFormat/>
    <w:uiPriority w:val="0"/>
    <w:pPr>
      <w:tabs>
        <w:tab w:val="left" w:pos="0"/>
      </w:tabs>
      <w:spacing w:beforeLines="50" w:afterLines="50" w:line="360" w:lineRule="auto"/>
      <w:ind w:firstLine="200" w:firstLineChars="200"/>
    </w:pPr>
    <w:rPr>
      <w:sz w:val="24"/>
    </w:rPr>
  </w:style>
  <w:style w:type="paragraph" w:customStyle="1" w:styleId="1323">
    <w:name w:val="xl2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000000"/>
      <w:kern w:val="0"/>
      <w:sz w:val="18"/>
      <w:szCs w:val="18"/>
    </w:rPr>
  </w:style>
  <w:style w:type="paragraph" w:customStyle="1" w:styleId="1324">
    <w:name w:val="!封面小标题"/>
    <w:autoRedefine/>
    <w:qFormat/>
    <w:uiPriority w:val="0"/>
    <w:pPr>
      <w:spacing w:before="156" w:after="156"/>
      <w:jc w:val="center"/>
    </w:pPr>
    <w:rPr>
      <w:rFonts w:ascii="Times New Roman" w:hAnsi="Times New Roman" w:eastAsia="黑体" w:cs="Times New Roman"/>
      <w:kern w:val="2"/>
      <w:sz w:val="36"/>
      <w:szCs w:val="36"/>
      <w:lang w:val="en-US" w:eastAsia="zh-CN" w:bidi="ar-SA"/>
    </w:rPr>
  </w:style>
  <w:style w:type="paragraph" w:customStyle="1" w:styleId="1325">
    <w:name w:val="xl26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color w:val="000000"/>
      <w:kern w:val="0"/>
      <w:sz w:val="18"/>
      <w:szCs w:val="18"/>
    </w:rPr>
  </w:style>
  <w:style w:type="paragraph" w:customStyle="1" w:styleId="1326">
    <w:name w:val="xl4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000000"/>
      <w:kern w:val="0"/>
      <w:sz w:val="20"/>
      <w:szCs w:val="20"/>
    </w:rPr>
  </w:style>
  <w:style w:type="paragraph" w:customStyle="1" w:styleId="1327">
    <w:name w:val="Highlight"/>
    <w:basedOn w:val="1"/>
    <w:autoRedefine/>
    <w:qFormat/>
    <w:uiPriority w:val="0"/>
    <w:pPr>
      <w:widowControl/>
      <w:spacing w:before="240" w:after="120" w:line="288" w:lineRule="auto"/>
      <w:ind w:firstLine="454" w:firstLineChars="200"/>
      <w:jc w:val="left"/>
    </w:pPr>
    <w:rPr>
      <w:b/>
      <w:kern w:val="0"/>
      <w:sz w:val="24"/>
      <w:u w:val="single"/>
    </w:rPr>
  </w:style>
  <w:style w:type="paragraph" w:customStyle="1" w:styleId="1328">
    <w:name w:val="q5"/>
    <w:basedOn w:val="9"/>
    <w:autoRedefine/>
    <w:qFormat/>
    <w:uiPriority w:val="0"/>
    <w:pPr>
      <w:keepNext w:val="0"/>
      <w:keepLines w:val="0"/>
      <w:tabs>
        <w:tab w:val="left" w:pos="0"/>
      </w:tabs>
      <w:adjustRightInd/>
      <w:snapToGrid w:val="0"/>
      <w:spacing w:beforeLines="50" w:afterLines="50" w:line="360" w:lineRule="auto"/>
      <w:ind w:firstLine="200" w:firstLineChars="200"/>
      <w:jc w:val="left"/>
      <w:textAlignment w:val="auto"/>
    </w:pPr>
    <w:rPr>
      <w:bCs/>
      <w:kern w:val="2"/>
      <w:sz w:val="24"/>
      <w:szCs w:val="24"/>
    </w:rPr>
  </w:style>
  <w:style w:type="paragraph" w:customStyle="1" w:styleId="1329">
    <w:name w:val="项目下文字"/>
    <w:basedOn w:val="1308"/>
    <w:autoRedefine/>
    <w:qFormat/>
    <w:uiPriority w:val="0"/>
    <w:pPr>
      <w:tabs>
        <w:tab w:val="left" w:pos="840"/>
        <w:tab w:val="clear" w:pos="907"/>
      </w:tabs>
      <w:ind w:left="840" w:hanging="360"/>
    </w:pPr>
  </w:style>
  <w:style w:type="paragraph" w:customStyle="1" w:styleId="1330">
    <w:name w:val="xl25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color w:val="000000"/>
      <w:kern w:val="0"/>
      <w:sz w:val="18"/>
      <w:szCs w:val="18"/>
    </w:rPr>
  </w:style>
  <w:style w:type="paragraph" w:customStyle="1" w:styleId="1331">
    <w:name w:val="q3"/>
    <w:basedOn w:val="5"/>
    <w:autoRedefine/>
    <w:qFormat/>
    <w:uiPriority w:val="0"/>
    <w:pPr>
      <w:tabs>
        <w:tab w:val="left" w:pos="0"/>
      </w:tabs>
      <w:autoSpaceDE/>
      <w:autoSpaceDN/>
      <w:adjustRightInd/>
      <w:snapToGrid w:val="0"/>
      <w:spacing w:before="0" w:beforeLines="50" w:after="0" w:afterLines="50" w:line="360" w:lineRule="auto"/>
      <w:jc w:val="both"/>
    </w:pPr>
    <w:rPr>
      <w:rFonts w:hAnsi="宋体"/>
      <w:bCs/>
      <w:kern w:val="2"/>
      <w:sz w:val="28"/>
      <w:szCs w:val="28"/>
      <w:u w:val="none"/>
    </w:rPr>
  </w:style>
  <w:style w:type="paragraph" w:customStyle="1" w:styleId="1332">
    <w:name w:val="普通正文"/>
    <w:basedOn w:val="1"/>
    <w:link w:val="1333"/>
    <w:autoRedefine/>
    <w:qFormat/>
    <w:uiPriority w:val="0"/>
    <w:pPr>
      <w:adjustRightInd w:val="0"/>
      <w:spacing w:before="120" w:after="120" w:line="360" w:lineRule="auto"/>
      <w:ind w:firstLine="480" w:firstLineChars="200"/>
      <w:jc w:val="left"/>
      <w:textAlignment w:val="baseline"/>
    </w:pPr>
    <w:rPr>
      <w:rFonts w:ascii="Arial" w:hAnsi="Arial"/>
      <w:kern w:val="0"/>
      <w:sz w:val="24"/>
    </w:rPr>
  </w:style>
  <w:style w:type="character" w:customStyle="1" w:styleId="1333">
    <w:name w:val="普通正文 Char"/>
    <w:link w:val="1332"/>
    <w:autoRedefine/>
    <w:qFormat/>
    <w:locked/>
    <w:uiPriority w:val="0"/>
    <w:rPr>
      <w:rFonts w:ascii="Arial" w:hAnsi="Arial"/>
      <w:sz w:val="24"/>
      <w:szCs w:val="24"/>
    </w:rPr>
  </w:style>
  <w:style w:type="paragraph" w:customStyle="1" w:styleId="1334">
    <w:name w:val="ddddd"/>
    <w:basedOn w:val="1"/>
    <w:autoRedefine/>
    <w:qFormat/>
    <w:uiPriority w:val="0"/>
    <w:pPr>
      <w:pageBreakBefore/>
      <w:spacing w:line="360" w:lineRule="auto"/>
      <w:ind w:firstLine="200" w:firstLineChars="200"/>
    </w:pPr>
    <w:rPr>
      <w:rFonts w:ascii="Tahoma" w:hAnsi="Tahoma"/>
      <w:sz w:val="24"/>
      <w:szCs w:val="20"/>
    </w:rPr>
  </w:style>
  <w:style w:type="paragraph" w:customStyle="1" w:styleId="1335">
    <w:name w:val="HD正文1"/>
    <w:basedOn w:val="1"/>
    <w:autoRedefine/>
    <w:qFormat/>
    <w:uiPriority w:val="0"/>
    <w:pPr>
      <w:spacing w:line="440" w:lineRule="atLeast"/>
      <w:ind w:firstLine="540" w:firstLineChars="200"/>
    </w:pPr>
    <w:rPr>
      <w:sz w:val="24"/>
    </w:rPr>
  </w:style>
  <w:style w:type="paragraph" w:customStyle="1" w:styleId="1336">
    <w:name w:val="带符号正文"/>
    <w:basedOn w:val="1"/>
    <w:autoRedefine/>
    <w:qFormat/>
    <w:uiPriority w:val="0"/>
    <w:pPr>
      <w:tabs>
        <w:tab w:val="left" w:pos="840"/>
      </w:tabs>
      <w:spacing w:before="120" w:after="120" w:line="360" w:lineRule="auto"/>
      <w:ind w:left="840" w:hanging="420" w:firstLineChars="200"/>
    </w:pPr>
    <w:rPr>
      <w:rFonts w:ascii="宋体" w:hAnsi="宋体"/>
      <w:bCs/>
      <w:sz w:val="24"/>
    </w:rPr>
  </w:style>
  <w:style w:type="paragraph" w:customStyle="1" w:styleId="1337">
    <w:name w:val="xl4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338">
    <w:name w:val="表身"/>
    <w:autoRedefine/>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1339">
    <w:name w:val="样式 正文（首行缩进两字） + 首行缩进:  2 字符"/>
    <w:basedOn w:val="6"/>
    <w:autoRedefine/>
    <w:qFormat/>
    <w:uiPriority w:val="0"/>
    <w:pPr>
      <w:tabs>
        <w:tab w:val="left" w:pos="2730"/>
      </w:tabs>
      <w:autoSpaceDE/>
      <w:autoSpaceDN/>
      <w:adjustRightInd/>
      <w:spacing w:line="360" w:lineRule="auto"/>
      <w:ind w:firstLine="480" w:firstLineChars="200"/>
      <w:jc w:val="both"/>
    </w:pPr>
    <w:rPr>
      <w:rFonts w:ascii="Times New Roman"/>
      <w:bCs/>
      <w:szCs w:val="20"/>
    </w:rPr>
  </w:style>
  <w:style w:type="paragraph" w:customStyle="1" w:styleId="1340">
    <w:name w:val="表格内容1"/>
    <w:basedOn w:val="1"/>
    <w:autoRedefine/>
    <w:qFormat/>
    <w:uiPriority w:val="0"/>
    <w:pPr>
      <w:spacing w:line="360" w:lineRule="auto"/>
      <w:ind w:firstLine="200" w:firstLineChars="200"/>
    </w:pPr>
    <w:rPr>
      <w:rFonts w:ascii="宋体"/>
      <w:sz w:val="24"/>
      <w:szCs w:val="20"/>
    </w:rPr>
  </w:style>
  <w:style w:type="paragraph" w:customStyle="1" w:styleId="1341">
    <w:name w:val="xl4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color w:val="000000"/>
      <w:kern w:val="0"/>
      <w:sz w:val="20"/>
      <w:szCs w:val="20"/>
    </w:rPr>
  </w:style>
  <w:style w:type="paragraph" w:customStyle="1" w:styleId="1342">
    <w:name w:val="技术文档正文"/>
    <w:basedOn w:val="25"/>
    <w:autoRedefine/>
    <w:qFormat/>
    <w:uiPriority w:val="0"/>
    <w:pPr>
      <w:spacing w:line="360" w:lineRule="auto"/>
      <w:ind w:firstLine="200" w:firstLineChars="200"/>
    </w:pPr>
    <w:rPr>
      <w:rFonts w:ascii="Tahoma" w:hAnsi="Tahoma"/>
      <w:kern w:val="0"/>
      <w:sz w:val="24"/>
    </w:rPr>
  </w:style>
  <w:style w:type="paragraph" w:customStyle="1" w:styleId="1343">
    <w:name w:val="xl40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1344">
    <w:name w:val="xl42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000000"/>
      <w:kern w:val="0"/>
      <w:sz w:val="20"/>
      <w:szCs w:val="20"/>
    </w:rPr>
  </w:style>
  <w:style w:type="paragraph" w:customStyle="1" w:styleId="1345">
    <w:name w:val="Char Char1 Char Char2 Char Char"/>
    <w:basedOn w:val="1"/>
    <w:autoRedefine/>
    <w:qFormat/>
    <w:uiPriority w:val="0"/>
    <w:pPr>
      <w:widowControl/>
      <w:spacing w:after="160" w:line="240" w:lineRule="exact"/>
      <w:ind w:firstLine="200" w:firstLineChars="200"/>
      <w:jc w:val="left"/>
    </w:pPr>
    <w:rPr>
      <w:rFonts w:ascii="Verdana" w:hAnsi="Verdana"/>
      <w:kern w:val="0"/>
      <w:sz w:val="20"/>
      <w:szCs w:val="20"/>
      <w:lang w:eastAsia="en-US"/>
    </w:rPr>
  </w:style>
  <w:style w:type="paragraph" w:customStyle="1" w:styleId="1346">
    <w:name w:val="样式 列表 5 + 左侧:  8 字符 悬挂缩进: 2 字符"/>
    <w:basedOn w:val="66"/>
    <w:autoRedefine/>
    <w:qFormat/>
    <w:uiPriority w:val="0"/>
    <w:pPr>
      <w:ind w:left="0" w:leftChars="0" w:firstLine="0" w:firstLineChars="0"/>
      <w:jc w:val="center"/>
    </w:pPr>
    <w:rPr>
      <w:rFonts w:cs="宋体"/>
      <w:sz w:val="24"/>
      <w:szCs w:val="20"/>
    </w:rPr>
  </w:style>
  <w:style w:type="paragraph" w:customStyle="1" w:styleId="1347">
    <w:name w:val="xl270"/>
    <w:basedOn w:val="1"/>
    <w:autoRedefine/>
    <w:qFormat/>
    <w:uiPriority w:val="0"/>
    <w:pPr>
      <w:widowControl/>
      <w:pBdr>
        <w:bottom w:val="single" w:color="auto" w:sz="4" w:space="0"/>
      </w:pBdr>
      <w:spacing w:before="100" w:beforeAutospacing="1" w:after="100" w:afterAutospacing="1" w:line="360" w:lineRule="auto"/>
      <w:ind w:firstLine="200" w:firstLineChars="200"/>
      <w:jc w:val="center"/>
    </w:pPr>
    <w:rPr>
      <w:rFonts w:ascii="宋体" w:hAnsi="宋体" w:cs="宋体"/>
      <w:b/>
      <w:bCs/>
      <w:kern w:val="0"/>
      <w:sz w:val="24"/>
    </w:rPr>
  </w:style>
  <w:style w:type="paragraph" w:customStyle="1" w:styleId="1348">
    <w:name w:val="样式 标题 3Level 3 HeadH3Heading 3 - oldh3sect1.2.3Head33l3..."/>
    <w:basedOn w:val="5"/>
    <w:autoRedefine/>
    <w:qFormat/>
    <w:uiPriority w:val="0"/>
    <w:pPr>
      <w:tabs>
        <w:tab w:val="left" w:pos="0"/>
      </w:tabs>
      <w:autoSpaceDE/>
      <w:autoSpaceDN/>
      <w:adjustRightInd/>
      <w:snapToGrid w:val="0"/>
      <w:spacing w:before="0" w:beforeLines="50" w:after="0" w:afterLines="50" w:line="360" w:lineRule="auto"/>
      <w:jc w:val="both"/>
    </w:pPr>
    <w:rPr>
      <w:rFonts w:ascii="Arial" w:hAnsi="Arial" w:cs="宋体"/>
      <w:bCs/>
      <w:kern w:val="2"/>
      <w:sz w:val="30"/>
      <w:szCs w:val="30"/>
      <w:u w:val="none"/>
    </w:rPr>
  </w:style>
  <w:style w:type="paragraph" w:customStyle="1" w:styleId="1349">
    <w:name w:val="正文加粗"/>
    <w:basedOn w:val="81"/>
    <w:autoRedefine/>
    <w:qFormat/>
    <w:uiPriority w:val="0"/>
    <w:pPr>
      <w:tabs>
        <w:tab w:val="clear" w:pos="567"/>
      </w:tabs>
      <w:spacing w:after="120" w:line="360" w:lineRule="auto"/>
      <w:ind w:firstLine="482" w:firstLineChars="200"/>
    </w:pPr>
    <w:rPr>
      <w:rFonts w:ascii="Times New Roman" w:hAnsi="Times New Roman"/>
      <w:b/>
      <w:sz w:val="21"/>
    </w:rPr>
  </w:style>
  <w:style w:type="paragraph" w:customStyle="1" w:styleId="1350">
    <w:name w:val="xl24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1351">
    <w:name w:val="样式 首行缩进:  0.74 厘米"/>
    <w:basedOn w:val="1"/>
    <w:autoRedefine/>
    <w:qFormat/>
    <w:uiPriority w:val="0"/>
    <w:pPr>
      <w:spacing w:line="360" w:lineRule="auto"/>
      <w:ind w:firstLine="420" w:firstLineChars="200"/>
    </w:pPr>
    <w:rPr>
      <w:bCs/>
      <w:sz w:val="24"/>
      <w:szCs w:val="20"/>
    </w:rPr>
  </w:style>
  <w:style w:type="paragraph" w:customStyle="1" w:styleId="1352">
    <w:name w:val="符号正文"/>
    <w:basedOn w:val="1"/>
    <w:autoRedefine/>
    <w:qFormat/>
    <w:uiPriority w:val="0"/>
    <w:pPr>
      <w:tabs>
        <w:tab w:val="left" w:pos="2730"/>
      </w:tabs>
      <w:spacing w:line="360" w:lineRule="auto"/>
      <w:ind w:firstLine="200" w:firstLineChars="200"/>
    </w:pPr>
    <w:rPr>
      <w:bCs/>
      <w:sz w:val="24"/>
      <w:szCs w:val="21"/>
    </w:rPr>
  </w:style>
  <w:style w:type="paragraph" w:customStyle="1" w:styleId="1353">
    <w:name w:val="xl41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line="360" w:lineRule="auto"/>
      <w:ind w:firstLine="200" w:firstLineChars="200"/>
      <w:jc w:val="left"/>
    </w:pPr>
    <w:rPr>
      <w:rFonts w:ascii="宋体" w:hAnsi="宋体" w:cs="宋体"/>
      <w:b/>
      <w:bCs/>
      <w:color w:val="000000"/>
      <w:kern w:val="0"/>
      <w:sz w:val="20"/>
      <w:szCs w:val="20"/>
    </w:rPr>
  </w:style>
  <w:style w:type="paragraph" w:customStyle="1" w:styleId="1354">
    <w:name w:val="表文"/>
    <w:basedOn w:val="6"/>
    <w:autoRedefine/>
    <w:qFormat/>
    <w:uiPriority w:val="0"/>
    <w:pPr>
      <w:autoSpaceDE/>
      <w:autoSpaceDN/>
      <w:snapToGrid w:val="0"/>
      <w:spacing w:line="360" w:lineRule="auto"/>
      <w:ind w:firstLine="0" w:firstLineChars="200"/>
      <w:jc w:val="both"/>
    </w:pPr>
    <w:rPr>
      <w:rFonts w:ascii="Tahoma" w:hAnsi="Tahoma"/>
    </w:rPr>
  </w:style>
  <w:style w:type="paragraph" w:customStyle="1" w:styleId="1355">
    <w:name w:val="!封面大标题（小初黑）"/>
    <w:next w:val="1324"/>
    <w:autoRedefine/>
    <w:qFormat/>
    <w:uiPriority w:val="0"/>
    <w:pPr>
      <w:jc w:val="center"/>
    </w:pPr>
    <w:rPr>
      <w:rFonts w:ascii="Times New Roman" w:hAnsi="Times New Roman" w:eastAsia="黑体" w:cs="Times New Roman"/>
      <w:kern w:val="2"/>
      <w:sz w:val="72"/>
      <w:szCs w:val="72"/>
      <w:lang w:val="en-US" w:eastAsia="zh-CN" w:bidi="ar-SA"/>
    </w:rPr>
  </w:style>
  <w:style w:type="paragraph" w:customStyle="1" w:styleId="1356">
    <w:name w:val="xl2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kern w:val="0"/>
      <w:sz w:val="18"/>
      <w:szCs w:val="18"/>
    </w:rPr>
  </w:style>
  <w:style w:type="paragraph" w:customStyle="1" w:styleId="1357">
    <w:name w:val="图编号"/>
    <w:basedOn w:val="1"/>
    <w:next w:val="1"/>
    <w:autoRedefine/>
    <w:qFormat/>
    <w:uiPriority w:val="0"/>
    <w:pPr>
      <w:spacing w:line="360" w:lineRule="auto"/>
      <w:ind w:left="420"/>
      <w:jc w:val="center"/>
    </w:pPr>
    <w:rPr>
      <w:b/>
    </w:rPr>
  </w:style>
  <w:style w:type="paragraph" w:customStyle="1" w:styleId="1358">
    <w:name w:val="q6"/>
    <w:basedOn w:val="10"/>
    <w:autoRedefine/>
    <w:qFormat/>
    <w:uiPriority w:val="0"/>
    <w:pPr>
      <w:tabs>
        <w:tab w:val="left" w:pos="0"/>
      </w:tabs>
      <w:adjustRightInd/>
      <w:spacing w:before="0" w:after="0" w:line="360" w:lineRule="auto"/>
      <w:ind w:left="1152" w:hanging="1152"/>
      <w:jc w:val="left"/>
      <w:textAlignment w:val="auto"/>
    </w:pPr>
    <w:rPr>
      <w:rFonts w:ascii="黑体" w:hAnsi="黑体"/>
      <w:bCs/>
      <w:kern w:val="2"/>
      <w:sz w:val="21"/>
      <w:szCs w:val="21"/>
    </w:rPr>
  </w:style>
  <w:style w:type="paragraph" w:customStyle="1" w:styleId="1359">
    <w:name w:val="my 标题 4(一)1."/>
    <w:basedOn w:val="1"/>
    <w:autoRedefine/>
    <w:qFormat/>
    <w:uiPriority w:val="0"/>
    <w:pPr>
      <w:tabs>
        <w:tab w:val="left" w:pos="420"/>
      </w:tabs>
      <w:spacing w:line="360" w:lineRule="auto"/>
      <w:ind w:left="420" w:hanging="420" w:firstLineChars="200"/>
    </w:pPr>
    <w:rPr>
      <w:sz w:val="24"/>
    </w:rPr>
  </w:style>
  <w:style w:type="paragraph" w:customStyle="1" w:styleId="1360">
    <w:name w:val="样式 正文缩进 + 首行缩进:  2 字符"/>
    <w:basedOn w:val="6"/>
    <w:autoRedefine/>
    <w:qFormat/>
    <w:uiPriority w:val="0"/>
    <w:pPr>
      <w:autoSpaceDE/>
      <w:autoSpaceDN/>
      <w:adjustRightInd/>
      <w:spacing w:before="160" w:after="160" w:line="360" w:lineRule="auto"/>
      <w:ind w:firstLine="480" w:firstLineChars="200"/>
      <w:jc w:val="both"/>
    </w:pPr>
    <w:rPr>
      <w:rFonts w:hAnsi="宋体"/>
    </w:rPr>
  </w:style>
  <w:style w:type="paragraph" w:customStyle="1" w:styleId="1361">
    <w:name w:val="newtext"/>
    <w:basedOn w:val="1"/>
    <w:autoRedefine/>
    <w:qFormat/>
    <w:uiPriority w:val="0"/>
    <w:pPr>
      <w:widowControl/>
      <w:spacing w:before="100" w:beforeAutospacing="1" w:after="100" w:afterAutospacing="1" w:line="360" w:lineRule="atLeast"/>
      <w:ind w:firstLine="200" w:firstLineChars="200"/>
      <w:jc w:val="left"/>
    </w:pPr>
    <w:rPr>
      <w:rFonts w:ascii="宋体" w:hAnsi="宋体" w:cs="宋体"/>
      <w:kern w:val="0"/>
      <w:sz w:val="24"/>
      <w:szCs w:val="21"/>
    </w:rPr>
  </w:style>
  <w:style w:type="paragraph" w:customStyle="1" w:styleId="1362">
    <w:name w:val="xl2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color w:val="000000"/>
      <w:kern w:val="0"/>
      <w:sz w:val="18"/>
      <w:szCs w:val="18"/>
    </w:rPr>
  </w:style>
  <w:style w:type="paragraph" w:customStyle="1" w:styleId="1363">
    <w:name w:val="我的标题2"/>
    <w:basedOn w:val="1"/>
    <w:next w:val="1"/>
    <w:autoRedefine/>
    <w:qFormat/>
    <w:uiPriority w:val="0"/>
    <w:pPr>
      <w:widowControl/>
      <w:spacing w:line="300" w:lineRule="auto"/>
      <w:ind w:firstLine="200" w:firstLineChars="200"/>
      <w:jc w:val="left"/>
    </w:pPr>
    <w:rPr>
      <w:rFonts w:ascii="宋体" w:hAnsi="宋体"/>
      <w:b/>
      <w:bCs/>
      <w:spacing w:val="6"/>
      <w:sz w:val="24"/>
      <w:szCs w:val="20"/>
    </w:rPr>
  </w:style>
  <w:style w:type="paragraph" w:customStyle="1" w:styleId="1364">
    <w:name w:val="title1"/>
    <w:basedOn w:val="1"/>
    <w:autoRedefine/>
    <w:qFormat/>
    <w:uiPriority w:val="0"/>
    <w:pPr>
      <w:widowControl/>
      <w:spacing w:before="100" w:beforeAutospacing="1" w:after="100" w:afterAutospacing="1" w:line="360" w:lineRule="auto"/>
      <w:ind w:firstLine="200" w:firstLineChars="200"/>
      <w:jc w:val="left"/>
    </w:pPr>
    <w:rPr>
      <w:rFonts w:ascii="宋体" w:hAnsi="宋体"/>
      <w:kern w:val="0"/>
      <w:sz w:val="24"/>
    </w:rPr>
  </w:style>
  <w:style w:type="paragraph" w:customStyle="1" w:styleId="1365">
    <w:name w:val="Char Char Char1 Char Char1 Char Char Char"/>
    <w:basedOn w:val="1"/>
    <w:autoRedefine/>
    <w:qFormat/>
    <w:uiPriority w:val="0"/>
    <w:pPr>
      <w:spacing w:line="360" w:lineRule="auto"/>
      <w:ind w:firstLine="200" w:firstLineChars="200"/>
    </w:pPr>
    <w:rPr>
      <w:rFonts w:ascii="Tahoma" w:hAnsi="Tahoma"/>
      <w:sz w:val="24"/>
      <w:szCs w:val="20"/>
    </w:rPr>
  </w:style>
  <w:style w:type="paragraph" w:customStyle="1" w:styleId="1366">
    <w:name w:val="h10"/>
    <w:basedOn w:val="9"/>
    <w:autoRedefine/>
    <w:qFormat/>
    <w:uiPriority w:val="0"/>
    <w:pPr>
      <w:keepNext w:val="0"/>
      <w:keepLines w:val="0"/>
      <w:tabs>
        <w:tab w:val="left" w:pos="907"/>
        <w:tab w:val="left" w:pos="1704"/>
      </w:tabs>
      <w:adjustRightInd/>
      <w:snapToGrid w:val="0"/>
      <w:spacing w:beforeLines="50" w:afterLines="50" w:line="360" w:lineRule="auto"/>
      <w:ind w:left="907" w:hanging="619" w:firstLineChars="200"/>
      <w:jc w:val="left"/>
      <w:textAlignment w:val="auto"/>
    </w:pPr>
    <w:rPr>
      <w:bCs/>
      <w:kern w:val="2"/>
      <w:sz w:val="24"/>
      <w:szCs w:val="24"/>
    </w:rPr>
  </w:style>
  <w:style w:type="paragraph" w:customStyle="1" w:styleId="1367">
    <w:name w:val="wmcz"/>
    <w:basedOn w:val="1"/>
    <w:autoRedefine/>
    <w:qFormat/>
    <w:uiPriority w:val="0"/>
    <w:pPr>
      <w:widowControl/>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368">
    <w:name w:val="xl26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left"/>
    </w:pPr>
    <w:rPr>
      <w:rFonts w:ascii="宋体" w:hAnsi="宋体" w:cs="宋体"/>
      <w:b/>
      <w:bCs/>
      <w:kern w:val="0"/>
      <w:sz w:val="18"/>
      <w:szCs w:val="18"/>
    </w:rPr>
  </w:style>
  <w:style w:type="paragraph" w:customStyle="1" w:styleId="1369">
    <w:name w:val="xl4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370">
    <w:name w:val="样式 样式 样式 标题 2H2标题 2 CharUnderrubrik1prop2sect 1.2DO NOT USE_h2c....1"/>
    <w:basedOn w:val="1"/>
    <w:autoRedefine/>
    <w:qFormat/>
    <w:uiPriority w:val="0"/>
    <w:pPr>
      <w:keepNext/>
      <w:keepLines/>
      <w:spacing w:before="156" w:afterLines="100" w:line="360" w:lineRule="auto"/>
      <w:ind w:left="4140" w:firstLine="200" w:firstLineChars="200"/>
      <w:jc w:val="center"/>
      <w:outlineLvl w:val="1"/>
    </w:pPr>
    <w:rPr>
      <w:rFonts w:ascii="Arial" w:hAnsi="Arial" w:cs="宋体"/>
      <w:b/>
      <w:bCs/>
      <w:sz w:val="36"/>
      <w:szCs w:val="20"/>
    </w:rPr>
  </w:style>
  <w:style w:type="paragraph" w:customStyle="1" w:styleId="1371">
    <w:name w:val="xl4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pPr>
    <w:rPr>
      <w:rFonts w:ascii="宋体" w:hAnsi="宋体" w:cs="宋体"/>
      <w:kern w:val="0"/>
      <w:sz w:val="20"/>
      <w:szCs w:val="20"/>
    </w:rPr>
  </w:style>
  <w:style w:type="paragraph" w:customStyle="1" w:styleId="1372">
    <w:name w:val="title2"/>
    <w:basedOn w:val="1"/>
    <w:autoRedefine/>
    <w:qFormat/>
    <w:uiPriority w:val="0"/>
    <w:pPr>
      <w:widowControl/>
      <w:spacing w:before="100" w:beforeAutospacing="1" w:after="100" w:afterAutospacing="1" w:line="360" w:lineRule="auto"/>
      <w:ind w:firstLine="200" w:firstLineChars="200"/>
      <w:jc w:val="left"/>
    </w:pPr>
    <w:rPr>
      <w:rFonts w:ascii="宋体" w:hAnsi="宋体"/>
      <w:kern w:val="0"/>
      <w:sz w:val="24"/>
    </w:rPr>
  </w:style>
  <w:style w:type="paragraph" w:customStyle="1" w:styleId="1373">
    <w:name w:val="q4"/>
    <w:basedOn w:val="8"/>
    <w:autoRedefine/>
    <w:qFormat/>
    <w:uiPriority w:val="0"/>
    <w:pPr>
      <w:tabs>
        <w:tab w:val="left" w:pos="0"/>
      </w:tabs>
      <w:adjustRightInd/>
      <w:spacing w:before="0" w:beforeLines="50" w:after="163" w:line="360" w:lineRule="auto"/>
      <w:ind w:left="810"/>
      <w:textAlignment w:val="auto"/>
    </w:pPr>
    <w:rPr>
      <w:rFonts w:ascii="宋体" w:hAnsi="宋体" w:eastAsia="宋体"/>
      <w:b w:val="0"/>
      <w:bCs/>
      <w:color w:val="365F91"/>
      <w:kern w:val="2"/>
      <w:szCs w:val="24"/>
    </w:rPr>
  </w:style>
  <w:style w:type="paragraph" w:customStyle="1" w:styleId="1374">
    <w:name w:val="xl23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360" w:lineRule="auto"/>
      <w:ind w:firstLine="200" w:firstLineChars="200"/>
      <w:jc w:val="left"/>
    </w:pPr>
    <w:rPr>
      <w:rFonts w:ascii="宋体" w:hAnsi="宋体" w:cs="宋体"/>
      <w:b/>
      <w:bCs/>
      <w:kern w:val="0"/>
      <w:sz w:val="18"/>
      <w:szCs w:val="18"/>
    </w:rPr>
  </w:style>
  <w:style w:type="paragraph" w:customStyle="1" w:styleId="1375">
    <w:name w:val="a3"/>
    <w:basedOn w:val="5"/>
    <w:autoRedefine/>
    <w:qFormat/>
    <w:uiPriority w:val="0"/>
    <w:pPr>
      <w:tabs>
        <w:tab w:val="left" w:pos="0"/>
      </w:tabs>
      <w:autoSpaceDE/>
      <w:autoSpaceDN/>
      <w:adjustRightInd/>
      <w:snapToGrid w:val="0"/>
      <w:spacing w:before="0" w:beforeLines="50" w:after="0" w:afterLines="50" w:line="360" w:lineRule="auto"/>
      <w:ind w:left="425" w:hanging="425"/>
      <w:jc w:val="both"/>
    </w:pPr>
    <w:rPr>
      <w:rFonts w:ascii="Calibri" w:hAnsi="Calibri"/>
      <w:b w:val="0"/>
      <w:bCs/>
      <w:kern w:val="2"/>
      <w:sz w:val="28"/>
      <w:szCs w:val="28"/>
      <w:u w:val="none"/>
    </w:rPr>
  </w:style>
  <w:style w:type="paragraph" w:customStyle="1" w:styleId="1376">
    <w:name w:val="xl4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20"/>
      <w:szCs w:val="20"/>
    </w:rPr>
  </w:style>
  <w:style w:type="paragraph" w:customStyle="1" w:styleId="1377">
    <w:name w:val="样式 左侧:  2 字符"/>
    <w:basedOn w:val="1"/>
    <w:autoRedefine/>
    <w:qFormat/>
    <w:uiPriority w:val="0"/>
    <w:pPr>
      <w:tabs>
        <w:tab w:val="left" w:pos="0"/>
      </w:tabs>
      <w:spacing w:line="360" w:lineRule="auto"/>
      <w:ind w:left="900"/>
      <w:jc w:val="left"/>
    </w:pPr>
    <w:rPr>
      <w:rFonts w:ascii="宋体"/>
      <w:b/>
      <w:sz w:val="24"/>
    </w:rPr>
  </w:style>
  <w:style w:type="paragraph" w:customStyle="1" w:styleId="1378">
    <w:name w:val="xl41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line="360" w:lineRule="auto"/>
      <w:ind w:firstLine="200" w:firstLineChars="200"/>
      <w:jc w:val="left"/>
    </w:pPr>
    <w:rPr>
      <w:rFonts w:ascii="宋体" w:hAnsi="宋体" w:cs="宋体"/>
      <w:b/>
      <w:bCs/>
      <w:color w:val="000000"/>
      <w:kern w:val="0"/>
      <w:sz w:val="20"/>
      <w:szCs w:val="20"/>
    </w:rPr>
  </w:style>
  <w:style w:type="paragraph" w:customStyle="1" w:styleId="1379">
    <w:name w:val="q1"/>
    <w:basedOn w:val="3"/>
    <w:autoRedefine/>
    <w:qFormat/>
    <w:uiPriority w:val="0"/>
    <w:pPr>
      <w:tabs>
        <w:tab w:val="left" w:pos="0"/>
      </w:tabs>
      <w:autoSpaceDE/>
      <w:autoSpaceDN/>
      <w:adjustRightInd/>
      <w:spacing w:before="0" w:beforeLines="50" w:after="0" w:afterLines="50" w:line="360" w:lineRule="auto"/>
      <w:jc w:val="left"/>
    </w:pPr>
    <w:rPr>
      <w:rFonts w:ascii="Times New Roman"/>
      <w:bCs/>
      <w:sz w:val="44"/>
      <w:szCs w:val="44"/>
    </w:rPr>
  </w:style>
  <w:style w:type="paragraph" w:customStyle="1" w:styleId="1380">
    <w:name w:val="xl268"/>
    <w:basedOn w:val="1"/>
    <w:autoRedefine/>
    <w:qFormat/>
    <w:uiPriority w:val="0"/>
    <w:pPr>
      <w:widowControl/>
      <w:spacing w:before="100" w:beforeAutospacing="1" w:after="100" w:afterAutospacing="1" w:line="360" w:lineRule="auto"/>
      <w:ind w:firstLine="200" w:firstLineChars="200"/>
      <w:jc w:val="left"/>
    </w:pPr>
    <w:rPr>
      <w:rFonts w:ascii="宋体" w:hAnsi="宋体" w:cs="宋体"/>
      <w:color w:val="0000FF"/>
      <w:kern w:val="0"/>
      <w:sz w:val="18"/>
      <w:szCs w:val="18"/>
    </w:rPr>
  </w:style>
  <w:style w:type="paragraph" w:customStyle="1" w:styleId="1381">
    <w:name w:val="xl40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kern w:val="0"/>
      <w:sz w:val="20"/>
      <w:szCs w:val="20"/>
    </w:rPr>
  </w:style>
  <w:style w:type="paragraph" w:customStyle="1" w:styleId="1382">
    <w:name w:val="黑体小初中"/>
    <w:basedOn w:val="453"/>
    <w:autoRedefine/>
    <w:qFormat/>
    <w:uiPriority w:val="0"/>
    <w:pPr>
      <w:tabs>
        <w:tab w:val="left" w:pos="0"/>
      </w:tabs>
      <w:spacing w:before="156" w:after="156"/>
      <w:ind w:firstLine="0" w:firstLineChars="0"/>
      <w:jc w:val="center"/>
    </w:pPr>
    <w:rPr>
      <w:rFonts w:ascii="黑体" w:eastAsia="黑体"/>
      <w:sz w:val="72"/>
      <w:szCs w:val="72"/>
    </w:rPr>
  </w:style>
  <w:style w:type="paragraph" w:customStyle="1" w:styleId="1383">
    <w:name w:val="!beccList"/>
    <w:basedOn w:val="1"/>
    <w:autoRedefine/>
    <w:qFormat/>
    <w:uiPriority w:val="0"/>
    <w:pPr>
      <w:tabs>
        <w:tab w:val="left" w:pos="0"/>
      </w:tabs>
      <w:spacing w:beforeLines="50" w:afterLines="50" w:line="360" w:lineRule="auto"/>
      <w:ind w:firstLine="200" w:firstLineChars="200"/>
    </w:pPr>
    <w:rPr>
      <w:sz w:val="24"/>
    </w:rPr>
  </w:style>
  <w:style w:type="paragraph" w:customStyle="1" w:styleId="1384">
    <w:name w:val="xl236"/>
    <w:basedOn w:val="1"/>
    <w:autoRedefine/>
    <w:qFormat/>
    <w:uiPriority w:val="0"/>
    <w:pPr>
      <w:widowControl/>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1385">
    <w:name w:val="cellheading"/>
    <w:basedOn w:val="1"/>
    <w:autoRedefine/>
    <w:qFormat/>
    <w:uiPriority w:val="0"/>
    <w:pPr>
      <w:widowControl/>
      <w:spacing w:after="144" w:line="360" w:lineRule="auto"/>
      <w:ind w:firstLine="200" w:firstLineChars="200"/>
      <w:jc w:val="left"/>
    </w:pPr>
    <w:rPr>
      <w:rFonts w:ascii="Verdana" w:hAnsi="Verdana" w:eastAsia="Arial Unicode MS" w:cs="Arial Unicode MS"/>
      <w:b/>
      <w:bCs/>
      <w:color w:val="000000"/>
      <w:kern w:val="0"/>
      <w:sz w:val="20"/>
      <w:szCs w:val="20"/>
      <w:lang w:eastAsia="en-US"/>
    </w:rPr>
  </w:style>
  <w:style w:type="paragraph" w:customStyle="1" w:styleId="1386">
    <w:name w:val="xl41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360" w:lineRule="auto"/>
      <w:ind w:firstLine="200" w:firstLineChars="200"/>
      <w:jc w:val="left"/>
    </w:pPr>
    <w:rPr>
      <w:rFonts w:ascii="宋体" w:hAnsi="宋体" w:cs="宋体"/>
      <w:b/>
      <w:bCs/>
      <w:color w:val="000000"/>
      <w:kern w:val="0"/>
      <w:sz w:val="20"/>
      <w:szCs w:val="20"/>
    </w:rPr>
  </w:style>
  <w:style w:type="paragraph" w:customStyle="1" w:styleId="1387">
    <w:name w:val="xl434"/>
    <w:basedOn w:val="1"/>
    <w:autoRedefine/>
    <w:qFormat/>
    <w:uiPriority w:val="0"/>
    <w:pPr>
      <w:widowControl/>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388">
    <w:name w:val="xl23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360" w:lineRule="auto"/>
      <w:ind w:firstLine="200" w:firstLineChars="200"/>
      <w:jc w:val="center"/>
    </w:pPr>
    <w:rPr>
      <w:rFonts w:ascii="宋体" w:hAnsi="宋体" w:cs="宋体"/>
      <w:b/>
      <w:bCs/>
      <w:color w:val="000000"/>
      <w:kern w:val="0"/>
      <w:sz w:val="18"/>
      <w:szCs w:val="18"/>
    </w:rPr>
  </w:style>
  <w:style w:type="paragraph" w:customStyle="1" w:styleId="1389">
    <w:name w:val="文中段落"/>
    <w:basedOn w:val="148"/>
    <w:autoRedefine/>
    <w:qFormat/>
    <w:uiPriority w:val="0"/>
    <w:pPr>
      <w:ind w:firstLine="560"/>
    </w:pPr>
    <w:rPr>
      <w:rFonts w:eastAsia="仿宋_GB2312"/>
      <w:kern w:val="0"/>
      <w:sz w:val="28"/>
      <w:szCs w:val="21"/>
    </w:rPr>
  </w:style>
  <w:style w:type="paragraph" w:customStyle="1" w:styleId="1390">
    <w:name w:val="Tabletext"/>
    <w:basedOn w:val="1"/>
    <w:autoRedefine/>
    <w:qFormat/>
    <w:uiPriority w:val="0"/>
    <w:pPr>
      <w:keepLines/>
      <w:spacing w:before="60" w:after="120" w:line="240" w:lineRule="atLeast"/>
      <w:ind w:firstLine="200" w:firstLineChars="200"/>
      <w:jc w:val="left"/>
    </w:pPr>
    <w:rPr>
      <w:kern w:val="0"/>
      <w:sz w:val="24"/>
      <w:szCs w:val="20"/>
      <w:lang w:eastAsia="en-US"/>
    </w:rPr>
  </w:style>
  <w:style w:type="paragraph" w:customStyle="1" w:styleId="1391">
    <w:name w:val="四级无标题条"/>
    <w:basedOn w:val="1"/>
    <w:autoRedefine/>
    <w:qFormat/>
    <w:uiPriority w:val="0"/>
    <w:pPr>
      <w:tabs>
        <w:tab w:val="left" w:pos="2580"/>
      </w:tabs>
      <w:spacing w:line="360" w:lineRule="auto"/>
      <w:ind w:left="2580" w:hanging="420" w:firstLineChars="200"/>
    </w:pPr>
    <w:rPr>
      <w:rFonts w:ascii="宋体" w:hAnsi="宋体"/>
      <w:sz w:val="24"/>
    </w:rPr>
  </w:style>
  <w:style w:type="paragraph" w:customStyle="1" w:styleId="1392">
    <w:name w:val="图标号"/>
    <w:basedOn w:val="148"/>
    <w:autoRedefine/>
    <w:qFormat/>
    <w:uiPriority w:val="0"/>
    <w:pPr>
      <w:ind w:firstLine="0" w:firstLineChars="0"/>
      <w:jc w:val="center"/>
    </w:pPr>
    <w:rPr>
      <w:rFonts w:eastAsia="仿宋_GB2312"/>
      <w:kern w:val="0"/>
      <w:sz w:val="24"/>
      <w:szCs w:val="21"/>
    </w:rPr>
  </w:style>
  <w:style w:type="paragraph" w:customStyle="1" w:styleId="1393">
    <w:name w:val="表编号"/>
    <w:basedOn w:val="1"/>
    <w:autoRedefine/>
    <w:qFormat/>
    <w:uiPriority w:val="0"/>
    <w:pPr>
      <w:tabs>
        <w:tab w:val="left" w:pos="240"/>
      </w:tabs>
      <w:spacing w:line="360" w:lineRule="auto"/>
      <w:jc w:val="center"/>
    </w:pPr>
    <w:rPr>
      <w:b/>
    </w:rPr>
  </w:style>
  <w:style w:type="paragraph" w:customStyle="1" w:styleId="1394">
    <w:name w:val="样式 文档正文 + 宋体 加粗 倾斜 首行缩进:  0 厘米 段后: 11.7 磅"/>
    <w:basedOn w:val="190"/>
    <w:autoRedefine/>
    <w:qFormat/>
    <w:uiPriority w:val="0"/>
    <w:pPr>
      <w:tabs>
        <w:tab w:val="left" w:pos="720"/>
        <w:tab w:val="left" w:pos="900"/>
      </w:tabs>
      <w:adjustRightInd w:val="0"/>
      <w:snapToGrid/>
      <w:spacing w:before="0" w:after="234" w:line="360" w:lineRule="auto"/>
      <w:ind w:firstLine="200" w:firstLineChars="200"/>
      <w:textAlignment w:val="baseline"/>
    </w:pPr>
    <w:rPr>
      <w:rFonts w:ascii="宋体" w:hAnsi="宋体"/>
      <w:bCs/>
      <w:iCs/>
      <w:sz w:val="24"/>
    </w:rPr>
  </w:style>
  <w:style w:type="paragraph" w:customStyle="1" w:styleId="1395">
    <w:name w:val="xl4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textAlignment w:val="top"/>
    </w:pPr>
    <w:rPr>
      <w:rFonts w:ascii="宋体" w:hAnsi="宋体" w:cs="宋体"/>
      <w:kern w:val="0"/>
      <w:sz w:val="20"/>
      <w:szCs w:val="20"/>
    </w:rPr>
  </w:style>
  <w:style w:type="paragraph" w:customStyle="1" w:styleId="1396">
    <w:name w:val="a14"/>
    <w:basedOn w:val="1"/>
    <w:autoRedefine/>
    <w:qFormat/>
    <w:uiPriority w:val="0"/>
    <w:pPr>
      <w:widowControl/>
      <w:spacing w:before="100" w:beforeAutospacing="1" w:after="100" w:afterAutospacing="1" w:line="300" w:lineRule="atLeast"/>
      <w:ind w:firstLine="375" w:firstLineChars="200"/>
      <w:jc w:val="left"/>
    </w:pPr>
    <w:rPr>
      <w:rFonts w:ascii="Arial Unicode MS" w:hAnsi="Arial Unicode MS" w:eastAsia="Arial Unicode MS" w:cs="Arial Unicode MS"/>
      <w:kern w:val="0"/>
      <w:sz w:val="24"/>
      <w:szCs w:val="21"/>
    </w:rPr>
  </w:style>
  <w:style w:type="paragraph" w:customStyle="1" w:styleId="1397">
    <w:name w:val="标书正文1"/>
    <w:basedOn w:val="1"/>
    <w:autoRedefine/>
    <w:qFormat/>
    <w:uiPriority w:val="0"/>
    <w:pPr>
      <w:spacing w:line="360" w:lineRule="auto"/>
      <w:ind w:firstLine="360" w:firstLineChars="150"/>
    </w:pPr>
    <w:rPr>
      <w:rFonts w:ascii="宋体"/>
      <w:kern w:val="0"/>
      <w:sz w:val="24"/>
    </w:rPr>
  </w:style>
  <w:style w:type="paragraph" w:customStyle="1" w:styleId="1398">
    <w:name w:val="样式 正文首行缩进 + 首行缩进:  1 字符"/>
    <w:basedOn w:val="81"/>
    <w:autoRedefine/>
    <w:qFormat/>
    <w:uiPriority w:val="0"/>
    <w:pPr>
      <w:tabs>
        <w:tab w:val="left" w:pos="2730"/>
        <w:tab w:val="clear" w:pos="567"/>
      </w:tabs>
      <w:spacing w:before="0" w:after="120" w:line="360" w:lineRule="auto"/>
      <w:ind w:firstLine="480" w:firstLineChars="200"/>
    </w:pPr>
    <w:rPr>
      <w:rFonts w:ascii="Times New Roman" w:hAnsi="Times New Roman"/>
      <w:sz w:val="21"/>
      <w:szCs w:val="20"/>
    </w:rPr>
  </w:style>
  <w:style w:type="paragraph" w:customStyle="1" w:styleId="1399">
    <w:name w:val="正文文字 4"/>
    <w:basedOn w:val="33"/>
    <w:autoRedefine/>
    <w:qFormat/>
    <w:uiPriority w:val="0"/>
    <w:pPr>
      <w:tabs>
        <w:tab w:val="left" w:pos="900"/>
        <w:tab w:val="left" w:pos="2730"/>
      </w:tabs>
      <w:adjustRightInd w:val="0"/>
      <w:spacing w:after="120" w:line="312" w:lineRule="atLeast"/>
      <w:ind w:firstLine="420" w:firstLineChars="200"/>
      <w:textAlignment w:val="baseline"/>
    </w:pPr>
    <w:rPr>
      <w:rFonts w:eastAsia="楷体_GB2312"/>
      <w:bCs/>
      <w:kern w:val="0"/>
      <w:sz w:val="32"/>
      <w:szCs w:val="20"/>
    </w:rPr>
  </w:style>
  <w:style w:type="paragraph" w:customStyle="1" w:styleId="1400">
    <w:name w:val="列表项目"/>
    <w:basedOn w:val="1"/>
    <w:autoRedefine/>
    <w:qFormat/>
    <w:uiPriority w:val="0"/>
    <w:pPr>
      <w:tabs>
        <w:tab w:val="left" w:pos="420"/>
        <w:tab w:val="left" w:pos="902"/>
      </w:tabs>
      <w:spacing w:line="288" w:lineRule="auto"/>
      <w:ind w:left="1249" w:hanging="767" w:firstLineChars="200"/>
    </w:pPr>
    <w:rPr>
      <w:sz w:val="24"/>
      <w:szCs w:val="20"/>
    </w:rPr>
  </w:style>
  <w:style w:type="paragraph" w:customStyle="1" w:styleId="1401">
    <w:name w:val="样式 标题 5h5Second SubheadingH5口PIM 5标题 5 Char5l4第四层条dsd...1"/>
    <w:basedOn w:val="1"/>
    <w:autoRedefine/>
    <w:qFormat/>
    <w:uiPriority w:val="0"/>
    <w:pPr>
      <w:tabs>
        <w:tab w:val="left" w:pos="900"/>
      </w:tabs>
      <w:spacing w:line="360" w:lineRule="auto"/>
      <w:ind w:left="900" w:hanging="420" w:firstLineChars="200"/>
    </w:pPr>
    <w:rPr>
      <w:rFonts w:ascii="宋体" w:hAnsi="宋体"/>
      <w:b/>
      <w:sz w:val="24"/>
    </w:rPr>
  </w:style>
  <w:style w:type="paragraph" w:customStyle="1" w:styleId="1402">
    <w:name w:val="a2"/>
    <w:basedOn w:val="4"/>
    <w:autoRedefine/>
    <w:qFormat/>
    <w:uiPriority w:val="0"/>
    <w:pPr>
      <w:tabs>
        <w:tab w:val="left" w:pos="0"/>
      </w:tabs>
      <w:autoSpaceDE/>
      <w:autoSpaceDN/>
      <w:spacing w:before="0" w:beforeLines="50" w:afterLines="50" w:line="360" w:lineRule="auto"/>
      <w:ind w:left="425" w:hanging="425"/>
      <w:jc w:val="both"/>
    </w:pPr>
    <w:rPr>
      <w:rFonts w:ascii="Cambria" w:hAnsi="Cambria" w:eastAsia="宋体"/>
      <w:bCs/>
      <w:kern w:val="2"/>
      <w:sz w:val="32"/>
      <w:szCs w:val="32"/>
    </w:rPr>
  </w:style>
  <w:style w:type="paragraph" w:customStyle="1" w:styleId="1403">
    <w:name w:val="文字"/>
    <w:basedOn w:val="1"/>
    <w:link w:val="1404"/>
    <w:autoRedefine/>
    <w:qFormat/>
    <w:uiPriority w:val="0"/>
    <w:pPr>
      <w:tabs>
        <w:tab w:val="left" w:pos="8520"/>
      </w:tabs>
      <w:spacing w:line="312" w:lineRule="auto"/>
      <w:ind w:right="-210" w:firstLine="556" w:firstLineChars="200"/>
    </w:pPr>
    <w:rPr>
      <w:rFonts w:ascii="楷体_GB2312" w:eastAsia="楷体_GB2312"/>
      <w:sz w:val="28"/>
      <w:szCs w:val="20"/>
    </w:rPr>
  </w:style>
  <w:style w:type="character" w:customStyle="1" w:styleId="1404">
    <w:name w:val="文字 Char"/>
    <w:link w:val="1403"/>
    <w:autoRedefine/>
    <w:qFormat/>
    <w:uiPriority w:val="0"/>
    <w:rPr>
      <w:rFonts w:ascii="楷体_GB2312" w:eastAsia="楷体_GB2312"/>
      <w:kern w:val="2"/>
      <w:sz w:val="28"/>
    </w:rPr>
  </w:style>
  <w:style w:type="paragraph" w:customStyle="1" w:styleId="1405">
    <w:name w:val="Char Char Char Char3 Char Char Char1 Char Char Char Char Char Char Char Char Char Char"/>
    <w:basedOn w:val="1"/>
    <w:autoRedefine/>
    <w:qFormat/>
    <w:uiPriority w:val="0"/>
    <w:pPr>
      <w:spacing w:line="360" w:lineRule="auto"/>
      <w:ind w:firstLine="200" w:firstLineChars="200"/>
    </w:pPr>
    <w:rPr>
      <w:rFonts w:ascii="Tahoma" w:hAnsi="Tahoma" w:cs="Tahoma"/>
      <w:sz w:val="24"/>
      <w:szCs w:val="21"/>
    </w:rPr>
  </w:style>
  <w:style w:type="paragraph" w:customStyle="1" w:styleId="1406">
    <w:name w:val="xl267"/>
    <w:basedOn w:val="1"/>
    <w:autoRedefine/>
    <w:qFormat/>
    <w:uiPriority w:val="0"/>
    <w:pPr>
      <w:widowControl/>
      <w:spacing w:before="100" w:beforeAutospacing="1" w:after="100" w:afterAutospacing="1" w:line="360" w:lineRule="auto"/>
      <w:ind w:firstLine="200" w:firstLineChars="200"/>
      <w:jc w:val="left"/>
    </w:pPr>
    <w:rPr>
      <w:rFonts w:ascii="宋体" w:hAnsi="宋体" w:cs="宋体"/>
      <w:color w:val="FF0000"/>
      <w:kern w:val="0"/>
      <w:sz w:val="18"/>
      <w:szCs w:val="18"/>
    </w:rPr>
  </w:style>
  <w:style w:type="paragraph" w:customStyle="1" w:styleId="1407">
    <w:name w:val="Notes Text"/>
    <w:autoRedefine/>
    <w:qFormat/>
    <w:uiPriority w:val="0"/>
    <w:pPr>
      <w:pBdr>
        <w:bottom w:val="single" w:color="auto" w:sz="8" w:space="5"/>
      </w:pBdr>
    </w:pPr>
    <w:rPr>
      <w:rFonts w:ascii="Arial" w:hAnsi="Arial" w:eastAsia="楷体_GB2312" w:cs="Times New Roman"/>
      <w:color w:val="000000"/>
      <w:sz w:val="21"/>
      <w:lang w:val="en-US" w:eastAsia="zh-CN" w:bidi="ar-SA"/>
    </w:rPr>
  </w:style>
  <w:style w:type="paragraph" w:customStyle="1" w:styleId="1408">
    <w:name w:val="xl234"/>
    <w:basedOn w:val="1"/>
    <w:autoRedefine/>
    <w:qFormat/>
    <w:uiPriority w:val="0"/>
    <w:pPr>
      <w:widowControl/>
      <w:spacing w:before="100" w:beforeAutospacing="1" w:after="100" w:afterAutospacing="1" w:line="360" w:lineRule="auto"/>
      <w:ind w:firstLine="200" w:firstLineChars="200"/>
      <w:jc w:val="left"/>
    </w:pPr>
    <w:rPr>
      <w:rFonts w:ascii="仿宋_GB2312" w:hAnsi="宋体" w:eastAsia="仿宋_GB2312" w:cs="宋体"/>
      <w:b/>
      <w:bCs/>
      <w:kern w:val="0"/>
      <w:sz w:val="24"/>
    </w:rPr>
  </w:style>
  <w:style w:type="paragraph" w:customStyle="1" w:styleId="1409">
    <w:name w:val="样式 名称2 + 首行缩进:  1.08 厘米"/>
    <w:basedOn w:val="1"/>
    <w:autoRedefine/>
    <w:qFormat/>
    <w:uiPriority w:val="0"/>
    <w:pPr>
      <w:spacing w:afterLines="50" w:line="360" w:lineRule="auto"/>
      <w:ind w:firstLine="200" w:firstLineChars="200"/>
      <w:jc w:val="center"/>
    </w:pPr>
    <w:rPr>
      <w:rFonts w:cs="宋体"/>
      <w:b/>
      <w:spacing w:val="12"/>
      <w:sz w:val="28"/>
      <w:szCs w:val="20"/>
    </w:rPr>
  </w:style>
  <w:style w:type="paragraph" w:customStyle="1" w:styleId="1410">
    <w:name w:val="xl25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kern w:val="0"/>
      <w:sz w:val="18"/>
      <w:szCs w:val="18"/>
    </w:rPr>
  </w:style>
  <w:style w:type="paragraph" w:customStyle="1" w:styleId="1411">
    <w:name w:val="样式 标题 3h33rd levelH3一1Bold Headbh标题 3 Charl3 + 左侧:  0 厘..."/>
    <w:basedOn w:val="5"/>
    <w:autoRedefine/>
    <w:qFormat/>
    <w:uiPriority w:val="0"/>
    <w:pPr>
      <w:tabs>
        <w:tab w:val="left" w:pos="0"/>
        <w:tab w:val="left" w:pos="1145"/>
      </w:tabs>
      <w:autoSpaceDE/>
      <w:autoSpaceDN/>
      <w:adjustRightInd/>
      <w:snapToGrid w:val="0"/>
      <w:spacing w:before="0" w:beforeLines="50" w:after="0" w:afterLines="50" w:line="413" w:lineRule="auto"/>
      <w:ind w:left="1145" w:hanging="720"/>
    </w:pPr>
    <w:rPr>
      <w:rFonts w:hAnsi="宋体"/>
      <w:bCs/>
      <w:kern w:val="24"/>
      <w:szCs w:val="21"/>
      <w:u w:val="none"/>
    </w:rPr>
  </w:style>
  <w:style w:type="paragraph" w:customStyle="1" w:styleId="1412">
    <w:name w:val="xl255"/>
    <w:basedOn w:val="1"/>
    <w:autoRedefine/>
    <w:qFormat/>
    <w:uiPriority w:val="0"/>
    <w:pPr>
      <w:widowControl/>
      <w:spacing w:before="100" w:beforeAutospacing="1" w:after="100" w:afterAutospacing="1" w:line="360" w:lineRule="auto"/>
      <w:ind w:firstLine="200" w:firstLineChars="200"/>
      <w:jc w:val="left"/>
    </w:pPr>
    <w:rPr>
      <w:rFonts w:ascii="宋体" w:hAnsi="宋体" w:cs="宋体"/>
      <w:b/>
      <w:bCs/>
      <w:kern w:val="0"/>
      <w:sz w:val="18"/>
      <w:szCs w:val="18"/>
    </w:rPr>
  </w:style>
  <w:style w:type="paragraph" w:customStyle="1" w:styleId="1413">
    <w:name w:val="正文样式"/>
    <w:basedOn w:val="1"/>
    <w:autoRedefine/>
    <w:qFormat/>
    <w:uiPriority w:val="0"/>
    <w:pPr>
      <w:spacing w:line="360" w:lineRule="auto"/>
      <w:ind w:firstLine="200" w:firstLineChars="200"/>
    </w:pPr>
    <w:rPr>
      <w:sz w:val="24"/>
      <w:szCs w:val="20"/>
    </w:rPr>
  </w:style>
  <w:style w:type="paragraph" w:customStyle="1" w:styleId="1414">
    <w:name w:val="黑体小二中"/>
    <w:basedOn w:val="453"/>
    <w:autoRedefine/>
    <w:qFormat/>
    <w:uiPriority w:val="0"/>
    <w:pPr>
      <w:tabs>
        <w:tab w:val="left" w:pos="0"/>
      </w:tabs>
      <w:spacing w:before="156" w:after="156"/>
      <w:ind w:firstLine="0" w:firstLineChars="0"/>
      <w:jc w:val="center"/>
    </w:pPr>
    <w:rPr>
      <w:rFonts w:ascii="黑体" w:eastAsia="黑体"/>
      <w:sz w:val="36"/>
      <w:szCs w:val="36"/>
    </w:rPr>
  </w:style>
  <w:style w:type="paragraph" w:customStyle="1" w:styleId="1415">
    <w:name w:val="xl4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416">
    <w:name w:val="ePMS正文"/>
    <w:basedOn w:val="1"/>
    <w:autoRedefine/>
    <w:qFormat/>
    <w:uiPriority w:val="0"/>
    <w:pPr>
      <w:widowControl/>
      <w:spacing w:line="360" w:lineRule="auto"/>
      <w:ind w:firstLine="200" w:firstLineChars="200"/>
      <w:jc w:val="left"/>
    </w:pPr>
    <w:rPr>
      <w:kern w:val="0"/>
      <w:sz w:val="24"/>
      <w:szCs w:val="20"/>
      <w:lang w:val="en-AU"/>
    </w:rPr>
  </w:style>
  <w:style w:type="paragraph" w:customStyle="1" w:styleId="1417">
    <w:name w:val="应答"/>
    <w:basedOn w:val="1"/>
    <w:autoRedefine/>
    <w:qFormat/>
    <w:uiPriority w:val="0"/>
    <w:pPr>
      <w:widowControl/>
      <w:spacing w:before="240" w:after="120" w:line="288" w:lineRule="auto"/>
      <w:ind w:left="720" w:firstLine="200" w:firstLineChars="200"/>
      <w:jc w:val="left"/>
    </w:pPr>
    <w:rPr>
      <w:rFonts w:eastAsia="黑体"/>
      <w:bCs/>
      <w:kern w:val="0"/>
      <w:sz w:val="24"/>
    </w:rPr>
  </w:style>
  <w:style w:type="paragraph" w:customStyle="1" w:styleId="1418">
    <w:name w:val="xl40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line="360" w:lineRule="auto"/>
      <w:ind w:firstLine="200" w:firstLineChars="200"/>
      <w:jc w:val="center"/>
    </w:pPr>
    <w:rPr>
      <w:rFonts w:ascii="宋体" w:hAnsi="宋体" w:cs="宋体"/>
      <w:b/>
      <w:bCs/>
      <w:color w:val="000000"/>
      <w:kern w:val="0"/>
      <w:sz w:val="20"/>
      <w:szCs w:val="20"/>
    </w:rPr>
  </w:style>
  <w:style w:type="paragraph" w:customStyle="1" w:styleId="1419">
    <w:name w:val="xl41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99CCFF"/>
      <w:spacing w:before="100" w:beforeAutospacing="1" w:after="100" w:afterAutospacing="1" w:line="360" w:lineRule="auto"/>
      <w:ind w:firstLine="200" w:firstLineChars="200"/>
      <w:jc w:val="center"/>
    </w:pPr>
    <w:rPr>
      <w:rFonts w:ascii="宋体" w:hAnsi="宋体" w:cs="宋体"/>
      <w:b/>
      <w:bCs/>
      <w:color w:val="000000"/>
      <w:kern w:val="0"/>
      <w:sz w:val="20"/>
      <w:szCs w:val="20"/>
    </w:rPr>
  </w:style>
  <w:style w:type="paragraph" w:customStyle="1" w:styleId="1420">
    <w:name w:val="样式 首行缩进:  0.85 厘米 段前: 6 磅 段后: 6 磅"/>
    <w:basedOn w:val="453"/>
    <w:autoRedefine/>
    <w:qFormat/>
    <w:uiPriority w:val="0"/>
    <w:pPr>
      <w:tabs>
        <w:tab w:val="left" w:pos="0"/>
      </w:tabs>
      <w:spacing w:before="100" w:beforeAutospacing="1" w:after="100" w:afterAutospacing="1"/>
      <w:ind w:firstLine="0" w:firstLineChars="0"/>
    </w:pPr>
    <w:rPr>
      <w:rFonts w:cs="宋体"/>
      <w:szCs w:val="20"/>
    </w:rPr>
  </w:style>
  <w:style w:type="paragraph" w:customStyle="1" w:styleId="1421">
    <w:name w:val="xl259"/>
    <w:basedOn w:val="1"/>
    <w:autoRedefine/>
    <w:qFormat/>
    <w:uiPriority w:val="0"/>
    <w:pPr>
      <w:widowControl/>
      <w:pBdr>
        <w:top w:val="single" w:color="auto" w:sz="4" w:space="0"/>
        <w:left w:val="single" w:color="auto" w:sz="4" w:space="0"/>
        <w:bottom w:val="single" w:color="auto" w:sz="4" w:space="0"/>
      </w:pBdr>
      <w:shd w:val="clear" w:color="000000" w:fill="C0C0C0"/>
      <w:spacing w:before="100" w:beforeAutospacing="1" w:after="100" w:afterAutospacing="1" w:line="360" w:lineRule="auto"/>
      <w:ind w:firstLine="200" w:firstLineChars="200"/>
      <w:jc w:val="left"/>
    </w:pPr>
    <w:rPr>
      <w:rFonts w:ascii="宋体" w:hAnsi="宋体" w:cs="宋体"/>
      <w:b/>
      <w:bCs/>
      <w:color w:val="000000"/>
      <w:kern w:val="0"/>
      <w:sz w:val="18"/>
      <w:szCs w:val="18"/>
    </w:rPr>
  </w:style>
  <w:style w:type="paragraph" w:customStyle="1" w:styleId="1422">
    <w:name w:val="1）编号"/>
    <w:basedOn w:val="148"/>
    <w:autoRedefine/>
    <w:qFormat/>
    <w:uiPriority w:val="0"/>
    <w:pPr>
      <w:tabs>
        <w:tab w:val="left" w:pos="360"/>
      </w:tabs>
      <w:ind w:left="200" w:leftChars="200" w:hanging="200" w:hangingChars="200"/>
    </w:pPr>
    <w:rPr>
      <w:rFonts w:eastAsia="仿宋_GB2312"/>
      <w:kern w:val="0"/>
      <w:sz w:val="28"/>
      <w:szCs w:val="21"/>
    </w:rPr>
  </w:style>
  <w:style w:type="paragraph" w:customStyle="1" w:styleId="1423">
    <w:name w:val="xl2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right"/>
    </w:pPr>
    <w:rPr>
      <w:rFonts w:ascii="宋体" w:hAnsi="宋体" w:cs="宋体"/>
      <w:b/>
      <w:bCs/>
      <w:color w:val="000000"/>
      <w:kern w:val="0"/>
      <w:sz w:val="18"/>
      <w:szCs w:val="18"/>
    </w:rPr>
  </w:style>
  <w:style w:type="paragraph" w:customStyle="1" w:styleId="1424">
    <w:name w:val="xl4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textAlignment w:val="top"/>
    </w:pPr>
    <w:rPr>
      <w:kern w:val="0"/>
      <w:sz w:val="20"/>
      <w:szCs w:val="20"/>
    </w:rPr>
  </w:style>
  <w:style w:type="paragraph" w:customStyle="1" w:styleId="1425">
    <w:name w:val="规范正文"/>
    <w:basedOn w:val="49"/>
    <w:autoRedefine/>
    <w:qFormat/>
    <w:uiPriority w:val="0"/>
    <w:pPr>
      <w:tabs>
        <w:tab w:val="left" w:pos="907"/>
        <w:tab w:val="left" w:pos="2730"/>
      </w:tabs>
      <w:spacing w:after="120" w:line="480" w:lineRule="auto"/>
      <w:ind w:left="907" w:hanging="619"/>
    </w:pPr>
    <w:rPr>
      <w:rFonts w:ascii="Times New Roman" w:eastAsia="宋体"/>
      <w:bCs/>
      <w:sz w:val="21"/>
      <w:szCs w:val="21"/>
    </w:rPr>
  </w:style>
  <w:style w:type="paragraph" w:customStyle="1" w:styleId="1426">
    <w:name w:val="l正文"/>
    <w:autoRedefine/>
    <w:qFormat/>
    <w:uiPriority w:val="0"/>
    <w:pPr>
      <w:spacing w:line="360" w:lineRule="auto"/>
      <w:ind w:firstLine="200" w:firstLineChars="200"/>
      <w:jc w:val="both"/>
    </w:pPr>
    <w:rPr>
      <w:rFonts w:ascii="楷体_GB2312" w:hAnsi="Times New Roman" w:eastAsia="楷体_GB2312" w:cs="Times New Roman"/>
      <w:sz w:val="24"/>
      <w:lang w:val="en-US" w:eastAsia="zh-CN" w:bidi="ar-SA"/>
    </w:rPr>
  </w:style>
  <w:style w:type="paragraph" w:customStyle="1" w:styleId="1427">
    <w:name w:val="目录标题1"/>
    <w:basedOn w:val="1"/>
    <w:autoRedefine/>
    <w:qFormat/>
    <w:uiPriority w:val="0"/>
    <w:pPr>
      <w:spacing w:line="360" w:lineRule="auto"/>
      <w:ind w:firstLine="200" w:firstLineChars="200"/>
    </w:pPr>
    <w:rPr>
      <w:rFonts w:ascii="宋体" w:hAnsi="宋体"/>
      <w:sz w:val="24"/>
    </w:rPr>
  </w:style>
  <w:style w:type="paragraph" w:customStyle="1" w:styleId="1428">
    <w:name w:val="正文居中"/>
    <w:basedOn w:val="1"/>
    <w:autoRedefine/>
    <w:qFormat/>
    <w:uiPriority w:val="0"/>
    <w:pPr>
      <w:spacing w:line="360" w:lineRule="auto"/>
      <w:ind w:firstLine="200" w:firstLineChars="200"/>
      <w:jc w:val="center"/>
    </w:pPr>
    <w:rPr>
      <w:rFonts w:ascii="Arial" w:hAnsi="Arial"/>
      <w:sz w:val="24"/>
    </w:rPr>
  </w:style>
  <w:style w:type="paragraph" w:customStyle="1" w:styleId="1429">
    <w:name w:val="!my（1）"/>
    <w:autoRedefine/>
    <w:qFormat/>
    <w:uiPriority w:val="0"/>
    <w:pPr>
      <w:tabs>
        <w:tab w:val="left" w:pos="1335"/>
      </w:tabs>
      <w:spacing w:beforeLines="50" w:afterLines="50" w:line="360" w:lineRule="auto"/>
      <w:ind w:left="1335" w:hanging="855"/>
    </w:pPr>
    <w:rPr>
      <w:rFonts w:ascii="Times New Roman" w:hAnsi="Times New Roman" w:eastAsia="宋体" w:cs="Times New Roman"/>
      <w:kern w:val="2"/>
      <w:sz w:val="24"/>
      <w:szCs w:val="24"/>
      <w:lang w:val="en-US" w:eastAsia="zh-CN" w:bidi="ar-SA"/>
    </w:rPr>
  </w:style>
  <w:style w:type="paragraph" w:customStyle="1" w:styleId="1430">
    <w:name w:val="项目介绍"/>
    <w:basedOn w:val="1"/>
    <w:autoRedefine/>
    <w:qFormat/>
    <w:uiPriority w:val="0"/>
    <w:pPr>
      <w:widowControl/>
      <w:tabs>
        <w:tab w:val="left" w:pos="2730"/>
        <w:tab w:val="left" w:pos="5000"/>
        <w:tab w:val="left" w:pos="5600"/>
      </w:tabs>
      <w:spacing w:line="360" w:lineRule="auto"/>
      <w:ind w:firstLine="200" w:firstLineChars="200"/>
      <w:jc w:val="left"/>
    </w:pPr>
    <w:rPr>
      <w:rFonts w:eastAsia="楷体_GB2312"/>
      <w:bCs/>
      <w:snapToGrid w:val="0"/>
      <w:kern w:val="21"/>
      <w:sz w:val="24"/>
    </w:rPr>
  </w:style>
  <w:style w:type="paragraph" w:customStyle="1" w:styleId="1431">
    <w:name w:val="单位名称"/>
    <w:basedOn w:val="1"/>
    <w:autoRedefine/>
    <w:qFormat/>
    <w:uiPriority w:val="0"/>
    <w:pPr>
      <w:spacing w:before="156" w:after="156" w:line="360" w:lineRule="auto"/>
      <w:ind w:firstLine="200" w:firstLineChars="200"/>
    </w:pPr>
    <w:rPr>
      <w:rFonts w:ascii="Arial Black" w:hAnsi="Arial Black" w:eastAsia="黑体" w:cs="宋体"/>
      <w:sz w:val="36"/>
      <w:szCs w:val="20"/>
    </w:rPr>
  </w:style>
  <w:style w:type="paragraph" w:customStyle="1" w:styleId="1432">
    <w:name w:val="xl409"/>
    <w:basedOn w:val="1"/>
    <w:autoRedefine/>
    <w:qFormat/>
    <w:uiPriority w:val="0"/>
    <w:pPr>
      <w:widowControl/>
      <w:spacing w:before="100" w:beforeAutospacing="1" w:after="100" w:afterAutospacing="1" w:line="360" w:lineRule="auto"/>
      <w:ind w:firstLine="200" w:firstLineChars="200"/>
      <w:jc w:val="center"/>
    </w:pPr>
    <w:rPr>
      <w:rFonts w:ascii="宋体" w:hAnsi="宋体" w:cs="宋体"/>
      <w:kern w:val="0"/>
      <w:sz w:val="20"/>
      <w:szCs w:val="20"/>
    </w:rPr>
  </w:style>
  <w:style w:type="paragraph" w:customStyle="1" w:styleId="1433">
    <w:name w:val="xl23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360" w:lineRule="auto"/>
      <w:ind w:firstLine="200" w:firstLineChars="200"/>
      <w:jc w:val="left"/>
    </w:pPr>
    <w:rPr>
      <w:rFonts w:ascii="宋体" w:hAnsi="宋体" w:cs="宋体"/>
      <w:b/>
      <w:bCs/>
      <w:color w:val="000000"/>
      <w:kern w:val="0"/>
      <w:sz w:val="18"/>
      <w:szCs w:val="18"/>
    </w:rPr>
  </w:style>
  <w:style w:type="paragraph" w:customStyle="1" w:styleId="1434">
    <w:name w:val="l顶头"/>
    <w:basedOn w:val="1426"/>
    <w:autoRedefine/>
    <w:qFormat/>
    <w:uiPriority w:val="0"/>
    <w:pPr>
      <w:ind w:firstLine="0" w:firstLineChars="0"/>
    </w:pPr>
  </w:style>
  <w:style w:type="paragraph" w:customStyle="1" w:styleId="1435">
    <w:name w:val="样式 标题 5 + 仿宋_GB2312"/>
    <w:basedOn w:val="1"/>
    <w:autoRedefine/>
    <w:qFormat/>
    <w:uiPriority w:val="0"/>
    <w:pPr>
      <w:tabs>
        <w:tab w:val="left" w:pos="2580"/>
      </w:tabs>
      <w:spacing w:line="360" w:lineRule="auto"/>
      <w:ind w:left="2580" w:hanging="420" w:firstLineChars="200"/>
    </w:pPr>
    <w:rPr>
      <w:rFonts w:ascii="仿宋_GB2312" w:hAnsi="仿宋_GB2312"/>
      <w:sz w:val="24"/>
    </w:rPr>
  </w:style>
  <w:style w:type="paragraph" w:customStyle="1" w:styleId="1436">
    <w:name w:val="名称2"/>
    <w:basedOn w:val="1"/>
    <w:autoRedefine/>
    <w:qFormat/>
    <w:uiPriority w:val="0"/>
    <w:pPr>
      <w:tabs>
        <w:tab w:val="left" w:pos="2730"/>
      </w:tabs>
      <w:spacing w:before="156" w:after="120" w:line="360" w:lineRule="auto"/>
      <w:ind w:firstLine="200" w:firstLineChars="200"/>
      <w:jc w:val="center"/>
    </w:pPr>
    <w:rPr>
      <w:b/>
      <w:spacing w:val="12"/>
      <w:sz w:val="28"/>
      <w:szCs w:val="28"/>
    </w:rPr>
  </w:style>
  <w:style w:type="paragraph" w:customStyle="1" w:styleId="1437">
    <w:name w:val="DOT Text"/>
    <w:basedOn w:val="1300"/>
    <w:autoRedefine/>
    <w:qFormat/>
    <w:uiPriority w:val="0"/>
    <w:pPr>
      <w:tabs>
        <w:tab w:val="left" w:pos="1680"/>
        <w:tab w:val="clear" w:pos="420"/>
        <w:tab w:val="clear" w:pos="840"/>
        <w:tab w:val="clear" w:pos="1260"/>
      </w:tabs>
      <w:spacing w:beforeLines="25" w:afterLines="25"/>
      <w:ind w:left="840" w:hanging="420" w:firstLineChars="0"/>
    </w:pPr>
  </w:style>
  <w:style w:type="paragraph" w:customStyle="1" w:styleId="1438">
    <w:name w:val="xl24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360" w:lineRule="auto"/>
      <w:ind w:firstLine="200" w:firstLineChars="200"/>
      <w:jc w:val="center"/>
    </w:pPr>
    <w:rPr>
      <w:rFonts w:ascii="宋体" w:hAnsi="宋体" w:cs="宋体"/>
      <w:b/>
      <w:bCs/>
      <w:color w:val="000000"/>
      <w:kern w:val="0"/>
      <w:sz w:val="18"/>
      <w:szCs w:val="18"/>
    </w:rPr>
  </w:style>
  <w:style w:type="paragraph" w:customStyle="1" w:styleId="1439">
    <w:name w:val="自定义正文"/>
    <w:basedOn w:val="1"/>
    <w:autoRedefine/>
    <w:qFormat/>
    <w:uiPriority w:val="0"/>
    <w:pPr>
      <w:spacing w:line="360" w:lineRule="auto"/>
      <w:ind w:firstLine="200" w:firstLineChars="200"/>
    </w:pPr>
    <w:rPr>
      <w:sz w:val="24"/>
    </w:rPr>
  </w:style>
  <w:style w:type="paragraph" w:customStyle="1" w:styleId="1440">
    <w:name w:val="xl2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宋体" w:hAnsi="宋体" w:cs="宋体"/>
      <w:b/>
      <w:bCs/>
      <w:color w:val="000000"/>
      <w:kern w:val="0"/>
      <w:sz w:val="18"/>
      <w:szCs w:val="18"/>
    </w:rPr>
  </w:style>
  <w:style w:type="paragraph" w:customStyle="1" w:styleId="1441">
    <w:name w:val="xl24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33CCCC"/>
      <w:spacing w:before="100" w:beforeAutospacing="1" w:after="100" w:afterAutospacing="1" w:line="360" w:lineRule="auto"/>
      <w:ind w:firstLine="200" w:firstLineChars="200"/>
      <w:jc w:val="right"/>
    </w:pPr>
    <w:rPr>
      <w:rFonts w:ascii="宋体" w:hAnsi="宋体" w:cs="宋体"/>
      <w:b/>
      <w:bCs/>
      <w:color w:val="000000"/>
      <w:kern w:val="0"/>
      <w:sz w:val="18"/>
      <w:szCs w:val="18"/>
    </w:rPr>
  </w:style>
  <w:style w:type="paragraph" w:customStyle="1" w:styleId="1442">
    <w:name w:val="xl4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宋体" w:hAnsi="宋体" w:cs="宋体"/>
      <w:b/>
      <w:bCs/>
      <w:color w:val="000000"/>
      <w:kern w:val="0"/>
      <w:sz w:val="20"/>
      <w:szCs w:val="20"/>
    </w:rPr>
  </w:style>
  <w:style w:type="paragraph" w:customStyle="1" w:styleId="1443">
    <w:name w:val="样式 标题 2h22nd levelTitre2l22Header 2Head 2H2节List level..."/>
    <w:basedOn w:val="4"/>
    <w:autoRedefine/>
    <w:qFormat/>
    <w:uiPriority w:val="0"/>
    <w:pPr>
      <w:tabs>
        <w:tab w:val="left" w:pos="0"/>
      </w:tabs>
      <w:autoSpaceDE/>
      <w:autoSpaceDN/>
      <w:spacing w:before="0" w:beforeLines="50" w:afterLines="50" w:line="360" w:lineRule="auto"/>
      <w:jc w:val="both"/>
    </w:pPr>
    <w:rPr>
      <w:rFonts w:ascii="Times New Roman" w:hAnsi="Times New Roman" w:eastAsia="宋体" w:cs="宋体"/>
      <w:b w:val="0"/>
      <w:bCs/>
      <w:kern w:val="2"/>
      <w:sz w:val="36"/>
    </w:rPr>
  </w:style>
  <w:style w:type="paragraph" w:customStyle="1" w:styleId="1444">
    <w:name w:val="_Style 8"/>
    <w:basedOn w:val="1"/>
    <w:autoRedefine/>
    <w:qFormat/>
    <w:uiPriority w:val="0"/>
    <w:rPr>
      <w:sz w:val="24"/>
      <w:szCs w:val="20"/>
    </w:rPr>
  </w:style>
  <w:style w:type="paragraph" w:customStyle="1" w:styleId="1445">
    <w:name w:val="xl9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46">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447">
    <w:name w:val="xl9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1448">
    <w:name w:val="xl9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449">
    <w:name w:val="xl9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50">
    <w:name w:val="xl9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51">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452">
    <w:name w:val="xl101"/>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453">
    <w:name w:val="xl10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4">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5">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56">
    <w:name w:val="xl10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57">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58">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459">
    <w:name w:val="xl108"/>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460">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461">
    <w:name w:val="xl11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462">
    <w:name w:val="xl11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20"/>
      <w:szCs w:val="20"/>
    </w:rPr>
  </w:style>
  <w:style w:type="paragraph" w:customStyle="1" w:styleId="1463">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20"/>
      <w:szCs w:val="20"/>
    </w:rPr>
  </w:style>
  <w:style w:type="paragraph" w:customStyle="1" w:styleId="1464">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5">
    <w:name w:val="xl11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66">
    <w:name w:val="xl11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67">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68">
    <w:name w:val="xl11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69">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70">
    <w:name w:val="xl119"/>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471">
    <w:name w:val="xl12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472">
    <w:name w:val="xl12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73">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474">
    <w:name w:val="xl12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75">
    <w:name w:val="xl12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76">
    <w:name w:val="xl125"/>
    <w:basedOn w:val="1"/>
    <w:autoRedefine/>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77">
    <w:name w:val="xl126"/>
    <w:basedOn w:val="1"/>
    <w:autoRedefine/>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478">
    <w:name w:val="xl127"/>
    <w:basedOn w:val="1"/>
    <w:autoRedefine/>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479">
    <w:name w:val="xl128"/>
    <w:basedOn w:val="1"/>
    <w:autoRedefine/>
    <w:qFormat/>
    <w:uiPriority w:val="0"/>
    <w:pPr>
      <w:widowControl/>
      <w:pBdr>
        <w:bottom w:val="single" w:color="auto" w:sz="4" w:space="0"/>
      </w:pBdr>
      <w:spacing w:before="100" w:beforeAutospacing="1" w:after="100" w:afterAutospacing="1"/>
      <w:jc w:val="right"/>
    </w:pPr>
    <w:rPr>
      <w:rFonts w:ascii="宋体" w:hAnsi="宋体" w:cs="宋体"/>
      <w:b/>
      <w:bCs/>
      <w:kern w:val="0"/>
      <w:sz w:val="20"/>
      <w:szCs w:val="20"/>
    </w:rPr>
  </w:style>
  <w:style w:type="paragraph" w:customStyle="1" w:styleId="1480">
    <w:name w:val="xl129"/>
    <w:basedOn w:val="1"/>
    <w:autoRedefine/>
    <w:qFormat/>
    <w:uiPriority w:val="0"/>
    <w:pPr>
      <w:widowControl/>
      <w:pBdr>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481">
    <w:name w:val="xl13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82">
    <w:name w:val="xl1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0"/>
      <w:szCs w:val="20"/>
    </w:rPr>
  </w:style>
  <w:style w:type="paragraph" w:customStyle="1" w:styleId="1483">
    <w:name w:val="xl1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84">
    <w:name w:val="xl1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bCs/>
      <w:kern w:val="0"/>
      <w:sz w:val="20"/>
      <w:szCs w:val="20"/>
    </w:rPr>
  </w:style>
  <w:style w:type="paragraph" w:customStyle="1" w:styleId="1485">
    <w:name w:val="xl1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486">
    <w:name w:val="xl135"/>
    <w:basedOn w:val="1"/>
    <w:autoRedefine/>
    <w:qFormat/>
    <w:uiPriority w:val="0"/>
    <w:pPr>
      <w:widowControl/>
      <w:spacing w:before="100" w:beforeAutospacing="1" w:after="100" w:afterAutospacing="1"/>
      <w:jc w:val="center"/>
    </w:pPr>
    <w:rPr>
      <w:rFonts w:ascii="宋体" w:hAnsi="宋体" w:cs="宋体"/>
      <w:kern w:val="0"/>
      <w:sz w:val="24"/>
    </w:rPr>
  </w:style>
  <w:style w:type="paragraph" w:customStyle="1" w:styleId="1487">
    <w:name w:val="xl1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88">
    <w:name w:val="xl1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0"/>
      <w:szCs w:val="20"/>
    </w:rPr>
  </w:style>
  <w:style w:type="paragraph" w:customStyle="1" w:styleId="1489">
    <w:name w:val="xl1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490">
    <w:name w:val="xl139"/>
    <w:basedOn w:val="1"/>
    <w:autoRedefine/>
    <w:qFormat/>
    <w:uiPriority w:val="0"/>
    <w:pPr>
      <w:widowControl/>
      <w:pBdr>
        <w:bottom w:val="single" w:color="auto" w:sz="4" w:space="0"/>
      </w:pBdr>
      <w:spacing w:before="100" w:beforeAutospacing="1" w:after="100" w:afterAutospacing="1"/>
      <w:jc w:val="left"/>
    </w:pPr>
    <w:rPr>
      <w:rFonts w:ascii="宋体" w:hAnsi="宋体" w:cs="宋体"/>
      <w:kern w:val="0"/>
      <w:sz w:val="20"/>
      <w:szCs w:val="20"/>
    </w:rPr>
  </w:style>
  <w:style w:type="paragraph" w:customStyle="1" w:styleId="1491">
    <w:name w:val="xl1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492">
    <w:name w:val="xl1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bCs/>
      <w:kern w:val="0"/>
      <w:sz w:val="20"/>
      <w:szCs w:val="20"/>
    </w:rPr>
  </w:style>
  <w:style w:type="paragraph" w:customStyle="1" w:styleId="1493">
    <w:name w:val="xl1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494">
    <w:name w:val="xl14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495">
    <w:name w:val="xl14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496">
    <w:name w:val="xl146"/>
    <w:basedOn w:val="1"/>
    <w:autoRedefine/>
    <w:qFormat/>
    <w:uiPriority w:val="0"/>
    <w:pPr>
      <w:widowControl/>
      <w:pBdr>
        <w:bottom w:val="single" w:color="auto" w:sz="4" w:space="0"/>
      </w:pBdr>
      <w:spacing w:before="100" w:beforeAutospacing="1" w:after="100" w:afterAutospacing="1"/>
      <w:jc w:val="right"/>
    </w:pPr>
    <w:rPr>
      <w:rFonts w:ascii="宋体" w:hAnsi="宋体" w:cs="宋体"/>
      <w:b/>
      <w:bCs/>
      <w:kern w:val="0"/>
      <w:sz w:val="20"/>
      <w:szCs w:val="20"/>
    </w:rPr>
  </w:style>
  <w:style w:type="paragraph" w:customStyle="1" w:styleId="1497">
    <w:name w:val="xl1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1498">
    <w:name w:val="xl1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1499">
    <w:name w:val="xl1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b/>
      <w:bCs/>
      <w:kern w:val="0"/>
      <w:sz w:val="20"/>
      <w:szCs w:val="20"/>
    </w:rPr>
  </w:style>
  <w:style w:type="paragraph" w:customStyle="1" w:styleId="1500">
    <w:name w:val="xl150"/>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1">
    <w:name w:val="xl151"/>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2">
    <w:name w:val="xl15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3">
    <w:name w:val="xl15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4">
    <w:name w:val="xl15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5">
    <w:name w:val="xl15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6">
    <w:name w:val="xl156"/>
    <w:basedOn w:val="1"/>
    <w:autoRedefine/>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7">
    <w:name w:val="xl15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8">
    <w:name w:val="xl14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09">
    <w:name w:val="安 Char"/>
    <w:basedOn w:val="1"/>
    <w:link w:val="1510"/>
    <w:autoRedefine/>
    <w:semiHidden/>
    <w:qFormat/>
    <w:uiPriority w:val="0"/>
    <w:pPr>
      <w:adjustRightInd w:val="0"/>
      <w:snapToGrid w:val="0"/>
      <w:spacing w:line="300" w:lineRule="auto"/>
      <w:textAlignment w:val="baseline"/>
    </w:pPr>
    <w:rPr>
      <w:rFonts w:ascii="Arial Narrow" w:hAnsi="Arial Narrow" w:eastAsia="黑体"/>
      <w:b/>
      <w:bCs/>
      <w:sz w:val="28"/>
    </w:rPr>
  </w:style>
  <w:style w:type="character" w:customStyle="1" w:styleId="1510">
    <w:name w:val="安 Char Char"/>
    <w:link w:val="1509"/>
    <w:autoRedefine/>
    <w:semiHidden/>
    <w:qFormat/>
    <w:uiPriority w:val="0"/>
    <w:rPr>
      <w:rFonts w:ascii="Arial Narrow" w:hAnsi="Arial Narrow" w:eastAsia="黑体"/>
      <w:b/>
      <w:bCs/>
      <w:kern w:val="2"/>
      <w:sz w:val="28"/>
      <w:szCs w:val="24"/>
    </w:rPr>
  </w:style>
  <w:style w:type="character" w:customStyle="1" w:styleId="1511">
    <w:name w:val="标题 4 Char Char"/>
    <w:autoRedefine/>
    <w:qFormat/>
    <w:uiPriority w:val="0"/>
    <w:rPr>
      <w:rFonts w:eastAsia="宋体"/>
      <w:b/>
      <w:kern w:val="2"/>
      <w:sz w:val="24"/>
      <w:szCs w:val="24"/>
      <w:lang w:val="en-US" w:eastAsia="zh-CN" w:bidi="ar-SA"/>
    </w:rPr>
  </w:style>
  <w:style w:type="paragraph" w:customStyle="1" w:styleId="1512">
    <w:name w:val="样式 标题 5第四层条第四层条1第四层条2第四层条3第四层条11第五层第四层条4第四层条5第四层条6第四层条..."/>
    <w:basedOn w:val="9"/>
    <w:autoRedefine/>
    <w:qFormat/>
    <w:uiPriority w:val="0"/>
    <w:pPr>
      <w:keepNext w:val="0"/>
      <w:keepLines w:val="0"/>
      <w:widowControl/>
      <w:tabs>
        <w:tab w:val="left" w:pos="720"/>
      </w:tabs>
      <w:adjustRightInd/>
      <w:snapToGrid w:val="0"/>
      <w:spacing w:beforeLines="50" w:afterLines="50" w:line="300" w:lineRule="auto"/>
      <w:ind w:left="720" w:firstLine="200" w:firstLineChars="200"/>
      <w:jc w:val="left"/>
    </w:pPr>
    <w:rPr>
      <w:rFonts w:ascii="黑体" w:eastAsia="黑体" w:cs="宋体"/>
      <w:b w:val="0"/>
      <w:color w:val="000000"/>
      <w:sz w:val="24"/>
      <w:szCs w:val="24"/>
    </w:rPr>
  </w:style>
  <w:style w:type="paragraph" w:customStyle="1" w:styleId="1513">
    <w:name w:val="正文内容格式"/>
    <w:basedOn w:val="1"/>
    <w:link w:val="1514"/>
    <w:autoRedefine/>
    <w:qFormat/>
    <w:uiPriority w:val="0"/>
    <w:pPr>
      <w:widowControl/>
      <w:adjustRightInd w:val="0"/>
      <w:snapToGrid w:val="0"/>
      <w:spacing w:line="300" w:lineRule="auto"/>
      <w:textAlignment w:val="baseline"/>
    </w:pPr>
    <w:rPr>
      <w:rFonts w:ascii="宋体" w:hAnsi="宋体"/>
      <w:kern w:val="0"/>
      <w:sz w:val="24"/>
    </w:rPr>
  </w:style>
  <w:style w:type="character" w:customStyle="1" w:styleId="1514">
    <w:name w:val="正文内容格式 Char"/>
    <w:link w:val="1513"/>
    <w:autoRedefine/>
    <w:qFormat/>
    <w:uiPriority w:val="0"/>
    <w:rPr>
      <w:rFonts w:ascii="宋体" w:hAnsi="宋体"/>
      <w:sz w:val="24"/>
      <w:szCs w:val="24"/>
    </w:rPr>
  </w:style>
  <w:style w:type="paragraph" w:customStyle="1" w:styleId="1515">
    <w:name w:val="题注-题注-图表"/>
    <w:basedOn w:val="1"/>
    <w:next w:val="1"/>
    <w:link w:val="1516"/>
    <w:autoRedefine/>
    <w:qFormat/>
    <w:uiPriority w:val="0"/>
    <w:pPr>
      <w:spacing w:beforeLines="50" w:afterLines="50" w:line="360" w:lineRule="auto"/>
      <w:jc w:val="center"/>
    </w:pPr>
    <w:rPr>
      <w:rFonts w:ascii="黑体" w:hAnsi="宋体" w:eastAsia="黑体"/>
      <w:sz w:val="24"/>
    </w:rPr>
  </w:style>
  <w:style w:type="character" w:customStyle="1" w:styleId="1516">
    <w:name w:val="题注-题注-图表 Char Char"/>
    <w:link w:val="1515"/>
    <w:autoRedefine/>
    <w:qFormat/>
    <w:uiPriority w:val="0"/>
    <w:rPr>
      <w:rFonts w:ascii="黑体" w:hAnsi="宋体" w:eastAsia="黑体"/>
      <w:kern w:val="2"/>
      <w:sz w:val="24"/>
      <w:szCs w:val="24"/>
    </w:rPr>
  </w:style>
  <w:style w:type="paragraph" w:customStyle="1" w:styleId="1517">
    <w:name w:val="font13"/>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518">
    <w:name w:val="xl158"/>
    <w:basedOn w:val="1"/>
    <w:autoRedefine/>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pPr>
    <w:rPr>
      <w:b/>
      <w:bCs/>
      <w:kern w:val="0"/>
      <w:sz w:val="20"/>
      <w:szCs w:val="20"/>
    </w:rPr>
  </w:style>
  <w:style w:type="paragraph" w:customStyle="1" w:styleId="1519">
    <w:name w:val="xl159"/>
    <w:basedOn w:val="1"/>
    <w:autoRedefine/>
    <w:qFormat/>
    <w:uiPriority w:val="0"/>
    <w:pPr>
      <w:widowControl/>
      <w:pBdr>
        <w:top w:val="single" w:color="auto" w:sz="4" w:space="0"/>
        <w:bottom w:val="single" w:color="auto" w:sz="4" w:space="0"/>
      </w:pBdr>
      <w:shd w:val="clear" w:color="000000" w:fill="FFFFFF"/>
      <w:spacing w:before="100" w:beforeAutospacing="1" w:after="100" w:afterAutospacing="1"/>
      <w:jc w:val="center"/>
    </w:pPr>
    <w:rPr>
      <w:b/>
      <w:bCs/>
      <w:kern w:val="0"/>
      <w:sz w:val="20"/>
      <w:szCs w:val="20"/>
    </w:rPr>
  </w:style>
  <w:style w:type="paragraph" w:customStyle="1" w:styleId="1520">
    <w:name w:val="xl160"/>
    <w:basedOn w:val="1"/>
    <w:autoRedefine/>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b/>
      <w:bCs/>
      <w:kern w:val="0"/>
      <w:sz w:val="20"/>
      <w:szCs w:val="20"/>
    </w:rPr>
  </w:style>
  <w:style w:type="paragraph" w:customStyle="1" w:styleId="1521">
    <w:name w:val="xl16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top"/>
    </w:pPr>
    <w:rPr>
      <w:kern w:val="0"/>
      <w:sz w:val="20"/>
      <w:szCs w:val="20"/>
    </w:rPr>
  </w:style>
  <w:style w:type="paragraph" w:customStyle="1" w:styleId="1522">
    <w:name w:val="xl162"/>
    <w:basedOn w:val="1"/>
    <w:autoRedefine/>
    <w:qFormat/>
    <w:uiPriority w:val="0"/>
    <w:pPr>
      <w:widowControl/>
      <w:pBdr>
        <w:left w:val="single" w:color="auto" w:sz="4" w:space="0"/>
        <w:right w:val="single" w:color="auto" w:sz="4" w:space="0"/>
      </w:pBdr>
      <w:spacing w:before="100" w:beforeAutospacing="1" w:after="100" w:afterAutospacing="1"/>
      <w:jc w:val="left"/>
      <w:textAlignment w:val="top"/>
    </w:pPr>
    <w:rPr>
      <w:kern w:val="0"/>
      <w:sz w:val="20"/>
      <w:szCs w:val="20"/>
    </w:rPr>
  </w:style>
  <w:style w:type="paragraph" w:customStyle="1" w:styleId="1523">
    <w:name w:val="xl16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top"/>
    </w:pPr>
    <w:rPr>
      <w:kern w:val="0"/>
      <w:sz w:val="20"/>
      <w:szCs w:val="20"/>
    </w:rPr>
  </w:style>
  <w:style w:type="paragraph" w:customStyle="1" w:styleId="1524">
    <w:name w:val="xl164"/>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kern w:val="0"/>
      <w:sz w:val="20"/>
      <w:szCs w:val="20"/>
    </w:rPr>
  </w:style>
  <w:style w:type="paragraph" w:customStyle="1" w:styleId="1525">
    <w:name w:val="xl165"/>
    <w:basedOn w:val="1"/>
    <w:autoRedefine/>
    <w:qFormat/>
    <w:uiPriority w:val="0"/>
    <w:pPr>
      <w:widowControl/>
      <w:pBdr>
        <w:top w:val="single" w:color="auto" w:sz="4" w:space="0"/>
        <w:bottom w:val="single" w:color="auto" w:sz="4" w:space="0"/>
      </w:pBdr>
      <w:spacing w:before="100" w:beforeAutospacing="1" w:after="100" w:afterAutospacing="1"/>
      <w:jc w:val="center"/>
    </w:pPr>
    <w:rPr>
      <w:kern w:val="0"/>
      <w:sz w:val="20"/>
      <w:szCs w:val="20"/>
    </w:rPr>
  </w:style>
  <w:style w:type="paragraph" w:customStyle="1" w:styleId="1526">
    <w:name w:val="xl166"/>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527">
    <w:name w:val="xl167"/>
    <w:basedOn w:val="1"/>
    <w:autoRedefine/>
    <w:qFormat/>
    <w:uiPriority w:val="0"/>
    <w:pPr>
      <w:widowControl/>
      <w:pBdr>
        <w:top w:val="single" w:color="auto" w:sz="4" w:space="0"/>
        <w:left w:val="single" w:color="auto" w:sz="4" w:space="0"/>
      </w:pBdr>
      <w:spacing w:before="100" w:beforeAutospacing="1" w:after="100" w:afterAutospacing="1"/>
      <w:jc w:val="center"/>
    </w:pPr>
    <w:rPr>
      <w:b/>
      <w:bCs/>
      <w:kern w:val="0"/>
      <w:sz w:val="20"/>
      <w:szCs w:val="20"/>
    </w:rPr>
  </w:style>
  <w:style w:type="paragraph" w:customStyle="1" w:styleId="1528">
    <w:name w:val="xl168"/>
    <w:basedOn w:val="1"/>
    <w:autoRedefine/>
    <w:qFormat/>
    <w:uiPriority w:val="0"/>
    <w:pPr>
      <w:widowControl/>
      <w:pBdr>
        <w:top w:val="single" w:color="auto" w:sz="4" w:space="0"/>
      </w:pBdr>
      <w:spacing w:before="100" w:beforeAutospacing="1" w:after="100" w:afterAutospacing="1"/>
      <w:jc w:val="center"/>
    </w:pPr>
    <w:rPr>
      <w:b/>
      <w:bCs/>
      <w:kern w:val="0"/>
      <w:sz w:val="20"/>
      <w:szCs w:val="20"/>
    </w:rPr>
  </w:style>
  <w:style w:type="paragraph" w:customStyle="1" w:styleId="1529">
    <w:name w:val="xl169"/>
    <w:basedOn w:val="1"/>
    <w:autoRedefine/>
    <w:qFormat/>
    <w:uiPriority w:val="0"/>
    <w:pPr>
      <w:widowControl/>
      <w:pBdr>
        <w:top w:val="single" w:color="auto" w:sz="4" w:space="0"/>
        <w:right w:val="single" w:color="auto" w:sz="4" w:space="0"/>
      </w:pBdr>
      <w:spacing w:before="100" w:beforeAutospacing="1" w:after="100" w:afterAutospacing="1"/>
      <w:jc w:val="center"/>
    </w:pPr>
    <w:rPr>
      <w:b/>
      <w:bCs/>
      <w:kern w:val="0"/>
      <w:sz w:val="20"/>
      <w:szCs w:val="20"/>
    </w:rPr>
  </w:style>
  <w:style w:type="paragraph" w:customStyle="1" w:styleId="1530">
    <w:name w:val="xl1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1531">
    <w:name w:val="font14"/>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32">
    <w:name w:val="xl1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1533">
    <w:name w:val="xl1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534">
    <w:name w:val="xl1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535">
    <w:name w:val="xl1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536">
    <w:name w:val="xl17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37">
    <w:name w:val="font15"/>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538">
    <w:name w:val="正文不空"/>
    <w:basedOn w:val="1"/>
    <w:link w:val="1539"/>
    <w:autoRedefine/>
    <w:qFormat/>
    <w:uiPriority w:val="0"/>
    <w:pPr>
      <w:spacing w:line="360" w:lineRule="auto"/>
      <w:jc w:val="center"/>
    </w:pPr>
    <w:rPr>
      <w:rFonts w:ascii="仿宋_GB2312" w:hAnsi="Calibri" w:eastAsia="仿宋_GB2312"/>
      <w:sz w:val="24"/>
    </w:rPr>
  </w:style>
  <w:style w:type="character" w:customStyle="1" w:styleId="1539">
    <w:name w:val="正文不空 Char"/>
    <w:link w:val="1538"/>
    <w:autoRedefine/>
    <w:qFormat/>
    <w:uiPriority w:val="0"/>
    <w:rPr>
      <w:rFonts w:ascii="仿宋_GB2312" w:hAnsi="Calibri" w:eastAsia="仿宋_GB2312"/>
      <w:kern w:val="2"/>
      <w:sz w:val="24"/>
      <w:szCs w:val="24"/>
    </w:rPr>
  </w:style>
  <w:style w:type="paragraph" w:customStyle="1" w:styleId="1540">
    <w:name w:val="缩进正文"/>
    <w:basedOn w:val="1"/>
    <w:link w:val="1541"/>
    <w:autoRedefine/>
    <w:qFormat/>
    <w:uiPriority w:val="0"/>
    <w:pPr>
      <w:adjustRightInd w:val="0"/>
      <w:spacing w:line="360" w:lineRule="auto"/>
      <w:ind w:firstLine="200" w:firstLineChars="200"/>
      <w:jc w:val="left"/>
    </w:pPr>
    <w:rPr>
      <w:rFonts w:ascii="Calibri" w:hAnsi="Calibri"/>
      <w:sz w:val="24"/>
    </w:rPr>
  </w:style>
  <w:style w:type="character" w:customStyle="1" w:styleId="1541">
    <w:name w:val="缩进正文 Char Char"/>
    <w:link w:val="1540"/>
    <w:autoRedefine/>
    <w:qFormat/>
    <w:uiPriority w:val="0"/>
    <w:rPr>
      <w:rFonts w:ascii="Calibri" w:hAnsi="Calibri"/>
      <w:kern w:val="2"/>
      <w:sz w:val="24"/>
      <w:szCs w:val="24"/>
    </w:rPr>
  </w:style>
  <w:style w:type="paragraph" w:customStyle="1" w:styleId="1542">
    <w:name w:val="编号1"/>
    <w:basedOn w:val="1"/>
    <w:autoRedefine/>
    <w:qFormat/>
    <w:uiPriority w:val="0"/>
    <w:pPr>
      <w:adjustRightInd w:val="0"/>
      <w:spacing w:line="360" w:lineRule="auto"/>
      <w:ind w:left="420"/>
      <w:jc w:val="left"/>
    </w:pPr>
    <w:rPr>
      <w:rFonts w:ascii="Calibri" w:hAnsi="Calibri"/>
      <w:sz w:val="24"/>
    </w:rPr>
  </w:style>
  <w:style w:type="paragraph" w:customStyle="1" w:styleId="1543">
    <w:name w:val="编号2"/>
    <w:basedOn w:val="1"/>
    <w:autoRedefine/>
    <w:qFormat/>
    <w:uiPriority w:val="0"/>
    <w:pPr>
      <w:wordWrap w:val="0"/>
      <w:adjustRightInd w:val="0"/>
      <w:spacing w:line="360" w:lineRule="auto"/>
      <w:ind w:left="720"/>
      <w:jc w:val="left"/>
    </w:pPr>
    <w:rPr>
      <w:rFonts w:ascii="Calibri" w:hAnsi="Calibri"/>
      <w:sz w:val="24"/>
    </w:rPr>
  </w:style>
  <w:style w:type="paragraph" w:customStyle="1" w:styleId="1544">
    <w:name w:val="编号3"/>
    <w:basedOn w:val="1"/>
    <w:autoRedefine/>
    <w:qFormat/>
    <w:uiPriority w:val="0"/>
    <w:pPr>
      <w:adjustRightInd w:val="0"/>
      <w:spacing w:line="360" w:lineRule="auto"/>
      <w:ind w:left="820"/>
      <w:jc w:val="left"/>
    </w:pPr>
    <w:rPr>
      <w:rFonts w:ascii="Calibri" w:hAnsi="Calibri"/>
      <w:sz w:val="24"/>
    </w:rPr>
  </w:style>
  <w:style w:type="paragraph" w:customStyle="1" w:styleId="1545">
    <w:name w:val="编号4"/>
    <w:basedOn w:val="1"/>
    <w:autoRedefine/>
    <w:qFormat/>
    <w:uiPriority w:val="0"/>
    <w:pPr>
      <w:wordWrap w:val="0"/>
      <w:adjustRightInd w:val="0"/>
      <w:spacing w:line="360" w:lineRule="auto"/>
      <w:ind w:left="1223"/>
      <w:jc w:val="left"/>
    </w:pPr>
    <w:rPr>
      <w:rFonts w:ascii="Calibri" w:hAnsi="Calibri"/>
      <w:sz w:val="24"/>
    </w:rPr>
  </w:style>
  <w:style w:type="paragraph" w:customStyle="1" w:styleId="1546">
    <w:name w:val="样式 缩进正文 + 首行缩进:  2 字符"/>
    <w:basedOn w:val="1540"/>
    <w:autoRedefine/>
    <w:qFormat/>
    <w:uiPriority w:val="0"/>
    <w:rPr>
      <w:rFonts w:cs="宋体"/>
      <w:szCs w:val="20"/>
    </w:rPr>
  </w:style>
  <w:style w:type="paragraph" w:customStyle="1" w:styleId="1547">
    <w:name w:val="题注居中"/>
    <w:basedOn w:val="1"/>
    <w:autoRedefine/>
    <w:qFormat/>
    <w:uiPriority w:val="0"/>
    <w:pPr>
      <w:adjustRightInd w:val="0"/>
      <w:spacing w:line="360" w:lineRule="auto"/>
      <w:jc w:val="center"/>
    </w:pPr>
    <w:rPr>
      <w:rFonts w:ascii="Calibri" w:hAnsi="Calibri"/>
      <w:szCs w:val="44"/>
    </w:rPr>
  </w:style>
  <w:style w:type="paragraph" w:customStyle="1" w:styleId="1548">
    <w:name w:val="封面居中1"/>
    <w:basedOn w:val="1"/>
    <w:autoRedefine/>
    <w:qFormat/>
    <w:uiPriority w:val="0"/>
    <w:pPr>
      <w:adjustRightInd w:val="0"/>
      <w:spacing w:line="360" w:lineRule="auto"/>
      <w:jc w:val="center"/>
    </w:pPr>
    <w:rPr>
      <w:rFonts w:ascii="Calibri" w:hAnsi="Calibri" w:eastAsia="黑体"/>
      <w:b/>
      <w:sz w:val="44"/>
    </w:rPr>
  </w:style>
  <w:style w:type="paragraph" w:customStyle="1" w:styleId="1549">
    <w:name w:val="封面居中2"/>
    <w:basedOn w:val="1548"/>
    <w:autoRedefine/>
    <w:qFormat/>
    <w:uiPriority w:val="0"/>
    <w:rPr>
      <w:sz w:val="32"/>
    </w:rPr>
  </w:style>
  <w:style w:type="paragraph" w:customStyle="1" w:styleId="1550">
    <w:name w:val="样式 缩进正文 + 首行缩进:  2 字符1"/>
    <w:basedOn w:val="1540"/>
    <w:autoRedefine/>
    <w:qFormat/>
    <w:uiPriority w:val="0"/>
    <w:rPr>
      <w:rFonts w:cs="宋体"/>
      <w:sz w:val="21"/>
      <w:szCs w:val="20"/>
    </w:rPr>
  </w:style>
  <w:style w:type="paragraph" w:customStyle="1" w:styleId="1551">
    <w:name w:val="样式 样式 缩进正文 + 首行缩进:  2 字符1 + 首行缩进:  2 字符"/>
    <w:basedOn w:val="1550"/>
    <w:autoRedefine/>
    <w:qFormat/>
    <w:uiPriority w:val="0"/>
    <w:pPr>
      <w:ind w:firstLine="420"/>
    </w:pPr>
  </w:style>
  <w:style w:type="paragraph" w:customStyle="1" w:styleId="1552">
    <w:name w:val="居右"/>
    <w:basedOn w:val="1"/>
    <w:autoRedefine/>
    <w:qFormat/>
    <w:uiPriority w:val="0"/>
    <w:pPr>
      <w:spacing w:line="360" w:lineRule="auto"/>
      <w:jc w:val="right"/>
    </w:pPr>
    <w:rPr>
      <w:rFonts w:ascii="Calibri" w:hAnsi="Calibri"/>
      <w:b/>
      <w:sz w:val="24"/>
    </w:rPr>
  </w:style>
  <w:style w:type="paragraph" w:customStyle="1" w:styleId="1553">
    <w:name w:val="表正文黑体"/>
    <w:basedOn w:val="1"/>
    <w:autoRedefine/>
    <w:qFormat/>
    <w:uiPriority w:val="0"/>
    <w:pPr>
      <w:jc w:val="left"/>
    </w:pPr>
    <w:rPr>
      <w:rFonts w:ascii="Calibri" w:hAnsi="Calibri" w:eastAsia="黑体"/>
    </w:rPr>
  </w:style>
  <w:style w:type="paragraph" w:customStyle="1" w:styleId="1554">
    <w:name w:val="表格标题黑体"/>
    <w:basedOn w:val="1"/>
    <w:autoRedefine/>
    <w:qFormat/>
    <w:uiPriority w:val="0"/>
    <w:pPr>
      <w:jc w:val="center"/>
    </w:pPr>
    <w:rPr>
      <w:rFonts w:ascii="Calibri" w:hAnsi="Calibri" w:eastAsia="黑体"/>
      <w:b/>
      <w:kern w:val="0"/>
    </w:rPr>
  </w:style>
  <w:style w:type="paragraph" w:customStyle="1" w:styleId="1555">
    <w:name w:val="表格标题居左黑体"/>
    <w:basedOn w:val="1554"/>
    <w:autoRedefine/>
    <w:qFormat/>
    <w:uiPriority w:val="0"/>
    <w:pPr>
      <w:jc w:val="left"/>
    </w:pPr>
    <w:rPr>
      <w:b w:val="0"/>
    </w:rPr>
  </w:style>
  <w:style w:type="paragraph" w:customStyle="1" w:styleId="1556">
    <w:name w:val="居中"/>
    <w:basedOn w:val="1"/>
    <w:autoRedefine/>
    <w:qFormat/>
    <w:uiPriority w:val="0"/>
    <w:pPr>
      <w:adjustRightInd w:val="0"/>
      <w:spacing w:line="360" w:lineRule="auto"/>
      <w:jc w:val="center"/>
    </w:pPr>
    <w:rPr>
      <w:rFonts w:ascii="Calibri" w:hAnsi="Calibri"/>
      <w:sz w:val="24"/>
    </w:rPr>
  </w:style>
  <w:style w:type="paragraph" w:customStyle="1" w:styleId="1557">
    <w:name w:val="正文缩进加粗"/>
    <w:basedOn w:val="1540"/>
    <w:autoRedefine/>
    <w:qFormat/>
    <w:uiPriority w:val="0"/>
    <w:rPr>
      <w:b/>
    </w:rPr>
  </w:style>
  <w:style w:type="paragraph" w:customStyle="1" w:styleId="1558">
    <w:name w:val="正文不缩进加粗"/>
    <w:basedOn w:val="1"/>
    <w:next w:val="1"/>
    <w:autoRedefine/>
    <w:qFormat/>
    <w:uiPriority w:val="0"/>
    <w:pPr>
      <w:spacing w:line="360" w:lineRule="auto"/>
    </w:pPr>
    <w:rPr>
      <w:rFonts w:ascii="Calibri" w:hAnsi="Calibri"/>
      <w:b/>
      <w:sz w:val="24"/>
    </w:rPr>
  </w:style>
  <w:style w:type="paragraph" w:customStyle="1" w:styleId="1559">
    <w:name w:val="图表题目"/>
    <w:basedOn w:val="1554"/>
    <w:autoRedefine/>
    <w:qFormat/>
    <w:uiPriority w:val="0"/>
    <w:pPr>
      <w:spacing w:line="360" w:lineRule="auto"/>
    </w:pPr>
  </w:style>
  <w:style w:type="paragraph" w:customStyle="1" w:styleId="1560">
    <w:name w:val="图表题目居左"/>
    <w:basedOn w:val="1559"/>
    <w:autoRedefine/>
    <w:qFormat/>
    <w:uiPriority w:val="0"/>
    <w:pPr>
      <w:jc w:val="left"/>
    </w:pPr>
  </w:style>
  <w:style w:type="paragraph" w:customStyle="1" w:styleId="1561">
    <w:name w:val="标点正文"/>
    <w:basedOn w:val="1"/>
    <w:autoRedefine/>
    <w:qFormat/>
    <w:uiPriority w:val="0"/>
    <w:pPr>
      <w:tabs>
        <w:tab w:val="left" w:pos="1120"/>
      </w:tabs>
      <w:spacing w:line="360" w:lineRule="auto"/>
      <w:ind w:left="1133" w:leftChars="250" w:hanging="608" w:hangingChars="217"/>
    </w:pPr>
    <w:rPr>
      <w:sz w:val="28"/>
      <w:szCs w:val="28"/>
    </w:rPr>
  </w:style>
  <w:style w:type="paragraph" w:customStyle="1" w:styleId="1562">
    <w:name w:val="样式 题注题注(图注) + 居中"/>
    <w:basedOn w:val="21"/>
    <w:autoRedefine/>
    <w:qFormat/>
    <w:uiPriority w:val="0"/>
    <w:pPr>
      <w:spacing w:before="152" w:after="160" w:line="240" w:lineRule="auto"/>
      <w:jc w:val="center"/>
    </w:pPr>
    <w:rPr>
      <w:rFonts w:ascii="Arial" w:hAnsi="Arial" w:eastAsia="黑体" w:cs="宋体"/>
      <w:sz w:val="20"/>
      <w:szCs w:val="21"/>
    </w:rPr>
  </w:style>
  <w:style w:type="paragraph" w:customStyle="1" w:styleId="1563">
    <w:name w:val="四号正文"/>
    <w:basedOn w:val="1"/>
    <w:autoRedefine/>
    <w:qFormat/>
    <w:uiPriority w:val="0"/>
    <w:pPr>
      <w:spacing w:line="360" w:lineRule="auto"/>
      <w:ind w:firstLine="560" w:firstLineChars="200"/>
    </w:pPr>
    <w:rPr>
      <w:sz w:val="28"/>
      <w:szCs w:val="28"/>
    </w:rPr>
  </w:style>
  <w:style w:type="paragraph" w:customStyle="1" w:styleId="1564">
    <w:name w:val="第二级标题（节）"/>
    <w:basedOn w:val="4"/>
    <w:autoRedefine/>
    <w:qFormat/>
    <w:uiPriority w:val="0"/>
    <w:pPr>
      <w:tabs>
        <w:tab w:val="left" w:pos="0"/>
        <w:tab w:val="left" w:pos="420"/>
      </w:tabs>
      <w:autoSpaceDE/>
      <w:autoSpaceDN/>
      <w:spacing w:before="0" w:beforeLines="50" w:afterLines="50" w:line="360" w:lineRule="auto"/>
      <w:ind w:left="1505" w:hanging="425"/>
      <w:jc w:val="both"/>
      <w:outlineLvl w:val="0"/>
    </w:pPr>
    <w:rPr>
      <w:rFonts w:ascii="黑体" w:hAnsi="黑体"/>
      <w:kern w:val="2"/>
      <w:sz w:val="32"/>
      <w:szCs w:val="32"/>
    </w:rPr>
  </w:style>
  <w:style w:type="paragraph" w:customStyle="1" w:styleId="1565">
    <w:name w:val="a乌鲁木齐图名"/>
    <w:autoRedefine/>
    <w:qFormat/>
    <w:uiPriority w:val="0"/>
    <w:pPr>
      <w:keepNext/>
      <w:spacing w:beforeLines="50" w:afterLines="50" w:line="360" w:lineRule="auto"/>
      <w:ind w:left="210" w:hanging="210" w:hangingChars="100"/>
      <w:jc w:val="center"/>
    </w:pPr>
    <w:rPr>
      <w:rFonts w:ascii="黑体" w:hAnsi="Arial" w:eastAsia="黑体" w:cs="Arial"/>
      <w:bCs/>
      <w:kern w:val="2"/>
      <w:sz w:val="21"/>
      <w:szCs w:val="32"/>
      <w:lang w:val="en-US" w:eastAsia="zh-CN" w:bidi="ar-SA"/>
    </w:rPr>
  </w:style>
  <w:style w:type="paragraph" w:customStyle="1" w:styleId="1566">
    <w:name w:val="a乌鲁木齐表名"/>
    <w:autoRedefine/>
    <w:qFormat/>
    <w:uiPriority w:val="0"/>
    <w:pPr>
      <w:spacing w:beforeLines="50" w:afterLines="50" w:line="360" w:lineRule="auto"/>
      <w:ind w:firstLine="200" w:firstLineChars="200"/>
      <w:jc w:val="center"/>
    </w:pPr>
    <w:rPr>
      <w:rFonts w:ascii="Arial" w:hAnsi="Arial" w:eastAsia="黑体" w:cs="Times New Roman"/>
      <w:bCs/>
      <w:kern w:val="2"/>
      <w:sz w:val="21"/>
      <w:szCs w:val="32"/>
      <w:lang w:val="en-US" w:eastAsia="zh-CN" w:bidi="ar-SA"/>
    </w:rPr>
  </w:style>
  <w:style w:type="paragraph" w:customStyle="1" w:styleId="1567">
    <w:name w:val="项目排序"/>
    <w:basedOn w:val="32"/>
    <w:next w:val="32"/>
    <w:autoRedefine/>
    <w:qFormat/>
    <w:uiPriority w:val="0"/>
    <w:pPr>
      <w:tabs>
        <w:tab w:val="clear" w:pos="567"/>
      </w:tabs>
      <w:spacing w:before="0" w:beforeLines="50" w:afterLines="50" w:line="360" w:lineRule="auto"/>
      <w:ind w:left="4532"/>
    </w:pPr>
    <w:rPr>
      <w:rFonts w:ascii="Times New Roman" w:hAnsi="Times New Roman"/>
      <w:b/>
      <w:kern w:val="0"/>
      <w:sz w:val="28"/>
      <w:szCs w:val="32"/>
    </w:rPr>
  </w:style>
  <w:style w:type="paragraph" w:customStyle="1" w:styleId="1568">
    <w:name w:val="0 正文"/>
    <w:basedOn w:val="1"/>
    <w:link w:val="1569"/>
    <w:autoRedefine/>
    <w:qFormat/>
    <w:uiPriority w:val="0"/>
    <w:pPr>
      <w:adjustRightInd w:val="0"/>
      <w:snapToGrid w:val="0"/>
      <w:spacing w:afterLines="50" w:line="360" w:lineRule="auto"/>
      <w:ind w:firstLine="560" w:firstLineChars="200"/>
    </w:pPr>
    <w:rPr>
      <w:rFonts w:ascii="仿宋_GB2312" w:hAnsi="Calibri" w:eastAsia="仿宋_GB2312"/>
      <w:sz w:val="28"/>
      <w:szCs w:val="28"/>
    </w:rPr>
  </w:style>
  <w:style w:type="character" w:customStyle="1" w:styleId="1569">
    <w:name w:val="0 正文 Char"/>
    <w:link w:val="1568"/>
    <w:autoRedefine/>
    <w:qFormat/>
    <w:uiPriority w:val="0"/>
    <w:rPr>
      <w:rFonts w:ascii="仿宋_GB2312" w:hAnsi="Calibri" w:eastAsia="仿宋_GB2312"/>
      <w:kern w:val="2"/>
      <w:sz w:val="28"/>
      <w:szCs w:val="28"/>
    </w:rPr>
  </w:style>
  <w:style w:type="character" w:customStyle="1" w:styleId="1570">
    <w:name w:val="标题 3 Char5"/>
    <w:autoRedefine/>
    <w:qFormat/>
    <w:uiPriority w:val="0"/>
    <w:rPr>
      <w:rFonts w:ascii="Arial" w:hAnsi="Arial" w:eastAsia="黑体"/>
      <w:kern w:val="2"/>
      <w:sz w:val="28"/>
      <w:szCs w:val="24"/>
    </w:rPr>
  </w:style>
  <w:style w:type="paragraph" w:customStyle="1" w:styleId="1571">
    <w:name w:val="小节"/>
    <w:basedOn w:val="9"/>
    <w:next w:val="1"/>
    <w:autoRedefine/>
    <w:qFormat/>
    <w:uiPriority w:val="0"/>
    <w:pPr>
      <w:keepNext w:val="0"/>
      <w:keepLines w:val="0"/>
      <w:adjustRightInd/>
      <w:snapToGrid w:val="0"/>
      <w:spacing w:beforeLines="50" w:afterLines="50" w:line="360" w:lineRule="auto"/>
      <w:ind w:firstLine="200" w:firstLineChars="200"/>
      <w:jc w:val="left"/>
      <w:textAlignment w:val="auto"/>
    </w:pPr>
    <w:rPr>
      <w:color w:val="000000"/>
      <w:sz w:val="24"/>
      <w:szCs w:val="28"/>
    </w:rPr>
  </w:style>
  <w:style w:type="paragraph" w:customStyle="1" w:styleId="1572">
    <w:name w:val="样式 标题 1 + 黑体 小二"/>
    <w:basedOn w:val="3"/>
    <w:autoRedefine/>
    <w:qFormat/>
    <w:uiPriority w:val="0"/>
    <w:pPr>
      <w:autoSpaceDE/>
      <w:autoSpaceDN/>
      <w:adjustRightInd/>
      <w:spacing w:before="0" w:after="0" w:line="576" w:lineRule="auto"/>
      <w:jc w:val="both"/>
    </w:pPr>
    <w:rPr>
      <w:rFonts w:ascii="黑体" w:hAnsi="黑体" w:eastAsia="黑体"/>
      <w:bCs/>
      <w:sz w:val="36"/>
      <w:szCs w:val="44"/>
    </w:rPr>
  </w:style>
  <w:style w:type="paragraph" w:customStyle="1" w:styleId="1573">
    <w:name w:val="细化编号"/>
    <w:basedOn w:val="1"/>
    <w:link w:val="1574"/>
    <w:autoRedefine/>
    <w:qFormat/>
    <w:uiPriority w:val="0"/>
    <w:pPr>
      <w:spacing w:beforeLines="50" w:afterLines="50" w:line="360" w:lineRule="auto"/>
      <w:ind w:left="987"/>
    </w:pPr>
    <w:rPr>
      <w:sz w:val="24"/>
    </w:rPr>
  </w:style>
  <w:style w:type="character" w:customStyle="1" w:styleId="1574">
    <w:name w:val="细化编号 Char"/>
    <w:link w:val="1573"/>
    <w:autoRedefine/>
    <w:qFormat/>
    <w:uiPriority w:val="0"/>
    <w:rPr>
      <w:kern w:val="2"/>
      <w:sz w:val="24"/>
      <w:szCs w:val="24"/>
    </w:rPr>
  </w:style>
  <w:style w:type="paragraph" w:customStyle="1" w:styleId="1575">
    <w:name w:val="条目样式"/>
    <w:basedOn w:val="148"/>
    <w:link w:val="1576"/>
    <w:autoRedefine/>
    <w:qFormat/>
    <w:uiPriority w:val="0"/>
    <w:pPr>
      <w:spacing w:beforeLines="50" w:afterLines="50"/>
      <w:ind w:firstLine="0" w:firstLineChars="0"/>
    </w:pPr>
    <w:rPr>
      <w:rFonts w:ascii="Times New Roman" w:hAnsi="Times New Roman"/>
      <w:sz w:val="24"/>
      <w:szCs w:val="24"/>
    </w:rPr>
  </w:style>
  <w:style w:type="character" w:customStyle="1" w:styleId="1576">
    <w:name w:val="条目样式 Char"/>
    <w:link w:val="1575"/>
    <w:autoRedefine/>
    <w:qFormat/>
    <w:uiPriority w:val="0"/>
    <w:rPr>
      <w:kern w:val="2"/>
      <w:sz w:val="24"/>
      <w:szCs w:val="24"/>
    </w:rPr>
  </w:style>
  <w:style w:type="paragraph" w:customStyle="1" w:styleId="1577">
    <w:name w:val="TEXT 10"/>
    <w:autoRedefine/>
    <w:qFormat/>
    <w:uiPriority w:val="0"/>
    <w:pPr>
      <w:spacing w:line="360" w:lineRule="auto"/>
      <w:jc w:val="both"/>
    </w:pPr>
    <w:rPr>
      <w:rFonts w:ascii="Arial" w:hAnsi="Arial" w:eastAsia="宋体" w:cs="Times New Roman"/>
      <w:lang w:val="en-AU" w:eastAsia="zh-CN" w:bidi="ar-SA"/>
    </w:rPr>
  </w:style>
  <w:style w:type="paragraph" w:customStyle="1" w:styleId="1578">
    <w:name w:val="正常正文"/>
    <w:basedOn w:val="1"/>
    <w:link w:val="1579"/>
    <w:autoRedefine/>
    <w:qFormat/>
    <w:uiPriority w:val="0"/>
    <w:pPr>
      <w:widowControl/>
      <w:spacing w:line="360" w:lineRule="auto"/>
      <w:ind w:firstLine="480" w:firstLineChars="200"/>
    </w:pPr>
    <w:rPr>
      <w:rFonts w:ascii="宋体" w:hAnsi="宋体"/>
      <w:color w:val="000000"/>
      <w:sz w:val="24"/>
    </w:rPr>
  </w:style>
  <w:style w:type="character" w:customStyle="1" w:styleId="1579">
    <w:name w:val="正常正文 Char"/>
    <w:link w:val="1578"/>
    <w:autoRedefine/>
    <w:qFormat/>
    <w:uiPriority w:val="0"/>
    <w:rPr>
      <w:rFonts w:ascii="宋体" w:hAnsi="宋体"/>
      <w:color w:val="000000"/>
      <w:kern w:val="2"/>
      <w:sz w:val="24"/>
      <w:szCs w:val="24"/>
    </w:rPr>
  </w:style>
  <w:style w:type="paragraph" w:customStyle="1" w:styleId="1580">
    <w:name w:val="章"/>
    <w:basedOn w:val="1"/>
    <w:autoRedefine/>
    <w:qFormat/>
    <w:uiPriority w:val="0"/>
    <w:pPr>
      <w:jc w:val="center"/>
      <w:outlineLvl w:val="0"/>
    </w:pPr>
    <w:rPr>
      <w:rFonts w:ascii="宋体" w:hAnsi="宋体"/>
      <w:sz w:val="36"/>
      <w:szCs w:val="36"/>
    </w:rPr>
  </w:style>
  <w:style w:type="paragraph" w:customStyle="1" w:styleId="1581">
    <w:name w:val="1）"/>
    <w:basedOn w:val="584"/>
    <w:link w:val="1582"/>
    <w:autoRedefine/>
    <w:qFormat/>
    <w:uiPriority w:val="0"/>
    <w:pPr>
      <w:widowControl w:val="0"/>
      <w:spacing w:before="0" w:beforeAutospacing="0" w:after="0" w:afterAutospacing="0" w:line="360" w:lineRule="auto"/>
      <w:ind w:firstLine="200" w:firstLineChars="200"/>
      <w:jc w:val="both"/>
      <w:outlineLvl w:val="9"/>
    </w:pPr>
    <w:rPr>
      <w:rFonts w:ascii="Cambria" w:hAnsi="Cambria" w:cs="Cambria"/>
      <w:color w:val="365F91"/>
      <w:kern w:val="2"/>
      <w:sz w:val="24"/>
    </w:rPr>
  </w:style>
  <w:style w:type="character" w:customStyle="1" w:styleId="1582">
    <w:name w:val="1） Char"/>
    <w:link w:val="1581"/>
    <w:autoRedefine/>
    <w:qFormat/>
    <w:uiPriority w:val="0"/>
    <w:rPr>
      <w:rFonts w:ascii="Cambria" w:hAnsi="Cambria" w:eastAsia="黑体" w:cs="Cambria"/>
      <w:b/>
      <w:color w:val="365F91"/>
      <w:kern w:val="2"/>
      <w:sz w:val="24"/>
      <w:szCs w:val="24"/>
    </w:rPr>
  </w:style>
  <w:style w:type="paragraph" w:customStyle="1" w:styleId="1583">
    <w:name w:val="_正文段落"/>
    <w:basedOn w:val="1"/>
    <w:link w:val="1584"/>
    <w:autoRedefine/>
    <w:qFormat/>
    <w:uiPriority w:val="0"/>
    <w:pPr>
      <w:adjustRightInd w:val="0"/>
      <w:spacing w:line="360" w:lineRule="auto"/>
      <w:ind w:firstLine="480" w:firstLineChars="200"/>
    </w:pPr>
    <w:rPr>
      <w:rFonts w:ascii="宋体" w:hAnsi="宋体"/>
      <w:color w:val="000000"/>
      <w:kern w:val="0"/>
      <w:sz w:val="24"/>
    </w:rPr>
  </w:style>
  <w:style w:type="character" w:customStyle="1" w:styleId="1584">
    <w:name w:val="_正文段落 Char"/>
    <w:link w:val="1583"/>
    <w:autoRedefine/>
    <w:qFormat/>
    <w:uiPriority w:val="0"/>
    <w:rPr>
      <w:rFonts w:ascii="宋体" w:hAnsi="宋体"/>
      <w:color w:val="000000"/>
      <w:sz w:val="24"/>
      <w:szCs w:val="24"/>
    </w:rPr>
  </w:style>
  <w:style w:type="paragraph" w:customStyle="1" w:styleId="1585">
    <w:name w:val="正文 首行缩进"/>
    <w:basedOn w:val="1"/>
    <w:link w:val="1586"/>
    <w:autoRedefine/>
    <w:qFormat/>
    <w:uiPriority w:val="0"/>
    <w:pPr>
      <w:widowControl/>
      <w:snapToGrid w:val="0"/>
      <w:spacing w:line="360" w:lineRule="auto"/>
      <w:ind w:firstLine="480" w:firstLineChars="200"/>
      <w:jc w:val="left"/>
    </w:pPr>
    <w:rPr>
      <w:rFonts w:ascii="宋体" w:hAnsi="宋体"/>
      <w:sz w:val="24"/>
      <w:szCs w:val="22"/>
    </w:rPr>
  </w:style>
  <w:style w:type="character" w:customStyle="1" w:styleId="1586">
    <w:name w:val="正文 首行缩进 Char"/>
    <w:link w:val="1585"/>
    <w:autoRedefine/>
    <w:qFormat/>
    <w:uiPriority w:val="0"/>
    <w:rPr>
      <w:rFonts w:ascii="宋体" w:hAnsi="宋体"/>
      <w:kern w:val="2"/>
      <w:sz w:val="24"/>
      <w:szCs w:val="22"/>
    </w:rPr>
  </w:style>
  <w:style w:type="character" w:customStyle="1" w:styleId="1587">
    <w:name w:val="正文首行缩进（绿盟科技） Char"/>
    <w:link w:val="1588"/>
    <w:autoRedefine/>
    <w:qFormat/>
    <w:locked/>
    <w:uiPriority w:val="0"/>
    <w:rPr>
      <w:rFonts w:ascii="Arial" w:hAnsi="Arial"/>
      <w:sz w:val="24"/>
      <w:szCs w:val="21"/>
    </w:rPr>
  </w:style>
  <w:style w:type="paragraph" w:customStyle="1" w:styleId="1588">
    <w:name w:val="正文首行缩进（绿盟科技）"/>
    <w:basedOn w:val="1"/>
    <w:link w:val="1587"/>
    <w:autoRedefine/>
    <w:qFormat/>
    <w:uiPriority w:val="0"/>
    <w:pPr>
      <w:widowControl/>
      <w:autoSpaceDE w:val="0"/>
      <w:autoSpaceDN w:val="0"/>
      <w:adjustRightInd w:val="0"/>
      <w:spacing w:after="50" w:line="300" w:lineRule="auto"/>
      <w:ind w:firstLine="200" w:firstLineChars="200"/>
      <w:jc w:val="left"/>
    </w:pPr>
    <w:rPr>
      <w:rFonts w:ascii="Arial" w:hAnsi="Arial"/>
      <w:kern w:val="0"/>
      <w:sz w:val="24"/>
      <w:szCs w:val="21"/>
    </w:rPr>
  </w:style>
  <w:style w:type="character" w:customStyle="1" w:styleId="1589">
    <w:name w:val="正文（绿盟科技） Char"/>
    <w:link w:val="1590"/>
    <w:autoRedefine/>
    <w:qFormat/>
    <w:locked/>
    <w:uiPriority w:val="0"/>
    <w:rPr>
      <w:szCs w:val="21"/>
    </w:rPr>
  </w:style>
  <w:style w:type="paragraph" w:customStyle="1" w:styleId="1590">
    <w:name w:val="正文（绿盟科技）"/>
    <w:link w:val="1589"/>
    <w:autoRedefine/>
    <w:qFormat/>
    <w:uiPriority w:val="0"/>
    <w:pPr>
      <w:spacing w:line="300" w:lineRule="auto"/>
    </w:pPr>
    <w:rPr>
      <w:rFonts w:ascii="Times New Roman" w:hAnsi="Times New Roman" w:eastAsia="宋体" w:cs="Times New Roman"/>
      <w:szCs w:val="21"/>
      <w:lang w:val="en-US" w:eastAsia="zh-CN" w:bidi="ar-SA"/>
    </w:rPr>
  </w:style>
  <w:style w:type="character" w:customStyle="1" w:styleId="1591">
    <w:name w:val="列表（符号一级）（绿盟科技） Char"/>
    <w:link w:val="1592"/>
    <w:autoRedefine/>
    <w:qFormat/>
    <w:locked/>
    <w:uiPriority w:val="0"/>
    <w:rPr>
      <w:szCs w:val="21"/>
    </w:rPr>
  </w:style>
  <w:style w:type="paragraph" w:customStyle="1" w:styleId="1592">
    <w:name w:val="列表（符号一级）（绿盟科技）"/>
    <w:basedOn w:val="1590"/>
    <w:link w:val="1591"/>
    <w:autoRedefine/>
    <w:qFormat/>
    <w:uiPriority w:val="0"/>
    <w:pPr>
      <w:ind w:left="420" w:hanging="420"/>
    </w:pPr>
  </w:style>
  <w:style w:type="paragraph" w:customStyle="1" w:styleId="1593">
    <w:name w:val="列表（符号二级）（绿盟科技）"/>
    <w:basedOn w:val="1592"/>
    <w:autoRedefine/>
    <w:qFormat/>
    <w:uiPriority w:val="0"/>
    <w:pPr>
      <w:tabs>
        <w:tab w:val="left" w:pos="360"/>
        <w:tab w:val="left" w:pos="718"/>
      </w:tabs>
      <w:ind w:left="1260" w:hanging="576"/>
    </w:pPr>
  </w:style>
  <w:style w:type="paragraph" w:customStyle="1" w:styleId="1594">
    <w:name w:val="1级标题"/>
    <w:basedOn w:val="1"/>
    <w:next w:val="1"/>
    <w:autoRedefine/>
    <w:qFormat/>
    <w:uiPriority w:val="0"/>
    <w:pPr>
      <w:pageBreakBefore/>
      <w:spacing w:line="360" w:lineRule="auto"/>
      <w:jc w:val="center"/>
      <w:outlineLvl w:val="0"/>
    </w:pPr>
    <w:rPr>
      <w:rFonts w:ascii="Calibri" w:hAnsi="Calibri"/>
      <w:b/>
      <w:sz w:val="32"/>
      <w:szCs w:val="22"/>
    </w:rPr>
  </w:style>
  <w:style w:type="paragraph" w:customStyle="1" w:styleId="1595">
    <w:name w:val="2级标题"/>
    <w:basedOn w:val="1594"/>
    <w:next w:val="1"/>
    <w:autoRedefine/>
    <w:qFormat/>
    <w:uiPriority w:val="0"/>
    <w:pPr>
      <w:pageBreakBefore w:val="0"/>
      <w:ind w:left="425"/>
      <w:jc w:val="left"/>
      <w:outlineLvl w:val="1"/>
    </w:pPr>
    <w:rPr>
      <w:sz w:val="30"/>
      <w:szCs w:val="30"/>
    </w:rPr>
  </w:style>
  <w:style w:type="paragraph" w:customStyle="1" w:styleId="1596">
    <w:name w:val="3级标题"/>
    <w:basedOn w:val="1595"/>
    <w:next w:val="1"/>
    <w:autoRedefine/>
    <w:qFormat/>
    <w:uiPriority w:val="0"/>
    <w:pPr>
      <w:ind w:left="720" w:hanging="720"/>
      <w:outlineLvl w:val="2"/>
    </w:pPr>
    <w:rPr>
      <w:sz w:val="28"/>
    </w:rPr>
  </w:style>
  <w:style w:type="paragraph" w:customStyle="1" w:styleId="1597">
    <w:name w:val="4级标题"/>
    <w:basedOn w:val="1596"/>
    <w:next w:val="1"/>
    <w:link w:val="1598"/>
    <w:autoRedefine/>
    <w:qFormat/>
    <w:uiPriority w:val="0"/>
    <w:pPr>
      <w:tabs>
        <w:tab w:val="left" w:pos="0"/>
      </w:tabs>
      <w:ind w:left="0" w:firstLine="0"/>
      <w:outlineLvl w:val="3"/>
    </w:pPr>
    <w:rPr>
      <w:rFonts w:ascii="Times New Roman" w:hAnsi="Times New Roman" w:cs="Arial"/>
      <w:sz w:val="24"/>
      <w:szCs w:val="24"/>
    </w:rPr>
  </w:style>
  <w:style w:type="character" w:customStyle="1" w:styleId="1598">
    <w:name w:val="4级标题 Char"/>
    <w:link w:val="1597"/>
    <w:autoRedefine/>
    <w:qFormat/>
    <w:uiPriority w:val="0"/>
    <w:rPr>
      <w:rFonts w:cs="Arial"/>
      <w:b/>
      <w:kern w:val="2"/>
      <w:sz w:val="24"/>
      <w:szCs w:val="24"/>
    </w:rPr>
  </w:style>
  <w:style w:type="paragraph" w:customStyle="1" w:styleId="1599">
    <w:name w:val="5级标题"/>
    <w:basedOn w:val="1597"/>
    <w:link w:val="1600"/>
    <w:autoRedefine/>
    <w:qFormat/>
    <w:uiPriority w:val="0"/>
    <w:pPr>
      <w:ind w:left="2100" w:hanging="420"/>
      <w:outlineLvl w:val="4"/>
    </w:pPr>
  </w:style>
  <w:style w:type="character" w:customStyle="1" w:styleId="1600">
    <w:name w:val="5级标题 Char Char"/>
    <w:link w:val="1599"/>
    <w:autoRedefine/>
    <w:qFormat/>
    <w:uiPriority w:val="0"/>
    <w:rPr>
      <w:rFonts w:cs="Arial"/>
      <w:b/>
      <w:kern w:val="2"/>
      <w:sz w:val="24"/>
      <w:szCs w:val="24"/>
    </w:rPr>
  </w:style>
  <w:style w:type="paragraph" w:customStyle="1" w:styleId="1601">
    <w:name w:val="6级标题"/>
    <w:basedOn w:val="1599"/>
    <w:next w:val="1"/>
    <w:autoRedefine/>
    <w:qFormat/>
    <w:uiPriority w:val="0"/>
    <w:pPr>
      <w:outlineLvl w:val="5"/>
    </w:pPr>
  </w:style>
  <w:style w:type="paragraph" w:customStyle="1" w:styleId="1602">
    <w:name w:val="样式 标题 1Section HeadH1Header1h1PIM 1Level 1 Topic Headingl...2"/>
    <w:basedOn w:val="3"/>
    <w:autoRedefine/>
    <w:qFormat/>
    <w:uiPriority w:val="0"/>
    <w:pPr>
      <w:tabs>
        <w:tab w:val="left" w:pos="360"/>
      </w:tabs>
      <w:autoSpaceDE/>
      <w:autoSpaceDN/>
      <w:spacing w:before="0" w:after="0" w:line="400" w:lineRule="exact"/>
      <w:ind w:left="113" w:firstLine="200" w:firstLineChars="200"/>
      <w:jc w:val="both"/>
      <w:textAlignment w:val="top"/>
    </w:pPr>
    <w:rPr>
      <w:rFonts w:hAnsi="宋体" w:eastAsia="仿宋" w:cs="宋体"/>
      <w:bCs/>
      <w:kern w:val="52"/>
      <w:sz w:val="52"/>
    </w:rPr>
  </w:style>
  <w:style w:type="paragraph" w:customStyle="1" w:styleId="1603">
    <w:name w:val="缩进"/>
    <w:basedOn w:val="1"/>
    <w:autoRedefine/>
    <w:qFormat/>
    <w:uiPriority w:val="0"/>
    <w:pPr>
      <w:adjustRightInd w:val="0"/>
      <w:snapToGrid w:val="0"/>
      <w:spacing w:beforeLines="50" w:afterLines="50" w:line="360" w:lineRule="auto"/>
      <w:ind w:firstLine="480" w:firstLineChars="200"/>
    </w:pPr>
    <w:rPr>
      <w:rFonts w:ascii="Verdana" w:hAnsi="Verdana"/>
      <w:sz w:val="24"/>
    </w:rPr>
  </w:style>
  <w:style w:type="paragraph" w:customStyle="1" w:styleId="1604">
    <w:name w:val="Char1 Char Char Char Char Char1 Char1 Char Char Char Char Char Char"/>
    <w:basedOn w:val="1"/>
    <w:autoRedefine/>
    <w:qFormat/>
    <w:uiPriority w:val="0"/>
    <w:pPr>
      <w:adjustRightInd w:val="0"/>
      <w:spacing w:line="360" w:lineRule="auto"/>
    </w:pPr>
    <w:rPr>
      <w:kern w:val="0"/>
      <w:sz w:val="24"/>
    </w:rPr>
  </w:style>
  <w:style w:type="paragraph" w:customStyle="1" w:styleId="1605">
    <w:name w:val="Char1 Char Char Char Char Char1 Char"/>
    <w:basedOn w:val="1"/>
    <w:autoRedefine/>
    <w:qFormat/>
    <w:uiPriority w:val="0"/>
    <w:rPr>
      <w:rFonts w:ascii="Tahoma" w:hAnsi="Tahoma"/>
      <w:sz w:val="24"/>
      <w:szCs w:val="20"/>
    </w:rPr>
  </w:style>
  <w:style w:type="paragraph" w:customStyle="1" w:styleId="1606">
    <w:name w:val="项目 1"/>
    <w:basedOn w:val="1"/>
    <w:autoRedefine/>
    <w:qFormat/>
    <w:uiPriority w:val="0"/>
    <w:pPr>
      <w:tabs>
        <w:tab w:val="left" w:pos="958"/>
      </w:tabs>
      <w:adjustRightInd w:val="0"/>
      <w:snapToGrid w:val="0"/>
      <w:spacing w:afterLines="50"/>
      <w:ind w:left="958" w:hanging="448"/>
    </w:pPr>
    <w:rPr>
      <w:rFonts w:ascii="Verdana" w:hAnsi="Verdana"/>
      <w:sz w:val="24"/>
    </w:rPr>
  </w:style>
  <w:style w:type="paragraph" w:customStyle="1" w:styleId="1607">
    <w:name w:val="项目 2"/>
    <w:basedOn w:val="1"/>
    <w:autoRedefine/>
    <w:qFormat/>
    <w:uiPriority w:val="0"/>
    <w:pPr>
      <w:tabs>
        <w:tab w:val="left" w:pos="1446"/>
      </w:tabs>
      <w:adjustRightInd w:val="0"/>
      <w:snapToGrid w:val="0"/>
      <w:spacing w:afterLines="50"/>
      <w:ind w:left="1446" w:hanging="488"/>
    </w:pPr>
    <w:rPr>
      <w:rFonts w:ascii="Verdana" w:hAnsi="Verdana"/>
      <w:sz w:val="24"/>
    </w:rPr>
  </w:style>
  <w:style w:type="paragraph" w:customStyle="1" w:styleId="1608">
    <w:name w:val="终端显示"/>
    <w:basedOn w:val="1"/>
    <w:autoRedefine/>
    <w:qFormat/>
    <w:uiPriority w:val="0"/>
    <w:pPr>
      <w:snapToGrid w:val="0"/>
      <w:ind w:left="200" w:leftChars="200"/>
      <w:jc w:val="left"/>
    </w:pPr>
    <w:rPr>
      <w:rFonts w:ascii="Courier New" w:hAnsi="Courier New" w:eastAsia="仿宋_GB2312"/>
    </w:rPr>
  </w:style>
  <w:style w:type="paragraph" w:customStyle="1" w:styleId="1609">
    <w:name w:val="次要显示"/>
    <w:basedOn w:val="1608"/>
    <w:autoRedefine/>
    <w:qFormat/>
    <w:uiPriority w:val="0"/>
  </w:style>
  <w:style w:type="paragraph" w:customStyle="1" w:styleId="1610">
    <w:name w:val="终端次要显示"/>
    <w:basedOn w:val="1608"/>
    <w:autoRedefine/>
    <w:qFormat/>
    <w:uiPriority w:val="0"/>
  </w:style>
  <w:style w:type="paragraph" w:customStyle="1" w:styleId="1611">
    <w:name w:val="注释函数"/>
    <w:basedOn w:val="166"/>
    <w:autoRedefine/>
    <w:qFormat/>
    <w:uiPriority w:val="0"/>
    <w:pPr>
      <w:shd w:val="clear" w:color="auto" w:fill="E0E0E0"/>
      <w:adjustRightInd/>
      <w:snapToGrid/>
      <w:spacing w:beforeLines="50" w:afterLines="50"/>
      <w:ind w:left="0" w:firstLine="0" w:firstLineChars="0"/>
      <w:jc w:val="both"/>
    </w:pPr>
    <w:rPr>
      <w:rFonts w:ascii="Arial" w:hAnsi="Arial" w:eastAsia="仿宋_GB2312"/>
      <w:szCs w:val="24"/>
    </w:rPr>
  </w:style>
  <w:style w:type="paragraph" w:customStyle="1" w:styleId="1612">
    <w:name w:val="注释提示"/>
    <w:basedOn w:val="166"/>
    <w:autoRedefine/>
    <w:qFormat/>
    <w:uiPriority w:val="0"/>
    <w:pPr>
      <w:shd w:val="clear" w:color="auto" w:fill="E0E0E0"/>
      <w:adjustRightInd/>
      <w:snapToGrid/>
      <w:spacing w:beforeLines="50" w:afterLines="50"/>
      <w:ind w:left="0" w:firstLine="0" w:firstLineChars="0"/>
      <w:jc w:val="both"/>
    </w:pPr>
    <w:rPr>
      <w:rFonts w:ascii="Arial" w:hAnsi="Arial" w:eastAsia="仿宋_GB2312"/>
      <w:szCs w:val="24"/>
    </w:rPr>
  </w:style>
  <w:style w:type="paragraph" w:customStyle="1" w:styleId="1613">
    <w:name w:val="终端突出显示"/>
    <w:basedOn w:val="1608"/>
    <w:autoRedefine/>
    <w:qFormat/>
    <w:uiPriority w:val="0"/>
  </w:style>
  <w:style w:type="character" w:customStyle="1" w:styleId="1614">
    <w:name w:val="缩进强调"/>
    <w:autoRedefine/>
    <w:qFormat/>
    <w:uiPriority w:val="0"/>
    <w:rPr>
      <w:rFonts w:ascii="Arial Black" w:hAnsi="Arial Black" w:eastAsia="黑体"/>
      <w:sz w:val="24"/>
    </w:rPr>
  </w:style>
  <w:style w:type="paragraph" w:customStyle="1" w:styleId="1615">
    <w:name w:val="文章目录"/>
    <w:basedOn w:val="1"/>
    <w:autoRedefine/>
    <w:qFormat/>
    <w:uiPriority w:val="0"/>
    <w:pPr>
      <w:adjustRightInd w:val="0"/>
      <w:snapToGrid w:val="0"/>
      <w:spacing w:beforeLines="100" w:afterLines="100"/>
      <w:jc w:val="center"/>
    </w:pPr>
    <w:rPr>
      <w:b/>
      <w:sz w:val="24"/>
    </w:rPr>
  </w:style>
  <w:style w:type="paragraph" w:customStyle="1" w:styleId="1616">
    <w:name w:val="封面横线"/>
    <w:basedOn w:val="1"/>
    <w:next w:val="1"/>
    <w:autoRedefine/>
    <w:qFormat/>
    <w:uiPriority w:val="0"/>
    <w:pPr>
      <w:pBdr>
        <w:bottom w:val="single" w:color="auto" w:sz="12" w:space="1"/>
      </w:pBdr>
    </w:pPr>
    <w:rPr>
      <w:rFonts w:cs="宋体"/>
      <w:szCs w:val="20"/>
    </w:rPr>
  </w:style>
  <w:style w:type="paragraph" w:customStyle="1" w:styleId="1617">
    <w:name w:val="封面作者"/>
    <w:basedOn w:val="1"/>
    <w:next w:val="1"/>
    <w:autoRedefine/>
    <w:qFormat/>
    <w:uiPriority w:val="0"/>
    <w:pPr>
      <w:jc w:val="right"/>
    </w:pPr>
    <w:rPr>
      <w:rFonts w:ascii="Arial" w:hAnsi="Arial"/>
      <w:b/>
      <w:sz w:val="32"/>
    </w:rPr>
  </w:style>
  <w:style w:type="paragraph" w:customStyle="1" w:styleId="1618">
    <w:name w:val="封面版本日期"/>
    <w:basedOn w:val="1"/>
    <w:next w:val="1"/>
    <w:autoRedefine/>
    <w:qFormat/>
    <w:uiPriority w:val="0"/>
    <w:pPr>
      <w:jc w:val="right"/>
    </w:pPr>
    <w:rPr>
      <w:rFonts w:ascii="Tahoma" w:hAnsi="Tahoma" w:eastAsia="黑体"/>
      <w:sz w:val="24"/>
    </w:rPr>
  </w:style>
  <w:style w:type="paragraph" w:customStyle="1" w:styleId="1619">
    <w:name w:val="封面保密"/>
    <w:basedOn w:val="1"/>
    <w:next w:val="1"/>
    <w:autoRedefine/>
    <w:qFormat/>
    <w:uiPriority w:val="0"/>
    <w:rPr>
      <w:rFonts w:ascii="Tahoma" w:hAnsi="Tahoma"/>
      <w:i/>
    </w:rPr>
  </w:style>
  <w:style w:type="paragraph" w:customStyle="1" w:styleId="1620">
    <w:name w:val="作者注"/>
    <w:basedOn w:val="1"/>
    <w:autoRedefine/>
    <w:qFormat/>
    <w:uiPriority w:val="0"/>
    <w:pPr>
      <w:adjustRightInd w:val="0"/>
      <w:snapToGrid w:val="0"/>
    </w:pPr>
    <w:rPr>
      <w:rFonts w:ascii="Comic Sans MS" w:hAnsi="Comic Sans MS" w:eastAsia="仿宋_GB2312"/>
      <w:vanish/>
      <w:color w:val="0000FF"/>
      <w:szCs w:val="18"/>
    </w:rPr>
  </w:style>
  <w:style w:type="paragraph" w:customStyle="1" w:styleId="1621">
    <w:name w:val="版本号"/>
    <w:basedOn w:val="1025"/>
    <w:next w:val="1"/>
    <w:autoRedefine/>
    <w:qFormat/>
    <w:uiPriority w:val="0"/>
    <w:pPr>
      <w:widowControl w:val="0"/>
      <w:tabs>
        <w:tab w:val="clear" w:pos="0"/>
      </w:tabs>
      <w:spacing w:before="0" w:beforeLines="50" w:after="0" w:afterLines="50"/>
      <w:outlineLvl w:val="9"/>
    </w:pPr>
    <w:rPr>
      <w:rFonts w:ascii="Tahoma" w:hAnsi="Tahoma" w:eastAsia="黑体" w:cs="Tahoma"/>
      <w:b w:val="0"/>
      <w:bCs w:val="0"/>
      <w:kern w:val="2"/>
      <w:sz w:val="30"/>
      <w:szCs w:val="44"/>
    </w:rPr>
  </w:style>
  <w:style w:type="paragraph" w:customStyle="1" w:styleId="1622">
    <w:name w:val="表标题"/>
    <w:basedOn w:val="1"/>
    <w:next w:val="1354"/>
    <w:autoRedefine/>
    <w:qFormat/>
    <w:uiPriority w:val="0"/>
    <w:pPr>
      <w:keepNext/>
      <w:tabs>
        <w:tab w:val="left" w:pos="567"/>
      </w:tabs>
      <w:adjustRightInd w:val="0"/>
      <w:snapToGrid w:val="0"/>
      <w:spacing w:beforeLines="100" w:afterLines="50"/>
    </w:pPr>
    <w:rPr>
      <w:rFonts w:ascii="Tahoma" w:hAnsi="Tahoma" w:eastAsia="黑体"/>
      <w:b/>
    </w:rPr>
  </w:style>
  <w:style w:type="paragraph" w:customStyle="1" w:styleId="1623">
    <w:name w:val="配置"/>
    <w:basedOn w:val="1"/>
    <w:autoRedefine/>
    <w:qFormat/>
    <w:uiPriority w:val="0"/>
    <w:pPr>
      <w:pBdr>
        <w:top w:val="single" w:color="auto" w:sz="4" w:space="1"/>
        <w:left w:val="single" w:color="auto" w:sz="4" w:space="4"/>
        <w:bottom w:val="single" w:color="auto" w:sz="4" w:space="1"/>
        <w:right w:val="single" w:color="auto" w:sz="4" w:space="4"/>
      </w:pBdr>
      <w:shd w:val="clear" w:color="auto" w:fill="FFFF99"/>
      <w:adjustRightInd w:val="0"/>
      <w:snapToGrid w:val="0"/>
      <w:ind w:left="1260" w:leftChars="400" w:hanging="420" w:hangingChars="200"/>
    </w:pPr>
    <w:rPr>
      <w:rFonts w:ascii="Courier New" w:hAnsi="Courier New" w:eastAsia="仿宋_GB2312"/>
    </w:rPr>
  </w:style>
  <w:style w:type="paragraph" w:customStyle="1" w:styleId="1624">
    <w:name w:val="附件 1"/>
    <w:basedOn w:val="1"/>
    <w:next w:val="1603"/>
    <w:autoRedefine/>
    <w:qFormat/>
    <w:uiPriority w:val="0"/>
    <w:pPr>
      <w:keepLines/>
      <w:pageBreakBefore/>
      <w:pBdr>
        <w:bottom w:val="single" w:color="808080" w:sz="24" w:space="1"/>
      </w:pBdr>
      <w:spacing w:line="360" w:lineRule="auto"/>
      <w:ind w:left="432" w:hanging="432"/>
    </w:pPr>
    <w:rPr>
      <w:rFonts w:ascii="Tahoma" w:hAnsi="Tahoma" w:eastAsia="黑体"/>
      <w:b/>
      <w:color w:val="000080"/>
      <w:sz w:val="48"/>
    </w:rPr>
  </w:style>
  <w:style w:type="paragraph" w:customStyle="1" w:styleId="1625">
    <w:name w:val="项目1缩进"/>
    <w:basedOn w:val="1"/>
    <w:next w:val="1606"/>
    <w:autoRedefine/>
    <w:qFormat/>
    <w:uiPriority w:val="0"/>
    <w:pPr>
      <w:adjustRightInd w:val="0"/>
      <w:snapToGrid w:val="0"/>
      <w:spacing w:beforeLines="50" w:line="360" w:lineRule="auto"/>
      <w:ind w:left="958"/>
    </w:pPr>
    <w:rPr>
      <w:rFonts w:ascii="Verdana" w:hAnsi="Verdana"/>
      <w:sz w:val="24"/>
    </w:rPr>
  </w:style>
  <w:style w:type="paragraph" w:customStyle="1" w:styleId="1626">
    <w:name w:val="Table Header"/>
    <w:basedOn w:val="1"/>
    <w:autoRedefine/>
    <w:qFormat/>
    <w:uiPriority w:val="0"/>
    <w:pPr>
      <w:widowControl/>
      <w:overflowPunct w:val="0"/>
      <w:autoSpaceDE w:val="0"/>
      <w:autoSpaceDN w:val="0"/>
      <w:adjustRightInd w:val="0"/>
      <w:spacing w:after="100"/>
      <w:jc w:val="center"/>
      <w:textAlignment w:val="baseline"/>
    </w:pPr>
    <w:rPr>
      <w:rFonts w:ascii="Arial" w:hAnsi="Arial"/>
      <w:b/>
      <w:kern w:val="0"/>
      <w:sz w:val="20"/>
      <w:szCs w:val="20"/>
    </w:rPr>
  </w:style>
  <w:style w:type="paragraph" w:customStyle="1" w:styleId="1627">
    <w:name w:val="附件一"/>
    <w:basedOn w:val="1"/>
    <w:next w:val="1603"/>
    <w:autoRedefine/>
    <w:qFormat/>
    <w:uiPriority w:val="0"/>
    <w:pPr>
      <w:keepNext/>
      <w:keepLines/>
      <w:pageBreakBefore/>
      <w:tabs>
        <w:tab w:val="left" w:pos="360"/>
      </w:tabs>
      <w:spacing w:beforeLines="200" w:afterLines="100" w:line="360" w:lineRule="auto"/>
    </w:pPr>
    <w:rPr>
      <w:rFonts w:ascii="Verdana" w:hAnsi="Verdana"/>
      <w:b/>
      <w:sz w:val="32"/>
    </w:rPr>
  </w:style>
  <w:style w:type="paragraph" w:customStyle="1" w:styleId="1628">
    <w:name w:val="附件二"/>
    <w:basedOn w:val="1"/>
    <w:next w:val="1603"/>
    <w:autoRedefine/>
    <w:qFormat/>
    <w:uiPriority w:val="0"/>
    <w:pPr>
      <w:tabs>
        <w:tab w:val="left" w:pos="360"/>
      </w:tabs>
      <w:spacing w:beforeLines="50" w:afterLines="50" w:line="360" w:lineRule="auto"/>
    </w:pPr>
    <w:rPr>
      <w:rFonts w:ascii="Verdana" w:hAnsi="Verdana"/>
      <w:b/>
      <w:sz w:val="30"/>
    </w:rPr>
  </w:style>
  <w:style w:type="paragraph" w:customStyle="1" w:styleId="1629">
    <w:name w:val="样式 样式 宋体 小四 黑色 两端对齐 段前: 1.2 磅 段后: 1.2 磅 行距: 1.5 倍行距 + 首行缩进:  2 字符"/>
    <w:basedOn w:val="1"/>
    <w:autoRedefine/>
    <w:qFormat/>
    <w:uiPriority w:val="0"/>
    <w:pPr>
      <w:widowControl/>
      <w:overflowPunct w:val="0"/>
      <w:autoSpaceDE w:val="0"/>
      <w:autoSpaceDN w:val="0"/>
      <w:adjustRightInd w:val="0"/>
      <w:spacing w:after="120" w:line="400" w:lineRule="exact"/>
      <w:ind w:firstLine="480" w:firstLineChars="200"/>
      <w:textAlignment w:val="baseline"/>
    </w:pPr>
    <w:rPr>
      <w:rFonts w:ascii="Arial" w:hAnsi="Arial" w:cs="宋体"/>
      <w:kern w:val="0"/>
      <w:sz w:val="24"/>
      <w:lang w:val="en-GB"/>
    </w:rPr>
  </w:style>
  <w:style w:type="character" w:customStyle="1" w:styleId="1630">
    <w:name w:val="bold1"/>
    <w:autoRedefine/>
    <w:qFormat/>
    <w:uiPriority w:val="0"/>
    <w:rPr>
      <w:b/>
      <w:bCs/>
    </w:rPr>
  </w:style>
  <w:style w:type="paragraph" w:customStyle="1" w:styleId="1631">
    <w:name w:val="文档正文首行缩进"/>
    <w:basedOn w:val="1"/>
    <w:link w:val="1632"/>
    <w:autoRedefine/>
    <w:qFormat/>
    <w:uiPriority w:val="0"/>
    <w:pPr>
      <w:spacing w:line="360" w:lineRule="auto"/>
      <w:ind w:firstLine="420"/>
    </w:pPr>
    <w:rPr>
      <w:rFonts w:cs="宋体"/>
      <w:sz w:val="24"/>
    </w:rPr>
  </w:style>
  <w:style w:type="character" w:customStyle="1" w:styleId="1632">
    <w:name w:val="文档正文首行缩进 Char"/>
    <w:link w:val="1631"/>
    <w:autoRedefine/>
    <w:qFormat/>
    <w:uiPriority w:val="0"/>
    <w:rPr>
      <w:rFonts w:cs="宋体"/>
      <w:kern w:val="2"/>
      <w:sz w:val="24"/>
      <w:szCs w:val="24"/>
    </w:rPr>
  </w:style>
  <w:style w:type="paragraph" w:customStyle="1" w:styleId="1633">
    <w:name w:val="Char2 Char Char Char Char Char"/>
    <w:basedOn w:val="1"/>
    <w:autoRedefine/>
    <w:qFormat/>
    <w:uiPriority w:val="0"/>
    <w:rPr>
      <w:rFonts w:ascii="Tahoma" w:hAnsi="Tahoma"/>
      <w:sz w:val="24"/>
      <w:szCs w:val="20"/>
    </w:rPr>
  </w:style>
  <w:style w:type="paragraph" w:customStyle="1" w:styleId="1634">
    <w:name w:val="Editor's comments"/>
    <w:basedOn w:val="1"/>
    <w:autoRedefine/>
    <w:qFormat/>
    <w:uiPriority w:val="0"/>
    <w:pPr>
      <w:widowControl/>
      <w:overflowPunct w:val="0"/>
      <w:autoSpaceDE w:val="0"/>
      <w:autoSpaceDN w:val="0"/>
      <w:adjustRightInd w:val="0"/>
      <w:spacing w:after="120"/>
      <w:jc w:val="left"/>
      <w:textAlignment w:val="baseline"/>
    </w:pPr>
    <w:rPr>
      <w:rFonts w:ascii="Arial" w:hAnsi="Arial"/>
      <w:b/>
      <w:bCs/>
      <w:color w:val="FF0000"/>
      <w:kern w:val="0"/>
      <w:sz w:val="20"/>
      <w:szCs w:val="20"/>
      <w:lang w:eastAsia="en-US"/>
    </w:rPr>
  </w:style>
  <w:style w:type="paragraph" w:customStyle="1" w:styleId="1635">
    <w:name w:val="Reader's comments"/>
    <w:basedOn w:val="1"/>
    <w:autoRedefine/>
    <w:qFormat/>
    <w:uiPriority w:val="0"/>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1636">
    <w:name w:val="Char Char Char Char1 Char Char Char Char Char Char Char Char Char Char Char1 Char Char Char1 Char Char Char1 Char"/>
    <w:basedOn w:val="1"/>
    <w:autoRedefine/>
    <w:qFormat/>
    <w:uiPriority w:val="0"/>
    <w:rPr>
      <w:rFonts w:ascii="Tahoma" w:hAnsi="Tahoma"/>
      <w:sz w:val="24"/>
      <w:szCs w:val="20"/>
    </w:rPr>
  </w:style>
  <w:style w:type="paragraph" w:customStyle="1" w:styleId="1637">
    <w:name w:val="Table Heading"/>
    <w:basedOn w:val="326"/>
    <w:autoRedefine/>
    <w:qFormat/>
    <w:uiPriority w:val="0"/>
    <w:pPr>
      <w:widowControl/>
      <w:spacing w:before="60" w:after="60" w:line="360" w:lineRule="auto"/>
      <w:ind w:firstLine="200" w:firstLineChars="200"/>
      <w:jc w:val="left"/>
    </w:pPr>
    <w:rPr>
      <w:rFonts w:ascii="Times New Roman" w:hAnsi="Times New Roman" w:eastAsia="宋体" w:cs="Times New Roman"/>
      <w:kern w:val="0"/>
      <w:sz w:val="24"/>
      <w:szCs w:val="24"/>
      <w:lang w:eastAsia="zh-CN"/>
    </w:rPr>
  </w:style>
  <w:style w:type="paragraph" w:customStyle="1" w:styleId="1638">
    <w:name w:val="Char Char Char Char1 Char Char Char Char Char Char Char Char Char Char Char1 Char1 Char Char2 Char Char Char Char Char Char Char Char Char Char1"/>
    <w:basedOn w:val="1"/>
    <w:autoRedefine/>
    <w:qFormat/>
    <w:uiPriority w:val="0"/>
    <w:rPr>
      <w:rFonts w:ascii="Tahoma" w:hAnsi="Tahoma"/>
      <w:sz w:val="24"/>
      <w:szCs w:val="20"/>
    </w:rPr>
  </w:style>
  <w:style w:type="paragraph" w:customStyle="1" w:styleId="1639">
    <w:name w:val="Char1 Char Char Char Char Char1 Char1 Char Char Char Char"/>
    <w:basedOn w:val="1"/>
    <w:autoRedefine/>
    <w:qFormat/>
    <w:uiPriority w:val="0"/>
    <w:rPr>
      <w:rFonts w:ascii="Tahoma" w:hAnsi="Tahoma"/>
      <w:sz w:val="24"/>
      <w:szCs w:val="20"/>
    </w:rPr>
  </w:style>
  <w:style w:type="paragraph" w:customStyle="1" w:styleId="1640">
    <w:name w:val="1.1.1.1四级标题 Char Char"/>
    <w:basedOn w:val="1"/>
    <w:autoRedefine/>
    <w:qFormat/>
    <w:uiPriority w:val="0"/>
    <w:pPr>
      <w:widowControl/>
      <w:spacing w:after="160" w:line="240" w:lineRule="exact"/>
      <w:jc w:val="center"/>
    </w:pPr>
    <w:rPr>
      <w:rFonts w:ascii="Tahoma" w:hAnsi="Tahoma"/>
      <w:sz w:val="24"/>
    </w:rPr>
  </w:style>
  <w:style w:type="paragraph" w:customStyle="1" w:styleId="1641">
    <w:name w:val="Char Char1 Char Char Char Char Char Char Char Char Char Char Char Char Char Char Char Char Char Char Char1 Char Char Char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42">
    <w:name w:val="ListBullet2"/>
    <w:basedOn w:val="1"/>
    <w:next w:val="1"/>
    <w:autoRedefine/>
    <w:qFormat/>
    <w:uiPriority w:val="0"/>
    <w:pPr>
      <w:suppressAutoHyphens/>
      <w:jc w:val="left"/>
    </w:pPr>
    <w:rPr>
      <w:rFonts w:ascii="宋体" w:hAnsi="宋体" w:cs="Angsana New"/>
      <w:kern w:val="1"/>
      <w:sz w:val="24"/>
      <w:lang w:eastAsia="th-TH" w:bidi="th-TH"/>
    </w:rPr>
  </w:style>
  <w:style w:type="paragraph" w:customStyle="1" w:styleId="1643">
    <w:name w:val="Char Char Char Char1 Char Char Char Char Char Char Char Char Char Char Char1 Char1 Char Char2 Char Char Char Char Char Char Char Char Char Char1 Char Char"/>
    <w:basedOn w:val="1"/>
    <w:autoRedefine/>
    <w:qFormat/>
    <w:uiPriority w:val="0"/>
    <w:rPr>
      <w:rFonts w:ascii="Tahoma" w:hAnsi="Tahoma"/>
      <w:sz w:val="24"/>
      <w:szCs w:val="20"/>
    </w:rPr>
  </w:style>
  <w:style w:type="paragraph" w:customStyle="1" w:styleId="1644">
    <w:name w:val="Char Char1 Char Char Char1 Char"/>
    <w:basedOn w:val="1"/>
    <w:autoRedefine/>
    <w:qFormat/>
    <w:uiPriority w:val="0"/>
    <w:pPr>
      <w:adjustRightInd w:val="0"/>
      <w:spacing w:line="360" w:lineRule="auto"/>
    </w:pPr>
    <w:rPr>
      <w:kern w:val="0"/>
      <w:sz w:val="24"/>
    </w:rPr>
  </w:style>
  <w:style w:type="paragraph" w:customStyle="1" w:styleId="1645">
    <w:name w:val="Char1 Char Char Char Char Char1 Char1"/>
    <w:basedOn w:val="1"/>
    <w:autoRedefine/>
    <w:qFormat/>
    <w:uiPriority w:val="0"/>
    <w:rPr>
      <w:rFonts w:ascii="Tahoma" w:hAnsi="Tahoma"/>
      <w:sz w:val="24"/>
      <w:szCs w:val="20"/>
    </w:rPr>
  </w:style>
  <w:style w:type="paragraph" w:customStyle="1" w:styleId="1646">
    <w:name w:val="项目1"/>
    <w:basedOn w:val="1"/>
    <w:autoRedefine/>
    <w:qFormat/>
    <w:uiPriority w:val="0"/>
    <w:pPr>
      <w:tabs>
        <w:tab w:val="left" w:pos="709"/>
      </w:tabs>
      <w:spacing w:line="360" w:lineRule="auto"/>
      <w:ind w:left="822" w:hanging="340"/>
    </w:pPr>
    <w:rPr>
      <w:sz w:val="24"/>
    </w:rPr>
  </w:style>
  <w:style w:type="paragraph" w:customStyle="1" w:styleId="1647">
    <w:name w:val="Char1 Char Char Char Char Char1 Char1 Char Char Char Char Char Char Char Char"/>
    <w:basedOn w:val="1"/>
    <w:autoRedefine/>
    <w:qFormat/>
    <w:uiPriority w:val="0"/>
    <w:pPr>
      <w:adjustRightInd w:val="0"/>
      <w:spacing w:line="360" w:lineRule="auto"/>
    </w:pPr>
    <w:rPr>
      <w:kern w:val="0"/>
      <w:sz w:val="24"/>
    </w:rPr>
  </w:style>
  <w:style w:type="paragraph" w:customStyle="1" w:styleId="1648">
    <w:name w:val="figurecaption"/>
    <w:basedOn w:val="1"/>
    <w:autoRedefine/>
    <w:qFormat/>
    <w:uiPriority w:val="0"/>
    <w:pPr>
      <w:widowControl/>
      <w:spacing w:before="100" w:beforeAutospacing="1" w:after="100" w:afterAutospacing="1"/>
      <w:jc w:val="left"/>
    </w:pPr>
    <w:rPr>
      <w:rFonts w:eastAsia="Batang"/>
      <w:kern w:val="0"/>
      <w:sz w:val="24"/>
      <w:lang w:eastAsia="ja-JP"/>
    </w:rPr>
  </w:style>
  <w:style w:type="paragraph" w:customStyle="1" w:styleId="1649">
    <w:name w:val="lastincell"/>
    <w:basedOn w:val="1"/>
    <w:autoRedefine/>
    <w:qFormat/>
    <w:uiPriority w:val="0"/>
    <w:pPr>
      <w:widowControl/>
      <w:spacing w:before="100" w:beforeAutospacing="1" w:after="100" w:afterAutospacing="1"/>
      <w:jc w:val="left"/>
    </w:pPr>
    <w:rPr>
      <w:rFonts w:eastAsia="Batang"/>
      <w:kern w:val="0"/>
      <w:sz w:val="24"/>
      <w:lang w:eastAsia="ja-JP"/>
    </w:rPr>
  </w:style>
  <w:style w:type="paragraph" w:customStyle="1" w:styleId="1650">
    <w:name w:val="Char Char Char Char1 Char Char Char Char Char Char Char Char Char Char Char1 Char1 Char Char2 Char Char Char Char Char Char Char Char Char Char1 Char Char Char"/>
    <w:basedOn w:val="1"/>
    <w:autoRedefine/>
    <w:qFormat/>
    <w:uiPriority w:val="0"/>
    <w:rPr>
      <w:rFonts w:ascii="Tahoma" w:hAnsi="Tahoma"/>
      <w:sz w:val="24"/>
      <w:szCs w:val="20"/>
    </w:rPr>
  </w:style>
  <w:style w:type="paragraph" w:customStyle="1" w:styleId="1651">
    <w:name w:val="Char Char Char Char1 Char Char Char Char Char Char Char Char Char Char Char1 Char1"/>
    <w:basedOn w:val="1"/>
    <w:autoRedefine/>
    <w:qFormat/>
    <w:uiPriority w:val="0"/>
    <w:rPr>
      <w:rFonts w:ascii="Tahoma" w:hAnsi="Tahoma"/>
      <w:sz w:val="24"/>
      <w:szCs w:val="20"/>
    </w:rPr>
  </w:style>
  <w:style w:type="paragraph" w:customStyle="1" w:styleId="1652">
    <w:name w:val="_HP Table Body 8 pt"/>
    <w:basedOn w:val="1"/>
    <w:autoRedefine/>
    <w:qFormat/>
    <w:uiPriority w:val="0"/>
    <w:pPr>
      <w:widowControl/>
      <w:spacing w:before="80" w:after="80"/>
      <w:ind w:left="58" w:right="58"/>
      <w:jc w:val="left"/>
    </w:pPr>
    <w:rPr>
      <w:rFonts w:ascii="Futura Bk" w:hAnsi="Futura Bk"/>
      <w:kern w:val="0"/>
      <w:sz w:val="16"/>
      <w:szCs w:val="20"/>
      <w:lang w:eastAsia="en-US"/>
    </w:rPr>
  </w:style>
  <w:style w:type="paragraph" w:customStyle="1" w:styleId="1653">
    <w:name w:val="_HP Table Head 8 pt"/>
    <w:basedOn w:val="1652"/>
    <w:autoRedefine/>
    <w:qFormat/>
    <w:uiPriority w:val="0"/>
  </w:style>
  <w:style w:type="paragraph" w:customStyle="1" w:styleId="1654">
    <w:name w:val="_HP Table bullet"/>
    <w:autoRedefine/>
    <w:qFormat/>
    <w:uiPriority w:val="0"/>
    <w:pPr>
      <w:tabs>
        <w:tab w:val="left" w:pos="202"/>
        <w:tab w:val="left" w:pos="418"/>
      </w:tabs>
      <w:spacing w:before="60" w:after="60"/>
      <w:ind w:left="202" w:hanging="144"/>
    </w:pPr>
    <w:rPr>
      <w:rFonts w:ascii="Futura Bk" w:hAnsi="Futura Bk" w:eastAsia="宋体" w:cs="Times New Roman"/>
      <w:sz w:val="16"/>
      <w:lang w:val="en-US" w:eastAsia="ja-JP" w:bidi="ar-SA"/>
    </w:rPr>
  </w:style>
  <w:style w:type="paragraph" w:customStyle="1" w:styleId="1655">
    <w:name w:val="Char1 Char Char Char Char Char1 Char1 Char Char Char Char Char Char Char Char1"/>
    <w:basedOn w:val="1"/>
    <w:autoRedefine/>
    <w:qFormat/>
    <w:uiPriority w:val="0"/>
    <w:pPr>
      <w:adjustRightInd w:val="0"/>
      <w:spacing w:line="360" w:lineRule="auto"/>
    </w:pPr>
    <w:rPr>
      <w:kern w:val="0"/>
      <w:sz w:val="24"/>
    </w:rPr>
  </w:style>
  <w:style w:type="paragraph" w:customStyle="1" w:styleId="1656">
    <w:name w:val="TableofContents"/>
    <w:basedOn w:val="1"/>
    <w:autoRedefine/>
    <w:qFormat/>
    <w:uiPriority w:val="0"/>
    <w:pPr>
      <w:keepNext/>
      <w:pBdr>
        <w:bottom w:val="single" w:color="C0C0C0" w:sz="24" w:space="1"/>
      </w:pBdr>
      <w:shd w:val="solid" w:color="FFFFFF" w:fill="FFFFFF"/>
      <w:spacing w:before="500" w:after="300"/>
      <w:jc w:val="left"/>
      <w:outlineLvl w:val="0"/>
    </w:pPr>
    <w:rPr>
      <w:rFonts w:ascii="Arial" w:hAnsi="Arial"/>
      <w:b/>
      <w:kern w:val="0"/>
      <w:sz w:val="44"/>
      <w:szCs w:val="20"/>
      <w:shd w:val="solid" w:color="FFFFFF" w:fill="FFFFFF"/>
      <w:lang w:eastAsia="en-US"/>
    </w:rPr>
  </w:style>
  <w:style w:type="paragraph" w:customStyle="1" w:styleId="1657">
    <w:name w:val="表格正文"/>
    <w:basedOn w:val="1"/>
    <w:autoRedefine/>
    <w:qFormat/>
    <w:uiPriority w:val="0"/>
    <w:pPr>
      <w:widowControl/>
      <w:overflowPunct w:val="0"/>
      <w:autoSpaceDE w:val="0"/>
      <w:autoSpaceDN w:val="0"/>
      <w:adjustRightInd w:val="0"/>
      <w:spacing w:before="60" w:after="60"/>
      <w:jc w:val="left"/>
      <w:textAlignment w:val="baseline"/>
    </w:pPr>
    <w:rPr>
      <w:rFonts w:eastAsia="楷体_GB2312"/>
      <w:bCs/>
      <w:kern w:val="0"/>
      <w:sz w:val="24"/>
      <w:szCs w:val="20"/>
    </w:rPr>
  </w:style>
  <w:style w:type="paragraph" w:customStyle="1" w:styleId="1658">
    <w:name w:val="表格栏头"/>
    <w:basedOn w:val="1657"/>
    <w:next w:val="1657"/>
    <w:autoRedefine/>
    <w:qFormat/>
    <w:uiPriority w:val="0"/>
    <w:rPr>
      <w:b/>
    </w:rPr>
  </w:style>
  <w:style w:type="paragraph" w:customStyle="1" w:styleId="1659">
    <w:name w:val="Char1 Char Char Char Char Char1 Char1 Char Char Char Char Char Char Char Char2"/>
    <w:basedOn w:val="1"/>
    <w:autoRedefine/>
    <w:qFormat/>
    <w:uiPriority w:val="0"/>
    <w:pPr>
      <w:adjustRightInd w:val="0"/>
      <w:spacing w:line="360" w:lineRule="auto"/>
    </w:pPr>
    <w:rPr>
      <w:kern w:val="0"/>
      <w:sz w:val="24"/>
    </w:rPr>
  </w:style>
  <w:style w:type="paragraph" w:customStyle="1" w:styleId="1660">
    <w:name w:val="p16"/>
    <w:basedOn w:val="1"/>
    <w:autoRedefine/>
    <w:qFormat/>
    <w:uiPriority w:val="0"/>
    <w:pPr>
      <w:widowControl/>
      <w:spacing w:line="360" w:lineRule="auto"/>
      <w:ind w:firstLine="420"/>
    </w:pPr>
    <w:rPr>
      <w:rFonts w:ascii="宋体" w:hAnsi="宋体" w:cs="宋体"/>
      <w:kern w:val="0"/>
      <w:szCs w:val="21"/>
    </w:rPr>
  </w:style>
  <w:style w:type="paragraph" w:customStyle="1" w:styleId="1661">
    <w:name w:val="表格栏目标题"/>
    <w:basedOn w:val="1"/>
    <w:next w:val="250"/>
    <w:autoRedefine/>
    <w:qFormat/>
    <w:uiPriority w:val="0"/>
    <w:pPr>
      <w:jc w:val="center"/>
    </w:pPr>
  </w:style>
  <w:style w:type="paragraph" w:customStyle="1" w:styleId="1662">
    <w:name w:val="Comment"/>
    <w:basedOn w:val="1"/>
    <w:autoRedefine/>
    <w:qFormat/>
    <w:uiPriority w:val="0"/>
    <w:pPr>
      <w:widowControl/>
      <w:overflowPunct w:val="0"/>
      <w:autoSpaceDE w:val="0"/>
      <w:autoSpaceDN w:val="0"/>
      <w:adjustRightInd w:val="0"/>
      <w:spacing w:after="100"/>
      <w:jc w:val="left"/>
      <w:textAlignment w:val="baseline"/>
    </w:pPr>
    <w:rPr>
      <w:rFonts w:ascii="Arial" w:hAnsi="Arial"/>
      <w:color w:val="0000FF"/>
      <w:kern w:val="0"/>
      <w:sz w:val="20"/>
      <w:szCs w:val="20"/>
    </w:rPr>
  </w:style>
  <w:style w:type="character" w:customStyle="1" w:styleId="1663">
    <w:name w:val="ListBullet2 Char Char"/>
    <w:autoRedefine/>
    <w:qFormat/>
    <w:uiPriority w:val="0"/>
    <w:rPr>
      <w:kern w:val="2"/>
      <w:sz w:val="21"/>
    </w:rPr>
  </w:style>
  <w:style w:type="paragraph" w:customStyle="1" w:styleId="1664">
    <w:name w:val="首行不缩进"/>
    <w:basedOn w:val="1"/>
    <w:autoRedefine/>
    <w:qFormat/>
    <w:uiPriority w:val="0"/>
    <w:pPr>
      <w:spacing w:line="360" w:lineRule="auto"/>
    </w:pPr>
    <w:rPr>
      <w:sz w:val="24"/>
    </w:rPr>
  </w:style>
  <w:style w:type="paragraph" w:customStyle="1" w:styleId="1665">
    <w:name w:val="表格文字2"/>
    <w:basedOn w:val="32"/>
    <w:autoRedefine/>
    <w:qFormat/>
    <w:uiPriority w:val="0"/>
    <w:pPr>
      <w:tabs>
        <w:tab w:val="clear" w:pos="567"/>
      </w:tabs>
      <w:spacing w:before="0" w:line="360" w:lineRule="auto"/>
      <w:jc w:val="left"/>
    </w:pPr>
    <w:rPr>
      <w:rFonts w:ascii="Times New Roman" w:hAnsi="Times New Roman"/>
    </w:rPr>
  </w:style>
  <w:style w:type="paragraph" w:customStyle="1" w:styleId="1666">
    <w:name w:val="_Style 72"/>
    <w:basedOn w:val="1"/>
    <w:autoRedefine/>
    <w:qFormat/>
    <w:uiPriority w:val="0"/>
    <w:rPr>
      <w:szCs w:val="20"/>
    </w:rPr>
  </w:style>
  <w:style w:type="paragraph" w:customStyle="1" w:styleId="1667">
    <w:name w:val="Char 字元 Char Char Char Char Char Char Char Char Char Char Char"/>
    <w:basedOn w:val="1"/>
    <w:autoRedefine/>
    <w:qFormat/>
    <w:uiPriority w:val="0"/>
    <w:pPr>
      <w:widowControl/>
      <w:spacing w:after="160" w:line="240" w:lineRule="exact"/>
      <w:jc w:val="left"/>
    </w:pPr>
    <w:rPr>
      <w:rFonts w:ascii="Verdana" w:hAnsi="Verdana"/>
      <w:kern w:val="0"/>
      <w:sz w:val="28"/>
      <w:szCs w:val="20"/>
      <w:lang w:eastAsia="en-US"/>
    </w:rPr>
  </w:style>
  <w:style w:type="paragraph" w:customStyle="1" w:styleId="1668">
    <w:name w:val="Char1 Char Char Char Char Char1 Char1 Char Char"/>
    <w:basedOn w:val="1"/>
    <w:autoRedefine/>
    <w:qFormat/>
    <w:uiPriority w:val="0"/>
    <w:rPr>
      <w:rFonts w:ascii="Tahoma" w:hAnsi="Tahoma"/>
      <w:sz w:val="24"/>
      <w:szCs w:val="20"/>
    </w:rPr>
  </w:style>
  <w:style w:type="paragraph" w:customStyle="1" w:styleId="1669">
    <w:name w:val="默认段落字体 Para Char Char Char1 Char"/>
    <w:basedOn w:val="1"/>
    <w:autoRedefine/>
    <w:qFormat/>
    <w:uiPriority w:val="0"/>
    <w:pPr>
      <w:tabs>
        <w:tab w:val="left" w:pos="432"/>
      </w:tabs>
      <w:ind w:left="432" w:hanging="432"/>
    </w:pPr>
    <w:rPr>
      <w:sz w:val="24"/>
      <w:szCs w:val="20"/>
    </w:rPr>
  </w:style>
  <w:style w:type="paragraph" w:customStyle="1" w:styleId="1670">
    <w:name w:val="List Bullet1"/>
    <w:basedOn w:val="1"/>
    <w:autoRedefine/>
    <w:qFormat/>
    <w:uiPriority w:val="0"/>
    <w:pPr>
      <w:widowControl/>
      <w:tabs>
        <w:tab w:val="left" w:pos="360"/>
      </w:tabs>
      <w:spacing w:before="240" w:after="120" w:line="288" w:lineRule="auto"/>
      <w:ind w:left="378" w:right="57" w:hanging="432"/>
      <w:jc w:val="left"/>
    </w:pPr>
    <w:rPr>
      <w:kern w:val="0"/>
      <w:szCs w:val="20"/>
    </w:rPr>
  </w:style>
  <w:style w:type="paragraph" w:customStyle="1" w:styleId="1671">
    <w:name w:val="附录 Heading 1"/>
    <w:basedOn w:val="3"/>
    <w:autoRedefine/>
    <w:qFormat/>
    <w:uiPriority w:val="0"/>
    <w:pPr>
      <w:keepLines w:val="0"/>
      <w:widowControl/>
      <w:tabs>
        <w:tab w:val="left" w:pos="418"/>
      </w:tabs>
      <w:autoSpaceDE/>
      <w:autoSpaceDN/>
      <w:adjustRightInd/>
      <w:spacing w:before="0" w:after="0" w:line="480" w:lineRule="auto"/>
      <w:ind w:left="202" w:right="778" w:rightChars="778" w:hanging="144"/>
      <w:jc w:val="left"/>
    </w:pPr>
    <w:rPr>
      <w:rFonts w:ascii="Microsoft Sans Serif" w:hAnsi="Microsoft Sans Serif" w:eastAsia="仿宋_GB2312"/>
      <w:kern w:val="32"/>
      <w:sz w:val="40"/>
    </w:rPr>
  </w:style>
  <w:style w:type="paragraph" w:customStyle="1" w:styleId="1672">
    <w:name w:val="SG186正文"/>
    <w:basedOn w:val="1"/>
    <w:autoRedefine/>
    <w:qFormat/>
    <w:uiPriority w:val="0"/>
    <w:pPr>
      <w:spacing w:line="360" w:lineRule="auto"/>
      <w:ind w:firstLine="480" w:firstLineChars="200"/>
      <w:jc w:val="left"/>
    </w:pPr>
    <w:rPr>
      <w:rFonts w:ascii="宋体" w:hAnsi="宋体"/>
      <w:kern w:val="0"/>
      <w:sz w:val="24"/>
      <w:szCs w:val="20"/>
    </w:rPr>
  </w:style>
  <w:style w:type="paragraph" w:customStyle="1" w:styleId="1673">
    <w:name w:val="Char6 Char Char Char"/>
    <w:basedOn w:val="1"/>
    <w:autoRedefine/>
    <w:qFormat/>
    <w:uiPriority w:val="0"/>
    <w:rPr>
      <w:szCs w:val="20"/>
    </w:rPr>
  </w:style>
  <w:style w:type="paragraph" w:customStyle="1" w:styleId="1674">
    <w:name w:val="Char Char Char Char Char Char Char Char Char Char Char Char Char Char Char Char Char Char Char Char Char1 Char Char Char Char Char1 Char Char Char Char Char Char Char"/>
    <w:basedOn w:val="1"/>
    <w:autoRedefine/>
    <w:qFormat/>
    <w:uiPriority w:val="0"/>
    <w:pPr>
      <w:widowControl/>
      <w:spacing w:after="160" w:line="240" w:lineRule="exact"/>
      <w:jc w:val="center"/>
    </w:pPr>
    <w:rPr>
      <w:kern w:val="0"/>
      <w:sz w:val="20"/>
      <w:szCs w:val="20"/>
    </w:rPr>
  </w:style>
  <w:style w:type="paragraph" w:customStyle="1" w:styleId="1675">
    <w:name w:val="正文重要标记"/>
    <w:basedOn w:val="1"/>
    <w:next w:val="1"/>
    <w:autoRedefine/>
    <w:qFormat/>
    <w:uiPriority w:val="0"/>
    <w:pPr>
      <w:widowControl/>
      <w:spacing w:afterLines="50" w:line="360" w:lineRule="auto"/>
      <w:jc w:val="left"/>
    </w:pPr>
    <w:rPr>
      <w:b/>
      <w:kern w:val="0"/>
      <w:sz w:val="24"/>
      <w:szCs w:val="20"/>
    </w:rPr>
  </w:style>
  <w:style w:type="paragraph" w:customStyle="1" w:styleId="1676">
    <w:name w:val="样式 标题 2 + 右侧:  6.98 字符"/>
    <w:basedOn w:val="4"/>
    <w:autoRedefine/>
    <w:qFormat/>
    <w:uiPriority w:val="0"/>
    <w:pPr>
      <w:pBdr>
        <w:bottom w:val="single" w:color="808080" w:sz="12" w:space="1"/>
      </w:pBdr>
      <w:autoSpaceDE/>
      <w:autoSpaceDN/>
      <w:snapToGrid w:val="0"/>
      <w:spacing w:before="0" w:beforeLines="50" w:afterLines="50" w:line="240" w:lineRule="auto"/>
      <w:ind w:left="936" w:right="698" w:rightChars="698" w:hanging="576"/>
      <w:jc w:val="both"/>
    </w:pPr>
    <w:rPr>
      <w:rFonts w:ascii="Tahoma" w:hAnsi="Tahoma"/>
      <w:color w:val="333399"/>
      <w:kern w:val="2"/>
    </w:rPr>
  </w:style>
  <w:style w:type="paragraph" w:customStyle="1" w:styleId="1677">
    <w:name w:val="Char1 Char Char Char Char Char Char Char Char3 Char Char Char Char Char Char Char"/>
    <w:basedOn w:val="1"/>
    <w:autoRedefine/>
    <w:qFormat/>
    <w:uiPriority w:val="0"/>
    <w:pPr>
      <w:spacing w:before="240" w:after="120" w:line="288" w:lineRule="auto"/>
      <w:ind w:firstLine="200" w:firstLineChars="200"/>
      <w:jc w:val="left"/>
    </w:pPr>
    <w:rPr>
      <w:rFonts w:ascii="Tahoma" w:hAnsi="Tahoma"/>
      <w:sz w:val="24"/>
      <w:szCs w:val="20"/>
    </w:rPr>
  </w:style>
  <w:style w:type="paragraph" w:customStyle="1" w:styleId="1678">
    <w:name w:val="附录 Heading 2"/>
    <w:basedOn w:val="4"/>
    <w:autoRedefine/>
    <w:qFormat/>
    <w:uiPriority w:val="0"/>
    <w:pPr>
      <w:tabs>
        <w:tab w:val="left" w:pos="0"/>
        <w:tab w:val="left" w:pos="900"/>
      </w:tabs>
      <w:autoSpaceDE/>
      <w:autoSpaceDN/>
      <w:spacing w:before="0" w:beforeLines="50" w:afterLines="50" w:line="413" w:lineRule="auto"/>
      <w:ind w:left="1260" w:hanging="420"/>
      <w:jc w:val="left"/>
    </w:pPr>
    <w:rPr>
      <w:rFonts w:ascii="Times New Roman" w:hAnsi="Times New Roman" w:eastAsia="宋体"/>
      <w:sz w:val="32"/>
    </w:rPr>
  </w:style>
  <w:style w:type="paragraph" w:customStyle="1" w:styleId="1679">
    <w:name w:val="突出"/>
    <w:basedOn w:val="1"/>
    <w:autoRedefine/>
    <w:qFormat/>
    <w:uiPriority w:val="0"/>
    <w:pPr>
      <w:tabs>
        <w:tab w:val="left" w:pos="1270"/>
      </w:tabs>
      <w:ind w:left="840" w:hanging="420"/>
    </w:pPr>
    <w:rPr>
      <w:szCs w:val="20"/>
    </w:rPr>
  </w:style>
  <w:style w:type="paragraph" w:customStyle="1" w:styleId="1680">
    <w:name w:val="样式 标题 1 + 段前: 5 磅 段后: 5 磅"/>
    <w:basedOn w:val="3"/>
    <w:autoRedefine/>
    <w:qFormat/>
    <w:uiPriority w:val="0"/>
    <w:pPr>
      <w:widowControl/>
      <w:autoSpaceDE/>
      <w:autoSpaceDN/>
      <w:adjustRightInd/>
      <w:spacing w:before="0" w:after="0" w:line="576" w:lineRule="auto"/>
      <w:jc w:val="left"/>
    </w:pPr>
    <w:rPr>
      <w:rFonts w:ascii="Times New Roman"/>
      <w:sz w:val="44"/>
    </w:rPr>
  </w:style>
  <w:style w:type="paragraph" w:customStyle="1" w:styleId="1681">
    <w:name w:val="Char Char Char Char Char Char Char Char Char Char Char Char Char Char Char Char Char Char Char Char Char1 Char Char Char Char Char1 Char Char Char Char Char Char Char Char Char Char"/>
    <w:basedOn w:val="1"/>
    <w:autoRedefine/>
    <w:qFormat/>
    <w:uiPriority w:val="0"/>
    <w:pPr>
      <w:widowControl/>
      <w:spacing w:after="160" w:line="240" w:lineRule="exact"/>
      <w:jc w:val="center"/>
    </w:pPr>
    <w:rPr>
      <w:kern w:val="0"/>
      <w:sz w:val="20"/>
      <w:szCs w:val="20"/>
    </w:rPr>
  </w:style>
  <w:style w:type="paragraph" w:customStyle="1" w:styleId="1682">
    <w:name w:val="Char Char Char Char Char Char Char Char Char1 Char Char Char1"/>
    <w:basedOn w:val="1"/>
    <w:autoRedefine/>
    <w:qFormat/>
    <w:uiPriority w:val="0"/>
    <w:pPr>
      <w:widowControl/>
      <w:spacing w:after="160" w:line="240" w:lineRule="exact"/>
      <w:jc w:val="left"/>
    </w:pPr>
    <w:rPr>
      <w:szCs w:val="20"/>
    </w:rPr>
  </w:style>
  <w:style w:type="paragraph" w:customStyle="1" w:styleId="1683">
    <w:name w:val="5 Char Char Char Char"/>
    <w:basedOn w:val="1"/>
    <w:autoRedefine/>
    <w:qFormat/>
    <w:uiPriority w:val="0"/>
    <w:rPr>
      <w:szCs w:val="20"/>
    </w:rPr>
  </w:style>
  <w:style w:type="paragraph" w:customStyle="1" w:styleId="1684">
    <w:name w:val="ListBullet3"/>
    <w:basedOn w:val="1"/>
    <w:next w:val="1"/>
    <w:autoRedefine/>
    <w:qFormat/>
    <w:uiPriority w:val="0"/>
    <w:pPr>
      <w:tabs>
        <w:tab w:val="left" w:pos="1667"/>
      </w:tabs>
      <w:spacing w:before="240" w:after="120" w:line="288" w:lineRule="auto"/>
      <w:ind w:left="840" w:hanging="420"/>
      <w:jc w:val="left"/>
    </w:pPr>
    <w:rPr>
      <w:szCs w:val="20"/>
    </w:rPr>
  </w:style>
  <w:style w:type="paragraph" w:customStyle="1" w:styleId="1685">
    <w:name w:val="Char Char Char Char Char Char2 Char Char Char1 Char Char Char Char Char Char Char"/>
    <w:basedOn w:val="25"/>
    <w:autoRedefine/>
    <w:qFormat/>
    <w:uiPriority w:val="0"/>
    <w:pPr>
      <w:shd w:val="clear" w:color="auto" w:fill="auto"/>
      <w:spacing w:line="360" w:lineRule="auto"/>
      <w:ind w:firstLine="200" w:firstLineChars="200"/>
    </w:pPr>
    <w:rPr>
      <w:rFonts w:ascii="宋体"/>
      <w:kern w:val="0"/>
      <w:sz w:val="18"/>
      <w:szCs w:val="18"/>
    </w:rPr>
  </w:style>
  <w:style w:type="paragraph" w:customStyle="1" w:styleId="1686">
    <w:name w:val="Char Char Char Char Char Char Char Char Char Char Char Char Char1 Char"/>
    <w:basedOn w:val="25"/>
    <w:autoRedefine/>
    <w:qFormat/>
    <w:uiPriority w:val="0"/>
    <w:pPr>
      <w:shd w:val="clear" w:color="auto" w:fill="auto"/>
      <w:spacing w:line="360" w:lineRule="auto"/>
      <w:ind w:firstLine="200" w:firstLineChars="200"/>
    </w:pPr>
    <w:rPr>
      <w:rFonts w:ascii="宋体"/>
      <w:kern w:val="0"/>
      <w:sz w:val="18"/>
      <w:szCs w:val="18"/>
    </w:rPr>
  </w:style>
  <w:style w:type="paragraph" w:customStyle="1" w:styleId="1687">
    <w:name w:val="正文缩两字"/>
    <w:basedOn w:val="1"/>
    <w:next w:val="1"/>
    <w:autoRedefine/>
    <w:qFormat/>
    <w:uiPriority w:val="0"/>
    <w:pPr>
      <w:widowControl/>
      <w:tabs>
        <w:tab w:val="left" w:pos="1260"/>
      </w:tabs>
      <w:spacing w:afterLines="50" w:line="360" w:lineRule="auto"/>
      <w:ind w:left="840" w:hanging="420"/>
      <w:jc w:val="left"/>
    </w:pPr>
    <w:rPr>
      <w:rFonts w:hAnsi="宋体"/>
      <w:kern w:val="0"/>
      <w:sz w:val="24"/>
      <w:szCs w:val="20"/>
    </w:rPr>
  </w:style>
  <w:style w:type="paragraph" w:customStyle="1" w:styleId="1688">
    <w:name w:val="SubText"/>
    <w:basedOn w:val="1"/>
    <w:autoRedefine/>
    <w:qFormat/>
    <w:uiPriority w:val="0"/>
    <w:pPr>
      <w:widowControl/>
      <w:tabs>
        <w:tab w:val="left" w:pos="855"/>
      </w:tabs>
      <w:spacing w:before="72" w:line="360" w:lineRule="auto"/>
      <w:ind w:left="855"/>
      <w:jc w:val="left"/>
    </w:pPr>
    <w:rPr>
      <w:rFonts w:ascii="宋体" w:hAnsi="宋体"/>
      <w:snapToGrid w:val="0"/>
      <w:kern w:val="0"/>
      <w:sz w:val="24"/>
      <w:szCs w:val="20"/>
      <w:lang w:val="en-GB" w:eastAsia="en-US"/>
    </w:rPr>
  </w:style>
  <w:style w:type="paragraph" w:customStyle="1" w:styleId="1689">
    <w:name w:val="样式 标题 2 + 左侧:  0 厘米 首行缩进:  0 厘米1"/>
    <w:basedOn w:val="4"/>
    <w:autoRedefine/>
    <w:qFormat/>
    <w:uiPriority w:val="0"/>
    <w:pPr>
      <w:widowControl/>
      <w:tabs>
        <w:tab w:val="left" w:pos="0"/>
        <w:tab w:val="left" w:pos="1260"/>
      </w:tabs>
      <w:autoSpaceDE/>
      <w:autoSpaceDN/>
      <w:spacing w:before="0" w:beforeLines="50" w:afterLines="50" w:line="413" w:lineRule="auto"/>
      <w:ind w:left="1260" w:hanging="420"/>
      <w:jc w:val="left"/>
    </w:pPr>
    <w:rPr>
      <w:sz w:val="32"/>
    </w:rPr>
  </w:style>
  <w:style w:type="paragraph" w:customStyle="1" w:styleId="1690">
    <w:name w:val="Normal Cenered"/>
    <w:basedOn w:val="1"/>
    <w:autoRedefine/>
    <w:qFormat/>
    <w:uiPriority w:val="0"/>
    <w:pPr>
      <w:widowControl/>
      <w:tabs>
        <w:tab w:val="left" w:pos="6660"/>
      </w:tabs>
      <w:spacing w:before="240" w:after="120" w:line="288" w:lineRule="auto"/>
      <w:jc w:val="center"/>
    </w:pPr>
    <w:rPr>
      <w:kern w:val="0"/>
      <w:szCs w:val="20"/>
    </w:rPr>
  </w:style>
  <w:style w:type="paragraph" w:customStyle="1" w:styleId="1691">
    <w:name w:val="SOW bullet"/>
    <w:basedOn w:val="1"/>
    <w:autoRedefine/>
    <w:qFormat/>
    <w:uiPriority w:val="0"/>
    <w:pPr>
      <w:snapToGrid w:val="0"/>
      <w:spacing w:line="400" w:lineRule="exact"/>
    </w:pPr>
    <w:rPr>
      <w:snapToGrid w:val="0"/>
      <w:sz w:val="24"/>
      <w:szCs w:val="20"/>
    </w:rPr>
  </w:style>
  <w:style w:type="paragraph" w:customStyle="1" w:styleId="1692">
    <w:name w:val="缩进 Char Char"/>
    <w:basedOn w:val="1"/>
    <w:autoRedefine/>
    <w:qFormat/>
    <w:uiPriority w:val="0"/>
    <w:pPr>
      <w:adjustRightInd w:val="0"/>
      <w:snapToGrid w:val="0"/>
      <w:spacing w:beforeLines="50" w:afterLines="50" w:line="360" w:lineRule="auto"/>
      <w:ind w:firstLine="480" w:firstLineChars="200"/>
    </w:pPr>
    <w:rPr>
      <w:rFonts w:ascii="Verdana" w:hAnsi="Verdana"/>
      <w:sz w:val="24"/>
      <w:szCs w:val="20"/>
    </w:rPr>
  </w:style>
  <w:style w:type="paragraph" w:customStyle="1" w:styleId="1693">
    <w:name w:val="Char 字元 Char Char Char Char Char Char Char Char Char"/>
    <w:basedOn w:val="1"/>
    <w:autoRedefine/>
    <w:qFormat/>
    <w:uiPriority w:val="0"/>
    <w:pPr>
      <w:widowControl/>
      <w:spacing w:after="160" w:line="240" w:lineRule="exact"/>
      <w:jc w:val="left"/>
    </w:pPr>
    <w:rPr>
      <w:rFonts w:ascii="Verdana" w:hAnsi="Verdana"/>
      <w:kern w:val="0"/>
      <w:sz w:val="28"/>
      <w:szCs w:val="20"/>
      <w:lang w:eastAsia="en-US"/>
    </w:rPr>
  </w:style>
  <w:style w:type="paragraph" w:customStyle="1" w:styleId="1694">
    <w:name w:val="Char Char Char Char Char Char1 Char Char Char Char Char"/>
    <w:basedOn w:val="25"/>
    <w:autoRedefine/>
    <w:qFormat/>
    <w:uiPriority w:val="0"/>
    <w:pPr>
      <w:shd w:val="clear" w:color="auto" w:fill="auto"/>
      <w:spacing w:line="360" w:lineRule="auto"/>
      <w:ind w:firstLine="200" w:firstLineChars="200"/>
    </w:pPr>
    <w:rPr>
      <w:rFonts w:ascii="宋体"/>
      <w:kern w:val="0"/>
      <w:sz w:val="18"/>
      <w:szCs w:val="18"/>
    </w:rPr>
  </w:style>
  <w:style w:type="paragraph" w:customStyle="1" w:styleId="1695">
    <w:name w:val="表格文字1"/>
    <w:basedOn w:val="32"/>
    <w:autoRedefine/>
    <w:qFormat/>
    <w:uiPriority w:val="0"/>
    <w:pPr>
      <w:tabs>
        <w:tab w:val="clear" w:pos="567"/>
      </w:tabs>
      <w:spacing w:before="0" w:line="360" w:lineRule="auto"/>
      <w:jc w:val="center"/>
    </w:pPr>
    <w:rPr>
      <w:rFonts w:ascii="Times New Roman" w:hAnsi="Times New Roman"/>
    </w:rPr>
  </w:style>
  <w:style w:type="character" w:customStyle="1" w:styleId="1696">
    <w:name w:val="宏文本 Char1"/>
    <w:autoRedefine/>
    <w:qFormat/>
    <w:uiPriority w:val="0"/>
    <w:rPr>
      <w:rFonts w:ascii="Courier New" w:hAnsi="Courier New" w:cs="Courier New"/>
      <w:kern w:val="2"/>
      <w:sz w:val="24"/>
      <w:szCs w:val="24"/>
    </w:rPr>
  </w:style>
  <w:style w:type="paragraph" w:customStyle="1" w:styleId="1697">
    <w:name w:val="lh"/>
    <w:basedOn w:val="1"/>
    <w:autoRedefine/>
    <w:qFormat/>
    <w:uiPriority w:val="0"/>
    <w:pPr>
      <w:widowControl/>
      <w:spacing w:before="100" w:beforeAutospacing="1" w:after="100" w:afterAutospacing="1" w:line="255" w:lineRule="atLeast"/>
      <w:jc w:val="left"/>
    </w:pPr>
    <w:rPr>
      <w:rFonts w:ascii="宋体" w:hAnsi="宋体"/>
      <w:kern w:val="0"/>
      <w:sz w:val="24"/>
    </w:rPr>
  </w:style>
  <w:style w:type="paragraph" w:customStyle="1" w:styleId="1698">
    <w:name w:val="OT_Body_Text Bullet"/>
    <w:basedOn w:val="1"/>
    <w:autoRedefine/>
    <w:qFormat/>
    <w:uiPriority w:val="0"/>
    <w:pPr>
      <w:widowControl/>
      <w:ind w:left="720"/>
    </w:pPr>
    <w:rPr>
      <w:rFonts w:ascii="Arial" w:hAnsi="Arial" w:eastAsia="PMingLiU"/>
      <w:kern w:val="0"/>
      <w:sz w:val="20"/>
      <w:szCs w:val="20"/>
      <w:lang w:eastAsia="en-US"/>
    </w:rPr>
  </w:style>
  <w:style w:type="paragraph" w:customStyle="1" w:styleId="1699">
    <w:name w:val="项目符号"/>
    <w:basedOn w:val="1"/>
    <w:autoRedefine/>
    <w:qFormat/>
    <w:uiPriority w:val="0"/>
    <w:pPr>
      <w:ind w:left="1260" w:hanging="420"/>
    </w:pPr>
  </w:style>
  <w:style w:type="paragraph" w:customStyle="1" w:styleId="1700">
    <w:name w:val="小标题 1"/>
    <w:basedOn w:val="1"/>
    <w:autoRedefine/>
    <w:qFormat/>
    <w:uiPriority w:val="0"/>
    <w:pPr>
      <w:autoSpaceDE w:val="0"/>
      <w:autoSpaceDN w:val="0"/>
      <w:adjustRightInd w:val="0"/>
      <w:spacing w:line="360" w:lineRule="atLeast"/>
    </w:pPr>
    <w:rPr>
      <w:rFonts w:ascii="文鼎粗黑" w:eastAsia="文鼎粗黑"/>
      <w:kern w:val="0"/>
      <w:sz w:val="22"/>
      <w:szCs w:val="20"/>
    </w:rPr>
  </w:style>
  <w:style w:type="paragraph" w:customStyle="1" w:styleId="1701">
    <w:name w:val="正文 1"/>
    <w:basedOn w:val="1"/>
    <w:link w:val="1702"/>
    <w:autoRedefine/>
    <w:qFormat/>
    <w:uiPriority w:val="0"/>
    <w:pPr>
      <w:widowControl/>
      <w:adjustRightInd w:val="0"/>
      <w:snapToGrid w:val="0"/>
      <w:spacing w:before="30" w:after="30" w:line="300" w:lineRule="auto"/>
      <w:ind w:left="680"/>
    </w:pPr>
    <w:rPr>
      <w:sz w:val="18"/>
      <w:szCs w:val="20"/>
    </w:rPr>
  </w:style>
  <w:style w:type="character" w:customStyle="1" w:styleId="1702">
    <w:name w:val="正文 1 Char"/>
    <w:link w:val="1701"/>
    <w:autoRedefine/>
    <w:qFormat/>
    <w:uiPriority w:val="0"/>
    <w:rPr>
      <w:kern w:val="2"/>
      <w:sz w:val="18"/>
    </w:rPr>
  </w:style>
  <w:style w:type="paragraph" w:customStyle="1" w:styleId="1703">
    <w:name w:val="表题"/>
    <w:autoRedefine/>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1704">
    <w:name w:val="图题"/>
    <w:basedOn w:val="1701"/>
    <w:autoRedefine/>
    <w:qFormat/>
    <w:uiPriority w:val="0"/>
    <w:pPr>
      <w:spacing w:before="40" w:after="80"/>
      <w:jc w:val="center"/>
    </w:pPr>
    <w:rPr>
      <w:rFonts w:ascii="Arial" w:hAnsi="Arial" w:eastAsia="黑体"/>
      <w:sz w:val="16"/>
    </w:rPr>
  </w:style>
  <w:style w:type="paragraph" w:customStyle="1" w:styleId="1705">
    <w:name w:val="图片（中）"/>
    <w:basedOn w:val="1704"/>
    <w:next w:val="1704"/>
    <w:autoRedefine/>
    <w:qFormat/>
    <w:uiPriority w:val="0"/>
  </w:style>
  <w:style w:type="paragraph" w:customStyle="1" w:styleId="1706">
    <w:name w:val="序号列举项"/>
    <w:basedOn w:val="1701"/>
    <w:autoRedefine/>
    <w:qFormat/>
    <w:uiPriority w:val="0"/>
    <w:pPr>
      <w:ind w:left="1134" w:hanging="227"/>
    </w:pPr>
  </w:style>
  <w:style w:type="paragraph" w:customStyle="1" w:styleId="1707">
    <w:name w:val="圆点列举项"/>
    <w:basedOn w:val="1701"/>
    <w:autoRedefine/>
    <w:qFormat/>
    <w:uiPriority w:val="0"/>
    <w:pPr>
      <w:ind w:left="1134" w:hanging="227"/>
    </w:pPr>
  </w:style>
  <w:style w:type="paragraph" w:customStyle="1" w:styleId="1708">
    <w:name w:val="表项"/>
    <w:next w:val="1709"/>
    <w:autoRedefine/>
    <w:qFormat/>
    <w:uiPriority w:val="0"/>
    <w:pPr>
      <w:adjustRightInd w:val="0"/>
      <w:snapToGrid w:val="0"/>
      <w:spacing w:line="300" w:lineRule="auto"/>
      <w:jc w:val="center"/>
    </w:pPr>
    <w:rPr>
      <w:rFonts w:ascii="Arial" w:hAnsi="Arial" w:eastAsia="黑体" w:cs="Arial"/>
      <w:iCs/>
      <w:kern w:val="2"/>
      <w:sz w:val="16"/>
      <w:lang w:val="en-US" w:eastAsia="zh-CN" w:bidi="ar-SA"/>
    </w:rPr>
  </w:style>
  <w:style w:type="paragraph" w:customStyle="1" w:styleId="1709">
    <w:name w:val="表身（左）"/>
    <w:autoRedefine/>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1710">
    <w:name w:val="表身（中）"/>
    <w:basedOn w:val="1709"/>
    <w:autoRedefine/>
    <w:qFormat/>
    <w:uiPriority w:val="0"/>
  </w:style>
  <w:style w:type="paragraph" w:customStyle="1" w:styleId="1711">
    <w:name w:val="headin"/>
    <w:basedOn w:val="1"/>
    <w:next w:val="1"/>
    <w:autoRedefine/>
    <w:qFormat/>
    <w:uiPriority w:val="0"/>
    <w:pPr>
      <w:keepNext/>
      <w:keepLines/>
      <w:adjustRightInd w:val="0"/>
      <w:spacing w:before="260" w:after="260" w:line="416" w:lineRule="auto"/>
      <w:textAlignment w:val="baseline"/>
    </w:pPr>
    <w:rPr>
      <w:rFonts w:ascii="Arial" w:hAnsi="Arial" w:eastAsia="黑体"/>
      <w:b/>
      <w:sz w:val="32"/>
      <w:szCs w:val="20"/>
    </w:rPr>
  </w:style>
  <w:style w:type="paragraph" w:customStyle="1" w:styleId="1712">
    <w:name w:val="模板普通正文"/>
    <w:basedOn w:val="44"/>
    <w:autoRedefine/>
    <w:qFormat/>
    <w:uiPriority w:val="0"/>
    <w:pPr>
      <w:adjustRightInd w:val="0"/>
      <w:snapToGrid w:val="0"/>
      <w:spacing w:beforeLines="50" w:after="10" w:line="360" w:lineRule="auto"/>
      <w:ind w:firstLine="490" w:firstLineChars="175"/>
      <w:jc w:val="left"/>
    </w:pPr>
    <w:rPr>
      <w:rFonts w:hint="default" w:ascii="Times New Roman" w:hAnsi="Times New Roman"/>
      <w:b/>
      <w:sz w:val="24"/>
      <w:szCs w:val="24"/>
    </w:rPr>
  </w:style>
  <w:style w:type="paragraph" w:customStyle="1" w:styleId="1713">
    <w:name w:val="样式 标题一 + 段前: 0.5 行 段后: 0.5 行"/>
    <w:basedOn w:val="3"/>
    <w:next w:val="1"/>
    <w:autoRedefine/>
    <w:qFormat/>
    <w:uiPriority w:val="0"/>
    <w:pPr>
      <w:keepNext w:val="0"/>
      <w:keepLines w:val="0"/>
      <w:tabs>
        <w:tab w:val="left" w:pos="420"/>
      </w:tabs>
      <w:autoSpaceDE/>
      <w:autoSpaceDN/>
      <w:adjustRightInd/>
      <w:spacing w:before="0" w:beforeLines="50" w:after="0" w:afterLines="50" w:line="240" w:lineRule="auto"/>
      <w:ind w:left="420" w:hanging="420"/>
      <w:jc w:val="both"/>
      <w:outlineLvl w:val="9"/>
    </w:pPr>
    <w:rPr>
      <w:rFonts w:ascii="Arial" w:hAnsi="Arial" w:cs="宋体"/>
      <w:bCs/>
      <w:kern w:val="2"/>
      <w:sz w:val="24"/>
    </w:rPr>
  </w:style>
  <w:style w:type="paragraph" w:customStyle="1" w:styleId="1714">
    <w:name w:val="正文字缩2字"/>
    <w:basedOn w:val="1"/>
    <w:autoRedefine/>
    <w:qFormat/>
    <w:uiPriority w:val="0"/>
    <w:pPr>
      <w:tabs>
        <w:tab w:val="left" w:pos="1860"/>
      </w:tabs>
      <w:adjustRightInd w:val="0"/>
      <w:spacing w:before="60" w:after="60" w:line="360" w:lineRule="auto"/>
      <w:ind w:left="200" w:leftChars="200" w:firstLine="200" w:firstLineChars="200"/>
      <w:textAlignment w:val="baseline"/>
    </w:pPr>
    <w:rPr>
      <w:sz w:val="24"/>
    </w:rPr>
  </w:style>
  <w:style w:type="paragraph" w:customStyle="1" w:styleId="1715">
    <w:name w:val="Numbered list 2.1"/>
    <w:basedOn w:val="3"/>
    <w:next w:val="1"/>
    <w:autoRedefine/>
    <w:qFormat/>
    <w:uiPriority w:val="0"/>
    <w:pPr>
      <w:keepLines w:val="0"/>
      <w:widowControl/>
      <w:tabs>
        <w:tab w:val="left" w:pos="360"/>
        <w:tab w:val="left" w:pos="720"/>
      </w:tabs>
      <w:autoSpaceDE/>
      <w:autoSpaceDN/>
      <w:adjustRightInd/>
      <w:spacing w:before="0" w:after="0" w:line="240" w:lineRule="auto"/>
      <w:ind w:left="360" w:hanging="360"/>
      <w:jc w:val="left"/>
    </w:pPr>
    <w:rPr>
      <w:rFonts w:ascii="Futura Bk" w:hAnsi="Futura Bk"/>
      <w:kern w:val="28"/>
      <w:sz w:val="28"/>
      <w:lang w:eastAsia="en-US"/>
    </w:rPr>
  </w:style>
  <w:style w:type="paragraph" w:customStyle="1" w:styleId="1716">
    <w:name w:val="Numbered list 2.2"/>
    <w:basedOn w:val="4"/>
    <w:next w:val="1"/>
    <w:autoRedefine/>
    <w:qFormat/>
    <w:uiPriority w:val="0"/>
    <w:pPr>
      <w:keepLines w:val="0"/>
      <w:widowControl/>
      <w:tabs>
        <w:tab w:val="left" w:pos="0"/>
        <w:tab w:val="left" w:pos="720"/>
        <w:tab w:val="left" w:pos="984"/>
      </w:tabs>
      <w:autoSpaceDE/>
      <w:autoSpaceDN/>
      <w:spacing w:before="0" w:beforeLines="50" w:afterLines="50" w:line="240" w:lineRule="auto"/>
      <w:ind w:left="624" w:hanging="360"/>
      <w:jc w:val="left"/>
    </w:pPr>
    <w:rPr>
      <w:rFonts w:ascii="Futura Bk" w:hAnsi="Futura Bk" w:eastAsia="宋体"/>
      <w:sz w:val="24"/>
      <w:lang w:eastAsia="en-US"/>
    </w:rPr>
  </w:style>
  <w:style w:type="paragraph" w:customStyle="1" w:styleId="1717">
    <w:name w:val="Numbered list 2.3"/>
    <w:basedOn w:val="5"/>
    <w:next w:val="1"/>
    <w:autoRedefine/>
    <w:qFormat/>
    <w:uiPriority w:val="0"/>
    <w:pPr>
      <w:keepLines w:val="0"/>
      <w:widowControl/>
      <w:tabs>
        <w:tab w:val="left" w:pos="0"/>
        <w:tab w:val="left" w:pos="1080"/>
        <w:tab w:val="left" w:pos="1440"/>
      </w:tabs>
      <w:autoSpaceDE/>
      <w:autoSpaceDN/>
      <w:adjustRightInd/>
      <w:spacing w:before="0" w:after="0"/>
      <w:ind w:left="1080" w:hanging="360"/>
    </w:pPr>
    <w:rPr>
      <w:rFonts w:ascii="Futura Bk" w:hAnsi="Futura Bk"/>
      <w:sz w:val="22"/>
      <w:u w:val="none"/>
      <w:lang w:eastAsia="en-US"/>
    </w:rPr>
  </w:style>
  <w:style w:type="paragraph" w:customStyle="1" w:styleId="1718">
    <w:name w:val="Numbered list 2.4"/>
    <w:basedOn w:val="8"/>
    <w:next w:val="1"/>
    <w:autoRedefine/>
    <w:qFormat/>
    <w:uiPriority w:val="0"/>
    <w:pPr>
      <w:keepLines w:val="0"/>
      <w:widowControl/>
      <w:tabs>
        <w:tab w:val="left" w:pos="1080"/>
        <w:tab w:val="left" w:pos="1440"/>
        <w:tab w:val="left" w:pos="1800"/>
        <w:tab w:val="left" w:pos="2880"/>
      </w:tabs>
      <w:adjustRightInd/>
      <w:spacing w:before="0" w:after="60" w:line="240" w:lineRule="auto"/>
      <w:ind w:left="2160" w:hanging="360"/>
      <w:jc w:val="left"/>
      <w:textAlignment w:val="auto"/>
    </w:pPr>
    <w:rPr>
      <w:rFonts w:ascii="Futura Bk" w:hAnsi="Futura Bk" w:eastAsia="宋体"/>
      <w:color w:val="365F91"/>
      <w:sz w:val="20"/>
      <w:lang w:eastAsia="en-US"/>
    </w:rPr>
  </w:style>
  <w:style w:type="paragraph" w:customStyle="1" w:styleId="1719">
    <w:name w:val="样式 (西文) 宋体 小四 首行缩进:  0.95 厘米 段前: 5 磅 段后: 5 磅 行距: 1.5 倍行距"/>
    <w:basedOn w:val="1"/>
    <w:autoRedefine/>
    <w:qFormat/>
    <w:uiPriority w:val="0"/>
    <w:pPr>
      <w:widowControl/>
      <w:spacing w:before="100" w:after="100" w:line="360" w:lineRule="auto"/>
      <w:ind w:firstLine="540"/>
      <w:jc w:val="left"/>
    </w:pPr>
    <w:rPr>
      <w:rFonts w:ascii="宋体" w:hAnsi="宋体" w:cs="宋体"/>
      <w:kern w:val="0"/>
      <w:sz w:val="24"/>
      <w:szCs w:val="20"/>
    </w:rPr>
  </w:style>
  <w:style w:type="paragraph" w:customStyle="1" w:styleId="1720">
    <w:name w:val="SOW正文"/>
    <w:basedOn w:val="1"/>
    <w:autoRedefine/>
    <w:qFormat/>
    <w:uiPriority w:val="0"/>
    <w:pPr>
      <w:snapToGrid w:val="0"/>
      <w:spacing w:before="120" w:line="400" w:lineRule="exact"/>
      <w:ind w:firstLine="425"/>
    </w:pPr>
    <w:rPr>
      <w:sz w:val="24"/>
    </w:rPr>
  </w:style>
  <w:style w:type="paragraph" w:customStyle="1" w:styleId="1721">
    <w:name w:val="Char Char1 Char Char Char Char Char Char Char Char1 Char Char Char Char Char Char1 Char Char"/>
    <w:basedOn w:val="1"/>
    <w:autoRedefine/>
    <w:qFormat/>
    <w:uiPriority w:val="0"/>
    <w:pPr>
      <w:widowControl/>
      <w:tabs>
        <w:tab w:val="left" w:pos="1380"/>
      </w:tabs>
      <w:spacing w:after="160" w:line="240" w:lineRule="exact"/>
      <w:ind w:left="1380"/>
      <w:jc w:val="left"/>
    </w:pPr>
    <w:rPr>
      <w:rFonts w:ascii="Arial" w:hAnsi="Arial"/>
      <w:kern w:val="0"/>
      <w:sz w:val="20"/>
      <w:szCs w:val="20"/>
      <w:lang w:eastAsia="en-US"/>
    </w:rPr>
  </w:style>
  <w:style w:type="paragraph" w:customStyle="1" w:styleId="1722">
    <w:name w:val="10PT_BULLET_FACTSHEET"/>
    <w:basedOn w:val="1"/>
    <w:autoRedefine/>
    <w:qFormat/>
    <w:uiPriority w:val="0"/>
    <w:pPr>
      <w:widowControl/>
      <w:tabs>
        <w:tab w:val="left" w:pos="1440"/>
      </w:tabs>
      <w:spacing w:before="120"/>
      <w:ind w:left="1440"/>
      <w:jc w:val="left"/>
    </w:pPr>
    <w:rPr>
      <w:rFonts w:ascii="Futura Bk" w:hAnsi="Futura Bk" w:eastAsia="Times"/>
      <w:snapToGrid w:val="0"/>
      <w:color w:val="000000"/>
      <w:kern w:val="0"/>
      <w:sz w:val="20"/>
      <w:szCs w:val="20"/>
      <w:lang w:eastAsia="en-US"/>
    </w:rPr>
  </w:style>
  <w:style w:type="paragraph" w:customStyle="1" w:styleId="1723">
    <w:name w:val="Char Char Char Char Char Char1 Char Char Char Char1 Char Char Char Char"/>
    <w:basedOn w:val="1"/>
    <w:autoRedefine/>
    <w:qFormat/>
    <w:uiPriority w:val="0"/>
    <w:pPr>
      <w:tabs>
        <w:tab w:val="left" w:pos="1080"/>
      </w:tabs>
      <w:ind w:left="432" w:hanging="432"/>
    </w:pPr>
    <w:rPr>
      <w:rFonts w:ascii="Arial" w:hAnsi="Arial"/>
      <w:kern w:val="0"/>
      <w:sz w:val="20"/>
      <w:szCs w:val="20"/>
      <w:lang w:eastAsia="en-US"/>
    </w:rPr>
  </w:style>
  <w:style w:type="character" w:customStyle="1" w:styleId="1724">
    <w:name w:val="正文首缩两字 Char"/>
    <w:autoRedefine/>
    <w:qFormat/>
    <w:uiPriority w:val="0"/>
    <w:rPr>
      <w:rFonts w:ascii="宋体" w:hAnsi="宋体"/>
      <w:kern w:val="2"/>
      <w:sz w:val="24"/>
      <w:szCs w:val="24"/>
    </w:rPr>
  </w:style>
  <w:style w:type="paragraph" w:customStyle="1" w:styleId="1725">
    <w:name w:val="样式 小四 段前: 3 磅 段后: 3 磅 行距: 1.5 倍行距"/>
    <w:basedOn w:val="1"/>
    <w:link w:val="1726"/>
    <w:autoRedefine/>
    <w:qFormat/>
    <w:uiPriority w:val="0"/>
    <w:pPr>
      <w:spacing w:before="60" w:after="60" w:line="360" w:lineRule="auto"/>
      <w:ind w:firstLine="540" w:firstLineChars="225"/>
    </w:pPr>
    <w:rPr>
      <w:rFonts w:cs="宋体"/>
      <w:sz w:val="24"/>
      <w:szCs w:val="20"/>
    </w:rPr>
  </w:style>
  <w:style w:type="character" w:customStyle="1" w:styleId="1726">
    <w:name w:val="样式 小四 段前: 3 磅 段后: 3 磅 行距: 1.5 倍行距 Char"/>
    <w:link w:val="1725"/>
    <w:autoRedefine/>
    <w:qFormat/>
    <w:uiPriority w:val="0"/>
    <w:rPr>
      <w:rFonts w:cs="宋体"/>
      <w:kern w:val="2"/>
      <w:sz w:val="24"/>
    </w:rPr>
  </w:style>
  <w:style w:type="paragraph" w:customStyle="1" w:styleId="1727">
    <w:name w:val="body3"/>
    <w:basedOn w:val="1"/>
    <w:next w:val="8"/>
    <w:autoRedefine/>
    <w:qFormat/>
    <w:uiPriority w:val="0"/>
    <w:pPr>
      <w:widowControl/>
      <w:overflowPunct w:val="0"/>
      <w:autoSpaceDE w:val="0"/>
      <w:autoSpaceDN w:val="0"/>
      <w:adjustRightInd w:val="0"/>
      <w:spacing w:line="0" w:lineRule="atLeast"/>
      <w:ind w:left="2610" w:right="210" w:firstLine="200" w:firstLineChars="200"/>
      <w:jc w:val="left"/>
      <w:textAlignment w:val="baseline"/>
    </w:pPr>
    <w:rPr>
      <w:rFonts w:ascii="宋体"/>
      <w:kern w:val="0"/>
      <w:sz w:val="28"/>
      <w:szCs w:val="20"/>
    </w:rPr>
  </w:style>
  <w:style w:type="paragraph" w:customStyle="1" w:styleId="1728">
    <w:name w:val="项目符号4"/>
    <w:autoRedefine/>
    <w:qFormat/>
    <w:uiPriority w:val="0"/>
    <w:pPr>
      <w:tabs>
        <w:tab w:val="left" w:pos="864"/>
      </w:tabs>
      <w:spacing w:line="360" w:lineRule="auto"/>
      <w:ind w:firstLine="480"/>
    </w:pPr>
    <w:rPr>
      <w:rFonts w:ascii="宋体" w:hAnsi="宋体" w:eastAsia="宋体" w:cs="Times New Roman"/>
      <w:sz w:val="24"/>
      <w:szCs w:val="28"/>
      <w:lang w:val="en-US" w:eastAsia="zh-CN" w:bidi="ar-SA"/>
    </w:rPr>
  </w:style>
  <w:style w:type="character" w:customStyle="1" w:styleId="1729">
    <w:name w:val="breakword"/>
    <w:autoRedefine/>
    <w:qFormat/>
    <w:uiPriority w:val="0"/>
  </w:style>
  <w:style w:type="paragraph" w:customStyle="1" w:styleId="1730">
    <w:name w:val="二级标题"/>
    <w:link w:val="1731"/>
    <w:autoRedefine/>
    <w:qFormat/>
    <w:uiPriority w:val="0"/>
    <w:pPr>
      <w:widowControl w:val="0"/>
      <w:spacing w:line="360" w:lineRule="auto"/>
      <w:ind w:left="900"/>
      <w:jc w:val="both"/>
    </w:pPr>
    <w:rPr>
      <w:rFonts w:ascii="Times New Roman" w:hAnsi="Times New Roman" w:eastAsia="宋体" w:cs="Times New Roman"/>
      <w:sz w:val="24"/>
      <w:szCs w:val="24"/>
      <w:lang w:val="en-US" w:eastAsia="zh-CN" w:bidi="ar-SA"/>
    </w:rPr>
  </w:style>
  <w:style w:type="character" w:customStyle="1" w:styleId="1731">
    <w:name w:val="二级标题 Char1"/>
    <w:link w:val="1730"/>
    <w:autoRedefine/>
    <w:qFormat/>
    <w:uiPriority w:val="0"/>
    <w:rPr>
      <w:sz w:val="24"/>
      <w:szCs w:val="24"/>
    </w:rPr>
  </w:style>
  <w:style w:type="paragraph" w:customStyle="1" w:styleId="1732">
    <w:name w:val="列举"/>
    <w:autoRedefine/>
    <w:qFormat/>
    <w:uiPriority w:val="0"/>
    <w:pPr>
      <w:spacing w:before="100" w:after="200" w:line="276" w:lineRule="auto"/>
      <w:ind w:left="432"/>
    </w:pPr>
    <w:rPr>
      <w:rFonts w:ascii="仿宋" w:hAnsi="仿宋" w:eastAsia="仿宋" w:cs="Times New Roman"/>
      <w:sz w:val="24"/>
      <w:szCs w:val="24"/>
      <w:lang w:val="en-US" w:eastAsia="zh-CN" w:bidi="ar-SA"/>
    </w:rPr>
  </w:style>
  <w:style w:type="paragraph" w:customStyle="1" w:styleId="1733">
    <w:name w:val="标题 2h2sect"/>
    <w:next w:val="1"/>
    <w:autoRedefine/>
    <w:qFormat/>
    <w:uiPriority w:val="0"/>
    <w:pPr>
      <w:spacing w:before="120" w:after="120" w:line="360" w:lineRule="auto"/>
      <w:ind w:left="1265" w:hanging="420"/>
      <w:jc w:val="center"/>
    </w:pPr>
    <w:rPr>
      <w:rFonts w:ascii="微软雅黑" w:hAnsi="微软雅黑" w:eastAsia="微软雅黑" w:cs="宋体"/>
      <w:b/>
      <w:bCs/>
      <w:color w:val="000000"/>
      <w:sz w:val="24"/>
      <w:szCs w:val="24"/>
      <w:lang w:val="en-US" w:eastAsia="zh-CN" w:bidi="ar-SA"/>
    </w:rPr>
  </w:style>
  <w:style w:type="character" w:customStyle="1" w:styleId="1734">
    <w:name w:val="font71"/>
    <w:autoRedefine/>
    <w:qFormat/>
    <w:uiPriority w:val="0"/>
    <w:rPr>
      <w:rFonts w:ascii="宋体" w:hAnsi="宋体" w:eastAsia="宋体" w:cs="宋体"/>
      <w:color w:val="000000"/>
      <w:sz w:val="20"/>
      <w:szCs w:val="20"/>
      <w:u w:val="none"/>
    </w:rPr>
  </w:style>
  <w:style w:type="paragraph" w:customStyle="1" w:styleId="1735">
    <w:name w:val="Char Char Char Char Char Char1 Char Char Char Char"/>
    <w:basedOn w:val="25"/>
    <w:autoRedefine/>
    <w:qFormat/>
    <w:uiPriority w:val="0"/>
    <w:rPr>
      <w:rFonts w:ascii="Tahoma" w:hAnsi="Tahoma"/>
      <w:sz w:val="24"/>
    </w:rPr>
  </w:style>
  <w:style w:type="character" w:customStyle="1" w:styleId="1736">
    <w:name w:val="样式1 Char Char"/>
    <w:autoRedefine/>
    <w:qFormat/>
    <w:uiPriority w:val="0"/>
    <w:rPr>
      <w:rFonts w:ascii="宋体" w:hAnsi="宋体"/>
      <w:sz w:val="21"/>
      <w:szCs w:val="21"/>
    </w:rPr>
  </w:style>
  <w:style w:type="character" w:customStyle="1" w:styleId="1737">
    <w:name w:val="NormalCharacter"/>
    <w:autoRedefine/>
    <w:qFormat/>
    <w:uiPriority w:val="0"/>
    <w:rPr>
      <w:kern w:val="1"/>
      <w:sz w:val="21"/>
      <w:szCs w:val="24"/>
      <w:lang w:val="en-US" w:eastAsia="zh-CN" w:bidi="ar-SA"/>
    </w:rPr>
  </w:style>
  <w:style w:type="character" w:customStyle="1" w:styleId="1738">
    <w:name w:val="Char Char82"/>
    <w:autoRedefine/>
    <w:qFormat/>
    <w:uiPriority w:val="0"/>
    <w:rPr>
      <w:rFonts w:ascii="仿宋_GB2312" w:hAnsi="仿宋_GB2312" w:eastAsia="Cambria"/>
      <w:b/>
      <w:bCs/>
      <w:kern w:val="2"/>
      <w:sz w:val="32"/>
      <w:szCs w:val="32"/>
      <w:lang w:val="en-US" w:eastAsia="zh-CN" w:bidi="ar-SA"/>
    </w:rPr>
  </w:style>
  <w:style w:type="character" w:customStyle="1" w:styleId="1739">
    <w:name w:val="cf01"/>
    <w:autoRedefine/>
    <w:qFormat/>
    <w:uiPriority w:val="0"/>
    <w:rPr>
      <w:rFonts w:hint="eastAsia" w:ascii="Microsoft YaHei UI" w:hAnsi="Microsoft YaHei UI" w:eastAsia="Microsoft YaHei UI" w:cs="Times New Roman"/>
      <w:sz w:val="18"/>
      <w:szCs w:val="18"/>
    </w:rPr>
  </w:style>
  <w:style w:type="paragraph" w:customStyle="1" w:styleId="1740">
    <w:name w:val="修订8"/>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741">
    <w:name w:val="修订9"/>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8" Type="http://schemas.openxmlformats.org/officeDocument/2006/relationships/fontTable" Target="fontTable.xml"/><Relationship Id="rId47" Type="http://schemas.openxmlformats.org/officeDocument/2006/relationships/customXml" Target="../customXml/item2.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1.wmf"/><Relationship Id="rId43" Type="http://schemas.openxmlformats.org/officeDocument/2006/relationships/theme" Target="theme/theme1.xml"/><Relationship Id="rId42" Type="http://schemas.openxmlformats.org/officeDocument/2006/relationships/footer" Target="footer23.xml"/><Relationship Id="rId41" Type="http://schemas.openxmlformats.org/officeDocument/2006/relationships/header" Target="header17.xml"/><Relationship Id="rId40" Type="http://schemas.openxmlformats.org/officeDocument/2006/relationships/footer" Target="footer22.xml"/><Relationship Id="rId4" Type="http://schemas.openxmlformats.org/officeDocument/2006/relationships/header" Target="header2.xml"/><Relationship Id="rId39" Type="http://schemas.openxmlformats.org/officeDocument/2006/relationships/footer" Target="footer21.xml"/><Relationship Id="rId38" Type="http://schemas.openxmlformats.org/officeDocument/2006/relationships/footer" Target="footer20.xml"/><Relationship Id="rId37" Type="http://schemas.openxmlformats.org/officeDocument/2006/relationships/header" Target="header16.xml"/><Relationship Id="rId36" Type="http://schemas.openxmlformats.org/officeDocument/2006/relationships/footer" Target="footer19.xml"/><Relationship Id="rId35" Type="http://schemas.openxmlformats.org/officeDocument/2006/relationships/header" Target="header15.xml"/><Relationship Id="rId34" Type="http://schemas.openxmlformats.org/officeDocument/2006/relationships/footer" Target="footer18.xml"/><Relationship Id="rId33" Type="http://schemas.openxmlformats.org/officeDocument/2006/relationships/header" Target="header14.xml"/><Relationship Id="rId32" Type="http://schemas.openxmlformats.org/officeDocument/2006/relationships/footer" Target="footer17.xml"/><Relationship Id="rId31" Type="http://schemas.openxmlformats.org/officeDocument/2006/relationships/header" Target="header13.xml"/><Relationship Id="rId30" Type="http://schemas.openxmlformats.org/officeDocument/2006/relationships/footer" Target="footer16.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header" Target="header12.xml"/><Relationship Id="rId27" Type="http://schemas.openxmlformats.org/officeDocument/2006/relationships/header" Target="header11.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header" Target="header10.xml"/><Relationship Id="rId23" Type="http://schemas.openxmlformats.org/officeDocument/2006/relationships/header" Target="header9.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CD46C7E-3F25-4EAB-82B0-2C315479D131}">
  <ds:schemaRefs/>
</ds:datastoreItem>
</file>

<file path=docProps/app.xml><?xml version="1.0" encoding="utf-8"?>
<Properties xmlns="http://schemas.openxmlformats.org/officeDocument/2006/extended-properties" xmlns:vt="http://schemas.openxmlformats.org/officeDocument/2006/docPropsVTypes">
  <Template>Normal</Template>
  <Pages>146</Pages>
  <Words>10313</Words>
  <Characters>10857</Characters>
  <Lines>724</Lines>
  <Paragraphs>203</Paragraphs>
  <TotalTime>7</TotalTime>
  <ScaleCrop>false</ScaleCrop>
  <LinksUpToDate>false</LinksUpToDate>
  <CharactersWithSpaces>11125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2025-07-30T05:14:00Z</dcterms:created>
  <dc:creator>ADMIN</dc:creator>
  <cp:lastModifiedBy>郭珉玮</cp:lastModifiedBy>
  <cp:lastPrinted>2025-07-28T02:01:00Z</cp:lastPrinted>
  <dcterms:modified xsi:type="dcterms:W3CDTF">2025-07-31T01:05:21Z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63df823053d34cfda12b12a0ed529184_23</vt:lpwstr>
  </property>
  <property fmtid="{D5CDD505-2E9C-101B-9397-08002B2CF9AE}" pid="4" name="KSOTemplateDocerSaveRecord">
    <vt:lpwstr>eyJoZGlkIjoiYzYxZjBhZDE1YWJhOGZkNDg2Mjk3YWQ0OGI4NWM1NWMiLCJ1c2VySWQiOiI0ODI2MzU4NjMifQ==</vt:lpwstr>
  </property>
</Properties>
</file>